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2154" w:rsidRDefault="00952154">
      <w:pPr>
        <w:spacing w:before="320" w:after="80"/>
        <w:jc w:val="center"/>
        <w:rPr>
          <w:b/>
          <w:bCs/>
          <w:color w:val="595959"/>
        </w:rPr>
      </w:pPr>
    </w:p>
    <w:p w:rsidR="00952154" w:rsidRDefault="00952154">
      <w:pPr>
        <w:spacing w:before="320" w:after="80"/>
        <w:jc w:val="center"/>
        <w:rPr>
          <w:b/>
          <w:bCs/>
          <w:color w:val="595959"/>
        </w:rPr>
      </w:pPr>
      <w:r w:rsidRPr="00786E87">
        <w:rPr>
          <w:noProof/>
        </w:rPr>
        <w:drawing>
          <wp:inline distT="0" distB="0" distL="0" distR="0" wp14:anchorId="7DBB0C3B" wp14:editId="0BD12DDF">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p>
    <w:p w:rsidR="00952154" w:rsidRDefault="00952154">
      <w:pPr>
        <w:spacing w:before="320" w:after="80"/>
        <w:jc w:val="center"/>
        <w:rPr>
          <w:b/>
          <w:bCs/>
          <w:color w:val="595959"/>
        </w:rPr>
      </w:pPr>
    </w:p>
    <w:p w:rsidR="00952154" w:rsidRDefault="00952154">
      <w:pPr>
        <w:spacing w:before="320" w:after="80"/>
        <w:jc w:val="center"/>
        <w:rPr>
          <w:b/>
          <w:bCs/>
          <w:color w:val="595959"/>
        </w:rPr>
      </w:pPr>
    </w:p>
    <w:p w:rsidR="00952154" w:rsidRDefault="00952154">
      <w:pPr>
        <w:spacing w:before="320" w:after="80"/>
        <w:jc w:val="center"/>
        <w:rPr>
          <w:b/>
          <w:bCs/>
          <w:color w:val="595959"/>
        </w:rPr>
      </w:pPr>
    </w:p>
    <w:p w:rsidR="00952154" w:rsidRDefault="00952154">
      <w:pPr>
        <w:spacing w:before="320" w:after="80"/>
        <w:jc w:val="center"/>
        <w:rPr>
          <w:b/>
          <w:bCs/>
          <w:color w:val="595959"/>
        </w:rPr>
      </w:pPr>
    </w:p>
    <w:p w:rsidR="00952154" w:rsidRDefault="00952154">
      <w:pPr>
        <w:spacing w:before="320" w:after="80"/>
        <w:jc w:val="center"/>
        <w:rPr>
          <w:b/>
          <w:bCs/>
          <w:color w:val="595959"/>
        </w:rPr>
      </w:pPr>
    </w:p>
    <w:tbl>
      <w:tblPr>
        <w:tblW w:w="7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4200"/>
      </w:tblGrid>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pPr>
            <w:proofErr w:type="spellStart"/>
            <w:r w:rsidRPr="00786E87">
              <w:rPr>
                <w:b/>
                <w:bCs/>
              </w:rPr>
              <w:t>Programme</w:t>
            </w:r>
            <w:proofErr w:type="spellEnd"/>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952154" w:rsidP="00952154">
            <w:pPr>
              <w:spacing w:before="55" w:after="55" w:line="276" w:lineRule="auto"/>
            </w:pPr>
            <w:r w:rsidRPr="00786E87">
              <w:t>Master of Business Administration</w:t>
            </w:r>
          </w:p>
        </w:tc>
      </w:tr>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pPr>
            <w:r w:rsidRPr="00786E87">
              <w:rPr>
                <w:b/>
                <w:bCs/>
              </w:rPr>
              <w:t>Module</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952154" w:rsidP="00952154">
            <w:pPr>
              <w:spacing w:before="55" w:after="55" w:line="276" w:lineRule="auto"/>
            </w:pPr>
            <w:r>
              <w:t>Strategic management</w:t>
            </w:r>
          </w:p>
        </w:tc>
      </w:tr>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pPr>
            <w:r w:rsidRPr="00786E87">
              <w:rPr>
                <w:b/>
                <w:bCs/>
              </w:rPr>
              <w:t>Code</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2F6D5A" w:rsidP="00952154">
            <w:pPr>
              <w:spacing w:before="55" w:after="55" w:line="276" w:lineRule="auto"/>
            </w:pPr>
            <w:r>
              <w:t>LCMB7003</w:t>
            </w:r>
          </w:p>
        </w:tc>
      </w:tr>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pPr>
            <w:r w:rsidRPr="00786E87">
              <w:rPr>
                <w:b/>
                <w:bCs/>
              </w:rPr>
              <w:t>Assignment</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952154" w:rsidP="00952154">
            <w:pPr>
              <w:spacing w:before="55" w:after="55" w:line="276" w:lineRule="auto"/>
            </w:pPr>
            <w:r>
              <w:t>A Strategic analysis of Nestle S.A</w:t>
            </w:r>
          </w:p>
        </w:tc>
      </w:tr>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pPr>
            <w:r w:rsidRPr="00786E87">
              <w:rPr>
                <w:b/>
                <w:bCs/>
              </w:rPr>
              <w:t>Lecturer</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8D6CA1" w:rsidP="00952154">
            <w:pPr>
              <w:spacing w:before="55" w:after="55" w:line="276" w:lineRule="auto"/>
            </w:pPr>
            <w:r>
              <w:t>Dr.</w:t>
            </w:r>
            <w:r w:rsidR="002F6D5A">
              <w:t xml:space="preserve"> </w:t>
            </w:r>
            <w:r w:rsidR="00952154">
              <w:t>Zulf</w:t>
            </w:r>
            <w:r>
              <w:t>iqar</w:t>
            </w:r>
            <w:r w:rsidR="00952154">
              <w:t xml:space="preserve"> Khan</w:t>
            </w:r>
          </w:p>
        </w:tc>
      </w:tr>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rPr>
                <w:b/>
                <w:bCs/>
              </w:rPr>
            </w:pPr>
            <w:r w:rsidRPr="00786E87">
              <w:rPr>
                <w:b/>
                <w:bCs/>
              </w:rPr>
              <w:t>Student Name</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952154" w:rsidP="00952154">
            <w:pPr>
              <w:spacing w:before="55" w:after="55" w:line="276" w:lineRule="auto"/>
            </w:pPr>
            <w:r w:rsidRPr="00786E87">
              <w:t xml:space="preserve">Raj </w:t>
            </w:r>
            <w:proofErr w:type="spellStart"/>
            <w:r w:rsidRPr="00786E87">
              <w:t>Nalinkumar</w:t>
            </w:r>
            <w:proofErr w:type="spellEnd"/>
            <w:r w:rsidRPr="00786E87">
              <w:t xml:space="preserve"> </w:t>
            </w:r>
            <w:proofErr w:type="spellStart"/>
            <w:r w:rsidRPr="00786E87">
              <w:t>Bharucha</w:t>
            </w:r>
            <w:proofErr w:type="spellEnd"/>
          </w:p>
        </w:tc>
      </w:tr>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rPr>
                <w:b/>
                <w:bCs/>
              </w:rPr>
            </w:pPr>
            <w:r w:rsidRPr="00786E87">
              <w:rPr>
                <w:b/>
                <w:bCs/>
              </w:rPr>
              <w:t>Student ID</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952154" w:rsidP="00952154">
            <w:pPr>
              <w:spacing w:before="55" w:after="55" w:line="276" w:lineRule="auto"/>
            </w:pPr>
            <w:r w:rsidRPr="00786E87">
              <w:t>2510180</w:t>
            </w:r>
            <w:bookmarkStart w:id="0" w:name="_GoBack"/>
            <w:bookmarkEnd w:id="0"/>
          </w:p>
        </w:tc>
      </w:tr>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pPr>
            <w:r w:rsidRPr="00786E87">
              <w:rPr>
                <w:b/>
                <w:bCs/>
              </w:rPr>
              <w:t>Word Count</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952154" w:rsidP="00952154">
            <w:pPr>
              <w:spacing w:before="55" w:after="55" w:line="276" w:lineRule="auto"/>
            </w:pPr>
            <w:r>
              <w:t>4508</w:t>
            </w:r>
            <w:r w:rsidRPr="00786E87">
              <w:t xml:space="preserve"> words</w:t>
            </w:r>
          </w:p>
        </w:tc>
      </w:tr>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pPr>
            <w:r w:rsidRPr="00786E87">
              <w:rPr>
                <w:b/>
                <w:bCs/>
              </w:rPr>
              <w:t>Submission</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952154" w:rsidP="00952154">
            <w:pPr>
              <w:spacing w:before="55" w:after="55" w:line="276" w:lineRule="auto"/>
            </w:pPr>
            <w:r>
              <w:t>01/04</w:t>
            </w:r>
            <w:r w:rsidRPr="00786E87">
              <w:t>/2026</w:t>
            </w:r>
            <w:r>
              <w:t>, Wednesday</w:t>
            </w:r>
          </w:p>
        </w:tc>
      </w:tr>
    </w:tbl>
    <w:p w:rsidR="00952154" w:rsidRDefault="00952154">
      <w:pPr>
        <w:spacing w:before="320" w:after="80"/>
        <w:jc w:val="center"/>
        <w:rPr>
          <w:b/>
          <w:bCs/>
          <w:color w:val="595959"/>
        </w:rPr>
      </w:pPr>
    </w:p>
    <w:p w:rsidR="00952154" w:rsidRDefault="00952154">
      <w:pPr>
        <w:spacing w:before="320" w:after="80"/>
        <w:jc w:val="center"/>
        <w:rPr>
          <w:b/>
          <w:bCs/>
          <w:color w:val="595959"/>
        </w:rPr>
      </w:pPr>
    </w:p>
    <w:p w:rsidR="00D97CFC" w:rsidRDefault="00952154">
      <w:r>
        <w:br w:type="page"/>
      </w:r>
    </w:p>
    <w:p w:rsidR="00D97CFC" w:rsidRDefault="00D97CFC" w:rsidP="00D97CFC">
      <w:pPr>
        <w:pStyle w:val="Heading1"/>
      </w:pPr>
      <w:bookmarkStart w:id="1" w:name="_Toc225934036"/>
      <w:r>
        <w:lastRenderedPageBreak/>
        <w:t>Table of Contents</w:t>
      </w:r>
      <w:bookmarkEnd w:id="1"/>
    </w:p>
    <w:sdt>
      <w:sdtPr>
        <w:rPr>
          <w:sz w:val="22"/>
          <w:szCs w:val="22"/>
        </w:rPr>
        <w:alias w:val="Table of Contents"/>
        <w:id w:val="1787771712"/>
      </w:sdtPr>
      <w:sdtEndPr/>
      <w:sdtContent>
        <w:p w:rsidR="00D82A7B" w:rsidRDefault="00D97CFC">
          <w:pPr>
            <w:pStyle w:val="TOC1"/>
            <w:tabs>
              <w:tab w:val="right" w:leader="dot" w:pos="9016"/>
            </w:tabs>
            <w:rPr>
              <w:rFonts w:asciiTheme="minorHAnsi" w:eastAsiaTheme="minorEastAsia" w:hAnsiTheme="minorHAnsi" w:cstheme="minorBidi"/>
              <w:noProof/>
              <w:sz w:val="22"/>
              <w:szCs w:val="22"/>
            </w:rPr>
          </w:pPr>
          <w:r>
            <w:fldChar w:fldCharType="begin"/>
          </w:r>
          <w:r>
            <w:instrText>TOC \h \o "1-3"</w:instrText>
          </w:r>
          <w:r>
            <w:fldChar w:fldCharType="separate"/>
          </w:r>
          <w:hyperlink w:anchor="_Toc225934036" w:history="1">
            <w:r w:rsidR="00D82A7B" w:rsidRPr="005F145C">
              <w:rPr>
                <w:rStyle w:val="Hyperlink"/>
                <w:noProof/>
              </w:rPr>
              <w:t>Table of Contents</w:t>
            </w:r>
            <w:r w:rsidR="00D82A7B">
              <w:rPr>
                <w:noProof/>
              </w:rPr>
              <w:tab/>
            </w:r>
            <w:r w:rsidR="00D82A7B">
              <w:rPr>
                <w:noProof/>
              </w:rPr>
              <w:fldChar w:fldCharType="begin"/>
            </w:r>
            <w:r w:rsidR="00D82A7B">
              <w:rPr>
                <w:noProof/>
              </w:rPr>
              <w:instrText xml:space="preserve"> PAGEREF _Toc225934036 \h </w:instrText>
            </w:r>
            <w:r w:rsidR="00D82A7B">
              <w:rPr>
                <w:noProof/>
              </w:rPr>
            </w:r>
            <w:r w:rsidR="00D82A7B">
              <w:rPr>
                <w:noProof/>
              </w:rPr>
              <w:fldChar w:fldCharType="separate"/>
            </w:r>
            <w:r w:rsidR="00D82A7B">
              <w:rPr>
                <w:noProof/>
              </w:rPr>
              <w:t>2</w:t>
            </w:r>
            <w:r w:rsidR="00D82A7B">
              <w:rPr>
                <w:noProof/>
              </w:rPr>
              <w:fldChar w:fldCharType="end"/>
            </w:r>
          </w:hyperlink>
        </w:p>
        <w:p w:rsidR="00D82A7B" w:rsidRDefault="001506EC">
          <w:pPr>
            <w:pStyle w:val="TOC2"/>
            <w:tabs>
              <w:tab w:val="right" w:leader="dot" w:pos="9016"/>
            </w:tabs>
            <w:rPr>
              <w:rFonts w:asciiTheme="minorHAnsi" w:eastAsiaTheme="minorEastAsia" w:hAnsiTheme="minorHAnsi" w:cstheme="minorBidi"/>
              <w:noProof/>
              <w:sz w:val="22"/>
              <w:szCs w:val="22"/>
            </w:rPr>
          </w:pPr>
          <w:hyperlink w:anchor="_Toc225934037" w:history="1">
            <w:r w:rsidR="00D82A7B" w:rsidRPr="005F145C">
              <w:rPr>
                <w:rStyle w:val="Hyperlink"/>
                <w:b/>
                <w:bCs/>
                <w:noProof/>
              </w:rPr>
              <w:t>1.0 Organisational Context and Overview</w:t>
            </w:r>
            <w:r w:rsidR="00D82A7B">
              <w:rPr>
                <w:noProof/>
              </w:rPr>
              <w:tab/>
            </w:r>
            <w:r w:rsidR="00D82A7B">
              <w:rPr>
                <w:noProof/>
              </w:rPr>
              <w:fldChar w:fldCharType="begin"/>
            </w:r>
            <w:r w:rsidR="00D82A7B">
              <w:rPr>
                <w:noProof/>
              </w:rPr>
              <w:instrText xml:space="preserve"> PAGEREF _Toc225934037 \h </w:instrText>
            </w:r>
            <w:r w:rsidR="00D82A7B">
              <w:rPr>
                <w:noProof/>
              </w:rPr>
            </w:r>
            <w:r w:rsidR="00D82A7B">
              <w:rPr>
                <w:noProof/>
              </w:rPr>
              <w:fldChar w:fldCharType="separate"/>
            </w:r>
            <w:r w:rsidR="00D82A7B">
              <w:rPr>
                <w:noProof/>
              </w:rPr>
              <w:t>3</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38" w:history="1">
            <w:r w:rsidR="00D82A7B" w:rsidRPr="005F145C">
              <w:rPr>
                <w:rStyle w:val="Hyperlink"/>
                <w:b/>
                <w:bCs/>
                <w:noProof/>
              </w:rPr>
              <w:t>1.1 Company Overview</w:t>
            </w:r>
            <w:r w:rsidR="00D82A7B">
              <w:rPr>
                <w:noProof/>
              </w:rPr>
              <w:tab/>
            </w:r>
            <w:r w:rsidR="00D82A7B">
              <w:rPr>
                <w:noProof/>
              </w:rPr>
              <w:fldChar w:fldCharType="begin"/>
            </w:r>
            <w:r w:rsidR="00D82A7B">
              <w:rPr>
                <w:noProof/>
              </w:rPr>
              <w:instrText xml:space="preserve"> PAGEREF _Toc225934038 \h </w:instrText>
            </w:r>
            <w:r w:rsidR="00D82A7B">
              <w:rPr>
                <w:noProof/>
              </w:rPr>
            </w:r>
            <w:r w:rsidR="00D82A7B">
              <w:rPr>
                <w:noProof/>
              </w:rPr>
              <w:fldChar w:fldCharType="separate"/>
            </w:r>
            <w:r w:rsidR="00D82A7B">
              <w:rPr>
                <w:noProof/>
              </w:rPr>
              <w:t>3</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39" w:history="1">
            <w:r w:rsidR="00D82A7B" w:rsidRPr="005F145C">
              <w:rPr>
                <w:rStyle w:val="Hyperlink"/>
                <w:b/>
                <w:bCs/>
                <w:noProof/>
              </w:rPr>
              <w:t>1.2 Industry Position and Competitive Landscape</w:t>
            </w:r>
            <w:r w:rsidR="00D82A7B">
              <w:rPr>
                <w:noProof/>
              </w:rPr>
              <w:tab/>
            </w:r>
            <w:r w:rsidR="00D82A7B">
              <w:rPr>
                <w:noProof/>
              </w:rPr>
              <w:fldChar w:fldCharType="begin"/>
            </w:r>
            <w:r w:rsidR="00D82A7B">
              <w:rPr>
                <w:noProof/>
              </w:rPr>
              <w:instrText xml:space="preserve"> PAGEREF _Toc225934039 \h </w:instrText>
            </w:r>
            <w:r w:rsidR="00D82A7B">
              <w:rPr>
                <w:noProof/>
              </w:rPr>
            </w:r>
            <w:r w:rsidR="00D82A7B">
              <w:rPr>
                <w:noProof/>
              </w:rPr>
              <w:fldChar w:fldCharType="separate"/>
            </w:r>
            <w:r w:rsidR="00D82A7B">
              <w:rPr>
                <w:noProof/>
              </w:rPr>
              <w:t>3</w:t>
            </w:r>
            <w:r w:rsidR="00D82A7B">
              <w:rPr>
                <w:noProof/>
              </w:rPr>
              <w:fldChar w:fldCharType="end"/>
            </w:r>
          </w:hyperlink>
        </w:p>
        <w:p w:rsidR="00D82A7B" w:rsidRDefault="001506EC">
          <w:pPr>
            <w:pStyle w:val="TOC2"/>
            <w:tabs>
              <w:tab w:val="right" w:leader="dot" w:pos="9016"/>
            </w:tabs>
            <w:rPr>
              <w:rFonts w:asciiTheme="minorHAnsi" w:eastAsiaTheme="minorEastAsia" w:hAnsiTheme="minorHAnsi" w:cstheme="minorBidi"/>
              <w:noProof/>
              <w:sz w:val="22"/>
              <w:szCs w:val="22"/>
            </w:rPr>
          </w:pPr>
          <w:hyperlink w:anchor="_Toc225934040" w:history="1">
            <w:r w:rsidR="00D82A7B" w:rsidRPr="005F145C">
              <w:rPr>
                <w:rStyle w:val="Hyperlink"/>
                <w:b/>
                <w:bCs/>
                <w:noProof/>
              </w:rPr>
              <w:t>2.0 External and Internal Environment Analysis</w:t>
            </w:r>
            <w:r w:rsidR="00D82A7B">
              <w:rPr>
                <w:noProof/>
              </w:rPr>
              <w:tab/>
            </w:r>
            <w:r w:rsidR="00D82A7B">
              <w:rPr>
                <w:noProof/>
              </w:rPr>
              <w:fldChar w:fldCharType="begin"/>
            </w:r>
            <w:r w:rsidR="00D82A7B">
              <w:rPr>
                <w:noProof/>
              </w:rPr>
              <w:instrText xml:space="preserve"> PAGEREF _Toc225934040 \h </w:instrText>
            </w:r>
            <w:r w:rsidR="00D82A7B">
              <w:rPr>
                <w:noProof/>
              </w:rPr>
            </w:r>
            <w:r w:rsidR="00D82A7B">
              <w:rPr>
                <w:noProof/>
              </w:rPr>
              <w:fldChar w:fldCharType="separate"/>
            </w:r>
            <w:r w:rsidR="00D82A7B">
              <w:rPr>
                <w:noProof/>
              </w:rPr>
              <w:t>3</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41" w:history="1">
            <w:r w:rsidR="00D82A7B" w:rsidRPr="005F145C">
              <w:rPr>
                <w:rStyle w:val="Hyperlink"/>
                <w:b/>
                <w:bCs/>
                <w:noProof/>
              </w:rPr>
              <w:t>2.1 External Environment: PESTEL Analysis</w:t>
            </w:r>
            <w:r w:rsidR="00D82A7B">
              <w:rPr>
                <w:noProof/>
              </w:rPr>
              <w:tab/>
            </w:r>
            <w:r w:rsidR="00D82A7B">
              <w:rPr>
                <w:noProof/>
              </w:rPr>
              <w:fldChar w:fldCharType="begin"/>
            </w:r>
            <w:r w:rsidR="00D82A7B">
              <w:rPr>
                <w:noProof/>
              </w:rPr>
              <w:instrText xml:space="preserve"> PAGEREF _Toc225934041 \h </w:instrText>
            </w:r>
            <w:r w:rsidR="00D82A7B">
              <w:rPr>
                <w:noProof/>
              </w:rPr>
            </w:r>
            <w:r w:rsidR="00D82A7B">
              <w:rPr>
                <w:noProof/>
              </w:rPr>
              <w:fldChar w:fldCharType="separate"/>
            </w:r>
            <w:r w:rsidR="00D82A7B">
              <w:rPr>
                <w:noProof/>
              </w:rPr>
              <w:t>3</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42" w:history="1">
            <w:r w:rsidR="00D82A7B" w:rsidRPr="005F145C">
              <w:rPr>
                <w:rStyle w:val="Hyperlink"/>
                <w:b/>
                <w:bCs/>
                <w:noProof/>
              </w:rPr>
              <w:t>2.2 Critical Success Factors</w:t>
            </w:r>
            <w:r w:rsidR="00D82A7B">
              <w:rPr>
                <w:noProof/>
              </w:rPr>
              <w:tab/>
            </w:r>
            <w:r w:rsidR="00D82A7B">
              <w:rPr>
                <w:noProof/>
              </w:rPr>
              <w:fldChar w:fldCharType="begin"/>
            </w:r>
            <w:r w:rsidR="00D82A7B">
              <w:rPr>
                <w:noProof/>
              </w:rPr>
              <w:instrText xml:space="preserve"> PAGEREF _Toc225934042 \h </w:instrText>
            </w:r>
            <w:r w:rsidR="00D82A7B">
              <w:rPr>
                <w:noProof/>
              </w:rPr>
            </w:r>
            <w:r w:rsidR="00D82A7B">
              <w:rPr>
                <w:noProof/>
              </w:rPr>
              <w:fldChar w:fldCharType="separate"/>
            </w:r>
            <w:r w:rsidR="00D82A7B">
              <w:rPr>
                <w:noProof/>
              </w:rPr>
              <w:t>4</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43" w:history="1">
            <w:r w:rsidR="00D82A7B" w:rsidRPr="005F145C">
              <w:rPr>
                <w:rStyle w:val="Hyperlink"/>
                <w:b/>
                <w:bCs/>
                <w:noProof/>
              </w:rPr>
              <w:t>2.3 Internal Environment: Resources and Capabilities</w:t>
            </w:r>
            <w:r w:rsidR="00D82A7B">
              <w:rPr>
                <w:noProof/>
              </w:rPr>
              <w:tab/>
            </w:r>
            <w:r w:rsidR="00D82A7B">
              <w:rPr>
                <w:noProof/>
              </w:rPr>
              <w:fldChar w:fldCharType="begin"/>
            </w:r>
            <w:r w:rsidR="00D82A7B">
              <w:rPr>
                <w:noProof/>
              </w:rPr>
              <w:instrText xml:space="preserve"> PAGEREF _Toc225934043 \h </w:instrText>
            </w:r>
            <w:r w:rsidR="00D82A7B">
              <w:rPr>
                <w:noProof/>
              </w:rPr>
            </w:r>
            <w:r w:rsidR="00D82A7B">
              <w:rPr>
                <w:noProof/>
              </w:rPr>
              <w:fldChar w:fldCharType="separate"/>
            </w:r>
            <w:r w:rsidR="00D82A7B">
              <w:rPr>
                <w:noProof/>
              </w:rPr>
              <w:t>4</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44" w:history="1">
            <w:r w:rsidR="00D82A7B" w:rsidRPr="005F145C">
              <w:rPr>
                <w:rStyle w:val="Hyperlink"/>
                <w:b/>
                <w:bCs/>
                <w:noProof/>
              </w:rPr>
              <w:t>2.4 VRIO Framework Analysis</w:t>
            </w:r>
            <w:r w:rsidR="00D82A7B">
              <w:rPr>
                <w:noProof/>
              </w:rPr>
              <w:tab/>
            </w:r>
            <w:r w:rsidR="00D82A7B">
              <w:rPr>
                <w:noProof/>
              </w:rPr>
              <w:fldChar w:fldCharType="begin"/>
            </w:r>
            <w:r w:rsidR="00D82A7B">
              <w:rPr>
                <w:noProof/>
              </w:rPr>
              <w:instrText xml:space="preserve"> PAGEREF _Toc225934044 \h </w:instrText>
            </w:r>
            <w:r w:rsidR="00D82A7B">
              <w:rPr>
                <w:noProof/>
              </w:rPr>
            </w:r>
            <w:r w:rsidR="00D82A7B">
              <w:rPr>
                <w:noProof/>
              </w:rPr>
              <w:fldChar w:fldCharType="separate"/>
            </w:r>
            <w:r w:rsidR="00D82A7B">
              <w:rPr>
                <w:noProof/>
              </w:rPr>
              <w:t>5</w:t>
            </w:r>
            <w:r w:rsidR="00D82A7B">
              <w:rPr>
                <w:noProof/>
              </w:rPr>
              <w:fldChar w:fldCharType="end"/>
            </w:r>
          </w:hyperlink>
        </w:p>
        <w:p w:rsidR="00D82A7B" w:rsidRDefault="001506EC">
          <w:pPr>
            <w:pStyle w:val="TOC2"/>
            <w:tabs>
              <w:tab w:val="right" w:leader="dot" w:pos="9016"/>
            </w:tabs>
            <w:rPr>
              <w:rFonts w:asciiTheme="minorHAnsi" w:eastAsiaTheme="minorEastAsia" w:hAnsiTheme="minorHAnsi" w:cstheme="minorBidi"/>
              <w:noProof/>
              <w:sz w:val="22"/>
              <w:szCs w:val="22"/>
            </w:rPr>
          </w:pPr>
          <w:hyperlink w:anchor="_Toc225934045" w:history="1">
            <w:r w:rsidR="00D82A7B" w:rsidRPr="005F145C">
              <w:rPr>
                <w:rStyle w:val="Hyperlink"/>
                <w:b/>
                <w:bCs/>
                <w:noProof/>
              </w:rPr>
              <w:t>3.0 Corporate Social Responsibility and Sustainability</w:t>
            </w:r>
            <w:r w:rsidR="00D82A7B">
              <w:rPr>
                <w:noProof/>
              </w:rPr>
              <w:tab/>
            </w:r>
            <w:r w:rsidR="00D82A7B">
              <w:rPr>
                <w:noProof/>
              </w:rPr>
              <w:fldChar w:fldCharType="begin"/>
            </w:r>
            <w:r w:rsidR="00D82A7B">
              <w:rPr>
                <w:noProof/>
              </w:rPr>
              <w:instrText xml:space="preserve"> PAGEREF _Toc225934045 \h </w:instrText>
            </w:r>
            <w:r w:rsidR="00D82A7B">
              <w:rPr>
                <w:noProof/>
              </w:rPr>
            </w:r>
            <w:r w:rsidR="00D82A7B">
              <w:rPr>
                <w:noProof/>
              </w:rPr>
              <w:fldChar w:fldCharType="separate"/>
            </w:r>
            <w:r w:rsidR="00D82A7B">
              <w:rPr>
                <w:noProof/>
              </w:rPr>
              <w:t>6</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46" w:history="1">
            <w:r w:rsidR="00D82A7B" w:rsidRPr="005F145C">
              <w:rPr>
                <w:rStyle w:val="Hyperlink"/>
                <w:b/>
                <w:bCs/>
                <w:noProof/>
              </w:rPr>
              <w:t>3.1 CSR Strategy and Contradictions</w:t>
            </w:r>
            <w:r w:rsidR="00D82A7B">
              <w:rPr>
                <w:noProof/>
              </w:rPr>
              <w:tab/>
            </w:r>
            <w:r w:rsidR="00D82A7B">
              <w:rPr>
                <w:noProof/>
              </w:rPr>
              <w:fldChar w:fldCharType="begin"/>
            </w:r>
            <w:r w:rsidR="00D82A7B">
              <w:rPr>
                <w:noProof/>
              </w:rPr>
              <w:instrText xml:space="preserve"> PAGEREF _Toc225934046 \h </w:instrText>
            </w:r>
            <w:r w:rsidR="00D82A7B">
              <w:rPr>
                <w:noProof/>
              </w:rPr>
            </w:r>
            <w:r w:rsidR="00D82A7B">
              <w:rPr>
                <w:noProof/>
              </w:rPr>
              <w:fldChar w:fldCharType="separate"/>
            </w:r>
            <w:r w:rsidR="00D82A7B">
              <w:rPr>
                <w:noProof/>
              </w:rPr>
              <w:t>6</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47" w:history="1">
            <w:r w:rsidR="00D82A7B" w:rsidRPr="005F145C">
              <w:rPr>
                <w:rStyle w:val="Hyperlink"/>
                <w:b/>
                <w:bCs/>
                <w:noProof/>
              </w:rPr>
              <w:t>3.2 Alignment with Business Objectives</w:t>
            </w:r>
            <w:r w:rsidR="00D82A7B">
              <w:rPr>
                <w:noProof/>
              </w:rPr>
              <w:tab/>
            </w:r>
            <w:r w:rsidR="00D82A7B">
              <w:rPr>
                <w:noProof/>
              </w:rPr>
              <w:fldChar w:fldCharType="begin"/>
            </w:r>
            <w:r w:rsidR="00D82A7B">
              <w:rPr>
                <w:noProof/>
              </w:rPr>
              <w:instrText xml:space="preserve"> PAGEREF _Toc225934047 \h </w:instrText>
            </w:r>
            <w:r w:rsidR="00D82A7B">
              <w:rPr>
                <w:noProof/>
              </w:rPr>
            </w:r>
            <w:r w:rsidR="00D82A7B">
              <w:rPr>
                <w:noProof/>
              </w:rPr>
              <w:fldChar w:fldCharType="separate"/>
            </w:r>
            <w:r w:rsidR="00D82A7B">
              <w:rPr>
                <w:noProof/>
              </w:rPr>
              <w:t>6</w:t>
            </w:r>
            <w:r w:rsidR="00D82A7B">
              <w:rPr>
                <w:noProof/>
              </w:rPr>
              <w:fldChar w:fldCharType="end"/>
            </w:r>
          </w:hyperlink>
        </w:p>
        <w:p w:rsidR="00D82A7B" w:rsidRDefault="001506EC">
          <w:pPr>
            <w:pStyle w:val="TOC2"/>
            <w:tabs>
              <w:tab w:val="right" w:leader="dot" w:pos="9016"/>
            </w:tabs>
            <w:rPr>
              <w:rFonts w:asciiTheme="minorHAnsi" w:eastAsiaTheme="minorEastAsia" w:hAnsiTheme="minorHAnsi" w:cstheme="minorBidi"/>
              <w:noProof/>
              <w:sz w:val="22"/>
              <w:szCs w:val="22"/>
            </w:rPr>
          </w:pPr>
          <w:hyperlink w:anchor="_Toc225934048" w:history="1">
            <w:r w:rsidR="00D82A7B" w:rsidRPr="005F145C">
              <w:rPr>
                <w:rStyle w:val="Hyperlink"/>
                <w:b/>
                <w:bCs/>
                <w:noProof/>
              </w:rPr>
              <w:t>5.0 Strategic Choices and Implementation</w:t>
            </w:r>
            <w:r w:rsidR="00D82A7B">
              <w:rPr>
                <w:noProof/>
              </w:rPr>
              <w:tab/>
            </w:r>
            <w:r w:rsidR="00D82A7B">
              <w:rPr>
                <w:noProof/>
              </w:rPr>
              <w:fldChar w:fldCharType="begin"/>
            </w:r>
            <w:r w:rsidR="00D82A7B">
              <w:rPr>
                <w:noProof/>
              </w:rPr>
              <w:instrText xml:space="preserve"> PAGEREF _Toc225934048 \h </w:instrText>
            </w:r>
            <w:r w:rsidR="00D82A7B">
              <w:rPr>
                <w:noProof/>
              </w:rPr>
            </w:r>
            <w:r w:rsidR="00D82A7B">
              <w:rPr>
                <w:noProof/>
              </w:rPr>
              <w:fldChar w:fldCharType="separate"/>
            </w:r>
            <w:r w:rsidR="00D82A7B">
              <w:rPr>
                <w:noProof/>
              </w:rPr>
              <w:t>8</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49" w:history="1">
            <w:r w:rsidR="00D82A7B" w:rsidRPr="005F145C">
              <w:rPr>
                <w:rStyle w:val="Hyperlink"/>
                <w:b/>
                <w:bCs/>
                <w:noProof/>
              </w:rPr>
              <w:t>5.1 Business-Level Strategy</w:t>
            </w:r>
            <w:r w:rsidR="00D82A7B">
              <w:rPr>
                <w:noProof/>
              </w:rPr>
              <w:tab/>
            </w:r>
            <w:r w:rsidR="00D82A7B">
              <w:rPr>
                <w:noProof/>
              </w:rPr>
              <w:fldChar w:fldCharType="begin"/>
            </w:r>
            <w:r w:rsidR="00D82A7B">
              <w:rPr>
                <w:noProof/>
              </w:rPr>
              <w:instrText xml:space="preserve"> PAGEREF _Toc225934049 \h </w:instrText>
            </w:r>
            <w:r w:rsidR="00D82A7B">
              <w:rPr>
                <w:noProof/>
              </w:rPr>
            </w:r>
            <w:r w:rsidR="00D82A7B">
              <w:rPr>
                <w:noProof/>
              </w:rPr>
              <w:fldChar w:fldCharType="separate"/>
            </w:r>
            <w:r w:rsidR="00D82A7B">
              <w:rPr>
                <w:noProof/>
              </w:rPr>
              <w:t>8</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50" w:history="1">
            <w:r w:rsidR="00D82A7B" w:rsidRPr="005F145C">
              <w:rPr>
                <w:rStyle w:val="Hyperlink"/>
                <w:b/>
                <w:bCs/>
                <w:noProof/>
              </w:rPr>
              <w:t>5.2 Corporate-Level Strategy</w:t>
            </w:r>
            <w:r w:rsidR="00D82A7B">
              <w:rPr>
                <w:noProof/>
              </w:rPr>
              <w:tab/>
            </w:r>
            <w:r w:rsidR="00D82A7B">
              <w:rPr>
                <w:noProof/>
              </w:rPr>
              <w:fldChar w:fldCharType="begin"/>
            </w:r>
            <w:r w:rsidR="00D82A7B">
              <w:rPr>
                <w:noProof/>
              </w:rPr>
              <w:instrText xml:space="preserve"> PAGEREF _Toc225934050 \h </w:instrText>
            </w:r>
            <w:r w:rsidR="00D82A7B">
              <w:rPr>
                <w:noProof/>
              </w:rPr>
            </w:r>
            <w:r w:rsidR="00D82A7B">
              <w:rPr>
                <w:noProof/>
              </w:rPr>
              <w:fldChar w:fldCharType="separate"/>
            </w:r>
            <w:r w:rsidR="00D82A7B">
              <w:rPr>
                <w:noProof/>
              </w:rPr>
              <w:t>8</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51" w:history="1">
            <w:r w:rsidR="00D82A7B" w:rsidRPr="005F145C">
              <w:rPr>
                <w:rStyle w:val="Hyperlink"/>
                <w:b/>
                <w:bCs/>
                <w:noProof/>
              </w:rPr>
              <w:t>5.3 Change Management</w:t>
            </w:r>
            <w:r w:rsidR="00D82A7B">
              <w:rPr>
                <w:noProof/>
              </w:rPr>
              <w:tab/>
            </w:r>
            <w:r w:rsidR="00D82A7B">
              <w:rPr>
                <w:noProof/>
              </w:rPr>
              <w:fldChar w:fldCharType="begin"/>
            </w:r>
            <w:r w:rsidR="00D82A7B">
              <w:rPr>
                <w:noProof/>
              </w:rPr>
              <w:instrText xml:space="preserve"> PAGEREF _Toc225934051 \h </w:instrText>
            </w:r>
            <w:r w:rsidR="00D82A7B">
              <w:rPr>
                <w:noProof/>
              </w:rPr>
            </w:r>
            <w:r w:rsidR="00D82A7B">
              <w:rPr>
                <w:noProof/>
              </w:rPr>
              <w:fldChar w:fldCharType="separate"/>
            </w:r>
            <w:r w:rsidR="00D82A7B">
              <w:rPr>
                <w:noProof/>
              </w:rPr>
              <w:t>8</w:t>
            </w:r>
            <w:r w:rsidR="00D82A7B">
              <w:rPr>
                <w:noProof/>
              </w:rPr>
              <w:fldChar w:fldCharType="end"/>
            </w:r>
          </w:hyperlink>
        </w:p>
        <w:p w:rsidR="00D82A7B" w:rsidRDefault="001506EC">
          <w:pPr>
            <w:pStyle w:val="TOC2"/>
            <w:tabs>
              <w:tab w:val="right" w:leader="dot" w:pos="9016"/>
            </w:tabs>
            <w:rPr>
              <w:rFonts w:asciiTheme="minorHAnsi" w:eastAsiaTheme="minorEastAsia" w:hAnsiTheme="minorHAnsi" w:cstheme="minorBidi"/>
              <w:noProof/>
              <w:sz w:val="22"/>
              <w:szCs w:val="22"/>
            </w:rPr>
          </w:pPr>
          <w:hyperlink w:anchor="_Toc225934052" w:history="1">
            <w:r w:rsidR="00D82A7B" w:rsidRPr="005F145C">
              <w:rPr>
                <w:rStyle w:val="Hyperlink"/>
                <w:b/>
                <w:bCs/>
                <w:noProof/>
              </w:rPr>
              <w:t>6.0 Strategic Evaluation and Recommendations</w:t>
            </w:r>
            <w:r w:rsidR="00D82A7B">
              <w:rPr>
                <w:noProof/>
              </w:rPr>
              <w:tab/>
            </w:r>
            <w:r w:rsidR="00D82A7B">
              <w:rPr>
                <w:noProof/>
              </w:rPr>
              <w:fldChar w:fldCharType="begin"/>
            </w:r>
            <w:r w:rsidR="00D82A7B">
              <w:rPr>
                <w:noProof/>
              </w:rPr>
              <w:instrText xml:space="preserve"> PAGEREF _Toc225934052 \h </w:instrText>
            </w:r>
            <w:r w:rsidR="00D82A7B">
              <w:rPr>
                <w:noProof/>
              </w:rPr>
            </w:r>
            <w:r w:rsidR="00D82A7B">
              <w:rPr>
                <w:noProof/>
              </w:rPr>
              <w:fldChar w:fldCharType="separate"/>
            </w:r>
            <w:r w:rsidR="00D82A7B">
              <w:rPr>
                <w:noProof/>
              </w:rPr>
              <w:t>10</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53" w:history="1">
            <w:r w:rsidR="00D82A7B" w:rsidRPr="005F145C">
              <w:rPr>
                <w:rStyle w:val="Hyperlink"/>
                <w:b/>
                <w:bCs/>
                <w:noProof/>
              </w:rPr>
              <w:t>6.1 SWOT Analysis</w:t>
            </w:r>
            <w:r w:rsidR="00D82A7B">
              <w:rPr>
                <w:noProof/>
              </w:rPr>
              <w:tab/>
            </w:r>
            <w:r w:rsidR="00D82A7B">
              <w:rPr>
                <w:noProof/>
              </w:rPr>
              <w:fldChar w:fldCharType="begin"/>
            </w:r>
            <w:r w:rsidR="00D82A7B">
              <w:rPr>
                <w:noProof/>
              </w:rPr>
              <w:instrText xml:space="preserve"> PAGEREF _Toc225934053 \h </w:instrText>
            </w:r>
            <w:r w:rsidR="00D82A7B">
              <w:rPr>
                <w:noProof/>
              </w:rPr>
            </w:r>
            <w:r w:rsidR="00D82A7B">
              <w:rPr>
                <w:noProof/>
              </w:rPr>
              <w:fldChar w:fldCharType="separate"/>
            </w:r>
            <w:r w:rsidR="00D82A7B">
              <w:rPr>
                <w:noProof/>
              </w:rPr>
              <w:t>10</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54" w:history="1">
            <w:r w:rsidR="00D82A7B" w:rsidRPr="005F145C">
              <w:rPr>
                <w:rStyle w:val="Hyperlink"/>
                <w:b/>
                <w:bCs/>
                <w:noProof/>
              </w:rPr>
              <w:t>6.2 Ansoff Matrix Application</w:t>
            </w:r>
            <w:r w:rsidR="00D82A7B">
              <w:rPr>
                <w:noProof/>
              </w:rPr>
              <w:tab/>
            </w:r>
            <w:r w:rsidR="00D82A7B">
              <w:rPr>
                <w:noProof/>
              </w:rPr>
              <w:fldChar w:fldCharType="begin"/>
            </w:r>
            <w:r w:rsidR="00D82A7B">
              <w:rPr>
                <w:noProof/>
              </w:rPr>
              <w:instrText xml:space="preserve"> PAGEREF _Toc225934054 \h </w:instrText>
            </w:r>
            <w:r w:rsidR="00D82A7B">
              <w:rPr>
                <w:noProof/>
              </w:rPr>
            </w:r>
            <w:r w:rsidR="00D82A7B">
              <w:rPr>
                <w:noProof/>
              </w:rPr>
              <w:fldChar w:fldCharType="separate"/>
            </w:r>
            <w:r w:rsidR="00D82A7B">
              <w:rPr>
                <w:noProof/>
              </w:rPr>
              <w:t>10</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55" w:history="1">
            <w:r w:rsidR="00D82A7B" w:rsidRPr="005F145C">
              <w:rPr>
                <w:rStyle w:val="Hyperlink"/>
                <w:b/>
                <w:bCs/>
                <w:noProof/>
              </w:rPr>
              <w:t>6.3 Strategic Recommendations</w:t>
            </w:r>
            <w:r w:rsidR="00D82A7B">
              <w:rPr>
                <w:noProof/>
              </w:rPr>
              <w:tab/>
            </w:r>
            <w:r w:rsidR="00D82A7B">
              <w:rPr>
                <w:noProof/>
              </w:rPr>
              <w:fldChar w:fldCharType="begin"/>
            </w:r>
            <w:r w:rsidR="00D82A7B">
              <w:rPr>
                <w:noProof/>
              </w:rPr>
              <w:instrText xml:space="preserve"> PAGEREF _Toc225934055 \h </w:instrText>
            </w:r>
            <w:r w:rsidR="00D82A7B">
              <w:rPr>
                <w:noProof/>
              </w:rPr>
            </w:r>
            <w:r w:rsidR="00D82A7B">
              <w:rPr>
                <w:noProof/>
              </w:rPr>
              <w:fldChar w:fldCharType="separate"/>
            </w:r>
            <w:r w:rsidR="00D82A7B">
              <w:rPr>
                <w:noProof/>
              </w:rPr>
              <w:t>10</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56" w:history="1">
            <w:r w:rsidR="00D82A7B" w:rsidRPr="005F145C">
              <w:rPr>
                <w:rStyle w:val="Hyperlink"/>
                <w:b/>
                <w:bCs/>
                <w:noProof/>
              </w:rPr>
              <w:t>6.4 Theoretical Justification</w:t>
            </w:r>
            <w:r w:rsidR="00D82A7B">
              <w:rPr>
                <w:noProof/>
              </w:rPr>
              <w:tab/>
            </w:r>
            <w:r w:rsidR="00D82A7B">
              <w:rPr>
                <w:noProof/>
              </w:rPr>
              <w:fldChar w:fldCharType="begin"/>
            </w:r>
            <w:r w:rsidR="00D82A7B">
              <w:rPr>
                <w:noProof/>
              </w:rPr>
              <w:instrText xml:space="preserve"> PAGEREF _Toc225934056 \h </w:instrText>
            </w:r>
            <w:r w:rsidR="00D82A7B">
              <w:rPr>
                <w:noProof/>
              </w:rPr>
            </w:r>
            <w:r w:rsidR="00D82A7B">
              <w:rPr>
                <w:noProof/>
              </w:rPr>
              <w:fldChar w:fldCharType="separate"/>
            </w:r>
            <w:r w:rsidR="00D82A7B">
              <w:rPr>
                <w:noProof/>
              </w:rPr>
              <w:t>11</w:t>
            </w:r>
            <w:r w:rsidR="00D82A7B">
              <w:rPr>
                <w:noProof/>
              </w:rPr>
              <w:fldChar w:fldCharType="end"/>
            </w:r>
          </w:hyperlink>
        </w:p>
        <w:p w:rsidR="00D82A7B" w:rsidRDefault="001506EC">
          <w:pPr>
            <w:pStyle w:val="TOC1"/>
            <w:tabs>
              <w:tab w:val="right" w:leader="dot" w:pos="9016"/>
            </w:tabs>
            <w:rPr>
              <w:rFonts w:asciiTheme="minorHAnsi" w:eastAsiaTheme="minorEastAsia" w:hAnsiTheme="minorHAnsi" w:cstheme="minorBidi"/>
              <w:noProof/>
              <w:sz w:val="22"/>
              <w:szCs w:val="22"/>
            </w:rPr>
          </w:pPr>
          <w:hyperlink w:anchor="_Toc225934057" w:history="1">
            <w:r w:rsidR="00D82A7B" w:rsidRPr="005F145C">
              <w:rPr>
                <w:rStyle w:val="Hyperlink"/>
                <w:b/>
                <w:bCs/>
                <w:noProof/>
              </w:rPr>
              <w:t>SECTION 2: REFLECTIVE ACCOUNT</w:t>
            </w:r>
            <w:r w:rsidR="00D82A7B">
              <w:rPr>
                <w:noProof/>
              </w:rPr>
              <w:tab/>
            </w:r>
            <w:r w:rsidR="00D82A7B">
              <w:rPr>
                <w:noProof/>
              </w:rPr>
              <w:fldChar w:fldCharType="begin"/>
            </w:r>
            <w:r w:rsidR="00D82A7B">
              <w:rPr>
                <w:noProof/>
              </w:rPr>
              <w:instrText xml:space="preserve"> PAGEREF _Toc225934057 \h </w:instrText>
            </w:r>
            <w:r w:rsidR="00D82A7B">
              <w:rPr>
                <w:noProof/>
              </w:rPr>
            </w:r>
            <w:r w:rsidR="00D82A7B">
              <w:rPr>
                <w:noProof/>
              </w:rPr>
              <w:fldChar w:fldCharType="separate"/>
            </w:r>
            <w:r w:rsidR="00D82A7B">
              <w:rPr>
                <w:noProof/>
              </w:rPr>
              <w:t>12</w:t>
            </w:r>
            <w:r w:rsidR="00D82A7B">
              <w:rPr>
                <w:noProof/>
              </w:rPr>
              <w:fldChar w:fldCharType="end"/>
            </w:r>
          </w:hyperlink>
        </w:p>
        <w:p w:rsidR="00D82A7B" w:rsidRDefault="001506EC">
          <w:pPr>
            <w:pStyle w:val="TOC2"/>
            <w:tabs>
              <w:tab w:val="right" w:leader="dot" w:pos="9016"/>
            </w:tabs>
            <w:rPr>
              <w:rFonts w:asciiTheme="minorHAnsi" w:eastAsiaTheme="minorEastAsia" w:hAnsiTheme="minorHAnsi" w:cstheme="minorBidi"/>
              <w:noProof/>
              <w:sz w:val="22"/>
              <w:szCs w:val="22"/>
            </w:rPr>
          </w:pPr>
          <w:hyperlink w:anchor="_Toc225934058" w:history="1">
            <w:r w:rsidR="00D82A7B" w:rsidRPr="005F145C">
              <w:rPr>
                <w:rStyle w:val="Hyperlink"/>
                <w:b/>
                <w:bCs/>
                <w:noProof/>
              </w:rPr>
              <w:t>Gibbs Reflective Cycle</w:t>
            </w:r>
            <w:r w:rsidR="00D82A7B">
              <w:rPr>
                <w:noProof/>
              </w:rPr>
              <w:tab/>
            </w:r>
            <w:r w:rsidR="00D82A7B">
              <w:rPr>
                <w:noProof/>
              </w:rPr>
              <w:fldChar w:fldCharType="begin"/>
            </w:r>
            <w:r w:rsidR="00D82A7B">
              <w:rPr>
                <w:noProof/>
              </w:rPr>
              <w:instrText xml:space="preserve"> PAGEREF _Toc225934058 \h </w:instrText>
            </w:r>
            <w:r w:rsidR="00D82A7B">
              <w:rPr>
                <w:noProof/>
              </w:rPr>
            </w:r>
            <w:r w:rsidR="00D82A7B">
              <w:rPr>
                <w:noProof/>
              </w:rPr>
              <w:fldChar w:fldCharType="separate"/>
            </w:r>
            <w:r w:rsidR="00D82A7B">
              <w:rPr>
                <w:noProof/>
              </w:rPr>
              <w:t>12</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59" w:history="1">
            <w:r w:rsidR="00D82A7B" w:rsidRPr="005F145C">
              <w:rPr>
                <w:rStyle w:val="Hyperlink"/>
                <w:b/>
                <w:bCs/>
                <w:noProof/>
              </w:rPr>
              <w:t>Description</w:t>
            </w:r>
            <w:r w:rsidR="00D82A7B">
              <w:rPr>
                <w:noProof/>
              </w:rPr>
              <w:tab/>
            </w:r>
            <w:r w:rsidR="00D82A7B">
              <w:rPr>
                <w:noProof/>
              </w:rPr>
              <w:fldChar w:fldCharType="begin"/>
            </w:r>
            <w:r w:rsidR="00D82A7B">
              <w:rPr>
                <w:noProof/>
              </w:rPr>
              <w:instrText xml:space="preserve"> PAGEREF _Toc225934059 \h </w:instrText>
            </w:r>
            <w:r w:rsidR="00D82A7B">
              <w:rPr>
                <w:noProof/>
              </w:rPr>
            </w:r>
            <w:r w:rsidR="00D82A7B">
              <w:rPr>
                <w:noProof/>
              </w:rPr>
              <w:fldChar w:fldCharType="separate"/>
            </w:r>
            <w:r w:rsidR="00D82A7B">
              <w:rPr>
                <w:noProof/>
              </w:rPr>
              <w:t>12</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60" w:history="1">
            <w:r w:rsidR="00D82A7B" w:rsidRPr="005F145C">
              <w:rPr>
                <w:rStyle w:val="Hyperlink"/>
                <w:b/>
                <w:bCs/>
                <w:noProof/>
              </w:rPr>
              <w:t>Feelings</w:t>
            </w:r>
            <w:r w:rsidR="00D82A7B">
              <w:rPr>
                <w:noProof/>
              </w:rPr>
              <w:tab/>
            </w:r>
            <w:r w:rsidR="00D82A7B">
              <w:rPr>
                <w:noProof/>
              </w:rPr>
              <w:fldChar w:fldCharType="begin"/>
            </w:r>
            <w:r w:rsidR="00D82A7B">
              <w:rPr>
                <w:noProof/>
              </w:rPr>
              <w:instrText xml:space="preserve"> PAGEREF _Toc225934060 \h </w:instrText>
            </w:r>
            <w:r w:rsidR="00D82A7B">
              <w:rPr>
                <w:noProof/>
              </w:rPr>
            </w:r>
            <w:r w:rsidR="00D82A7B">
              <w:rPr>
                <w:noProof/>
              </w:rPr>
              <w:fldChar w:fldCharType="separate"/>
            </w:r>
            <w:r w:rsidR="00D82A7B">
              <w:rPr>
                <w:noProof/>
              </w:rPr>
              <w:t>12</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61" w:history="1">
            <w:r w:rsidR="00D82A7B" w:rsidRPr="005F145C">
              <w:rPr>
                <w:rStyle w:val="Hyperlink"/>
                <w:b/>
                <w:bCs/>
                <w:noProof/>
              </w:rPr>
              <w:t>Evaluation</w:t>
            </w:r>
            <w:r w:rsidR="00D82A7B">
              <w:rPr>
                <w:noProof/>
              </w:rPr>
              <w:tab/>
            </w:r>
            <w:r w:rsidR="00D82A7B">
              <w:rPr>
                <w:noProof/>
              </w:rPr>
              <w:fldChar w:fldCharType="begin"/>
            </w:r>
            <w:r w:rsidR="00D82A7B">
              <w:rPr>
                <w:noProof/>
              </w:rPr>
              <w:instrText xml:space="preserve"> PAGEREF _Toc225934061 \h </w:instrText>
            </w:r>
            <w:r w:rsidR="00D82A7B">
              <w:rPr>
                <w:noProof/>
              </w:rPr>
            </w:r>
            <w:r w:rsidR="00D82A7B">
              <w:rPr>
                <w:noProof/>
              </w:rPr>
              <w:fldChar w:fldCharType="separate"/>
            </w:r>
            <w:r w:rsidR="00D82A7B">
              <w:rPr>
                <w:noProof/>
              </w:rPr>
              <w:t>12</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62" w:history="1">
            <w:r w:rsidR="00D82A7B" w:rsidRPr="005F145C">
              <w:rPr>
                <w:rStyle w:val="Hyperlink"/>
                <w:b/>
                <w:bCs/>
                <w:noProof/>
              </w:rPr>
              <w:t>Analysis</w:t>
            </w:r>
            <w:r w:rsidR="00D82A7B">
              <w:rPr>
                <w:noProof/>
              </w:rPr>
              <w:tab/>
            </w:r>
            <w:r w:rsidR="00D82A7B">
              <w:rPr>
                <w:noProof/>
              </w:rPr>
              <w:fldChar w:fldCharType="begin"/>
            </w:r>
            <w:r w:rsidR="00D82A7B">
              <w:rPr>
                <w:noProof/>
              </w:rPr>
              <w:instrText xml:space="preserve"> PAGEREF _Toc225934062 \h </w:instrText>
            </w:r>
            <w:r w:rsidR="00D82A7B">
              <w:rPr>
                <w:noProof/>
              </w:rPr>
            </w:r>
            <w:r w:rsidR="00D82A7B">
              <w:rPr>
                <w:noProof/>
              </w:rPr>
              <w:fldChar w:fldCharType="separate"/>
            </w:r>
            <w:r w:rsidR="00D82A7B">
              <w:rPr>
                <w:noProof/>
              </w:rPr>
              <w:t>12</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63" w:history="1">
            <w:r w:rsidR="00D82A7B" w:rsidRPr="005F145C">
              <w:rPr>
                <w:rStyle w:val="Hyperlink"/>
                <w:b/>
                <w:bCs/>
                <w:noProof/>
              </w:rPr>
              <w:t>Conclusion</w:t>
            </w:r>
            <w:r w:rsidR="00D82A7B">
              <w:rPr>
                <w:noProof/>
              </w:rPr>
              <w:tab/>
            </w:r>
            <w:r w:rsidR="00D82A7B">
              <w:rPr>
                <w:noProof/>
              </w:rPr>
              <w:fldChar w:fldCharType="begin"/>
            </w:r>
            <w:r w:rsidR="00D82A7B">
              <w:rPr>
                <w:noProof/>
              </w:rPr>
              <w:instrText xml:space="preserve"> PAGEREF _Toc225934063 \h </w:instrText>
            </w:r>
            <w:r w:rsidR="00D82A7B">
              <w:rPr>
                <w:noProof/>
              </w:rPr>
            </w:r>
            <w:r w:rsidR="00D82A7B">
              <w:rPr>
                <w:noProof/>
              </w:rPr>
              <w:fldChar w:fldCharType="separate"/>
            </w:r>
            <w:r w:rsidR="00D82A7B">
              <w:rPr>
                <w:noProof/>
              </w:rPr>
              <w:t>13</w:t>
            </w:r>
            <w:r w:rsidR="00D82A7B">
              <w:rPr>
                <w:noProof/>
              </w:rPr>
              <w:fldChar w:fldCharType="end"/>
            </w:r>
          </w:hyperlink>
        </w:p>
        <w:p w:rsidR="00D82A7B" w:rsidRDefault="001506EC">
          <w:pPr>
            <w:pStyle w:val="TOC3"/>
            <w:tabs>
              <w:tab w:val="right" w:leader="dot" w:pos="9016"/>
            </w:tabs>
            <w:rPr>
              <w:rFonts w:asciiTheme="minorHAnsi" w:eastAsiaTheme="minorEastAsia" w:hAnsiTheme="minorHAnsi" w:cstheme="minorBidi"/>
              <w:noProof/>
              <w:sz w:val="22"/>
              <w:szCs w:val="22"/>
            </w:rPr>
          </w:pPr>
          <w:hyperlink w:anchor="_Toc225934064" w:history="1">
            <w:r w:rsidR="00D82A7B" w:rsidRPr="005F145C">
              <w:rPr>
                <w:rStyle w:val="Hyperlink"/>
                <w:b/>
                <w:bCs/>
                <w:noProof/>
              </w:rPr>
              <w:t>Action Plan</w:t>
            </w:r>
            <w:r w:rsidR="00D82A7B">
              <w:rPr>
                <w:noProof/>
              </w:rPr>
              <w:tab/>
            </w:r>
            <w:r w:rsidR="00D82A7B">
              <w:rPr>
                <w:noProof/>
              </w:rPr>
              <w:fldChar w:fldCharType="begin"/>
            </w:r>
            <w:r w:rsidR="00D82A7B">
              <w:rPr>
                <w:noProof/>
              </w:rPr>
              <w:instrText xml:space="preserve"> PAGEREF _Toc225934064 \h </w:instrText>
            </w:r>
            <w:r w:rsidR="00D82A7B">
              <w:rPr>
                <w:noProof/>
              </w:rPr>
            </w:r>
            <w:r w:rsidR="00D82A7B">
              <w:rPr>
                <w:noProof/>
              </w:rPr>
              <w:fldChar w:fldCharType="separate"/>
            </w:r>
            <w:r w:rsidR="00D82A7B">
              <w:rPr>
                <w:noProof/>
              </w:rPr>
              <w:t>13</w:t>
            </w:r>
            <w:r w:rsidR="00D82A7B">
              <w:rPr>
                <w:noProof/>
              </w:rPr>
              <w:fldChar w:fldCharType="end"/>
            </w:r>
          </w:hyperlink>
        </w:p>
        <w:p w:rsidR="00D82A7B" w:rsidRDefault="001506EC">
          <w:pPr>
            <w:pStyle w:val="TOC1"/>
            <w:tabs>
              <w:tab w:val="right" w:leader="dot" w:pos="9016"/>
            </w:tabs>
            <w:rPr>
              <w:rFonts w:asciiTheme="minorHAnsi" w:eastAsiaTheme="minorEastAsia" w:hAnsiTheme="minorHAnsi" w:cstheme="minorBidi"/>
              <w:noProof/>
              <w:sz w:val="22"/>
              <w:szCs w:val="22"/>
            </w:rPr>
          </w:pPr>
          <w:hyperlink w:anchor="_Toc225934065" w:history="1">
            <w:r w:rsidR="00D82A7B" w:rsidRPr="005F145C">
              <w:rPr>
                <w:rStyle w:val="Hyperlink"/>
                <w:b/>
                <w:bCs/>
                <w:noProof/>
              </w:rPr>
              <w:t>REFERENCES</w:t>
            </w:r>
            <w:r w:rsidR="00D82A7B">
              <w:rPr>
                <w:noProof/>
              </w:rPr>
              <w:tab/>
            </w:r>
            <w:r w:rsidR="00D82A7B">
              <w:rPr>
                <w:noProof/>
              </w:rPr>
              <w:fldChar w:fldCharType="begin"/>
            </w:r>
            <w:r w:rsidR="00D82A7B">
              <w:rPr>
                <w:noProof/>
              </w:rPr>
              <w:instrText xml:space="preserve"> PAGEREF _Toc225934065 \h </w:instrText>
            </w:r>
            <w:r w:rsidR="00D82A7B">
              <w:rPr>
                <w:noProof/>
              </w:rPr>
            </w:r>
            <w:r w:rsidR="00D82A7B">
              <w:rPr>
                <w:noProof/>
              </w:rPr>
              <w:fldChar w:fldCharType="separate"/>
            </w:r>
            <w:r w:rsidR="00D82A7B">
              <w:rPr>
                <w:noProof/>
              </w:rPr>
              <w:t>14</w:t>
            </w:r>
            <w:r w:rsidR="00D82A7B">
              <w:rPr>
                <w:noProof/>
              </w:rPr>
              <w:fldChar w:fldCharType="end"/>
            </w:r>
          </w:hyperlink>
        </w:p>
        <w:p w:rsidR="00D97CFC" w:rsidRDefault="00D97CFC" w:rsidP="00D97CFC">
          <w:r>
            <w:fldChar w:fldCharType="end"/>
          </w:r>
        </w:p>
      </w:sdtContent>
    </w:sdt>
    <w:p w:rsidR="00D82A7B" w:rsidRDefault="00D82A7B" w:rsidP="00D97CFC"/>
    <w:p w:rsidR="00D82A7B" w:rsidRPr="00D82A7B" w:rsidRDefault="00D82A7B" w:rsidP="00D82A7B"/>
    <w:p w:rsidR="00D82A7B" w:rsidRPr="00D82A7B" w:rsidRDefault="00D82A7B" w:rsidP="00D82A7B"/>
    <w:p w:rsidR="00D82A7B" w:rsidRDefault="00D82A7B" w:rsidP="00D97CFC"/>
    <w:p w:rsidR="00D82A7B" w:rsidRDefault="00D82A7B" w:rsidP="00D82A7B">
      <w:pPr>
        <w:tabs>
          <w:tab w:val="left" w:pos="1577"/>
        </w:tabs>
      </w:pPr>
      <w:r>
        <w:tab/>
      </w:r>
    </w:p>
    <w:p w:rsidR="00A542E4" w:rsidRPr="00D97CFC" w:rsidRDefault="00D97CFC" w:rsidP="00D97CFC">
      <w:pPr>
        <w:rPr>
          <w:sz w:val="24"/>
        </w:rPr>
      </w:pPr>
      <w:r w:rsidRPr="00D82A7B">
        <w:br w:type="page"/>
      </w:r>
      <w:r w:rsidR="00952154" w:rsidRPr="00D97CFC">
        <w:rPr>
          <w:b/>
          <w:bCs/>
          <w:color w:val="1F4E79"/>
          <w:sz w:val="32"/>
          <w:szCs w:val="28"/>
        </w:rPr>
        <w:lastRenderedPageBreak/>
        <w:t>SECTION 1: STRATEGIC ANALYSIS</w:t>
      </w:r>
    </w:p>
    <w:p w:rsidR="00A542E4" w:rsidRPr="00D97CFC" w:rsidRDefault="00952154">
      <w:pPr>
        <w:pStyle w:val="Heading2"/>
        <w:spacing w:before="240" w:after="120"/>
        <w:rPr>
          <w:sz w:val="28"/>
        </w:rPr>
      </w:pPr>
      <w:bookmarkStart w:id="2" w:name="_Toc225934037"/>
      <w:r w:rsidRPr="00D97CFC">
        <w:rPr>
          <w:b/>
          <w:bCs/>
          <w:color w:val="2E75B6"/>
          <w:sz w:val="28"/>
          <w:szCs w:val="24"/>
        </w:rPr>
        <w:t xml:space="preserve">1.0 </w:t>
      </w:r>
      <w:proofErr w:type="spellStart"/>
      <w:r w:rsidRPr="00D97CFC">
        <w:rPr>
          <w:b/>
          <w:bCs/>
          <w:color w:val="2E75B6"/>
          <w:sz w:val="28"/>
          <w:szCs w:val="24"/>
        </w:rPr>
        <w:t>Organisational</w:t>
      </w:r>
      <w:proofErr w:type="spellEnd"/>
      <w:r w:rsidRPr="00D97CFC">
        <w:rPr>
          <w:b/>
          <w:bCs/>
          <w:color w:val="2E75B6"/>
          <w:sz w:val="28"/>
          <w:szCs w:val="24"/>
        </w:rPr>
        <w:t xml:space="preserve"> Context and Overview</w:t>
      </w:r>
      <w:bookmarkEnd w:id="2"/>
    </w:p>
    <w:p w:rsidR="00A542E4" w:rsidRPr="00D97CFC" w:rsidRDefault="00952154">
      <w:pPr>
        <w:pStyle w:val="Heading3"/>
        <w:spacing w:before="180" w:after="80"/>
        <w:rPr>
          <w:sz w:val="32"/>
        </w:rPr>
      </w:pPr>
      <w:bookmarkStart w:id="3" w:name="_Toc225934038"/>
      <w:r w:rsidRPr="00D97CFC">
        <w:rPr>
          <w:b/>
          <w:bCs/>
          <w:color w:val="2E75B6"/>
          <w:sz w:val="28"/>
          <w:szCs w:val="22"/>
        </w:rPr>
        <w:t>1.1 Company Overview</w:t>
      </w:r>
      <w:bookmarkEnd w:id="3"/>
    </w:p>
    <w:p w:rsidR="00A542E4" w:rsidRPr="00D97CFC" w:rsidRDefault="00ED6288">
      <w:pPr>
        <w:spacing w:before="80" w:after="120"/>
        <w:jc w:val="both"/>
        <w:rPr>
          <w:sz w:val="24"/>
        </w:rPr>
      </w:pPr>
      <w:r w:rsidRPr="00D97CFC">
        <w:rPr>
          <w:sz w:val="24"/>
        </w:rPr>
        <w:t>Nestlé S.A. was founded in 1866 when Henri Nestlé, a Swiss pharmacist, created a condensed milk formula to help reduce infant mortality. What began as a single product has grown into the world's largest food and beverage company by revenue over more than 150 years (</w:t>
      </w:r>
      <w:proofErr w:type="spellStart"/>
      <w:r w:rsidRPr="00D97CFC">
        <w:rPr>
          <w:sz w:val="24"/>
        </w:rPr>
        <w:t>Heer</w:t>
      </w:r>
      <w:proofErr w:type="spellEnd"/>
      <w:r w:rsidRPr="00D97CFC">
        <w:rPr>
          <w:sz w:val="24"/>
        </w:rPr>
        <w:t xml:space="preserve">, 2006). Today, Nestlé is based in </w:t>
      </w:r>
      <w:proofErr w:type="spellStart"/>
      <w:r w:rsidRPr="00D97CFC">
        <w:rPr>
          <w:sz w:val="24"/>
        </w:rPr>
        <w:t>Vevey</w:t>
      </w:r>
      <w:proofErr w:type="spellEnd"/>
      <w:r w:rsidRPr="00D97CFC">
        <w:rPr>
          <w:sz w:val="24"/>
        </w:rPr>
        <w:t xml:space="preserve">, Switzerland, and operates in 186 countries. Its product range includes Nescafé, KitKat, Purina pet food, and </w:t>
      </w:r>
      <w:proofErr w:type="spellStart"/>
      <w:r w:rsidRPr="00D97CFC">
        <w:rPr>
          <w:sz w:val="24"/>
        </w:rPr>
        <w:t>Nespresso</w:t>
      </w:r>
      <w:proofErr w:type="spellEnd"/>
      <w:r w:rsidR="00952154" w:rsidRPr="00D97CFC">
        <w:rPr>
          <w:sz w:val="24"/>
        </w:rPr>
        <w:t>.</w:t>
      </w:r>
    </w:p>
    <w:p w:rsidR="00A542E4" w:rsidRPr="00D97CFC" w:rsidRDefault="00ED6288">
      <w:pPr>
        <w:spacing w:before="80" w:after="120"/>
        <w:jc w:val="both"/>
        <w:rPr>
          <w:sz w:val="24"/>
        </w:rPr>
      </w:pPr>
      <w:r w:rsidRPr="00D97CFC">
        <w:rPr>
          <w:sz w:val="24"/>
        </w:rPr>
        <w:t>Key milestones include the merger with Anglo-Swiss Condensed Milk in 1905, the acquisition of Rowntree's in 1988, and the purchase of Ralston Purina in 2001. These moves established Nestlé as the leader in global pet care. Recently, the company has shifted its focus towards health and wellness by acquiring a 68% stake in Blue Bottle Coffee (2018) and Atrium Innovations (2017) (Nestlé Annual Report, 2023)</w:t>
      </w:r>
      <w:r w:rsidR="00952154" w:rsidRPr="00D97CFC">
        <w:rPr>
          <w:sz w:val="24"/>
        </w:rPr>
        <w:t>.</w:t>
      </w:r>
    </w:p>
    <w:p w:rsidR="00A542E4" w:rsidRDefault="00ED6288">
      <w:pPr>
        <w:spacing w:before="80" w:after="120"/>
        <w:jc w:val="both"/>
        <w:rPr>
          <w:sz w:val="24"/>
        </w:rPr>
      </w:pPr>
      <w:r w:rsidRPr="00D97CFC">
        <w:rPr>
          <w:sz w:val="24"/>
        </w:rPr>
        <w:t xml:space="preserve">Nestlé’s mission is to "unlock the power of food to enhance the quality of life for everyone, today and for generations to come" (Nestlé, 2023a). Its strategic framework, the Nestlé Model, aims for mid-single-digit organic growth with steady margin improvement. The core portfolio consists of six strategic business units: Purina </w:t>
      </w:r>
      <w:proofErr w:type="spellStart"/>
      <w:r w:rsidRPr="00D97CFC">
        <w:rPr>
          <w:sz w:val="24"/>
        </w:rPr>
        <w:t>PetCare</w:t>
      </w:r>
      <w:proofErr w:type="spellEnd"/>
      <w:r w:rsidRPr="00D97CFC">
        <w:rPr>
          <w:sz w:val="24"/>
        </w:rPr>
        <w:t>, Nestlé Health Science, Coffee, Confectionery, Prepared Dishes, and Milk Products</w:t>
      </w:r>
      <w:r w:rsidR="00952154" w:rsidRPr="00D97CFC">
        <w:rPr>
          <w:sz w:val="24"/>
        </w:rPr>
        <w:t>.</w:t>
      </w:r>
    </w:p>
    <w:p w:rsidR="00436A41" w:rsidRDefault="00436A41">
      <w:pPr>
        <w:spacing w:before="80" w:after="120"/>
        <w:jc w:val="both"/>
      </w:pPr>
    </w:p>
    <w:p w:rsidR="00A542E4" w:rsidRDefault="00952154">
      <w:pPr>
        <w:pStyle w:val="Heading3"/>
        <w:spacing w:before="180" w:after="80"/>
      </w:pPr>
      <w:bookmarkStart w:id="4" w:name="_Toc225934039"/>
      <w:r w:rsidRPr="00D97CFC">
        <w:rPr>
          <w:b/>
          <w:bCs/>
          <w:color w:val="2E75B6"/>
          <w:sz w:val="28"/>
          <w:szCs w:val="22"/>
        </w:rPr>
        <w:t>1.2 Industry Position and Competitive Landscape</w:t>
      </w:r>
      <w:bookmarkEnd w:id="4"/>
    </w:p>
    <w:p w:rsidR="00A542E4" w:rsidRPr="00D97CFC" w:rsidRDefault="00ED6288">
      <w:pPr>
        <w:spacing w:before="80" w:after="120"/>
        <w:jc w:val="both"/>
        <w:rPr>
          <w:sz w:val="24"/>
        </w:rPr>
      </w:pPr>
      <w:r w:rsidRPr="00D97CFC">
        <w:rPr>
          <w:sz w:val="24"/>
        </w:rPr>
        <w:t>In 2023, the global FMCG and food and beverage market was valued at approximately USD 8.9 trillion and is expected to grow at a 5.1% CAGR through 2031 (Fortune Business Insights, 2024). Nestlé's main competitors include Unilever, Danone, Kraft Heinz, and Mondelēz, as well as fast-growing digital brands that lack the burden of legacy systems</w:t>
      </w:r>
      <w:r w:rsidR="00952154" w:rsidRPr="00D97CFC">
        <w:rPr>
          <w:sz w:val="24"/>
        </w:rPr>
        <w:t>.</w:t>
      </w:r>
    </w:p>
    <w:p w:rsidR="00A542E4" w:rsidRPr="00D97CFC" w:rsidRDefault="00ED6288">
      <w:pPr>
        <w:spacing w:before="80" w:after="120"/>
        <w:jc w:val="both"/>
        <w:rPr>
          <w:sz w:val="24"/>
        </w:rPr>
      </w:pPr>
      <w:r w:rsidRPr="00D97CFC">
        <w:rPr>
          <w:sz w:val="24"/>
        </w:rPr>
        <w:t>Nestlé reported total sales of CHF 93.0 billion in 2023, reinforcing its market leadership. However, activist investor pressure from Third Point LLC has intensified scrutiny of its organic growth and focus on portfolio (Reuters, 2023)</w:t>
      </w:r>
      <w:r w:rsidR="00952154" w:rsidRPr="00D97CFC">
        <w:rPr>
          <w:sz w:val="24"/>
        </w:rPr>
        <w:t>.</w:t>
      </w:r>
    </w:p>
    <w:p w:rsidR="00D97CFC" w:rsidRDefault="00D97CFC">
      <w:pPr>
        <w:pStyle w:val="Heading2"/>
        <w:spacing w:before="240" w:after="120"/>
        <w:rPr>
          <w:b/>
          <w:bCs/>
          <w:color w:val="2E75B6"/>
          <w:sz w:val="28"/>
          <w:szCs w:val="28"/>
        </w:rPr>
      </w:pPr>
    </w:p>
    <w:p w:rsidR="00A542E4" w:rsidRPr="00D97CFC" w:rsidRDefault="00952154">
      <w:pPr>
        <w:pStyle w:val="Heading2"/>
        <w:spacing w:before="240" w:after="120"/>
        <w:rPr>
          <w:sz w:val="28"/>
          <w:szCs w:val="28"/>
        </w:rPr>
      </w:pPr>
      <w:bookmarkStart w:id="5" w:name="_Toc225934040"/>
      <w:r w:rsidRPr="00D97CFC">
        <w:rPr>
          <w:b/>
          <w:bCs/>
          <w:color w:val="2E75B6"/>
          <w:sz w:val="28"/>
          <w:szCs w:val="28"/>
        </w:rPr>
        <w:t>2.0 External and Internal Environment Analysis</w:t>
      </w:r>
      <w:bookmarkEnd w:id="5"/>
    </w:p>
    <w:p w:rsidR="00A542E4" w:rsidRPr="00D97CFC" w:rsidRDefault="00952154">
      <w:pPr>
        <w:pStyle w:val="Heading3"/>
        <w:spacing w:before="180" w:after="80"/>
        <w:rPr>
          <w:sz w:val="28"/>
          <w:szCs w:val="28"/>
        </w:rPr>
      </w:pPr>
      <w:bookmarkStart w:id="6" w:name="_Toc225934041"/>
      <w:r w:rsidRPr="00D97CFC">
        <w:rPr>
          <w:b/>
          <w:bCs/>
          <w:color w:val="2E75B6"/>
          <w:sz w:val="28"/>
          <w:szCs w:val="28"/>
        </w:rPr>
        <w:t>2.1 External Environment: PESTEL Analysis</w:t>
      </w:r>
      <w:bookmarkEnd w:id="6"/>
    </w:p>
    <w:p w:rsidR="00A542E4" w:rsidRPr="00D97CFC" w:rsidRDefault="00ED6288">
      <w:pPr>
        <w:spacing w:before="80" w:after="120"/>
        <w:jc w:val="both"/>
        <w:rPr>
          <w:sz w:val="24"/>
        </w:rPr>
      </w:pPr>
      <w:r w:rsidRPr="00D97CFC">
        <w:rPr>
          <w:sz w:val="24"/>
        </w:rPr>
        <w:t>Johnson, Scholes and Whittington (2017) suggest that environmental scanning is fundamental to a strong strategy. Given Nestlé's global reach, each PESTEL factor has direct strategic implications</w:t>
      </w:r>
      <w:r w:rsidR="00952154" w:rsidRPr="00D97CFC">
        <w:rPr>
          <w:sz w:val="24"/>
        </w:rPr>
        <w:t>.</w:t>
      </w:r>
    </w:p>
    <w:p w:rsidR="00A542E4" w:rsidRPr="00D97CFC" w:rsidRDefault="00ED6288">
      <w:pPr>
        <w:spacing w:before="80" w:after="120"/>
        <w:jc w:val="both"/>
        <w:rPr>
          <w:sz w:val="24"/>
        </w:rPr>
      </w:pPr>
      <w:r w:rsidRPr="00D97CFC">
        <w:rPr>
          <w:sz w:val="24"/>
        </w:rPr>
        <w:t>Political: Geopolitical instability, especially due to the Russia-Ukraine conflict, disrupted commodity sourcing and logistics in Europe (World Bank, 2023). Nestlé faced significant criticism for maintaining a reduced presence in Russia after the 2022 invasion, highlighting how political decisions can affect its reputation (The Guardian, 2022). Trade protectionism in key emerging markets adds to regulatory challenges</w:t>
      </w:r>
      <w:r w:rsidR="00952154" w:rsidRPr="00D97CFC">
        <w:rPr>
          <w:sz w:val="24"/>
        </w:rPr>
        <w:t>.</w:t>
      </w:r>
    </w:p>
    <w:p w:rsidR="00A542E4" w:rsidRPr="00D97CFC" w:rsidRDefault="00ED6288">
      <w:pPr>
        <w:spacing w:before="80" w:after="120"/>
        <w:jc w:val="both"/>
        <w:rPr>
          <w:sz w:val="24"/>
        </w:rPr>
      </w:pPr>
      <w:r w:rsidRPr="00D97CFC">
        <w:rPr>
          <w:sz w:val="24"/>
        </w:rPr>
        <w:lastRenderedPageBreak/>
        <w:t>Economic: The inflationary cycle from 2022 to 2023 sharply increased input costs, especially for dairy, cocoa, coffee, and packaging. In response, Nestlé raised prices by an average of 7.5% in 2022, which led to lower sales volumes as consumers switched to private-label options (Nestlé Annual Report, 2023). In the medium term, economic growth in Southeast Asia, Sub-Saharan Africa, and Latin America presents significant opportunities</w:t>
      </w:r>
      <w:r w:rsidR="00952154" w:rsidRPr="00D97CFC">
        <w:rPr>
          <w:sz w:val="24"/>
        </w:rPr>
        <w:t>.</w:t>
      </w:r>
    </w:p>
    <w:p w:rsidR="00A542E4" w:rsidRPr="00D97CFC" w:rsidRDefault="00ED6288">
      <w:pPr>
        <w:spacing w:before="80" w:after="120"/>
        <w:jc w:val="both"/>
        <w:rPr>
          <w:sz w:val="24"/>
        </w:rPr>
      </w:pPr>
      <w:r w:rsidRPr="00D97CFC">
        <w:rPr>
          <w:sz w:val="24"/>
        </w:rPr>
        <w:t>Social: Consumer preferences are increasingly shifting toward health, nutrition, and sustainability. According to IBM (2022), more than half of global consumers consider a brand's ethical reputation when making purchases. Nestlé has faced ongoing criticism regarding its infant formula marketing, water extraction practices, and links to deforestation, complicating its public image (Greenpeace, 2022)</w:t>
      </w:r>
      <w:r w:rsidR="00952154" w:rsidRPr="00D97CFC">
        <w:rPr>
          <w:sz w:val="24"/>
        </w:rPr>
        <w:t>.</w:t>
      </w:r>
    </w:p>
    <w:p w:rsidR="00A542E4" w:rsidRPr="00D97CFC" w:rsidRDefault="00ED6288">
      <w:pPr>
        <w:spacing w:before="80" w:after="120"/>
        <w:jc w:val="both"/>
        <w:rPr>
          <w:sz w:val="24"/>
        </w:rPr>
      </w:pPr>
      <w:r w:rsidRPr="00D97CFC">
        <w:rPr>
          <w:sz w:val="24"/>
        </w:rPr>
        <w:t>Technological: E-commerce now accounts for 17.3% of Nestlé's total sales (Nestlé Annual Report, 2023). AI and machine learning are being used more in demand forecasting and supply chain optimization, while digital platforms have lowered barriers for nimble challenger brands (McKinsey and Company, 2023)</w:t>
      </w:r>
      <w:r w:rsidR="00952154" w:rsidRPr="00D97CFC">
        <w:rPr>
          <w:sz w:val="24"/>
        </w:rPr>
        <w:t>.</w:t>
      </w:r>
    </w:p>
    <w:p w:rsidR="00A542E4" w:rsidRPr="00D97CFC" w:rsidRDefault="00ED6288">
      <w:pPr>
        <w:spacing w:before="80" w:after="120"/>
        <w:jc w:val="both"/>
        <w:rPr>
          <w:sz w:val="24"/>
        </w:rPr>
      </w:pPr>
      <w:r w:rsidRPr="00D97CFC">
        <w:rPr>
          <w:sz w:val="24"/>
        </w:rPr>
        <w:t>Environmental: Climate change is disrupting agriculture, with rainfall variability affecting yields of cocoa, coffee, and dairy (IPCC, 2023). Nestlé has pledged to achieve net-zero emissions by 2050 and to halve emissions by 2030. New plastic packaging regulations, such as the UK Plastic Packaging Tax, introduce ongoing compliance costs (HMRC, 2022)</w:t>
      </w:r>
      <w:r w:rsidR="00952154" w:rsidRPr="00D97CFC">
        <w:rPr>
          <w:sz w:val="24"/>
        </w:rPr>
        <w:t>.</w:t>
      </w:r>
    </w:p>
    <w:p w:rsidR="00A542E4" w:rsidRPr="00D97CFC" w:rsidRDefault="00ED6288">
      <w:pPr>
        <w:spacing w:before="80" w:after="120"/>
        <w:jc w:val="both"/>
        <w:rPr>
          <w:sz w:val="24"/>
        </w:rPr>
      </w:pPr>
      <w:r w:rsidRPr="00D97CFC">
        <w:rPr>
          <w:sz w:val="24"/>
        </w:rPr>
        <w:t>Legal: Nestlé operates in various jurisdictions with differing regulatory requirements covering food safety, GDPR, competition law, and supply chain due diligence under the UK Modern Slavery Act 2015. Past violations of the WHO's International Code on infant formula marketing remain a significant reputational and regulatory issue (WHO, 2023)</w:t>
      </w:r>
      <w:r w:rsidR="00952154" w:rsidRPr="00D97CFC">
        <w:rPr>
          <w:sz w:val="24"/>
        </w:rPr>
        <w:t>.</w:t>
      </w:r>
    </w:p>
    <w:p w:rsidR="00D97CFC" w:rsidRDefault="00D97CFC">
      <w:pPr>
        <w:pStyle w:val="Heading3"/>
        <w:spacing w:before="180" w:after="80"/>
        <w:rPr>
          <w:b/>
          <w:bCs/>
          <w:color w:val="2E75B6"/>
          <w:sz w:val="22"/>
          <w:szCs w:val="22"/>
        </w:rPr>
      </w:pPr>
    </w:p>
    <w:p w:rsidR="00A542E4" w:rsidRPr="00D97CFC" w:rsidRDefault="00952154">
      <w:pPr>
        <w:pStyle w:val="Heading3"/>
        <w:spacing w:before="180" w:after="80"/>
        <w:rPr>
          <w:sz w:val="32"/>
        </w:rPr>
      </w:pPr>
      <w:bookmarkStart w:id="7" w:name="_Toc225934042"/>
      <w:r w:rsidRPr="00D97CFC">
        <w:rPr>
          <w:b/>
          <w:bCs/>
          <w:color w:val="2E75B6"/>
          <w:sz w:val="28"/>
          <w:szCs w:val="22"/>
        </w:rPr>
        <w:t>2.2 Critical Success Factors</w:t>
      </w:r>
      <w:bookmarkEnd w:id="7"/>
    </w:p>
    <w:p w:rsidR="00A542E4" w:rsidRPr="00D97CFC" w:rsidRDefault="00ED6288">
      <w:pPr>
        <w:spacing w:before="80" w:after="120"/>
        <w:jc w:val="both"/>
        <w:rPr>
          <w:sz w:val="24"/>
        </w:rPr>
      </w:pPr>
      <w:r w:rsidRPr="00D97CFC">
        <w:rPr>
          <w:sz w:val="24"/>
        </w:rPr>
        <w:t>Four key factors are crucial for success in this environment: brand loyalty and consumer trust, ability to innovate nutritionally, supply chain resilience and sustainable sourcing, and digital and e-commerce reach. These areas represent both strengths and weaknesses for Nestlé</w:t>
      </w:r>
      <w:r w:rsidR="00952154" w:rsidRPr="00D97CFC">
        <w:rPr>
          <w:sz w:val="24"/>
        </w:rPr>
        <w:t>.</w:t>
      </w:r>
    </w:p>
    <w:p w:rsidR="00D97CFC" w:rsidRDefault="00D97CFC">
      <w:pPr>
        <w:pStyle w:val="Heading3"/>
        <w:spacing w:before="180" w:after="80"/>
        <w:rPr>
          <w:b/>
          <w:bCs/>
          <w:color w:val="2E75B6"/>
          <w:sz w:val="22"/>
          <w:szCs w:val="22"/>
        </w:rPr>
      </w:pPr>
    </w:p>
    <w:p w:rsidR="00A542E4" w:rsidRPr="00D97CFC" w:rsidRDefault="00952154">
      <w:pPr>
        <w:pStyle w:val="Heading3"/>
        <w:spacing w:before="180" w:after="80"/>
        <w:rPr>
          <w:sz w:val="28"/>
          <w:szCs w:val="28"/>
        </w:rPr>
      </w:pPr>
      <w:bookmarkStart w:id="8" w:name="_Toc225934043"/>
      <w:r w:rsidRPr="00D97CFC">
        <w:rPr>
          <w:b/>
          <w:bCs/>
          <w:color w:val="2E75B6"/>
          <w:sz w:val="28"/>
          <w:szCs w:val="28"/>
        </w:rPr>
        <w:t>2.3 Internal Environment: Resources and Capabilities</w:t>
      </w:r>
      <w:bookmarkEnd w:id="8"/>
    </w:p>
    <w:p w:rsidR="00A542E4" w:rsidRPr="00D97CFC" w:rsidRDefault="00ED6288">
      <w:pPr>
        <w:spacing w:before="80" w:after="120"/>
        <w:jc w:val="both"/>
        <w:rPr>
          <w:sz w:val="24"/>
        </w:rPr>
      </w:pPr>
      <w:r w:rsidRPr="00D97CFC">
        <w:rPr>
          <w:sz w:val="24"/>
        </w:rPr>
        <w:t>Resource-based theory suggests that a lasting competitive edge comes from resources that are valuable, rare, and hard to replicate (Barney, 1991). Nestlé's resources are extensive</w:t>
      </w:r>
      <w:r w:rsidR="00952154" w:rsidRPr="00D97CFC">
        <w:rPr>
          <w:sz w:val="24"/>
        </w:rPr>
        <w:t>.</w:t>
      </w:r>
    </w:p>
    <w:p w:rsidR="00A542E4" w:rsidRPr="00D97CFC" w:rsidRDefault="00ED6288">
      <w:pPr>
        <w:spacing w:before="80" w:after="120"/>
        <w:jc w:val="both"/>
        <w:rPr>
          <w:sz w:val="24"/>
        </w:rPr>
      </w:pPr>
      <w:r w:rsidRPr="00D97CFC">
        <w:rPr>
          <w:sz w:val="24"/>
        </w:rPr>
        <w:t xml:space="preserve">Tangible resources include about 340 factories worldwide, a capital expenditure of CHF 1.6 billion in 2022, and free cash flow of CHF 7.4 billion (Nestlé Annual Report, 2023). The brand portfolio, including Nescafé, KitKat, Maggi, Milo, Purina, and </w:t>
      </w:r>
      <w:proofErr w:type="spellStart"/>
      <w:r w:rsidRPr="00D97CFC">
        <w:rPr>
          <w:sz w:val="24"/>
        </w:rPr>
        <w:t>Nespresso</w:t>
      </w:r>
      <w:proofErr w:type="spellEnd"/>
      <w:r w:rsidRPr="00D97CFC">
        <w:rPr>
          <w:sz w:val="24"/>
        </w:rPr>
        <w:t xml:space="preserve">, is Nestlé's strongest intangible asset, securing consumer loyalty and pricing power. An R&amp;D team of over 8,000 scientists working in 23 research </w:t>
      </w:r>
      <w:proofErr w:type="spellStart"/>
      <w:r w:rsidRPr="00D97CFC">
        <w:rPr>
          <w:sz w:val="24"/>
        </w:rPr>
        <w:t>centres</w:t>
      </w:r>
      <w:proofErr w:type="spellEnd"/>
      <w:r w:rsidRPr="00D97CFC">
        <w:rPr>
          <w:sz w:val="24"/>
        </w:rPr>
        <w:t xml:space="preserve"> and an annual R&amp;D investment of CHF 1.9 billion ensure scientific credibility</w:t>
      </w:r>
      <w:r w:rsidR="00952154" w:rsidRPr="00D97CFC">
        <w:rPr>
          <w:sz w:val="24"/>
        </w:rPr>
        <w:t>.</w:t>
      </w:r>
    </w:p>
    <w:p w:rsidR="00A542E4" w:rsidRPr="00D97CFC" w:rsidRDefault="00A34D2D">
      <w:pPr>
        <w:spacing w:before="80" w:after="120"/>
        <w:jc w:val="both"/>
        <w:rPr>
          <w:sz w:val="24"/>
        </w:rPr>
      </w:pPr>
      <w:r w:rsidRPr="00D97CFC">
        <w:rPr>
          <w:sz w:val="24"/>
        </w:rPr>
        <w:t xml:space="preserve">Following </w:t>
      </w:r>
      <w:proofErr w:type="spellStart"/>
      <w:r w:rsidRPr="00D97CFC">
        <w:rPr>
          <w:sz w:val="24"/>
        </w:rPr>
        <w:t>Prahalad</w:t>
      </w:r>
      <w:proofErr w:type="spellEnd"/>
      <w:r w:rsidRPr="00D97CFC">
        <w:rPr>
          <w:sz w:val="24"/>
        </w:rPr>
        <w:t xml:space="preserve"> and Hamel (1990), Nestlé's core competencies include nutritional science and product innovation, global distribution and category management, brand </w:t>
      </w:r>
      <w:r w:rsidRPr="00D97CFC">
        <w:rPr>
          <w:sz w:val="24"/>
        </w:rPr>
        <w:lastRenderedPageBreak/>
        <w:t>stewardship supported by data analytics, and sustainable management across complex agricultural supply chains</w:t>
      </w:r>
      <w:r w:rsidR="00952154" w:rsidRPr="00D97CFC">
        <w:rPr>
          <w:sz w:val="24"/>
        </w:rPr>
        <w:t>.</w:t>
      </w:r>
    </w:p>
    <w:p w:rsidR="00D97CFC" w:rsidRDefault="00D97CFC">
      <w:pPr>
        <w:pStyle w:val="Heading3"/>
        <w:spacing w:before="180" w:after="80"/>
        <w:rPr>
          <w:b/>
          <w:bCs/>
          <w:color w:val="2E75B6"/>
          <w:sz w:val="22"/>
          <w:szCs w:val="22"/>
        </w:rPr>
      </w:pPr>
    </w:p>
    <w:p w:rsidR="00A542E4" w:rsidRPr="00D97CFC" w:rsidRDefault="00952154">
      <w:pPr>
        <w:pStyle w:val="Heading3"/>
        <w:spacing w:before="180" w:after="80"/>
        <w:rPr>
          <w:sz w:val="32"/>
        </w:rPr>
      </w:pPr>
      <w:bookmarkStart w:id="9" w:name="_Toc225934044"/>
      <w:r w:rsidRPr="00D97CFC">
        <w:rPr>
          <w:b/>
          <w:bCs/>
          <w:color w:val="2E75B6"/>
          <w:sz w:val="28"/>
          <w:szCs w:val="22"/>
        </w:rPr>
        <w:t>2.4 VRIO Framework Analysis</w:t>
      </w:r>
      <w:bookmarkEnd w:id="9"/>
    </w:p>
    <w:p w:rsidR="00A542E4" w:rsidRPr="00D97CFC" w:rsidRDefault="00A34D2D">
      <w:pPr>
        <w:spacing w:before="80" w:after="120"/>
        <w:jc w:val="both"/>
        <w:rPr>
          <w:sz w:val="24"/>
        </w:rPr>
      </w:pPr>
      <w:r w:rsidRPr="00D97CFC">
        <w:rPr>
          <w:sz w:val="24"/>
        </w:rPr>
        <w:t>The VRIO framework (Barney, 1991) assesses whether resources lead to a competitive advantage</w:t>
      </w:r>
      <w:r w:rsidR="00952154" w:rsidRPr="00D97CFC">
        <w:rPr>
          <w:sz w:val="24"/>
        </w:rPr>
        <w:t>:</w:t>
      </w:r>
    </w:p>
    <w:p w:rsidR="00A542E4" w:rsidRDefault="00A542E4">
      <w:pPr>
        <w:spacing w:before="80" w:after="80"/>
      </w:pPr>
    </w:p>
    <w:tbl>
      <w:tblPr>
        <w:tblW w:w="951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69"/>
        <w:gridCol w:w="1425"/>
        <w:gridCol w:w="1027"/>
        <w:gridCol w:w="1580"/>
        <w:gridCol w:w="1656"/>
        <w:gridCol w:w="1960"/>
      </w:tblGrid>
      <w:tr w:rsidR="00A542E4" w:rsidTr="00D97CFC">
        <w:trPr>
          <w:trHeight w:val="575"/>
          <w:jc w:val="center"/>
        </w:trPr>
        <w:tc>
          <w:tcPr>
            <w:tcW w:w="1869"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97CFC" w:rsidRDefault="00952154">
            <w:pPr>
              <w:jc w:val="center"/>
              <w:rPr>
                <w:sz w:val="24"/>
              </w:rPr>
            </w:pPr>
            <w:r w:rsidRPr="00D97CFC">
              <w:rPr>
                <w:b/>
                <w:bCs/>
                <w:color w:val="FFFFFF"/>
                <w:sz w:val="24"/>
                <w:szCs w:val="20"/>
              </w:rPr>
              <w:t>Resource / Capability</w:t>
            </w:r>
          </w:p>
        </w:tc>
        <w:tc>
          <w:tcPr>
            <w:tcW w:w="1425"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97CFC" w:rsidRDefault="00952154">
            <w:pPr>
              <w:jc w:val="center"/>
              <w:rPr>
                <w:sz w:val="24"/>
              </w:rPr>
            </w:pPr>
            <w:r w:rsidRPr="00D97CFC">
              <w:rPr>
                <w:b/>
                <w:bCs/>
                <w:color w:val="FFFFFF"/>
                <w:sz w:val="24"/>
                <w:szCs w:val="20"/>
              </w:rPr>
              <w:t>Valuable</w:t>
            </w:r>
          </w:p>
        </w:tc>
        <w:tc>
          <w:tcPr>
            <w:tcW w:w="1027"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97CFC" w:rsidRDefault="00952154">
            <w:pPr>
              <w:jc w:val="center"/>
              <w:rPr>
                <w:sz w:val="24"/>
              </w:rPr>
            </w:pPr>
            <w:r w:rsidRPr="00D97CFC">
              <w:rPr>
                <w:b/>
                <w:bCs/>
                <w:color w:val="FFFFFF"/>
                <w:sz w:val="24"/>
                <w:szCs w:val="20"/>
              </w:rPr>
              <w:t>Rare</w:t>
            </w:r>
          </w:p>
        </w:tc>
        <w:tc>
          <w:tcPr>
            <w:tcW w:w="158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97CFC" w:rsidRDefault="00952154">
            <w:pPr>
              <w:jc w:val="center"/>
              <w:rPr>
                <w:sz w:val="24"/>
              </w:rPr>
            </w:pPr>
            <w:r w:rsidRPr="00D97CFC">
              <w:rPr>
                <w:b/>
                <w:bCs/>
                <w:color w:val="FFFFFF"/>
                <w:sz w:val="24"/>
                <w:szCs w:val="20"/>
              </w:rPr>
              <w:t>Inimitable</w:t>
            </w:r>
          </w:p>
        </w:tc>
        <w:tc>
          <w:tcPr>
            <w:tcW w:w="1656"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97CFC" w:rsidRDefault="00952154">
            <w:pPr>
              <w:jc w:val="center"/>
              <w:rPr>
                <w:sz w:val="24"/>
              </w:rPr>
            </w:pPr>
            <w:proofErr w:type="spellStart"/>
            <w:r w:rsidRPr="00D97CFC">
              <w:rPr>
                <w:b/>
                <w:bCs/>
                <w:color w:val="FFFFFF"/>
                <w:sz w:val="24"/>
                <w:szCs w:val="20"/>
              </w:rPr>
              <w:t>Organised</w:t>
            </w:r>
            <w:proofErr w:type="spellEnd"/>
          </w:p>
        </w:tc>
        <w:tc>
          <w:tcPr>
            <w:tcW w:w="196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97CFC" w:rsidRDefault="00952154">
            <w:pPr>
              <w:jc w:val="center"/>
              <w:rPr>
                <w:sz w:val="24"/>
              </w:rPr>
            </w:pPr>
            <w:r w:rsidRPr="00D97CFC">
              <w:rPr>
                <w:b/>
                <w:bCs/>
                <w:color w:val="FFFFFF"/>
                <w:sz w:val="24"/>
                <w:szCs w:val="20"/>
              </w:rPr>
              <w:t>Competitive Implication</w:t>
            </w:r>
          </w:p>
        </w:tc>
      </w:tr>
      <w:tr w:rsidR="00A542E4" w:rsidTr="00D97CFC">
        <w:trPr>
          <w:trHeight w:val="411"/>
          <w:jc w:val="center"/>
        </w:trPr>
        <w:tc>
          <w:tcPr>
            <w:tcW w:w="1869"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97CFC" w:rsidRDefault="00952154">
            <w:pPr>
              <w:rPr>
                <w:sz w:val="20"/>
              </w:rPr>
            </w:pPr>
            <w:r w:rsidRPr="00D97CFC">
              <w:rPr>
                <w:sz w:val="20"/>
                <w:szCs w:val="18"/>
              </w:rPr>
              <w:t>Brand Portfolio</w:t>
            </w:r>
          </w:p>
        </w:tc>
        <w:tc>
          <w:tcPr>
            <w:tcW w:w="142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Yes</w:t>
            </w:r>
          </w:p>
        </w:tc>
        <w:tc>
          <w:tcPr>
            <w:tcW w:w="1027"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Partially</w:t>
            </w:r>
          </w:p>
        </w:tc>
        <w:tc>
          <w:tcPr>
            <w:tcW w:w="1580"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Yes</w:t>
            </w:r>
          </w:p>
        </w:tc>
        <w:tc>
          <w:tcPr>
            <w:tcW w:w="1656"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Yes</w:t>
            </w:r>
          </w:p>
        </w:tc>
        <w:tc>
          <w:tcPr>
            <w:tcW w:w="1960"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Sustained Advantage</w:t>
            </w:r>
          </w:p>
        </w:tc>
      </w:tr>
      <w:tr w:rsidR="00A542E4" w:rsidTr="00D97CFC">
        <w:trPr>
          <w:trHeight w:val="452"/>
          <w:jc w:val="center"/>
        </w:trPr>
        <w:tc>
          <w:tcPr>
            <w:tcW w:w="186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97CFC" w:rsidRDefault="00952154">
            <w:pPr>
              <w:rPr>
                <w:sz w:val="20"/>
              </w:rPr>
            </w:pPr>
            <w:r w:rsidRPr="00D97CFC">
              <w:rPr>
                <w:sz w:val="20"/>
                <w:szCs w:val="18"/>
              </w:rPr>
              <w:t>R&amp;D and Innovation</w:t>
            </w:r>
          </w:p>
        </w:tc>
        <w:tc>
          <w:tcPr>
            <w:tcW w:w="142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Yes</w:t>
            </w:r>
          </w:p>
        </w:tc>
        <w:tc>
          <w:tcPr>
            <w:tcW w:w="102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Yes</w:t>
            </w:r>
          </w:p>
        </w:tc>
        <w:tc>
          <w:tcPr>
            <w:tcW w:w="15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Partially</w:t>
            </w:r>
          </w:p>
        </w:tc>
        <w:tc>
          <w:tcPr>
            <w:tcW w:w="165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Yes</w:t>
            </w:r>
          </w:p>
        </w:tc>
        <w:tc>
          <w:tcPr>
            <w:tcW w:w="196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Temporary Advantage</w:t>
            </w:r>
          </w:p>
        </w:tc>
      </w:tr>
      <w:tr w:rsidR="00A542E4" w:rsidTr="00D97CFC">
        <w:trPr>
          <w:trHeight w:val="465"/>
          <w:jc w:val="center"/>
        </w:trPr>
        <w:tc>
          <w:tcPr>
            <w:tcW w:w="1869"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97CFC" w:rsidRDefault="00952154">
            <w:pPr>
              <w:rPr>
                <w:sz w:val="20"/>
              </w:rPr>
            </w:pPr>
            <w:r w:rsidRPr="00D97CFC">
              <w:rPr>
                <w:sz w:val="20"/>
                <w:szCs w:val="18"/>
              </w:rPr>
              <w:t>Global Supply Chain</w:t>
            </w:r>
          </w:p>
        </w:tc>
        <w:tc>
          <w:tcPr>
            <w:tcW w:w="142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Yes</w:t>
            </w:r>
          </w:p>
        </w:tc>
        <w:tc>
          <w:tcPr>
            <w:tcW w:w="1027"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No</w:t>
            </w:r>
          </w:p>
        </w:tc>
        <w:tc>
          <w:tcPr>
            <w:tcW w:w="1580"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No</w:t>
            </w:r>
          </w:p>
        </w:tc>
        <w:tc>
          <w:tcPr>
            <w:tcW w:w="1656"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Yes</w:t>
            </w:r>
          </w:p>
        </w:tc>
        <w:tc>
          <w:tcPr>
            <w:tcW w:w="1960"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Competitive Parity</w:t>
            </w:r>
          </w:p>
        </w:tc>
      </w:tr>
      <w:tr w:rsidR="00A542E4" w:rsidTr="00D97CFC">
        <w:trPr>
          <w:trHeight w:val="699"/>
          <w:jc w:val="center"/>
        </w:trPr>
        <w:tc>
          <w:tcPr>
            <w:tcW w:w="186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97CFC" w:rsidRDefault="00952154">
            <w:pPr>
              <w:rPr>
                <w:sz w:val="20"/>
              </w:rPr>
            </w:pPr>
            <w:r w:rsidRPr="00D97CFC">
              <w:rPr>
                <w:sz w:val="20"/>
                <w:szCs w:val="18"/>
              </w:rPr>
              <w:t>Nutrition Science Expertise</w:t>
            </w:r>
          </w:p>
        </w:tc>
        <w:tc>
          <w:tcPr>
            <w:tcW w:w="142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Yes</w:t>
            </w:r>
          </w:p>
        </w:tc>
        <w:tc>
          <w:tcPr>
            <w:tcW w:w="102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Yes</w:t>
            </w:r>
          </w:p>
        </w:tc>
        <w:tc>
          <w:tcPr>
            <w:tcW w:w="15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Yes</w:t>
            </w:r>
          </w:p>
        </w:tc>
        <w:tc>
          <w:tcPr>
            <w:tcW w:w="165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Yes</w:t>
            </w:r>
          </w:p>
        </w:tc>
        <w:tc>
          <w:tcPr>
            <w:tcW w:w="196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Sustained Advantage</w:t>
            </w:r>
          </w:p>
        </w:tc>
      </w:tr>
      <w:tr w:rsidR="00A542E4" w:rsidTr="00D97CFC">
        <w:trPr>
          <w:trHeight w:val="699"/>
          <w:jc w:val="center"/>
        </w:trPr>
        <w:tc>
          <w:tcPr>
            <w:tcW w:w="1869"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97CFC" w:rsidRDefault="00952154">
            <w:pPr>
              <w:rPr>
                <w:sz w:val="20"/>
              </w:rPr>
            </w:pPr>
            <w:r w:rsidRPr="00D97CFC">
              <w:rPr>
                <w:sz w:val="20"/>
                <w:szCs w:val="18"/>
              </w:rPr>
              <w:t>Emerging Market Presence</w:t>
            </w:r>
          </w:p>
        </w:tc>
        <w:tc>
          <w:tcPr>
            <w:tcW w:w="142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Yes</w:t>
            </w:r>
          </w:p>
        </w:tc>
        <w:tc>
          <w:tcPr>
            <w:tcW w:w="1027"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Partially</w:t>
            </w:r>
          </w:p>
        </w:tc>
        <w:tc>
          <w:tcPr>
            <w:tcW w:w="1580"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Partially</w:t>
            </w:r>
          </w:p>
        </w:tc>
        <w:tc>
          <w:tcPr>
            <w:tcW w:w="1656"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Yes</w:t>
            </w:r>
          </w:p>
        </w:tc>
        <w:tc>
          <w:tcPr>
            <w:tcW w:w="1960"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Temporary Advantage</w:t>
            </w:r>
          </w:p>
        </w:tc>
      </w:tr>
      <w:tr w:rsidR="00A542E4" w:rsidTr="00D97CFC">
        <w:trPr>
          <w:trHeight w:val="452"/>
          <w:jc w:val="center"/>
        </w:trPr>
        <w:tc>
          <w:tcPr>
            <w:tcW w:w="186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97CFC" w:rsidRDefault="00952154">
            <w:pPr>
              <w:rPr>
                <w:sz w:val="20"/>
              </w:rPr>
            </w:pPr>
            <w:r w:rsidRPr="00D97CFC">
              <w:rPr>
                <w:sz w:val="20"/>
                <w:szCs w:val="18"/>
              </w:rPr>
              <w:t>Digital Analytics</w:t>
            </w:r>
          </w:p>
        </w:tc>
        <w:tc>
          <w:tcPr>
            <w:tcW w:w="142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Yes</w:t>
            </w:r>
          </w:p>
        </w:tc>
        <w:tc>
          <w:tcPr>
            <w:tcW w:w="102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Partially</w:t>
            </w:r>
          </w:p>
        </w:tc>
        <w:tc>
          <w:tcPr>
            <w:tcW w:w="15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No</w:t>
            </w:r>
          </w:p>
        </w:tc>
        <w:tc>
          <w:tcPr>
            <w:tcW w:w="165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Partially</w:t>
            </w:r>
          </w:p>
        </w:tc>
        <w:tc>
          <w:tcPr>
            <w:tcW w:w="196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Competitive Parity</w:t>
            </w:r>
          </w:p>
        </w:tc>
      </w:tr>
      <w:tr w:rsidR="00A542E4" w:rsidTr="00D97CFC">
        <w:trPr>
          <w:trHeight w:val="465"/>
          <w:jc w:val="center"/>
        </w:trPr>
        <w:tc>
          <w:tcPr>
            <w:tcW w:w="1869"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97CFC" w:rsidRDefault="00952154">
            <w:pPr>
              <w:rPr>
                <w:sz w:val="20"/>
              </w:rPr>
            </w:pPr>
            <w:r w:rsidRPr="00D97CFC">
              <w:rPr>
                <w:sz w:val="20"/>
                <w:szCs w:val="18"/>
              </w:rPr>
              <w:t>ESG / Sustainability</w:t>
            </w:r>
          </w:p>
        </w:tc>
        <w:tc>
          <w:tcPr>
            <w:tcW w:w="142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Yes</w:t>
            </w:r>
          </w:p>
        </w:tc>
        <w:tc>
          <w:tcPr>
            <w:tcW w:w="1027"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Partially</w:t>
            </w:r>
          </w:p>
        </w:tc>
        <w:tc>
          <w:tcPr>
            <w:tcW w:w="1580"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Partially</w:t>
            </w:r>
          </w:p>
        </w:tc>
        <w:tc>
          <w:tcPr>
            <w:tcW w:w="1656"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Partially</w:t>
            </w:r>
          </w:p>
        </w:tc>
        <w:tc>
          <w:tcPr>
            <w:tcW w:w="1960"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Temporary Advantage</w:t>
            </w:r>
          </w:p>
        </w:tc>
      </w:tr>
    </w:tbl>
    <w:p w:rsidR="00A542E4" w:rsidRDefault="00952154">
      <w:pPr>
        <w:spacing w:before="60" w:after="80"/>
        <w:jc w:val="center"/>
      </w:pPr>
      <w:r>
        <w:rPr>
          <w:i/>
          <w:iCs/>
          <w:color w:val="595959"/>
          <w:sz w:val="18"/>
          <w:szCs w:val="18"/>
        </w:rPr>
        <w:t>Table 1: VRIO Analysis – Nestlé S.A. (Author's own, based on Barney, 1991)</w:t>
      </w:r>
    </w:p>
    <w:p w:rsidR="00A542E4" w:rsidRPr="00D97CFC" w:rsidRDefault="00A34D2D">
      <w:pPr>
        <w:spacing w:before="80" w:after="120"/>
        <w:jc w:val="both"/>
        <w:rPr>
          <w:sz w:val="24"/>
        </w:rPr>
      </w:pPr>
      <w:r w:rsidRPr="00D97CFC">
        <w:rPr>
          <w:sz w:val="24"/>
        </w:rPr>
        <w:t>Nestlé's brand portfolio and expertise in nutrition science are difficult for competitors to duplicate quickly. For example, Nescafé has built consumer recognition for nearly 90 years (</w:t>
      </w:r>
      <w:proofErr w:type="spellStart"/>
      <w:r w:rsidRPr="00D97CFC">
        <w:rPr>
          <w:sz w:val="24"/>
        </w:rPr>
        <w:t>Kapferer</w:t>
      </w:r>
      <w:proofErr w:type="spellEnd"/>
      <w:r w:rsidRPr="00D97CFC">
        <w:rPr>
          <w:sz w:val="24"/>
        </w:rPr>
        <w:t>, 2012). In contrast, digital analytics and global supply chain capabilities are increasingly standard requirements that do not set Nestlé apart from Unilever or Danone</w:t>
      </w:r>
      <w:r w:rsidR="00952154" w:rsidRPr="00D97CFC">
        <w:rPr>
          <w:sz w:val="24"/>
        </w:rPr>
        <w:t>.</w:t>
      </w:r>
    </w:p>
    <w:p w:rsidR="00A542E4" w:rsidRDefault="00952154">
      <w:r>
        <w:br w:type="page"/>
      </w:r>
    </w:p>
    <w:p w:rsidR="00A542E4" w:rsidRPr="00D97CFC" w:rsidRDefault="00952154">
      <w:pPr>
        <w:pStyle w:val="Heading2"/>
        <w:spacing w:before="240" w:after="120"/>
        <w:rPr>
          <w:sz w:val="28"/>
          <w:szCs w:val="28"/>
        </w:rPr>
      </w:pPr>
      <w:bookmarkStart w:id="10" w:name="_Toc225934045"/>
      <w:r w:rsidRPr="00D97CFC">
        <w:rPr>
          <w:b/>
          <w:bCs/>
          <w:color w:val="2E75B6"/>
          <w:sz w:val="28"/>
          <w:szCs w:val="28"/>
        </w:rPr>
        <w:lastRenderedPageBreak/>
        <w:t>3.0 Corporate Social Responsibility and Sustainability</w:t>
      </w:r>
      <w:bookmarkEnd w:id="10"/>
    </w:p>
    <w:p w:rsidR="00A542E4" w:rsidRPr="00D97CFC" w:rsidRDefault="00952154">
      <w:pPr>
        <w:pStyle w:val="Heading3"/>
        <w:spacing w:before="180" w:after="80"/>
        <w:rPr>
          <w:sz w:val="28"/>
          <w:szCs w:val="28"/>
        </w:rPr>
      </w:pPr>
      <w:bookmarkStart w:id="11" w:name="_Toc225934046"/>
      <w:r w:rsidRPr="00D97CFC">
        <w:rPr>
          <w:b/>
          <w:bCs/>
          <w:color w:val="2E75B6"/>
          <w:sz w:val="28"/>
          <w:szCs w:val="28"/>
        </w:rPr>
        <w:t>3.1 CSR Strategy and Contradictions</w:t>
      </w:r>
      <w:bookmarkEnd w:id="11"/>
    </w:p>
    <w:p w:rsidR="00A542E4" w:rsidRPr="00D97CFC" w:rsidRDefault="00A34D2D">
      <w:pPr>
        <w:spacing w:before="80" w:after="120"/>
        <w:jc w:val="both"/>
        <w:rPr>
          <w:sz w:val="24"/>
        </w:rPr>
      </w:pPr>
      <w:r w:rsidRPr="00D97CFC">
        <w:rPr>
          <w:sz w:val="24"/>
        </w:rPr>
        <w:t>Nestlé frames its CSR approach around its "Creating Shared Value" (CSV) philosophy. This aligns with Porter and Kramer's (2011) view that social and commercial value can work together. The commitments focus on three areas: individuals and families (nutrition, health, wellbeing), communities and farmers (responsible sourcing, rural development), and the planet (climate, water, packaging)</w:t>
      </w:r>
      <w:r w:rsidR="00952154" w:rsidRPr="00D97CFC">
        <w:rPr>
          <w:sz w:val="24"/>
        </w:rPr>
        <w:t>.</w:t>
      </w:r>
    </w:p>
    <w:p w:rsidR="00A542E4" w:rsidRPr="00D97CFC" w:rsidRDefault="00A34D2D" w:rsidP="00A34D2D">
      <w:pPr>
        <w:tabs>
          <w:tab w:val="left" w:pos="1933"/>
        </w:tabs>
        <w:rPr>
          <w:sz w:val="24"/>
        </w:rPr>
      </w:pPr>
      <w:r w:rsidRPr="00D97CFC">
        <w:rPr>
          <w:sz w:val="24"/>
        </w:rPr>
        <w:t xml:space="preserve">According to Carroll's (1991) CSR pyramid, Nestlé meets its economic and legal responsibilities. Its ethical and philanthropic commitments, such as the Nestlé Cocoa Plan and Nestlé Needs </w:t>
      </w:r>
      <w:proofErr w:type="spellStart"/>
      <w:r w:rsidRPr="00D97CFC">
        <w:rPr>
          <w:sz w:val="24"/>
        </w:rPr>
        <w:t>YOUth</w:t>
      </w:r>
      <w:proofErr w:type="spellEnd"/>
      <w:r w:rsidRPr="00D97CFC">
        <w:rPr>
          <w:sz w:val="24"/>
        </w:rPr>
        <w:t xml:space="preserve"> initiative, are significant and real.  </w:t>
      </w:r>
    </w:p>
    <w:p w:rsidR="00A34D2D" w:rsidRPr="00D97CFC" w:rsidRDefault="00A34D2D" w:rsidP="00A34D2D">
      <w:pPr>
        <w:tabs>
          <w:tab w:val="left" w:pos="1933"/>
        </w:tabs>
        <w:rPr>
          <w:sz w:val="24"/>
        </w:rPr>
      </w:pPr>
    </w:p>
    <w:p w:rsidR="00A34D2D" w:rsidRPr="00D97CFC" w:rsidRDefault="00A34D2D" w:rsidP="00A34D2D">
      <w:pPr>
        <w:tabs>
          <w:tab w:val="left" w:pos="1933"/>
        </w:tabs>
        <w:rPr>
          <w:sz w:val="24"/>
        </w:rPr>
      </w:pPr>
      <w:r w:rsidRPr="00D97CFC">
        <w:rPr>
          <w:sz w:val="24"/>
        </w:rPr>
        <w:t xml:space="preserve">However, tensions exist and are well-documented. Independent investigations have revealed ongoing child labor in Nestlé’s cocoa supply chain in Côte d'Ivoire, despite years of efforts to fix the issue (Washington Post, 2019). A leaked internal document from 2021 stated that most of Nestlé’s portfolio did not meet its nutritional standards (Financial Times, 2021). Continued water extraction in drought-stricken communities has led to sustained opposition from civil society (Greenpeace, 2022). These criticisms are not minor; they question the authenticity of the CSV model as either genuine or a simple marketing strategy. Crane et al. (2019) highlight this difference between instrumental and truly normative CSR commitments.  </w:t>
      </w:r>
    </w:p>
    <w:p w:rsidR="00A542E4" w:rsidRDefault="00A542E4">
      <w:pPr>
        <w:spacing w:before="80" w:after="120"/>
        <w:jc w:val="both"/>
      </w:pPr>
    </w:p>
    <w:p w:rsidR="00A542E4" w:rsidRPr="00D97CFC" w:rsidRDefault="00952154">
      <w:pPr>
        <w:pStyle w:val="Heading3"/>
        <w:spacing w:before="180" w:after="80"/>
        <w:rPr>
          <w:sz w:val="28"/>
          <w:szCs w:val="28"/>
        </w:rPr>
      </w:pPr>
      <w:bookmarkStart w:id="12" w:name="_Toc225934047"/>
      <w:r w:rsidRPr="00D97CFC">
        <w:rPr>
          <w:b/>
          <w:bCs/>
          <w:color w:val="2E75B6"/>
          <w:sz w:val="28"/>
          <w:szCs w:val="28"/>
        </w:rPr>
        <w:t>3.2 Alignment with Business Objectives</w:t>
      </w:r>
      <w:bookmarkEnd w:id="12"/>
    </w:p>
    <w:p w:rsidR="00A542E4" w:rsidRPr="00D97CFC" w:rsidRDefault="00A34D2D">
      <w:pPr>
        <w:spacing w:before="80" w:after="120"/>
        <w:jc w:val="both"/>
        <w:rPr>
          <w:sz w:val="24"/>
        </w:rPr>
      </w:pPr>
      <w:r w:rsidRPr="00D97CFC">
        <w:rPr>
          <w:sz w:val="24"/>
        </w:rPr>
        <w:t xml:space="preserve">Despite these contradictions, there is increasing evidence that sustainability is becoming integral to Nestlé's operations instead of just a marketing tactic. The CHF 2.5 billion Nestlé for Growth efficiency program focuses on energy and waste reduction as key strategies. </w:t>
      </w:r>
      <w:proofErr w:type="spellStart"/>
      <w:r w:rsidRPr="00D97CFC">
        <w:rPr>
          <w:sz w:val="24"/>
        </w:rPr>
        <w:t>Nespresso's</w:t>
      </w:r>
      <w:proofErr w:type="spellEnd"/>
      <w:r w:rsidRPr="00D97CFC">
        <w:rPr>
          <w:sz w:val="24"/>
        </w:rPr>
        <w:t xml:space="preserve"> AAA Sustainable Quality </w:t>
      </w:r>
      <w:proofErr w:type="spellStart"/>
      <w:r w:rsidRPr="00D97CFC">
        <w:rPr>
          <w:sz w:val="24"/>
        </w:rPr>
        <w:t>Programme</w:t>
      </w:r>
      <w:proofErr w:type="spellEnd"/>
      <w:r w:rsidRPr="00D97CFC">
        <w:rPr>
          <w:sz w:val="24"/>
        </w:rPr>
        <w:t xml:space="preserve"> has achieved higher pricing. New CEO Laurent </w:t>
      </w:r>
      <w:proofErr w:type="spellStart"/>
      <w:r w:rsidRPr="00D97CFC">
        <w:rPr>
          <w:sz w:val="24"/>
        </w:rPr>
        <w:t>Freixe</w:t>
      </w:r>
      <w:proofErr w:type="spellEnd"/>
      <w:r w:rsidRPr="00D97CFC">
        <w:rPr>
          <w:sz w:val="24"/>
        </w:rPr>
        <w:t>, appointed in September 2024 after Mark Schneider's departure, has reaffirmed that the CSV approach is central to Nestlé's long-term strategy (Nestlé, 2024). The commercial and ethical goals, when properly integrated, can align; however, this integration is still incomplete</w:t>
      </w:r>
      <w:r w:rsidR="00952154" w:rsidRPr="00D97CFC">
        <w:rPr>
          <w:sz w:val="24"/>
        </w:rPr>
        <w:t>.</w:t>
      </w:r>
    </w:p>
    <w:p w:rsidR="00D953C0" w:rsidRDefault="00D953C0" w:rsidP="00D953C0"/>
    <w:p w:rsidR="00D953C0" w:rsidRDefault="00D953C0" w:rsidP="00D953C0"/>
    <w:p w:rsidR="00A542E4" w:rsidRPr="00D97CFC" w:rsidRDefault="00952154" w:rsidP="00D953C0">
      <w:pPr>
        <w:rPr>
          <w:sz w:val="24"/>
        </w:rPr>
      </w:pPr>
      <w:r w:rsidRPr="00D97CFC">
        <w:rPr>
          <w:b/>
          <w:bCs/>
          <w:color w:val="2E75B6"/>
          <w:sz w:val="28"/>
          <w:szCs w:val="24"/>
        </w:rPr>
        <w:t>4.0 Balanced Scorecard Analysis</w:t>
      </w:r>
    </w:p>
    <w:p w:rsidR="00A542E4" w:rsidRPr="00D97CFC" w:rsidRDefault="00A34D2D">
      <w:pPr>
        <w:spacing w:before="80" w:after="120"/>
        <w:jc w:val="both"/>
        <w:rPr>
          <w:sz w:val="24"/>
        </w:rPr>
      </w:pPr>
      <w:r w:rsidRPr="00D97CFC">
        <w:rPr>
          <w:sz w:val="24"/>
        </w:rPr>
        <w:t>Kaplan and Norton (1992) introduced the Balanced Scorecard to provide organizations with a fuller view of performance beyond just financial metrics. For Nestlé, which aims for both financial returns and purpose-driven nutritional goals, this framework is very appropriate</w:t>
      </w:r>
      <w:r w:rsidR="00952154" w:rsidRPr="00D97CFC">
        <w:rPr>
          <w:sz w:val="24"/>
        </w:rPr>
        <w:t>.</w:t>
      </w:r>
    </w:p>
    <w:p w:rsidR="00D953C0" w:rsidRDefault="00D953C0">
      <w:pPr>
        <w:spacing w:before="80" w:after="120"/>
        <w:jc w:val="both"/>
      </w:pPr>
    </w:p>
    <w:p w:rsidR="00D953C0" w:rsidRDefault="00D953C0">
      <w:pPr>
        <w:spacing w:before="80" w:after="120"/>
        <w:jc w:val="both"/>
      </w:pPr>
    </w:p>
    <w:p w:rsidR="00D953C0" w:rsidRDefault="00D953C0">
      <w:pPr>
        <w:spacing w:before="80" w:after="120"/>
        <w:jc w:val="both"/>
      </w:pPr>
    </w:p>
    <w:p w:rsidR="00D953C0" w:rsidRDefault="00D953C0">
      <w:pPr>
        <w:spacing w:before="80" w:after="120"/>
        <w:jc w:val="both"/>
      </w:pPr>
    </w:p>
    <w:p w:rsidR="00D953C0" w:rsidRDefault="00D953C0">
      <w:pPr>
        <w:spacing w:before="80" w:after="120"/>
        <w:jc w:val="both"/>
      </w:pPr>
    </w:p>
    <w:p w:rsidR="00D953C0" w:rsidRDefault="00D953C0">
      <w:pPr>
        <w:spacing w:before="80" w:after="120"/>
        <w:jc w:val="both"/>
      </w:pPr>
    </w:p>
    <w:p w:rsidR="00A542E4" w:rsidRDefault="00A542E4">
      <w:pPr>
        <w:spacing w:before="80" w:after="80"/>
      </w:pPr>
    </w:p>
    <w:tbl>
      <w:tblPr>
        <w:tblW w:w="969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5"/>
        <w:gridCol w:w="2123"/>
        <w:gridCol w:w="1908"/>
        <w:gridCol w:w="1593"/>
        <w:gridCol w:w="2362"/>
      </w:tblGrid>
      <w:tr w:rsidR="00A542E4" w:rsidTr="00D85B46">
        <w:trPr>
          <w:trHeight w:val="283"/>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lastRenderedPageBreak/>
              <w:t>Perspective</w:t>
            </w:r>
          </w:p>
        </w:tc>
        <w:tc>
          <w:tcPr>
            <w:tcW w:w="2123"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t>Objectives</w:t>
            </w:r>
          </w:p>
        </w:tc>
        <w:tc>
          <w:tcPr>
            <w:tcW w:w="1908"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t>KPIs</w:t>
            </w:r>
          </w:p>
        </w:tc>
        <w:tc>
          <w:tcPr>
            <w:tcW w:w="1593"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t>Targets</w:t>
            </w:r>
          </w:p>
        </w:tc>
        <w:tc>
          <w:tcPr>
            <w:tcW w:w="2362"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t>Key Initiatives</w:t>
            </w:r>
          </w:p>
        </w:tc>
      </w:tr>
      <w:tr w:rsidR="00A542E4" w:rsidTr="00D85B46">
        <w:trPr>
          <w:trHeight w:val="621"/>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Financial</w:t>
            </w:r>
          </w:p>
        </w:tc>
        <w:tc>
          <w:tcPr>
            <w:tcW w:w="212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Drive profitable organic growth</w:t>
            </w:r>
          </w:p>
        </w:tc>
        <w:tc>
          <w:tcPr>
            <w:tcW w:w="1908"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Underlying sales growth</w:t>
            </w:r>
          </w:p>
        </w:tc>
        <w:tc>
          <w:tcPr>
            <w:tcW w:w="159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4–6% annually</w:t>
            </w:r>
          </w:p>
        </w:tc>
        <w:tc>
          <w:tcPr>
            <w:tcW w:w="2362"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proofErr w:type="spellStart"/>
            <w:r>
              <w:rPr>
                <w:sz w:val="18"/>
                <w:szCs w:val="18"/>
              </w:rPr>
              <w:t>Premiumisation</w:t>
            </w:r>
            <w:proofErr w:type="spellEnd"/>
            <w:r>
              <w:rPr>
                <w:sz w:val="18"/>
                <w:szCs w:val="18"/>
              </w:rPr>
              <w:t>; emerging market investment</w:t>
            </w:r>
          </w:p>
        </w:tc>
      </w:tr>
      <w:tr w:rsidR="00A542E4" w:rsidTr="00D85B46">
        <w:trPr>
          <w:trHeight w:val="405"/>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85B46" w:rsidRDefault="00952154">
            <w:pPr>
              <w:rPr>
                <w:sz w:val="20"/>
              </w:rPr>
            </w:pPr>
            <w:r w:rsidRPr="00D85B46">
              <w:rPr>
                <w:sz w:val="20"/>
                <w:szCs w:val="18"/>
              </w:rPr>
              <w:t>Financial</w:t>
            </w:r>
          </w:p>
        </w:tc>
        <w:tc>
          <w:tcPr>
            <w:tcW w:w="212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Improve operating margins</w:t>
            </w:r>
          </w:p>
        </w:tc>
        <w:tc>
          <w:tcPr>
            <w:tcW w:w="190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Trading operating profit margin</w:t>
            </w:r>
          </w:p>
        </w:tc>
        <w:tc>
          <w:tcPr>
            <w:tcW w:w="159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&gt;17.5% mid-term</w:t>
            </w:r>
          </w:p>
        </w:tc>
        <w:tc>
          <w:tcPr>
            <w:tcW w:w="236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Nestlé for Growth savings (CHF 2.5bn)</w:t>
            </w:r>
          </w:p>
        </w:tc>
      </w:tr>
      <w:tr w:rsidR="00A542E4" w:rsidTr="00D85B46">
        <w:trPr>
          <w:trHeight w:val="405"/>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Financial</w:t>
            </w:r>
          </w:p>
        </w:tc>
        <w:tc>
          <w:tcPr>
            <w:tcW w:w="212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proofErr w:type="spellStart"/>
            <w:r>
              <w:rPr>
                <w:sz w:val="18"/>
                <w:szCs w:val="18"/>
              </w:rPr>
              <w:t>Optimise</w:t>
            </w:r>
            <w:proofErr w:type="spellEnd"/>
            <w:r>
              <w:rPr>
                <w:sz w:val="18"/>
                <w:szCs w:val="18"/>
              </w:rPr>
              <w:t xml:space="preserve"> capital allocation</w:t>
            </w:r>
          </w:p>
        </w:tc>
        <w:tc>
          <w:tcPr>
            <w:tcW w:w="1908"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Free cash flow conversion</w:t>
            </w:r>
          </w:p>
        </w:tc>
        <w:tc>
          <w:tcPr>
            <w:tcW w:w="159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&gt;85% of net profit</w:t>
            </w:r>
          </w:p>
        </w:tc>
        <w:tc>
          <w:tcPr>
            <w:tcW w:w="2362"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Portfolio divestment; capex discipline</w:t>
            </w:r>
          </w:p>
        </w:tc>
      </w:tr>
      <w:tr w:rsidR="00A542E4" w:rsidTr="00D85B46">
        <w:trPr>
          <w:trHeight w:val="621"/>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85B46" w:rsidRDefault="00952154">
            <w:pPr>
              <w:rPr>
                <w:sz w:val="20"/>
              </w:rPr>
            </w:pPr>
            <w:r w:rsidRPr="00D85B46">
              <w:rPr>
                <w:sz w:val="20"/>
                <w:szCs w:val="18"/>
              </w:rPr>
              <w:t>Customer</w:t>
            </w:r>
          </w:p>
        </w:tc>
        <w:tc>
          <w:tcPr>
            <w:tcW w:w="212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Strengthen brand equity</w:t>
            </w:r>
          </w:p>
        </w:tc>
        <w:tc>
          <w:tcPr>
            <w:tcW w:w="190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 xml:space="preserve">Brand power scores (Kantar </w:t>
            </w:r>
            <w:proofErr w:type="spellStart"/>
            <w:r>
              <w:rPr>
                <w:sz w:val="18"/>
                <w:szCs w:val="18"/>
              </w:rPr>
              <w:t>BrandZ</w:t>
            </w:r>
            <w:proofErr w:type="spellEnd"/>
            <w:r>
              <w:rPr>
                <w:sz w:val="18"/>
                <w:szCs w:val="18"/>
              </w:rPr>
              <w:t>)</w:t>
            </w:r>
          </w:p>
        </w:tc>
        <w:tc>
          <w:tcPr>
            <w:tcW w:w="159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Top-tier in core categories</w:t>
            </w:r>
          </w:p>
        </w:tc>
        <w:tc>
          <w:tcPr>
            <w:tcW w:w="236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Increased A&amp;P investment in power brands</w:t>
            </w:r>
          </w:p>
        </w:tc>
      </w:tr>
      <w:tr w:rsidR="00A542E4" w:rsidTr="00D85B46">
        <w:trPr>
          <w:trHeight w:val="608"/>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Customer</w:t>
            </w:r>
          </w:p>
        </w:tc>
        <w:tc>
          <w:tcPr>
            <w:tcW w:w="212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Grow health science share</w:t>
            </w:r>
          </w:p>
        </w:tc>
        <w:tc>
          <w:tcPr>
            <w:tcW w:w="1908"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Retail market share in Health Science</w:t>
            </w:r>
          </w:p>
        </w:tc>
        <w:tc>
          <w:tcPr>
            <w:tcW w:w="159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+2% over 3 years</w:t>
            </w:r>
          </w:p>
        </w:tc>
        <w:tc>
          <w:tcPr>
            <w:tcW w:w="2362"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Clinical nutrition platforms</w:t>
            </w:r>
          </w:p>
        </w:tc>
      </w:tr>
      <w:tr w:rsidR="00A542E4" w:rsidTr="00D85B46">
        <w:trPr>
          <w:trHeight w:val="418"/>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85B46" w:rsidRDefault="00952154">
            <w:pPr>
              <w:rPr>
                <w:sz w:val="20"/>
              </w:rPr>
            </w:pPr>
            <w:r w:rsidRPr="00D85B46">
              <w:rPr>
                <w:sz w:val="20"/>
                <w:szCs w:val="18"/>
              </w:rPr>
              <w:t>Customer</w:t>
            </w:r>
          </w:p>
        </w:tc>
        <w:tc>
          <w:tcPr>
            <w:tcW w:w="212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Expand e-commerce</w:t>
            </w:r>
          </w:p>
        </w:tc>
        <w:tc>
          <w:tcPr>
            <w:tcW w:w="190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E-commerce % of total sales</w:t>
            </w:r>
          </w:p>
        </w:tc>
        <w:tc>
          <w:tcPr>
            <w:tcW w:w="159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25% by 2027</w:t>
            </w:r>
          </w:p>
        </w:tc>
        <w:tc>
          <w:tcPr>
            <w:tcW w:w="236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DTC platforms; retail media partnerships</w:t>
            </w:r>
          </w:p>
        </w:tc>
      </w:tr>
      <w:tr w:rsidR="00A542E4" w:rsidTr="00D85B46">
        <w:trPr>
          <w:trHeight w:val="445"/>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Internal Processes</w:t>
            </w:r>
          </w:p>
        </w:tc>
        <w:tc>
          <w:tcPr>
            <w:tcW w:w="212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Accelerate innovation speed</w:t>
            </w:r>
          </w:p>
        </w:tc>
        <w:tc>
          <w:tcPr>
            <w:tcW w:w="1908"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Time-to-market for new products</w:t>
            </w:r>
          </w:p>
        </w:tc>
        <w:tc>
          <w:tcPr>
            <w:tcW w:w="159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Reduce by 20%</w:t>
            </w:r>
          </w:p>
        </w:tc>
        <w:tc>
          <w:tcPr>
            <w:tcW w:w="2362"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Agile innovation hubs; open innovation</w:t>
            </w:r>
          </w:p>
        </w:tc>
      </w:tr>
      <w:tr w:rsidR="00A542E4" w:rsidTr="00D85B46">
        <w:trPr>
          <w:trHeight w:val="459"/>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85B46" w:rsidRDefault="00952154">
            <w:pPr>
              <w:rPr>
                <w:sz w:val="20"/>
              </w:rPr>
            </w:pPr>
            <w:r w:rsidRPr="00D85B46">
              <w:rPr>
                <w:sz w:val="20"/>
                <w:szCs w:val="18"/>
              </w:rPr>
              <w:t>Internal Processes</w:t>
            </w:r>
          </w:p>
        </w:tc>
        <w:tc>
          <w:tcPr>
            <w:tcW w:w="212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Improve supply chain resilience</w:t>
            </w:r>
          </w:p>
        </w:tc>
        <w:tc>
          <w:tcPr>
            <w:tcW w:w="190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Supply chain reliability index</w:t>
            </w:r>
          </w:p>
        </w:tc>
        <w:tc>
          <w:tcPr>
            <w:tcW w:w="159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99%+ service level</w:t>
            </w:r>
          </w:p>
        </w:tc>
        <w:tc>
          <w:tcPr>
            <w:tcW w:w="236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Dual sourcing; supplier diversification</w:t>
            </w:r>
          </w:p>
        </w:tc>
      </w:tr>
      <w:tr w:rsidR="00A542E4" w:rsidTr="00D85B46">
        <w:trPr>
          <w:trHeight w:val="621"/>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Internal Processes</w:t>
            </w:r>
          </w:p>
        </w:tc>
        <w:tc>
          <w:tcPr>
            <w:tcW w:w="212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Embed sustainable sourcing</w:t>
            </w:r>
          </w:p>
        </w:tc>
        <w:tc>
          <w:tcPr>
            <w:tcW w:w="1908"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Responsibly sourced commodities</w:t>
            </w:r>
          </w:p>
        </w:tc>
        <w:tc>
          <w:tcPr>
            <w:tcW w:w="159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100% by 2025</w:t>
            </w:r>
          </w:p>
        </w:tc>
        <w:tc>
          <w:tcPr>
            <w:tcW w:w="2362"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Rainforest Alliance; farmer training</w:t>
            </w:r>
          </w:p>
        </w:tc>
      </w:tr>
      <w:tr w:rsidR="00A542E4" w:rsidTr="00D85B46">
        <w:trPr>
          <w:trHeight w:val="445"/>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85B46" w:rsidRDefault="00952154">
            <w:pPr>
              <w:rPr>
                <w:sz w:val="20"/>
              </w:rPr>
            </w:pPr>
            <w:r w:rsidRPr="00D85B46">
              <w:rPr>
                <w:sz w:val="20"/>
                <w:szCs w:val="18"/>
              </w:rPr>
              <w:t>Learning &amp; Growth</w:t>
            </w:r>
          </w:p>
        </w:tc>
        <w:tc>
          <w:tcPr>
            <w:tcW w:w="212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Develop digital talent</w:t>
            </w:r>
          </w:p>
        </w:tc>
        <w:tc>
          <w:tcPr>
            <w:tcW w:w="190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Digital capability maturity score</w:t>
            </w:r>
          </w:p>
        </w:tc>
        <w:tc>
          <w:tcPr>
            <w:tcW w:w="159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Top-quartile benchmark</w:t>
            </w:r>
          </w:p>
        </w:tc>
        <w:tc>
          <w:tcPr>
            <w:tcW w:w="236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Digital Academy; AI skills investment</w:t>
            </w:r>
          </w:p>
        </w:tc>
      </w:tr>
      <w:tr w:rsidR="00A542E4" w:rsidTr="00D85B46">
        <w:trPr>
          <w:trHeight w:val="459"/>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Learning &amp; Growth</w:t>
            </w:r>
          </w:p>
        </w:tc>
        <w:tc>
          <w:tcPr>
            <w:tcW w:w="212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Improve engagement</w:t>
            </w:r>
          </w:p>
        </w:tc>
        <w:tc>
          <w:tcPr>
            <w:tcW w:w="1908"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Employee engagement index</w:t>
            </w:r>
          </w:p>
        </w:tc>
        <w:tc>
          <w:tcPr>
            <w:tcW w:w="159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 xml:space="preserve">&gt;75% </w:t>
            </w:r>
            <w:proofErr w:type="spellStart"/>
            <w:r>
              <w:rPr>
                <w:sz w:val="18"/>
                <w:szCs w:val="18"/>
              </w:rPr>
              <w:t>favourable</w:t>
            </w:r>
            <w:proofErr w:type="spellEnd"/>
          </w:p>
        </w:tc>
        <w:tc>
          <w:tcPr>
            <w:tcW w:w="2362"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Flexible working; DE&amp;I initiatives</w:t>
            </w:r>
          </w:p>
        </w:tc>
      </w:tr>
      <w:tr w:rsidR="00A542E4" w:rsidTr="00D85B46">
        <w:trPr>
          <w:trHeight w:val="459"/>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85B46" w:rsidRDefault="00952154">
            <w:pPr>
              <w:rPr>
                <w:sz w:val="20"/>
              </w:rPr>
            </w:pPr>
            <w:r w:rsidRPr="00D85B46">
              <w:rPr>
                <w:sz w:val="20"/>
                <w:szCs w:val="18"/>
              </w:rPr>
              <w:t>Learning &amp; Growth</w:t>
            </w:r>
          </w:p>
        </w:tc>
        <w:tc>
          <w:tcPr>
            <w:tcW w:w="212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Foster innovation culture</w:t>
            </w:r>
          </w:p>
        </w:tc>
        <w:tc>
          <w:tcPr>
            <w:tcW w:w="190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 xml:space="preserve">Revenue from new products (&lt;3 </w:t>
            </w:r>
            <w:proofErr w:type="spellStart"/>
            <w:r>
              <w:rPr>
                <w:sz w:val="18"/>
                <w:szCs w:val="18"/>
              </w:rPr>
              <w:t>yrs</w:t>
            </w:r>
            <w:proofErr w:type="spellEnd"/>
            <w:r>
              <w:rPr>
                <w:sz w:val="18"/>
                <w:szCs w:val="18"/>
              </w:rPr>
              <w:t>)</w:t>
            </w:r>
          </w:p>
        </w:tc>
        <w:tc>
          <w:tcPr>
            <w:tcW w:w="159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&gt;15% annually</w:t>
            </w:r>
          </w:p>
        </w:tc>
        <w:tc>
          <w:tcPr>
            <w:tcW w:w="236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Intrapreneurship; venture units</w:t>
            </w:r>
          </w:p>
        </w:tc>
      </w:tr>
    </w:tbl>
    <w:p w:rsidR="00A542E4" w:rsidRDefault="00952154">
      <w:pPr>
        <w:spacing w:before="60" w:after="120"/>
        <w:jc w:val="center"/>
      </w:pPr>
      <w:r>
        <w:rPr>
          <w:i/>
          <w:iCs/>
          <w:color w:val="595959"/>
          <w:sz w:val="18"/>
          <w:szCs w:val="18"/>
        </w:rPr>
        <w:t>Table 2: Balanced Scorecard – Nestlé S.A. (Author's own, based on Kaplan and Norton, 1992)</w:t>
      </w:r>
    </w:p>
    <w:p w:rsidR="00A542E4" w:rsidRPr="00D85B46" w:rsidRDefault="00D713E2">
      <w:pPr>
        <w:spacing w:before="80" w:after="120"/>
        <w:jc w:val="both"/>
        <w:rPr>
          <w:sz w:val="24"/>
        </w:rPr>
      </w:pPr>
      <w:r w:rsidRPr="00D85B46">
        <w:rPr>
          <w:sz w:val="24"/>
        </w:rPr>
        <w:t xml:space="preserve">Financially, under </w:t>
      </w:r>
      <w:proofErr w:type="spellStart"/>
      <w:r w:rsidRPr="00D85B46">
        <w:rPr>
          <w:sz w:val="24"/>
        </w:rPr>
        <w:t>Freixe</w:t>
      </w:r>
      <w:proofErr w:type="spellEnd"/>
      <w:r w:rsidRPr="00D85B46">
        <w:rPr>
          <w:sz w:val="24"/>
        </w:rPr>
        <w:t>, the focus has moved from growth driven by price to recovering volume. The price hikes from 2022 to 2023 boosted short-term profits but hurt consumer trust in value-driven segments. The Nestlé for Growth program, with a goal of CHF 2.5 billion in savings, aims to restore the target trading margin of 17.5%. The company’s sales of US water brands show a careful approach to capital allocation</w:t>
      </w:r>
      <w:r w:rsidR="00952154" w:rsidRPr="00D85B46">
        <w:rPr>
          <w:sz w:val="24"/>
        </w:rPr>
        <w:t>.</w:t>
      </w:r>
    </w:p>
    <w:p w:rsidR="00A542E4" w:rsidRPr="00D85B46" w:rsidRDefault="00D713E2">
      <w:pPr>
        <w:spacing w:before="80" w:after="120"/>
        <w:jc w:val="both"/>
        <w:rPr>
          <w:sz w:val="24"/>
        </w:rPr>
      </w:pPr>
      <w:r w:rsidRPr="00D85B46">
        <w:rPr>
          <w:sz w:val="24"/>
        </w:rPr>
        <w:t xml:space="preserve">From a customer standpoint, Kantar </w:t>
      </w:r>
      <w:proofErr w:type="spellStart"/>
      <w:r w:rsidRPr="00D85B46">
        <w:rPr>
          <w:sz w:val="24"/>
        </w:rPr>
        <w:t>BrandZ</w:t>
      </w:r>
      <w:proofErr w:type="spellEnd"/>
      <w:r w:rsidRPr="00D85B46">
        <w:rPr>
          <w:sz w:val="24"/>
        </w:rPr>
        <w:t xml:space="preserve"> (2023) shows that Nescafé and Maggi maintain strong brand scores, although new premium competitors are taking market share in coffee and pet nutrition. E-commerce, currently at 17.3%, needs to hit 25% by 2027 to stay competitive</w:t>
      </w:r>
      <w:r w:rsidR="00952154" w:rsidRPr="00D85B46">
        <w:rPr>
          <w:sz w:val="24"/>
        </w:rPr>
        <w:t>.</w:t>
      </w:r>
    </w:p>
    <w:p w:rsidR="00A542E4" w:rsidRPr="00D85B46" w:rsidRDefault="00D713E2">
      <w:pPr>
        <w:spacing w:before="80" w:after="120"/>
        <w:jc w:val="both"/>
        <w:rPr>
          <w:sz w:val="24"/>
        </w:rPr>
      </w:pPr>
      <w:r w:rsidRPr="00D85B46">
        <w:rPr>
          <w:sz w:val="24"/>
        </w:rPr>
        <w:t>Internally, the speed of innovation is a recognized weakness (Bernstein Research, 2023). Nestlé is using agile development methods and partnerships with startups to improve in this area. The pandemic revealed weaknesses in the supply chain, which the company is addressing through dual-sourcing strategies</w:t>
      </w:r>
      <w:r w:rsidR="00952154" w:rsidRPr="00D85B46">
        <w:rPr>
          <w:sz w:val="24"/>
        </w:rPr>
        <w:t>.</w:t>
      </w:r>
    </w:p>
    <w:p w:rsidR="00A542E4" w:rsidRPr="00D85B46" w:rsidRDefault="00D713E2">
      <w:pPr>
        <w:spacing w:before="80" w:after="120"/>
        <w:jc w:val="both"/>
        <w:rPr>
          <w:sz w:val="24"/>
        </w:rPr>
      </w:pPr>
      <w:r w:rsidRPr="00D85B46">
        <w:rPr>
          <w:sz w:val="24"/>
        </w:rPr>
        <w:t>Regarding learning and growth, the Digital Academy provides AI and data analytics training to Nestlé's global workforce. This aims to bridge the skills gap that could threaten their competitive edge. Employee engagement and diversity are seen as key indicators of innovation capacity and talent retention (Hunt et al., 2018)</w:t>
      </w:r>
      <w:r w:rsidR="00952154" w:rsidRPr="00D85B46">
        <w:rPr>
          <w:sz w:val="24"/>
        </w:rPr>
        <w:t>.</w:t>
      </w:r>
    </w:p>
    <w:p w:rsidR="00A542E4" w:rsidRDefault="00952154">
      <w:r>
        <w:br w:type="page"/>
      </w:r>
    </w:p>
    <w:p w:rsidR="00A542E4" w:rsidRPr="00D85B46" w:rsidRDefault="00952154">
      <w:pPr>
        <w:pStyle w:val="Heading2"/>
        <w:spacing w:before="240" w:after="120"/>
        <w:rPr>
          <w:sz w:val="28"/>
          <w:szCs w:val="28"/>
        </w:rPr>
      </w:pPr>
      <w:bookmarkStart w:id="13" w:name="_Toc225934048"/>
      <w:r w:rsidRPr="00D85B46">
        <w:rPr>
          <w:b/>
          <w:bCs/>
          <w:color w:val="2E75B6"/>
          <w:sz w:val="28"/>
          <w:szCs w:val="28"/>
        </w:rPr>
        <w:lastRenderedPageBreak/>
        <w:t>5.0 Strategic Choices and Implementation</w:t>
      </w:r>
      <w:bookmarkEnd w:id="13"/>
    </w:p>
    <w:p w:rsidR="00A542E4" w:rsidRPr="00D85B46" w:rsidRDefault="00952154">
      <w:pPr>
        <w:pStyle w:val="Heading3"/>
        <w:spacing w:before="180" w:after="80"/>
        <w:rPr>
          <w:sz w:val="28"/>
          <w:szCs w:val="28"/>
        </w:rPr>
      </w:pPr>
      <w:bookmarkStart w:id="14" w:name="_Toc225934049"/>
      <w:r w:rsidRPr="00D85B46">
        <w:rPr>
          <w:b/>
          <w:bCs/>
          <w:color w:val="2E75B6"/>
          <w:sz w:val="28"/>
          <w:szCs w:val="28"/>
        </w:rPr>
        <w:t>5.1 Business-Level Strategy</w:t>
      </w:r>
      <w:bookmarkEnd w:id="14"/>
    </w:p>
    <w:p w:rsidR="00A542E4" w:rsidRPr="00D85B46" w:rsidRDefault="00D713E2">
      <w:pPr>
        <w:spacing w:before="80" w:after="120"/>
        <w:jc w:val="both"/>
        <w:rPr>
          <w:sz w:val="24"/>
        </w:rPr>
      </w:pPr>
      <w:r w:rsidRPr="00D85B46">
        <w:rPr>
          <w:sz w:val="24"/>
        </w:rPr>
        <w:t xml:space="preserve">Porter (1985) emphasizes that companies must adopt a clear competitive position or risk being ‘stuck in the middle.’ Nestlé's main strategy is broad differentiation, focusing on brand equity, scientific qualifications, and product quality rather than price. This is particularly evident with </w:t>
      </w:r>
      <w:proofErr w:type="spellStart"/>
      <w:r w:rsidRPr="00D85B46">
        <w:rPr>
          <w:sz w:val="24"/>
        </w:rPr>
        <w:t>Nespresso</w:t>
      </w:r>
      <w:proofErr w:type="spellEnd"/>
      <w:r w:rsidRPr="00D85B46">
        <w:rPr>
          <w:sz w:val="24"/>
        </w:rPr>
        <w:t>, Purina Pro Plan, and Nestlé Health Science, which can command higher prices. Miles and Snow's (1978) prospector typology also applies; Nestlé prioritizes market responsiveness and innovation over cost efficiency</w:t>
      </w:r>
      <w:r w:rsidR="00952154" w:rsidRPr="00D85B46">
        <w:rPr>
          <w:sz w:val="24"/>
        </w:rPr>
        <w:t>.</w:t>
      </w:r>
    </w:p>
    <w:p w:rsidR="00A542E4" w:rsidRPr="00D85B46" w:rsidRDefault="00D713E2">
      <w:pPr>
        <w:spacing w:before="80" w:after="120"/>
        <w:jc w:val="both"/>
        <w:rPr>
          <w:sz w:val="24"/>
        </w:rPr>
      </w:pPr>
      <w:r w:rsidRPr="00D85B46">
        <w:rPr>
          <w:sz w:val="24"/>
        </w:rPr>
        <w:t>In the premium and clinical nutrition segments, focused differentiation is key, especially in Nestlé Health Science, where scientific credibility influences purchase decisions more than advertising</w:t>
      </w:r>
      <w:r w:rsidR="00952154" w:rsidRPr="00D85B46">
        <w:rPr>
          <w:sz w:val="24"/>
        </w:rPr>
        <w:t>.</w:t>
      </w:r>
    </w:p>
    <w:p w:rsidR="00A542E4" w:rsidRPr="00D85B46" w:rsidRDefault="00D713E2">
      <w:pPr>
        <w:spacing w:before="80" w:after="120"/>
        <w:jc w:val="both"/>
        <w:rPr>
          <w:sz w:val="24"/>
        </w:rPr>
      </w:pPr>
      <w:r w:rsidRPr="00D85B46">
        <w:rPr>
          <w:sz w:val="24"/>
        </w:rPr>
        <w:t>Recommendation: Nestlé should strengthen its differentiation strategy by investing in areas where its VRIO analysis supports a lasting advantage — health science, premium coffee, and pet nutrition. At the same time, it should divest areas that lack strategic focus. Christensen's (1997) disruptive innovation framework encourages early investment in personalized nutrition platforms to fend off well-funded startups</w:t>
      </w:r>
      <w:r w:rsidR="00952154" w:rsidRPr="00D85B46">
        <w:rPr>
          <w:sz w:val="24"/>
        </w:rPr>
        <w:t>.</w:t>
      </w:r>
    </w:p>
    <w:p w:rsidR="00D85B46" w:rsidRDefault="00D85B46">
      <w:pPr>
        <w:pStyle w:val="Heading3"/>
        <w:spacing w:before="180" w:after="80"/>
        <w:rPr>
          <w:b/>
          <w:bCs/>
          <w:color w:val="2E75B6"/>
          <w:sz w:val="28"/>
          <w:szCs w:val="22"/>
        </w:rPr>
      </w:pPr>
    </w:p>
    <w:p w:rsidR="00A542E4" w:rsidRPr="00D85B46" w:rsidRDefault="00952154">
      <w:pPr>
        <w:pStyle w:val="Heading3"/>
        <w:spacing w:before="180" w:after="80"/>
        <w:rPr>
          <w:sz w:val="32"/>
        </w:rPr>
      </w:pPr>
      <w:bookmarkStart w:id="15" w:name="_Toc225934050"/>
      <w:r w:rsidRPr="00D85B46">
        <w:rPr>
          <w:b/>
          <w:bCs/>
          <w:color w:val="2E75B6"/>
          <w:sz w:val="28"/>
          <w:szCs w:val="22"/>
        </w:rPr>
        <w:t>5.2 Corporate-Level Strategy</w:t>
      </w:r>
      <w:bookmarkEnd w:id="15"/>
    </w:p>
    <w:p w:rsidR="00A542E4" w:rsidRPr="00D85B46" w:rsidRDefault="00D713E2">
      <w:pPr>
        <w:spacing w:before="80" w:after="120"/>
        <w:jc w:val="both"/>
        <w:rPr>
          <w:sz w:val="24"/>
        </w:rPr>
      </w:pPr>
      <w:r w:rsidRPr="00D85B46">
        <w:rPr>
          <w:sz w:val="24"/>
        </w:rPr>
        <w:t xml:space="preserve">Nestlé's corporate strategy combines related diversification with selective geographic expansion. The six business units share strengths in food science, distribution, and brand management, fitting the related diversification model that Campbell, </w:t>
      </w:r>
      <w:proofErr w:type="spellStart"/>
      <w:r w:rsidRPr="00D85B46">
        <w:rPr>
          <w:sz w:val="24"/>
        </w:rPr>
        <w:t>Goold</w:t>
      </w:r>
      <w:proofErr w:type="spellEnd"/>
      <w:r w:rsidRPr="00D85B46">
        <w:rPr>
          <w:sz w:val="24"/>
        </w:rPr>
        <w:t>, and Alexander (1995) link to parenting advantage</w:t>
      </w:r>
      <w:r w:rsidR="00952154" w:rsidRPr="00D85B46">
        <w:rPr>
          <w:sz w:val="24"/>
        </w:rPr>
        <w:t>.</w:t>
      </w:r>
    </w:p>
    <w:p w:rsidR="00A542E4" w:rsidRPr="00D85B46" w:rsidRDefault="00D713E2">
      <w:pPr>
        <w:spacing w:before="80" w:after="120"/>
        <w:jc w:val="both"/>
        <w:rPr>
          <w:sz w:val="24"/>
        </w:rPr>
      </w:pPr>
      <w:r w:rsidRPr="00D85B46">
        <w:rPr>
          <w:sz w:val="24"/>
        </w:rPr>
        <w:t xml:space="preserve">Using BCG matrix logic (Henderson, 1979): Purina </w:t>
      </w:r>
      <w:proofErr w:type="spellStart"/>
      <w:r w:rsidRPr="00D85B46">
        <w:rPr>
          <w:sz w:val="24"/>
        </w:rPr>
        <w:t>PetCare</w:t>
      </w:r>
      <w:proofErr w:type="spellEnd"/>
      <w:r w:rsidRPr="00D85B46">
        <w:rPr>
          <w:sz w:val="24"/>
        </w:rPr>
        <w:t xml:space="preserve"> and </w:t>
      </w:r>
      <w:proofErr w:type="spellStart"/>
      <w:r w:rsidRPr="00D85B46">
        <w:rPr>
          <w:sz w:val="24"/>
        </w:rPr>
        <w:t>Nespresso</w:t>
      </w:r>
      <w:proofErr w:type="spellEnd"/>
      <w:r w:rsidRPr="00D85B46">
        <w:rPr>
          <w:sz w:val="24"/>
        </w:rPr>
        <w:t xml:space="preserve"> are Stars, achieving high market share and growth, which require ongoing investment. Confectionery in the saturated Western European markets acts as a Cash Cow. Nestlé Health Science is a Question Mark, showing significant potential in a growing health market but not yet achieving critical mass</w:t>
      </w:r>
      <w:r w:rsidR="00952154" w:rsidRPr="00D85B46">
        <w:rPr>
          <w:sz w:val="24"/>
        </w:rPr>
        <w:t>.</w:t>
      </w:r>
    </w:p>
    <w:p w:rsidR="00A542E4" w:rsidRPr="00D85B46" w:rsidRDefault="00256411">
      <w:pPr>
        <w:spacing w:before="80" w:after="120"/>
        <w:jc w:val="both"/>
        <w:rPr>
          <w:sz w:val="24"/>
        </w:rPr>
      </w:pPr>
      <w:r w:rsidRPr="00D85B46">
        <w:rPr>
          <w:sz w:val="24"/>
        </w:rPr>
        <w:t xml:space="preserve">Recommendation: Conduct selective portfolio rationalization by reinvesting proceeds in premium health and wellness acquisitions. Bartlett and </w:t>
      </w:r>
      <w:proofErr w:type="spellStart"/>
      <w:r w:rsidRPr="00D85B46">
        <w:rPr>
          <w:sz w:val="24"/>
        </w:rPr>
        <w:t>Ghoshal's</w:t>
      </w:r>
      <w:proofErr w:type="spellEnd"/>
      <w:r w:rsidRPr="00D85B46">
        <w:rPr>
          <w:sz w:val="24"/>
        </w:rPr>
        <w:t xml:space="preserve"> (1989) transnational model — balancing global efficiency with local responsiveness — offers a strong framework for geographic expansion in India and Sub-Saharan Africa</w:t>
      </w:r>
      <w:r w:rsidR="00952154" w:rsidRPr="00D85B46">
        <w:rPr>
          <w:sz w:val="24"/>
        </w:rPr>
        <w:t>.</w:t>
      </w:r>
    </w:p>
    <w:p w:rsidR="00D85B46" w:rsidRDefault="00D85B46">
      <w:pPr>
        <w:pStyle w:val="Heading3"/>
        <w:spacing w:before="180" w:after="80"/>
        <w:rPr>
          <w:b/>
          <w:bCs/>
          <w:color w:val="2E75B6"/>
          <w:sz w:val="22"/>
          <w:szCs w:val="22"/>
        </w:rPr>
      </w:pPr>
    </w:p>
    <w:p w:rsidR="00A542E4" w:rsidRPr="00D85B46" w:rsidRDefault="00952154">
      <w:pPr>
        <w:pStyle w:val="Heading3"/>
        <w:spacing w:before="180" w:after="80"/>
        <w:rPr>
          <w:sz w:val="32"/>
        </w:rPr>
      </w:pPr>
      <w:bookmarkStart w:id="16" w:name="_Toc225934051"/>
      <w:r w:rsidRPr="00D85B46">
        <w:rPr>
          <w:b/>
          <w:bCs/>
          <w:color w:val="2E75B6"/>
          <w:sz w:val="28"/>
          <w:szCs w:val="22"/>
        </w:rPr>
        <w:t>5.3 Change Management</w:t>
      </w:r>
      <w:bookmarkEnd w:id="16"/>
    </w:p>
    <w:p w:rsidR="00A542E4" w:rsidRPr="00D85B46" w:rsidRDefault="00256411">
      <w:pPr>
        <w:spacing w:before="80" w:after="120"/>
        <w:jc w:val="both"/>
        <w:rPr>
          <w:sz w:val="24"/>
        </w:rPr>
      </w:pPr>
      <w:r w:rsidRPr="00D85B46">
        <w:rPr>
          <w:sz w:val="24"/>
        </w:rPr>
        <w:t xml:space="preserve">Nestlé's approach to strategic change has involved significant leadership shifts. The 2017 hiring of Ulf Mark Schneider, the first external CEO in the company's history, marked a clear move away from gradual changes, fast-tracking the health and wellness shift. Laurent </w:t>
      </w:r>
      <w:proofErr w:type="spellStart"/>
      <w:r w:rsidRPr="00D85B46">
        <w:rPr>
          <w:sz w:val="24"/>
        </w:rPr>
        <w:t>Freixe’s</w:t>
      </w:r>
      <w:proofErr w:type="spellEnd"/>
      <w:r w:rsidRPr="00D85B46">
        <w:rPr>
          <w:sz w:val="24"/>
        </w:rPr>
        <w:t xml:space="preserve"> appointment in 2024, following pressure from activist investors, suggests a renewed emphasis on operational execution and volume recovery (Nestlé, 2024)</w:t>
      </w:r>
      <w:r w:rsidR="00952154" w:rsidRPr="00D85B46">
        <w:rPr>
          <w:sz w:val="24"/>
        </w:rPr>
        <w:t>.</w:t>
      </w:r>
    </w:p>
    <w:p w:rsidR="00A542E4" w:rsidRPr="00D85B46" w:rsidRDefault="00256411">
      <w:pPr>
        <w:spacing w:before="80" w:after="120"/>
        <w:jc w:val="both"/>
        <w:rPr>
          <w:sz w:val="24"/>
        </w:rPr>
      </w:pPr>
      <w:r w:rsidRPr="00D85B46">
        <w:rPr>
          <w:sz w:val="24"/>
        </w:rPr>
        <w:t xml:space="preserve">Kotter's (1996) eight-step change model highlights Nestlé's ability to create urgency and communicate its strategic vision effectively. However, </w:t>
      </w:r>
      <w:proofErr w:type="spellStart"/>
      <w:r w:rsidRPr="00D85B46">
        <w:rPr>
          <w:sz w:val="24"/>
        </w:rPr>
        <w:t>Mintzberg</w:t>
      </w:r>
      <w:proofErr w:type="spellEnd"/>
      <w:r w:rsidRPr="00D85B46">
        <w:rPr>
          <w:sz w:val="24"/>
        </w:rPr>
        <w:t xml:space="preserve"> (1994) cautions that large, decentralized organizations often struggle with the gap between strategic goals and actual operations. Lewin's (1951) force field analysis shows that pressures </w:t>
      </w:r>
      <w:r w:rsidRPr="00D85B46">
        <w:rPr>
          <w:sz w:val="24"/>
        </w:rPr>
        <w:lastRenderedPageBreak/>
        <w:t>from activists, consumer trends, and digital disruption are driving forces but are countered by cultural resistance and risk aversion typical of a 150-year-old company. Changing behaviors across a large workforce of 275,000 people, operating in diverse cultural environments, is the real challenge of implementation</w:t>
      </w:r>
      <w:r w:rsidR="00952154" w:rsidRPr="00D85B46">
        <w:rPr>
          <w:sz w:val="24"/>
        </w:rPr>
        <w:t>.</w:t>
      </w:r>
    </w:p>
    <w:p w:rsidR="00A542E4" w:rsidRDefault="00952154">
      <w:r>
        <w:br w:type="page"/>
      </w:r>
    </w:p>
    <w:p w:rsidR="00A542E4" w:rsidRPr="00D85B46" w:rsidRDefault="00952154">
      <w:pPr>
        <w:pStyle w:val="Heading2"/>
        <w:spacing w:before="240" w:after="120"/>
        <w:rPr>
          <w:sz w:val="28"/>
          <w:szCs w:val="28"/>
        </w:rPr>
      </w:pPr>
      <w:bookmarkStart w:id="17" w:name="_Toc225934052"/>
      <w:r w:rsidRPr="00D85B46">
        <w:rPr>
          <w:b/>
          <w:bCs/>
          <w:color w:val="2E75B6"/>
          <w:sz w:val="28"/>
          <w:szCs w:val="28"/>
        </w:rPr>
        <w:lastRenderedPageBreak/>
        <w:t>6.0 Strategic Evaluation and Recommendations</w:t>
      </w:r>
      <w:bookmarkEnd w:id="17"/>
    </w:p>
    <w:p w:rsidR="00A542E4" w:rsidRPr="00D85B46" w:rsidRDefault="00952154">
      <w:pPr>
        <w:pStyle w:val="Heading3"/>
        <w:spacing w:before="180" w:after="80"/>
        <w:rPr>
          <w:sz w:val="28"/>
          <w:szCs w:val="28"/>
        </w:rPr>
      </w:pPr>
      <w:bookmarkStart w:id="18" w:name="_Toc225934053"/>
      <w:r w:rsidRPr="00D85B46">
        <w:rPr>
          <w:b/>
          <w:bCs/>
          <w:color w:val="2E75B6"/>
          <w:sz w:val="28"/>
          <w:szCs w:val="28"/>
        </w:rPr>
        <w:t>6.1 SWOT Analysis</w:t>
      </w:r>
      <w:bookmarkEnd w:id="18"/>
    </w:p>
    <w:p w:rsidR="00A542E4" w:rsidRDefault="00A542E4">
      <w:pPr>
        <w:spacing w:before="80"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A542E4" w:rsidRPr="00D85B46">
        <w:tc>
          <w:tcPr>
            <w:tcW w:w="4513"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t>STRENGTHS</w:t>
            </w:r>
          </w:p>
        </w:tc>
        <w:tc>
          <w:tcPr>
            <w:tcW w:w="4513"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t>WEAKNESSES</w:t>
            </w:r>
          </w:p>
        </w:tc>
      </w:tr>
      <w:tr w:rsidR="00A542E4">
        <w:tc>
          <w:tcPr>
            <w:tcW w:w="451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World's largest food and beverage company by revenue Diversified portfolio across 2,000+ brands CHF 1.9bn annual R&amp;D investment Nutrition science expertise Presence in 186 countries Strong cash generation</w:t>
            </w:r>
          </w:p>
        </w:tc>
        <w:tc>
          <w:tcPr>
            <w:tcW w:w="451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Reputational damage from water, palm oil and formula controversies Portfolio complexity diluting strategic focus Slower digital and e-commerce capability than challengers Organic growth underperformance vs peers High commodity cost exposure Gap between sustainability commitments and practice</w:t>
            </w:r>
          </w:p>
        </w:tc>
      </w:tr>
      <w:tr w:rsidR="00A542E4">
        <w:tc>
          <w:tcPr>
            <w:tcW w:w="4513"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t>OPPORTUNITIES</w:t>
            </w:r>
          </w:p>
        </w:tc>
        <w:tc>
          <w:tcPr>
            <w:tcW w:w="4513"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t>THREATS</w:t>
            </w:r>
          </w:p>
        </w:tc>
      </w:tr>
      <w:tr w:rsidR="00A542E4">
        <w:tc>
          <w:tcPr>
            <w:tcW w:w="451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proofErr w:type="spellStart"/>
            <w:r w:rsidRPr="00D85B46">
              <w:rPr>
                <w:sz w:val="20"/>
                <w:szCs w:val="18"/>
              </w:rPr>
              <w:t>Premiumisation</w:t>
            </w:r>
            <w:proofErr w:type="spellEnd"/>
            <w:r w:rsidRPr="00D85B46">
              <w:rPr>
                <w:sz w:val="20"/>
                <w:szCs w:val="18"/>
              </w:rPr>
              <w:t xml:space="preserve"> in health, wellness and nutrition Expanding middle class in Asia and Africa E-commerce and direct-to-consumer acceleration Plant-based and alternative protein growth AI and </w:t>
            </w:r>
            <w:proofErr w:type="spellStart"/>
            <w:r w:rsidRPr="00D85B46">
              <w:rPr>
                <w:sz w:val="20"/>
                <w:szCs w:val="18"/>
              </w:rPr>
              <w:t>personalised</w:t>
            </w:r>
            <w:proofErr w:type="spellEnd"/>
            <w:r w:rsidRPr="00D85B46">
              <w:rPr>
                <w:sz w:val="20"/>
                <w:szCs w:val="18"/>
              </w:rPr>
              <w:t xml:space="preserve"> nutrition platforms Bolt-on acquisitions in high-growth niches</w:t>
            </w:r>
          </w:p>
        </w:tc>
        <w:tc>
          <w:tcPr>
            <w:tcW w:w="451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Private-label competition in developed markets Stricter regulation on sugar, plastics and marketing Climate change disrupting agricultural supply chains Activist investor pressure for faster returns Geopolitical instability in emerging markets Reputational amplification through social media</w:t>
            </w:r>
          </w:p>
        </w:tc>
      </w:tr>
    </w:tbl>
    <w:p w:rsidR="00A542E4" w:rsidRDefault="00952154">
      <w:pPr>
        <w:spacing w:before="60" w:after="120"/>
        <w:jc w:val="center"/>
      </w:pPr>
      <w:r>
        <w:rPr>
          <w:i/>
          <w:iCs/>
          <w:color w:val="595959"/>
          <w:sz w:val="18"/>
          <w:szCs w:val="18"/>
        </w:rPr>
        <w:t>Table 3: SWOT Analysis – Nestlé S.A. (Author's own, based on Helms and Nixon, 2010)</w:t>
      </w:r>
    </w:p>
    <w:p w:rsidR="00D85B46" w:rsidRDefault="00D85B46">
      <w:pPr>
        <w:pStyle w:val="Heading3"/>
        <w:spacing w:before="180" w:after="80"/>
        <w:rPr>
          <w:b/>
          <w:bCs/>
          <w:color w:val="2E75B6"/>
          <w:sz w:val="28"/>
          <w:szCs w:val="22"/>
        </w:rPr>
      </w:pPr>
    </w:p>
    <w:p w:rsidR="00A542E4" w:rsidRPr="00D85B46" w:rsidRDefault="00952154">
      <w:pPr>
        <w:pStyle w:val="Heading3"/>
        <w:spacing w:before="180" w:after="80"/>
        <w:rPr>
          <w:sz w:val="32"/>
        </w:rPr>
      </w:pPr>
      <w:bookmarkStart w:id="19" w:name="_Toc225934054"/>
      <w:r w:rsidRPr="00D85B46">
        <w:rPr>
          <w:b/>
          <w:bCs/>
          <w:color w:val="2E75B6"/>
          <w:sz w:val="28"/>
          <w:szCs w:val="22"/>
        </w:rPr>
        <w:t xml:space="preserve">6.2 </w:t>
      </w:r>
      <w:proofErr w:type="spellStart"/>
      <w:r w:rsidRPr="00D85B46">
        <w:rPr>
          <w:b/>
          <w:bCs/>
          <w:color w:val="2E75B6"/>
          <w:sz w:val="28"/>
          <w:szCs w:val="22"/>
        </w:rPr>
        <w:t>Ansoff</w:t>
      </w:r>
      <w:proofErr w:type="spellEnd"/>
      <w:r w:rsidRPr="00D85B46">
        <w:rPr>
          <w:b/>
          <w:bCs/>
          <w:color w:val="2E75B6"/>
          <w:sz w:val="28"/>
          <w:szCs w:val="22"/>
        </w:rPr>
        <w:t xml:space="preserve"> Matrix Application</w:t>
      </w:r>
      <w:bookmarkEnd w:id="19"/>
    </w:p>
    <w:p w:rsidR="00A542E4" w:rsidRPr="00D85B46" w:rsidRDefault="00015CDD">
      <w:pPr>
        <w:spacing w:before="80" w:after="120"/>
        <w:jc w:val="both"/>
        <w:rPr>
          <w:sz w:val="24"/>
        </w:rPr>
      </w:pPr>
      <w:proofErr w:type="spellStart"/>
      <w:r w:rsidRPr="00D85B46">
        <w:rPr>
          <w:sz w:val="24"/>
        </w:rPr>
        <w:t>Ansoff's</w:t>
      </w:r>
      <w:proofErr w:type="spellEnd"/>
      <w:r w:rsidRPr="00D85B46">
        <w:rPr>
          <w:sz w:val="24"/>
        </w:rPr>
        <w:t xml:space="preserve"> (1957) growth matrix provides a useful framework for evaluating strategic options. Market penetration, which focuses on increasing share with existing products, is most relevant for established brands like Nescafé and Purina, where targeted investment in advertising and promotions can protect against private-label competition. Market development, which takes existing products into new regions, aligns well with opportunities in Sub-Saharan Africa and Southeast Asia</w:t>
      </w:r>
      <w:r w:rsidR="00952154" w:rsidRPr="00D85B46">
        <w:rPr>
          <w:sz w:val="24"/>
        </w:rPr>
        <w:t>.</w:t>
      </w:r>
    </w:p>
    <w:p w:rsidR="00A542E4" w:rsidRPr="00D85B46" w:rsidRDefault="00015CDD">
      <w:pPr>
        <w:spacing w:before="80" w:after="120"/>
        <w:jc w:val="both"/>
        <w:rPr>
          <w:sz w:val="24"/>
        </w:rPr>
      </w:pPr>
      <w:r w:rsidRPr="00D85B46">
        <w:rPr>
          <w:sz w:val="24"/>
        </w:rPr>
        <w:t>Product development, creating new products for existing markets, is crucial due to the shift towards health, wellness, and plant-based consumption. Introducing nutritionally fortified options, clinically proven supplements, and plant-based versions of key products can meet changing consumer demands while maintaining established brand value. Diversifying into completely new markets carries the most risk and is less aligned with Nestlé's current strategy; however, targeted purchases in precision nutrition could represent related diversification that uses existing scientific capabilities</w:t>
      </w:r>
      <w:r w:rsidR="00952154" w:rsidRPr="00D85B46">
        <w:rPr>
          <w:sz w:val="24"/>
        </w:rPr>
        <w:t>.</w:t>
      </w:r>
    </w:p>
    <w:p w:rsidR="00D85B46" w:rsidRDefault="00D85B46">
      <w:pPr>
        <w:pStyle w:val="Heading3"/>
        <w:spacing w:before="180" w:after="80"/>
        <w:rPr>
          <w:b/>
          <w:bCs/>
          <w:color w:val="2E75B6"/>
          <w:sz w:val="22"/>
          <w:szCs w:val="22"/>
        </w:rPr>
      </w:pPr>
    </w:p>
    <w:p w:rsidR="00A542E4" w:rsidRPr="00D85B46" w:rsidRDefault="00952154">
      <w:pPr>
        <w:pStyle w:val="Heading3"/>
        <w:spacing w:before="180" w:after="80"/>
        <w:rPr>
          <w:sz w:val="32"/>
        </w:rPr>
      </w:pPr>
      <w:bookmarkStart w:id="20" w:name="_Toc225934055"/>
      <w:r w:rsidRPr="00D85B46">
        <w:rPr>
          <w:b/>
          <w:bCs/>
          <w:color w:val="2E75B6"/>
          <w:sz w:val="28"/>
          <w:szCs w:val="22"/>
        </w:rPr>
        <w:t>6.3 Strategic Recommendations</w:t>
      </w:r>
      <w:bookmarkEnd w:id="20"/>
    </w:p>
    <w:p w:rsidR="00015CDD" w:rsidRPr="00D85B46" w:rsidRDefault="00015CDD" w:rsidP="00015CDD">
      <w:pPr>
        <w:tabs>
          <w:tab w:val="left" w:pos="1933"/>
        </w:tabs>
        <w:rPr>
          <w:sz w:val="24"/>
        </w:rPr>
      </w:pPr>
      <w:r w:rsidRPr="00D85B46">
        <w:rPr>
          <w:sz w:val="24"/>
        </w:rPr>
        <w:t xml:space="preserve">Based on the analysis, five recommendations are proposed:  </w:t>
      </w:r>
    </w:p>
    <w:p w:rsidR="00A542E4" w:rsidRPr="00D85B46" w:rsidRDefault="00015CDD" w:rsidP="00015CDD">
      <w:pPr>
        <w:spacing w:before="80" w:after="120"/>
        <w:jc w:val="both"/>
        <w:rPr>
          <w:sz w:val="24"/>
        </w:rPr>
      </w:pPr>
      <w:r w:rsidRPr="00D85B46">
        <w:rPr>
          <w:sz w:val="24"/>
        </w:rPr>
        <w:t xml:space="preserve">Recommendation 1 — Speed up Portfolio Rationalization: Nestlé should finish divesting from areas that don't align with its health and wellness goals. The proceeds should be redirected into Nestlé Health Science and Purina </w:t>
      </w:r>
      <w:proofErr w:type="spellStart"/>
      <w:r w:rsidRPr="00D85B46">
        <w:rPr>
          <w:sz w:val="24"/>
        </w:rPr>
        <w:t>PetCare</w:t>
      </w:r>
      <w:proofErr w:type="spellEnd"/>
      <w:r w:rsidRPr="00D85B46">
        <w:rPr>
          <w:sz w:val="24"/>
        </w:rPr>
        <w:t>, which the VRIO analysis shows to have a lasting advantage. Procter &amp; Gamble's cut from 166 to 65 brands between 2014 and 2017 resulted in measurable growth and better margins, serving as a relevant benchmark (P&amp;G Annual Report, 2017)</w:t>
      </w:r>
      <w:r w:rsidR="00952154" w:rsidRPr="00D85B46">
        <w:rPr>
          <w:sz w:val="24"/>
        </w:rPr>
        <w:t>.</w:t>
      </w:r>
    </w:p>
    <w:p w:rsidR="00A542E4" w:rsidRPr="00D85B46" w:rsidRDefault="00015CDD">
      <w:pPr>
        <w:spacing w:before="80" w:after="120"/>
        <w:jc w:val="both"/>
        <w:rPr>
          <w:sz w:val="24"/>
        </w:rPr>
      </w:pPr>
      <w:r w:rsidRPr="00D85B46">
        <w:rPr>
          <w:sz w:val="24"/>
        </w:rPr>
        <w:lastRenderedPageBreak/>
        <w:t>Recommendation 2 — Restore the Consumer Value Proposition: Two years of price increases above inflation have damaged value perceptions in sensitive markets. Nestlé needs to focus on rebuilding volume through innovative packaging, targeted promotions, and product renovations that justify price increases. Inaction could mean losing market share to private labels</w:t>
      </w:r>
      <w:r w:rsidR="00952154" w:rsidRPr="00D85B46">
        <w:rPr>
          <w:sz w:val="24"/>
        </w:rPr>
        <w:t>.</w:t>
      </w:r>
    </w:p>
    <w:p w:rsidR="00A542E4" w:rsidRPr="00D85B46" w:rsidRDefault="00015CDD">
      <w:pPr>
        <w:spacing w:before="80" w:after="120"/>
        <w:jc w:val="both"/>
        <w:rPr>
          <w:sz w:val="24"/>
        </w:rPr>
      </w:pPr>
      <w:r w:rsidRPr="00D85B46">
        <w:rPr>
          <w:sz w:val="24"/>
        </w:rPr>
        <w:t xml:space="preserve">Recommendation 3 — Address the Digital Capability Gap: Investing in first-party data systems, AI-driven personalization, and direct-to-consumer platforms is essential. L'Oréal scaled e-commerce to 27% of sales by 2022 — a benchmark for similar companies (L'Oréal Annual Report, 2022). </w:t>
      </w:r>
      <w:proofErr w:type="spellStart"/>
      <w:r w:rsidRPr="00D85B46">
        <w:rPr>
          <w:sz w:val="24"/>
        </w:rPr>
        <w:t>Westerman</w:t>
      </w:r>
      <w:proofErr w:type="spellEnd"/>
      <w:r w:rsidRPr="00D85B46">
        <w:rPr>
          <w:sz w:val="24"/>
        </w:rPr>
        <w:t>, Bonnet, and McAfee (2014) show that achieving digital success requires not only technological investment but also cultural shifts. Thus, the Digital Academy initiative is a critical enabling factor, not just a human resources program</w:t>
      </w:r>
      <w:r w:rsidR="00952154" w:rsidRPr="00D85B46">
        <w:rPr>
          <w:sz w:val="24"/>
        </w:rPr>
        <w:t>.</w:t>
      </w:r>
    </w:p>
    <w:p w:rsidR="00A542E4" w:rsidRPr="00D85B46" w:rsidRDefault="00015CDD">
      <w:pPr>
        <w:spacing w:before="80" w:after="120"/>
        <w:jc w:val="both"/>
        <w:rPr>
          <w:sz w:val="24"/>
        </w:rPr>
      </w:pPr>
      <w:r w:rsidRPr="00D85B46">
        <w:rPr>
          <w:sz w:val="24"/>
        </w:rPr>
        <w:t>Recommendation 4 — Transition from Sustainability Promises to Verified Results: Nestlé must move from making public commitments to showing independently verified progress, especially regarding cocoa supply chain child labor and water management. The shared value framework (Porter and Kramer, 2011) only generates business benefits when social commitments turn into tangible results. Clear accountability, set deadlines, and third-party verification are essential for credibility</w:t>
      </w:r>
      <w:r w:rsidR="00952154" w:rsidRPr="00D85B46">
        <w:rPr>
          <w:sz w:val="24"/>
        </w:rPr>
        <w:t>.</w:t>
      </w:r>
    </w:p>
    <w:p w:rsidR="00A542E4" w:rsidRPr="00D85B46" w:rsidRDefault="00015CDD">
      <w:pPr>
        <w:spacing w:before="80" w:after="120"/>
        <w:jc w:val="both"/>
        <w:rPr>
          <w:sz w:val="24"/>
        </w:rPr>
      </w:pPr>
      <w:r w:rsidRPr="00D85B46">
        <w:rPr>
          <w:sz w:val="24"/>
        </w:rPr>
        <w:t xml:space="preserve">Recommendation 5 — Use Nutritional Science for Premium Innovation: Nestlé's strongest competitive asset is its expertise in nutritional science. This should be utilized more actively in areas like personalized nutrition, clinical solutions for aging populations, and functional products with established health claims. </w:t>
      </w:r>
      <w:proofErr w:type="spellStart"/>
      <w:r w:rsidRPr="00D85B46">
        <w:rPr>
          <w:sz w:val="24"/>
        </w:rPr>
        <w:t>Teece</w:t>
      </w:r>
      <w:proofErr w:type="spellEnd"/>
      <w:r w:rsidRPr="00D85B46">
        <w:rPr>
          <w:sz w:val="24"/>
        </w:rPr>
        <w:t xml:space="preserve">, Pisano, and </w:t>
      </w:r>
      <w:proofErr w:type="spellStart"/>
      <w:r w:rsidRPr="00D85B46">
        <w:rPr>
          <w:sz w:val="24"/>
        </w:rPr>
        <w:t>Shuen's</w:t>
      </w:r>
      <w:proofErr w:type="spellEnd"/>
      <w:r w:rsidRPr="00D85B46">
        <w:rPr>
          <w:sz w:val="24"/>
        </w:rPr>
        <w:t xml:space="preserve"> (1997) dynamic capabilities framework supports ongoing investment in capabilities necessary for fast-changing markets; simply relying on existing resources will not suffice</w:t>
      </w:r>
      <w:r w:rsidR="00952154" w:rsidRPr="00D85B46">
        <w:rPr>
          <w:sz w:val="24"/>
        </w:rPr>
        <w:t>.</w:t>
      </w:r>
    </w:p>
    <w:p w:rsidR="00D85B46" w:rsidRDefault="00D85B46">
      <w:pPr>
        <w:pStyle w:val="Heading3"/>
        <w:spacing w:before="180" w:after="80"/>
        <w:rPr>
          <w:b/>
          <w:bCs/>
          <w:color w:val="2E75B6"/>
          <w:sz w:val="22"/>
          <w:szCs w:val="22"/>
        </w:rPr>
      </w:pPr>
    </w:p>
    <w:p w:rsidR="00A542E4" w:rsidRPr="00D85B46" w:rsidRDefault="00952154">
      <w:pPr>
        <w:pStyle w:val="Heading3"/>
        <w:spacing w:before="180" w:after="80"/>
        <w:rPr>
          <w:sz w:val="32"/>
        </w:rPr>
      </w:pPr>
      <w:bookmarkStart w:id="21" w:name="_Toc225934056"/>
      <w:r w:rsidRPr="00D85B46">
        <w:rPr>
          <w:b/>
          <w:bCs/>
          <w:color w:val="2E75B6"/>
          <w:sz w:val="28"/>
          <w:szCs w:val="22"/>
        </w:rPr>
        <w:t>6.4 Theoretical Justification</w:t>
      </w:r>
      <w:bookmarkEnd w:id="21"/>
    </w:p>
    <w:p w:rsidR="00A542E4" w:rsidRPr="00D85B46" w:rsidRDefault="00015CDD">
      <w:pPr>
        <w:spacing w:before="80" w:after="120"/>
        <w:jc w:val="both"/>
        <w:rPr>
          <w:sz w:val="24"/>
        </w:rPr>
      </w:pPr>
      <w:r w:rsidRPr="00D85B46">
        <w:rPr>
          <w:sz w:val="24"/>
        </w:rPr>
        <w:t>These recommendations come from several theoretical views. The resource-based view (Barney, 1991) supports focusing on areas of real advantage. Dynamic capabilities theory (</w:t>
      </w:r>
      <w:proofErr w:type="spellStart"/>
      <w:r w:rsidRPr="00D85B46">
        <w:rPr>
          <w:sz w:val="24"/>
        </w:rPr>
        <w:t>Teece</w:t>
      </w:r>
      <w:proofErr w:type="spellEnd"/>
      <w:r w:rsidRPr="00D85B46">
        <w:rPr>
          <w:sz w:val="24"/>
        </w:rPr>
        <w:t xml:space="preserve"> et al., 1997) explains the need for investment in digital and innovation skills. Stakeholder theory (Freeman, 1984) calls for credible sustainability efforts. The examples from Procter and Gamble, L'Oréal, and Danone show that these strategies have produced real commercial results in similar FMCG contexts</w:t>
      </w:r>
      <w:r w:rsidR="00952154" w:rsidRPr="00D85B46">
        <w:rPr>
          <w:sz w:val="24"/>
        </w:rPr>
        <w:t>.</w:t>
      </w:r>
    </w:p>
    <w:p w:rsidR="00A542E4" w:rsidRDefault="00952154">
      <w:r>
        <w:br w:type="page"/>
      </w:r>
    </w:p>
    <w:p w:rsidR="00A542E4" w:rsidRPr="00D85B46" w:rsidRDefault="00952154">
      <w:pPr>
        <w:pStyle w:val="Heading1"/>
        <w:spacing w:before="320" w:after="160"/>
        <w:rPr>
          <w:sz w:val="36"/>
        </w:rPr>
      </w:pPr>
      <w:bookmarkStart w:id="22" w:name="_Toc225934057"/>
      <w:r w:rsidRPr="00D85B46">
        <w:rPr>
          <w:b/>
          <w:bCs/>
          <w:color w:val="1F4E79"/>
          <w:szCs w:val="28"/>
        </w:rPr>
        <w:lastRenderedPageBreak/>
        <w:t>SECTION 2: REFLECTIVE ACCOUNT</w:t>
      </w:r>
      <w:bookmarkEnd w:id="22"/>
    </w:p>
    <w:p w:rsidR="00A542E4" w:rsidRPr="00D85B46" w:rsidRDefault="00952154">
      <w:pPr>
        <w:pStyle w:val="Heading2"/>
        <w:spacing w:before="240" w:after="120"/>
        <w:rPr>
          <w:sz w:val="28"/>
          <w:szCs w:val="28"/>
        </w:rPr>
      </w:pPr>
      <w:bookmarkStart w:id="23" w:name="_Toc225934058"/>
      <w:r w:rsidRPr="00D85B46">
        <w:rPr>
          <w:b/>
          <w:bCs/>
          <w:color w:val="2E75B6"/>
          <w:sz w:val="28"/>
          <w:szCs w:val="28"/>
        </w:rPr>
        <w:t>Gibbs Reflective Cycle</w:t>
      </w:r>
      <w:bookmarkEnd w:id="23"/>
    </w:p>
    <w:p w:rsidR="00A542E4" w:rsidRPr="00D85B46" w:rsidRDefault="00952154">
      <w:pPr>
        <w:pStyle w:val="Heading3"/>
        <w:spacing w:before="180" w:after="80"/>
        <w:rPr>
          <w:sz w:val="28"/>
          <w:szCs w:val="28"/>
        </w:rPr>
      </w:pPr>
      <w:bookmarkStart w:id="24" w:name="_Toc225934059"/>
      <w:r w:rsidRPr="00D85B46">
        <w:rPr>
          <w:b/>
          <w:bCs/>
          <w:color w:val="2E75B6"/>
          <w:sz w:val="28"/>
          <w:szCs w:val="28"/>
        </w:rPr>
        <w:t>Description</w:t>
      </w:r>
      <w:bookmarkEnd w:id="24"/>
    </w:p>
    <w:p w:rsidR="00A542E4" w:rsidRPr="00D85B46" w:rsidRDefault="00015CDD">
      <w:pPr>
        <w:spacing w:before="80" w:after="120"/>
        <w:jc w:val="both"/>
        <w:rPr>
          <w:sz w:val="24"/>
        </w:rPr>
      </w:pPr>
      <w:r w:rsidRPr="00D85B46">
        <w:rPr>
          <w:sz w:val="24"/>
        </w:rPr>
        <w:t xml:space="preserve">This section reflects on researching and writing the earlier strategic analysis, following Gibbs' (1988) six-stage Reflective Cycle. I chose Nestlé because its global reach, strategic complexity, and debated sustainability record offered rich analytical opportunities across all required frameworks. The research included annual reports, analyst commentaries, investigative journalism, and academic literature. The frameworks I used were PESTEL, VRIO, the Balanced Scorecard, Porter's generic strategies, </w:t>
      </w:r>
      <w:proofErr w:type="spellStart"/>
      <w:r w:rsidRPr="00D85B46">
        <w:rPr>
          <w:sz w:val="24"/>
        </w:rPr>
        <w:t>Ansoff's</w:t>
      </w:r>
      <w:proofErr w:type="spellEnd"/>
      <w:r w:rsidRPr="00D85B46">
        <w:rPr>
          <w:sz w:val="24"/>
        </w:rPr>
        <w:t xml:space="preserve"> Matrix, and SWOT</w:t>
      </w:r>
      <w:r w:rsidR="00952154" w:rsidRPr="00D85B46">
        <w:rPr>
          <w:sz w:val="24"/>
        </w:rPr>
        <w:t>.</w:t>
      </w:r>
    </w:p>
    <w:p w:rsidR="00D85B46" w:rsidRDefault="00D85B46">
      <w:pPr>
        <w:pStyle w:val="Heading3"/>
        <w:spacing w:before="180" w:after="80"/>
        <w:rPr>
          <w:b/>
          <w:bCs/>
          <w:color w:val="2E75B6"/>
          <w:sz w:val="22"/>
          <w:szCs w:val="22"/>
        </w:rPr>
      </w:pPr>
    </w:p>
    <w:p w:rsidR="00A542E4" w:rsidRPr="00D85B46" w:rsidRDefault="00952154">
      <w:pPr>
        <w:pStyle w:val="Heading3"/>
        <w:spacing w:before="180" w:after="80"/>
        <w:rPr>
          <w:sz w:val="32"/>
        </w:rPr>
      </w:pPr>
      <w:bookmarkStart w:id="25" w:name="_Toc225934060"/>
      <w:r w:rsidRPr="00D85B46">
        <w:rPr>
          <w:b/>
          <w:bCs/>
          <w:color w:val="2E75B6"/>
          <w:sz w:val="28"/>
          <w:szCs w:val="22"/>
        </w:rPr>
        <w:t>Feelings</w:t>
      </w:r>
      <w:bookmarkEnd w:id="25"/>
    </w:p>
    <w:p w:rsidR="00A542E4" w:rsidRPr="00D85B46" w:rsidRDefault="00015CDD">
      <w:pPr>
        <w:spacing w:before="80" w:after="120"/>
        <w:jc w:val="both"/>
        <w:rPr>
          <w:sz w:val="24"/>
        </w:rPr>
      </w:pPr>
      <w:r w:rsidRPr="00D85B46">
        <w:rPr>
          <w:sz w:val="24"/>
        </w:rPr>
        <w:t>At first, I felt unsure about how to balance depth and breadth within a 5,000-word limit. Nestlé is a complex case with activist investors, leadership changes, sustainability issues, and management of a multi-category portfolio. It was not clear how to fit all this into a clear structure. I was particularly worried that my analysis might fall short of the critical evaluation expected at Level 7</w:t>
      </w:r>
      <w:r w:rsidR="00952154" w:rsidRPr="00D85B46">
        <w:rPr>
          <w:sz w:val="24"/>
        </w:rPr>
        <w:t>.</w:t>
      </w:r>
    </w:p>
    <w:p w:rsidR="00A542E4" w:rsidRPr="00D85B46" w:rsidRDefault="00015CDD">
      <w:pPr>
        <w:spacing w:before="80" w:after="120"/>
        <w:jc w:val="both"/>
        <w:rPr>
          <w:sz w:val="24"/>
        </w:rPr>
      </w:pPr>
      <w:r w:rsidRPr="00D85B46">
        <w:rPr>
          <w:sz w:val="24"/>
        </w:rPr>
        <w:t>As I researched more, I found the process increasingly engaging. Identifying the gap between Nestlé's stated sustainability goals and its actual practices felt genuinely analytical, not just a summary of existing information. The VRIO framework, in particular, pushed me to make independent judgments about competitive implications, rather than relying on how Nestlé presented itself. By the final drafting stage, I felt more confident, although keeping to the word count remained a challenge</w:t>
      </w:r>
      <w:r w:rsidR="00952154" w:rsidRPr="00D85B46">
        <w:rPr>
          <w:sz w:val="24"/>
        </w:rPr>
        <w:t>.</w:t>
      </w:r>
    </w:p>
    <w:p w:rsidR="00D85B46" w:rsidRDefault="00D85B46">
      <w:pPr>
        <w:pStyle w:val="Heading3"/>
        <w:spacing w:before="180" w:after="80"/>
        <w:rPr>
          <w:b/>
          <w:bCs/>
          <w:color w:val="2E75B6"/>
          <w:sz w:val="22"/>
          <w:szCs w:val="22"/>
        </w:rPr>
      </w:pPr>
    </w:p>
    <w:p w:rsidR="00A542E4" w:rsidRPr="00D85B46" w:rsidRDefault="00952154">
      <w:pPr>
        <w:pStyle w:val="Heading3"/>
        <w:spacing w:before="180" w:after="80"/>
        <w:rPr>
          <w:sz w:val="32"/>
        </w:rPr>
      </w:pPr>
      <w:bookmarkStart w:id="26" w:name="_Toc225934061"/>
      <w:r w:rsidRPr="00D85B46">
        <w:rPr>
          <w:b/>
          <w:bCs/>
          <w:color w:val="2E75B6"/>
          <w:sz w:val="28"/>
          <w:szCs w:val="22"/>
        </w:rPr>
        <w:t>Evaluation</w:t>
      </w:r>
      <w:bookmarkEnd w:id="26"/>
    </w:p>
    <w:p w:rsidR="00A542E4" w:rsidRPr="00D85B46" w:rsidRDefault="00015CDD">
      <w:pPr>
        <w:spacing w:before="80" w:after="120"/>
        <w:jc w:val="both"/>
        <w:rPr>
          <w:sz w:val="24"/>
        </w:rPr>
      </w:pPr>
      <w:r w:rsidRPr="00D85B46">
        <w:rPr>
          <w:sz w:val="24"/>
        </w:rPr>
        <w:t>The main strength of my approach was integrating multiple frameworks into a clear argument, rather than treating each framework as a separate task. Connecting the external analysis to the internal capability assessment grounded the recommendations in both theoretical frameworks and real-world comparisons, showing the higher-order thinking described by Bloom (1956)</w:t>
      </w:r>
      <w:r w:rsidR="00952154" w:rsidRPr="00D85B46">
        <w:rPr>
          <w:sz w:val="24"/>
        </w:rPr>
        <w:t>.</w:t>
      </w:r>
    </w:p>
    <w:p w:rsidR="00A542E4" w:rsidRPr="00D85B46" w:rsidRDefault="00015CDD">
      <w:pPr>
        <w:spacing w:before="80" w:after="120"/>
        <w:jc w:val="both"/>
        <w:rPr>
          <w:sz w:val="24"/>
        </w:rPr>
      </w:pPr>
      <w:r w:rsidRPr="00D85B46">
        <w:rPr>
          <w:sz w:val="24"/>
        </w:rPr>
        <w:t>A key weakness was my early drafts relying too much on Nestlé's own published materials. I later prioritized independent sources, like Bernstein Research, the Financial Times, Greenpeace, and the WHO, to build a more balanced perspective. My time management was also uneven. The PESTEL and CSR sections took up too much research time, resulting in less developed sections for the Balanced Scorecard and recommendations in early drafts than they needed</w:t>
      </w:r>
      <w:r w:rsidR="00952154" w:rsidRPr="00D85B46">
        <w:rPr>
          <w:sz w:val="24"/>
        </w:rPr>
        <w:t>.</w:t>
      </w:r>
    </w:p>
    <w:p w:rsidR="00D85B46" w:rsidRDefault="00D85B46">
      <w:pPr>
        <w:pStyle w:val="Heading3"/>
        <w:spacing w:before="180" w:after="80"/>
        <w:rPr>
          <w:b/>
          <w:bCs/>
          <w:color w:val="2E75B6"/>
          <w:sz w:val="22"/>
          <w:szCs w:val="22"/>
        </w:rPr>
      </w:pPr>
    </w:p>
    <w:p w:rsidR="00A542E4" w:rsidRPr="00D451BB" w:rsidRDefault="00952154">
      <w:pPr>
        <w:pStyle w:val="Heading3"/>
        <w:spacing w:before="180" w:after="80"/>
        <w:rPr>
          <w:sz w:val="32"/>
        </w:rPr>
      </w:pPr>
      <w:bookmarkStart w:id="27" w:name="_Toc225934062"/>
      <w:r w:rsidRPr="00D451BB">
        <w:rPr>
          <w:b/>
          <w:bCs/>
          <w:color w:val="2E75B6"/>
          <w:sz w:val="28"/>
          <w:szCs w:val="22"/>
        </w:rPr>
        <w:t>Analysis</w:t>
      </w:r>
      <w:bookmarkEnd w:id="27"/>
    </w:p>
    <w:p w:rsidR="00A542E4" w:rsidRPr="00D451BB" w:rsidRDefault="00015CDD">
      <w:pPr>
        <w:spacing w:before="80" w:after="120"/>
        <w:jc w:val="both"/>
        <w:rPr>
          <w:sz w:val="24"/>
        </w:rPr>
      </w:pPr>
      <w:proofErr w:type="spellStart"/>
      <w:r w:rsidRPr="00D451BB">
        <w:rPr>
          <w:sz w:val="24"/>
        </w:rPr>
        <w:t>Schön's</w:t>
      </w:r>
      <w:proofErr w:type="spellEnd"/>
      <w:r w:rsidRPr="00D451BB">
        <w:rPr>
          <w:sz w:val="24"/>
        </w:rPr>
        <w:t xml:space="preserve"> (1983) distinction between technical rationality and reflective practice applies here. In early drafts, I listed PESTEL factors without linking them to Nestlé's strategic choices. Asking myself, "What is the strategic implication of this for Nestlé's </w:t>
      </w:r>
      <w:r w:rsidRPr="00D451BB">
        <w:rPr>
          <w:sz w:val="24"/>
        </w:rPr>
        <w:lastRenderedPageBreak/>
        <w:t>competitive position?" shifted the analysis from a simple list to a more evaluative argument</w:t>
      </w:r>
      <w:r w:rsidR="00952154" w:rsidRPr="00D451BB">
        <w:rPr>
          <w:sz w:val="24"/>
        </w:rPr>
        <w:t>.</w:t>
      </w:r>
    </w:p>
    <w:p w:rsidR="00A542E4" w:rsidRPr="00D451BB" w:rsidRDefault="00015CDD">
      <w:pPr>
        <w:spacing w:before="80" w:after="120"/>
        <w:jc w:val="both"/>
        <w:rPr>
          <w:sz w:val="24"/>
        </w:rPr>
      </w:pPr>
      <w:r w:rsidRPr="00D451BB">
        <w:rPr>
          <w:sz w:val="24"/>
        </w:rPr>
        <w:t>Kolb's (1984) experiential learning cycle fits well with my experience. Using frameworks on a real organization led to reflective observation, helping me identify where my analysis fell short. Drawing on theoretical literature allowed for abstract thinking, and testing new approaches in subsequent drafts was active experimentation</w:t>
      </w:r>
      <w:r w:rsidR="00952154" w:rsidRPr="00D451BB">
        <w:rPr>
          <w:sz w:val="24"/>
        </w:rPr>
        <w:t>.</w:t>
      </w:r>
    </w:p>
    <w:p w:rsidR="00A542E4" w:rsidRPr="00D451BB" w:rsidRDefault="00015CDD">
      <w:pPr>
        <w:spacing w:before="80" w:after="120"/>
        <w:jc w:val="both"/>
        <w:rPr>
          <w:sz w:val="24"/>
        </w:rPr>
      </w:pPr>
      <w:r w:rsidRPr="00D451BB">
        <w:rPr>
          <w:sz w:val="24"/>
        </w:rPr>
        <w:t>The CSR section was the most mentally demanding. Nestlé is a complex case that shows real progress in some areas while still having documented failures in others. Moon (2004) argues that effective learning requires embracing ambiguity. Instead of looking for a simple judgment, a more honest analysis recognizes the complexity of the evidence and the conflict between short-term financial pressures and genuine long-term sustainability commitments</w:t>
      </w:r>
      <w:r w:rsidR="00952154" w:rsidRPr="00D451BB">
        <w:rPr>
          <w:sz w:val="24"/>
        </w:rPr>
        <w:t>.</w:t>
      </w:r>
    </w:p>
    <w:p w:rsidR="00D451BB" w:rsidRDefault="00D451BB">
      <w:pPr>
        <w:pStyle w:val="Heading3"/>
        <w:spacing w:before="180" w:after="80"/>
        <w:rPr>
          <w:b/>
          <w:bCs/>
          <w:color w:val="2E75B6"/>
          <w:sz w:val="22"/>
          <w:szCs w:val="22"/>
        </w:rPr>
      </w:pPr>
    </w:p>
    <w:p w:rsidR="00A542E4" w:rsidRPr="00D451BB" w:rsidRDefault="00952154">
      <w:pPr>
        <w:pStyle w:val="Heading3"/>
        <w:spacing w:before="180" w:after="80"/>
        <w:rPr>
          <w:sz w:val="32"/>
        </w:rPr>
      </w:pPr>
      <w:bookmarkStart w:id="28" w:name="_Toc225934063"/>
      <w:r w:rsidRPr="00D451BB">
        <w:rPr>
          <w:b/>
          <w:bCs/>
          <w:color w:val="2E75B6"/>
          <w:sz w:val="28"/>
          <w:szCs w:val="22"/>
        </w:rPr>
        <w:t>Conclusion</w:t>
      </w:r>
      <w:bookmarkEnd w:id="28"/>
    </w:p>
    <w:p w:rsidR="00A542E4" w:rsidRPr="00D451BB" w:rsidRDefault="00015CDD">
      <w:pPr>
        <w:spacing w:before="80" w:after="120"/>
        <w:jc w:val="both"/>
        <w:rPr>
          <w:sz w:val="24"/>
        </w:rPr>
      </w:pPr>
      <w:r w:rsidRPr="00D451BB">
        <w:rPr>
          <w:sz w:val="24"/>
        </w:rPr>
        <w:t>Several lessons stand out. First, choosing a complex organization—one with real tensions, contradictions, and a changing strategy—leads to better analysis than a company with a straightforward narrative. Second, critical analysis at Level 7 needs deliberate use of independent and often critical sources to balance organizational self-presentation. Third, frameworks are tools for thinking, not strict templates; their value lies in how well they facilitate contextualized judgment</w:t>
      </w:r>
      <w:r w:rsidR="00952154" w:rsidRPr="00D451BB">
        <w:rPr>
          <w:sz w:val="24"/>
        </w:rPr>
        <w:t>.</w:t>
      </w:r>
    </w:p>
    <w:p w:rsidR="00A542E4" w:rsidRPr="00D451BB" w:rsidRDefault="00015CDD">
      <w:pPr>
        <w:spacing w:before="80" w:after="120"/>
        <w:jc w:val="both"/>
        <w:rPr>
          <w:sz w:val="24"/>
        </w:rPr>
      </w:pPr>
      <w:r w:rsidRPr="00D451BB">
        <w:rPr>
          <w:sz w:val="24"/>
        </w:rPr>
        <w:t>I also learned the importance of focusing on depth rather than breadth within a word limit. It's essential to resist the temptation to include every detail and instead choose the most significant evidence. This aligns with what Grant (2019) says is needed for effective strategic analysis: judgment about what is strategically relevant instead of just interesting</w:t>
      </w:r>
      <w:r w:rsidR="00952154" w:rsidRPr="00D451BB">
        <w:rPr>
          <w:sz w:val="24"/>
        </w:rPr>
        <w:t>.</w:t>
      </w:r>
    </w:p>
    <w:p w:rsidR="00D451BB" w:rsidRDefault="00D451BB">
      <w:pPr>
        <w:pStyle w:val="Heading3"/>
        <w:spacing w:before="180" w:after="80"/>
        <w:rPr>
          <w:b/>
          <w:bCs/>
          <w:color w:val="2E75B6"/>
          <w:sz w:val="28"/>
          <w:szCs w:val="22"/>
        </w:rPr>
      </w:pPr>
    </w:p>
    <w:p w:rsidR="00A542E4" w:rsidRPr="00D451BB" w:rsidRDefault="00952154">
      <w:pPr>
        <w:pStyle w:val="Heading3"/>
        <w:spacing w:before="180" w:after="80"/>
        <w:rPr>
          <w:sz w:val="32"/>
        </w:rPr>
      </w:pPr>
      <w:bookmarkStart w:id="29" w:name="_Toc225934064"/>
      <w:r w:rsidRPr="00D451BB">
        <w:rPr>
          <w:b/>
          <w:bCs/>
          <w:color w:val="2E75B6"/>
          <w:sz w:val="28"/>
          <w:szCs w:val="22"/>
        </w:rPr>
        <w:t>Action Plan</w:t>
      </w:r>
      <w:bookmarkEnd w:id="29"/>
    </w:p>
    <w:p w:rsidR="00A542E4" w:rsidRPr="00D451BB" w:rsidRDefault="00015CDD">
      <w:pPr>
        <w:spacing w:before="80" w:after="120"/>
        <w:jc w:val="both"/>
        <w:rPr>
          <w:sz w:val="24"/>
        </w:rPr>
      </w:pPr>
      <w:r w:rsidRPr="00D451BB">
        <w:rPr>
          <w:sz w:val="24"/>
        </w:rPr>
        <w:t xml:space="preserve">In future assessments, I will: create a structured research plan before starting data collection, identifying the main purpose of each source and prioritizing independent sources from the outset; allocate time evenly across sections with clear word count targets at the planning stage; keep a reflective journal throughout the research process instead of retracing my learning journey later; seek peer feedback on draft arguments before finalizing; and consciously practice moving from description to critical evaluation at each stage, using </w:t>
      </w:r>
      <w:proofErr w:type="spellStart"/>
      <w:r w:rsidRPr="00D451BB">
        <w:rPr>
          <w:sz w:val="24"/>
        </w:rPr>
        <w:t>Schön's</w:t>
      </w:r>
      <w:proofErr w:type="spellEnd"/>
      <w:r w:rsidRPr="00D451BB">
        <w:rPr>
          <w:sz w:val="24"/>
        </w:rPr>
        <w:t xml:space="preserve"> (1983) reflective practice framework as a guide</w:t>
      </w:r>
      <w:r w:rsidR="00952154" w:rsidRPr="00D451BB">
        <w:rPr>
          <w:sz w:val="24"/>
        </w:rPr>
        <w:t>.</w:t>
      </w:r>
    </w:p>
    <w:p w:rsidR="00A542E4" w:rsidRDefault="00952154">
      <w:r>
        <w:br w:type="page"/>
      </w:r>
    </w:p>
    <w:p w:rsidR="00A542E4" w:rsidRPr="00D451BB" w:rsidRDefault="00952154">
      <w:pPr>
        <w:pStyle w:val="Heading1"/>
        <w:spacing w:before="320" w:after="160"/>
        <w:rPr>
          <w:sz w:val="36"/>
        </w:rPr>
      </w:pPr>
      <w:bookmarkStart w:id="30" w:name="_Toc225934065"/>
      <w:r w:rsidRPr="00D451BB">
        <w:rPr>
          <w:b/>
          <w:bCs/>
          <w:color w:val="1F4E79"/>
          <w:szCs w:val="28"/>
        </w:rPr>
        <w:lastRenderedPageBreak/>
        <w:t>REFERENCES</w:t>
      </w:r>
      <w:bookmarkEnd w:id="30"/>
    </w:p>
    <w:p w:rsidR="00E5798A" w:rsidRPr="00D451BB" w:rsidRDefault="00E5798A" w:rsidP="00E5798A">
      <w:pPr>
        <w:tabs>
          <w:tab w:val="left" w:pos="1933"/>
        </w:tabs>
        <w:rPr>
          <w:sz w:val="24"/>
          <w:szCs w:val="24"/>
        </w:rPr>
      </w:pPr>
      <w:proofErr w:type="spellStart"/>
      <w:r w:rsidRPr="00D451BB">
        <w:rPr>
          <w:sz w:val="24"/>
          <w:szCs w:val="24"/>
        </w:rPr>
        <w:t>Ansoff</w:t>
      </w:r>
      <w:proofErr w:type="spellEnd"/>
      <w:r w:rsidRPr="00D451BB">
        <w:rPr>
          <w:sz w:val="24"/>
          <w:szCs w:val="24"/>
        </w:rPr>
        <w:t>, H.I. (1957) 'Strategies for diversification', Harvard Business Review, 35(5), pp. 113–124.</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Bank of England (2023) Monetary Policy Report: November 2023. London: Bank of England.</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Barney, J.B. (1991) 'Firm resources and sustained competitive advantage', Journal of Management, 17(1), pp. 99–120.</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Bartlett, C.A. and </w:t>
      </w:r>
      <w:proofErr w:type="spellStart"/>
      <w:r w:rsidRPr="00D451BB">
        <w:rPr>
          <w:sz w:val="24"/>
          <w:szCs w:val="24"/>
        </w:rPr>
        <w:t>Ghoshal</w:t>
      </w:r>
      <w:proofErr w:type="spellEnd"/>
      <w:r w:rsidRPr="00D451BB">
        <w:rPr>
          <w:sz w:val="24"/>
          <w:szCs w:val="24"/>
        </w:rPr>
        <w:t>, S. (1989) Managing Across Borders: The Transnational Solution. Boston: Harvard Business School Press.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Bernstein Research (2023) Nestlé: Portfolio and Margin Recovery Outlook. London: Sanford C. Bernstein.</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Bloom, B.S. (1956) Taxonomy of Educational Objectives. New York: Longman.</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Campbell, A., </w:t>
      </w:r>
      <w:proofErr w:type="spellStart"/>
      <w:r w:rsidRPr="00D451BB">
        <w:rPr>
          <w:sz w:val="24"/>
          <w:szCs w:val="24"/>
        </w:rPr>
        <w:t>Goold</w:t>
      </w:r>
      <w:proofErr w:type="spellEnd"/>
      <w:r w:rsidRPr="00D451BB">
        <w:rPr>
          <w:sz w:val="24"/>
          <w:szCs w:val="24"/>
        </w:rPr>
        <w:t>, M. and Alexander, M. (1995) 'Corporate strategy: The quest for parenting advantage', Harvard Business Review, 73(2), pp. 120–132.</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Carroll, A.B. (1991) 'The pyramid of corporate social responsibility', Business Horizons, 34(4), pp. 39–48.</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Christensen, C.M. (1997) The Innovator's Dilemma. Boston: Harvard Business School Press.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Crane, A., Matten, D., </w:t>
      </w:r>
      <w:proofErr w:type="spellStart"/>
      <w:r w:rsidRPr="00D451BB">
        <w:rPr>
          <w:sz w:val="24"/>
          <w:szCs w:val="24"/>
        </w:rPr>
        <w:t>Glozer</w:t>
      </w:r>
      <w:proofErr w:type="spellEnd"/>
      <w:r w:rsidRPr="00D451BB">
        <w:rPr>
          <w:sz w:val="24"/>
          <w:szCs w:val="24"/>
        </w:rPr>
        <w:t xml:space="preserve">, S. and Spence, L. (2019) Business Ethics. 5th </w:t>
      </w:r>
      <w:proofErr w:type="spellStart"/>
      <w:r w:rsidRPr="00D451BB">
        <w:rPr>
          <w:sz w:val="24"/>
          <w:szCs w:val="24"/>
        </w:rPr>
        <w:t>edn</w:t>
      </w:r>
      <w:proofErr w:type="spellEnd"/>
      <w:r w:rsidRPr="00D451BB">
        <w:rPr>
          <w:sz w:val="24"/>
          <w:szCs w:val="24"/>
        </w:rPr>
        <w:t>. Oxford: Oxford University Press.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Financial Times (2021) 'Nestlé internal report reveals 60% of its products are unhealthy', Financial Times, 31 May.</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Fortune Business Insights (2024) Fast Moving Consumer Goods Market Size, Share and Industry Analysis. Pune: Fortune Business Insights.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Freeman, R.E. (1984) Strategic Management: A Stakeholder Approach. Boston: Pitman.</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Gibbs, G. (1988) Learning by Doing: A Guide to Teaching and Learning Methods. Oxford: Further Education Unit.</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Grant, R.M. (2019) Contemporary Strategy Analysis. 10th </w:t>
      </w:r>
      <w:proofErr w:type="spellStart"/>
      <w:r w:rsidRPr="00D451BB">
        <w:rPr>
          <w:sz w:val="24"/>
          <w:szCs w:val="24"/>
        </w:rPr>
        <w:t>edn</w:t>
      </w:r>
      <w:proofErr w:type="spellEnd"/>
      <w:r w:rsidRPr="00D451BB">
        <w:rPr>
          <w:sz w:val="24"/>
          <w:szCs w:val="24"/>
        </w:rPr>
        <w:t xml:space="preserve">. </w:t>
      </w:r>
      <w:proofErr w:type="spellStart"/>
      <w:r w:rsidRPr="00D451BB">
        <w:rPr>
          <w:sz w:val="24"/>
          <w:szCs w:val="24"/>
        </w:rPr>
        <w:t>Chichester</w:t>
      </w:r>
      <w:proofErr w:type="spellEnd"/>
      <w:r w:rsidRPr="00D451BB">
        <w:rPr>
          <w:sz w:val="24"/>
          <w:szCs w:val="24"/>
        </w:rPr>
        <w:t>: John Wiley and Sons.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Greenpeace (2022) Destruction: Certified. Amsterdam: Greenpeace International.</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Hart, S.L. (1995) 'A natural-resource-based view of the firm', Academy of Management Review, 20(4), pp. 986–1014.</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proofErr w:type="spellStart"/>
      <w:r w:rsidRPr="00D451BB">
        <w:rPr>
          <w:sz w:val="24"/>
          <w:szCs w:val="24"/>
        </w:rPr>
        <w:t>Heer</w:t>
      </w:r>
      <w:proofErr w:type="spellEnd"/>
      <w:r w:rsidRPr="00D451BB">
        <w:rPr>
          <w:sz w:val="24"/>
          <w:szCs w:val="24"/>
        </w:rPr>
        <w:t xml:space="preserve">, J. (2006) World Events 1866–2006: Nestlé — 140 Years of History. </w:t>
      </w:r>
      <w:proofErr w:type="spellStart"/>
      <w:r w:rsidRPr="00D451BB">
        <w:rPr>
          <w:sz w:val="24"/>
          <w:szCs w:val="24"/>
        </w:rPr>
        <w:t>Vevey</w:t>
      </w:r>
      <w:proofErr w:type="spellEnd"/>
      <w:r w:rsidRPr="00D451BB">
        <w:rPr>
          <w:sz w:val="24"/>
          <w:szCs w:val="24"/>
        </w:rPr>
        <w:t>: Nestlé S.A.</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Helms, M.M. and Nixon, J. (2010) 'Exploring SWOT analysis', Journal of Strategy and Management, 3(3), pp. 215–251.</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Henderson, B.D. (1979) Henderson on Corporate Strategy. Cambridge: </w:t>
      </w:r>
      <w:proofErr w:type="spellStart"/>
      <w:r w:rsidRPr="00D451BB">
        <w:rPr>
          <w:sz w:val="24"/>
          <w:szCs w:val="24"/>
        </w:rPr>
        <w:t>Abt</w:t>
      </w:r>
      <w:proofErr w:type="spellEnd"/>
      <w:r w:rsidRPr="00D451BB">
        <w:rPr>
          <w:sz w:val="24"/>
          <w:szCs w:val="24"/>
        </w:rPr>
        <w:t xml:space="preserve"> Books.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HM Revenue and Customs (2022) Plastic Packaging Tax: Policy Paper. London: HMRC.</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Hunt, V., Prince, S., Dixon-</w:t>
      </w:r>
      <w:proofErr w:type="spellStart"/>
      <w:r w:rsidRPr="00D451BB">
        <w:rPr>
          <w:sz w:val="24"/>
          <w:szCs w:val="24"/>
        </w:rPr>
        <w:t>Fyle</w:t>
      </w:r>
      <w:proofErr w:type="spellEnd"/>
      <w:r w:rsidRPr="00D451BB">
        <w:rPr>
          <w:sz w:val="24"/>
          <w:szCs w:val="24"/>
        </w:rPr>
        <w:t>, S. and Yee, L. (2018) Delivering Through Diversity. New York: McKinsey and Company.</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IBM (2022) Meet the 2022 Consumers Driving Change. Armonk: IBM Institute for Business Value.</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IPCC (2023) Climate Change 2023: Synthesis Report. Geneva: IPCC.</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Johnson, G., Scholes, K. and Whittington, R. (2017) Exploring Strategy. 11th </w:t>
      </w:r>
      <w:proofErr w:type="spellStart"/>
      <w:r w:rsidRPr="00D451BB">
        <w:rPr>
          <w:sz w:val="24"/>
          <w:szCs w:val="24"/>
        </w:rPr>
        <w:t>edn</w:t>
      </w:r>
      <w:proofErr w:type="spellEnd"/>
      <w:r w:rsidRPr="00D451BB">
        <w:rPr>
          <w:sz w:val="24"/>
          <w:szCs w:val="24"/>
        </w:rPr>
        <w:t>. Harlow: Pearson.</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Kantar </w:t>
      </w:r>
      <w:proofErr w:type="spellStart"/>
      <w:r w:rsidRPr="00D451BB">
        <w:rPr>
          <w:sz w:val="24"/>
          <w:szCs w:val="24"/>
        </w:rPr>
        <w:t>BrandZ</w:t>
      </w:r>
      <w:proofErr w:type="spellEnd"/>
      <w:r w:rsidRPr="00D451BB">
        <w:rPr>
          <w:sz w:val="24"/>
          <w:szCs w:val="24"/>
        </w:rPr>
        <w:t xml:space="preserve"> (2023) Most Valuable Global Brands 2023. London: Kantar.</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Kaplan, R.S. and Norton, D.P. (1992) 'The balanced scorecard – measures that drive performance', Harvard Business Review, 70(1), pp. 71–79.</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proofErr w:type="spellStart"/>
      <w:r w:rsidRPr="00D451BB">
        <w:rPr>
          <w:sz w:val="24"/>
          <w:szCs w:val="24"/>
        </w:rPr>
        <w:t>Kapferer</w:t>
      </w:r>
      <w:proofErr w:type="spellEnd"/>
      <w:r w:rsidRPr="00D451BB">
        <w:rPr>
          <w:sz w:val="24"/>
          <w:szCs w:val="24"/>
        </w:rPr>
        <w:t xml:space="preserve">, J.N. (2012) The New Strategic Brand Management. 5th </w:t>
      </w:r>
      <w:proofErr w:type="spellStart"/>
      <w:r w:rsidRPr="00D451BB">
        <w:rPr>
          <w:sz w:val="24"/>
          <w:szCs w:val="24"/>
        </w:rPr>
        <w:t>edn</w:t>
      </w:r>
      <w:proofErr w:type="spellEnd"/>
      <w:r w:rsidRPr="00D451BB">
        <w:rPr>
          <w:sz w:val="24"/>
          <w:szCs w:val="24"/>
        </w:rPr>
        <w:t xml:space="preserve">. London: </w:t>
      </w:r>
      <w:proofErr w:type="spellStart"/>
      <w:r w:rsidRPr="00D451BB">
        <w:rPr>
          <w:sz w:val="24"/>
          <w:szCs w:val="24"/>
        </w:rPr>
        <w:t>Kogan</w:t>
      </w:r>
      <w:proofErr w:type="spellEnd"/>
      <w:r w:rsidRPr="00D451BB">
        <w:rPr>
          <w:sz w:val="24"/>
          <w:szCs w:val="24"/>
        </w:rPr>
        <w:t xml:space="preserve"> Page.</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Kolb, D.A. (1984) Experiential Learning. Englewood Cliffs: Prentice-Hall.</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Kotter, J.P. (1996) Leading Change. Boston: Harvard Business School Press.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Lewin, K. (1951) Field Theory in Social Science. New York: Harper and Row.</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L'Oréal (2022) L'Oréal Annual Report 2022. Clichy: L'Oréal S.A.</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McKinsey and Company (2023) The State of Consumer Goods. New York: McKinsey.</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Miles, R.E. and Snow, C.C. (1978) Organizational Strategy, Structure, and Process. New York: McGraw-Hill.</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proofErr w:type="spellStart"/>
      <w:r w:rsidRPr="00D451BB">
        <w:rPr>
          <w:sz w:val="24"/>
          <w:szCs w:val="24"/>
        </w:rPr>
        <w:t>Mintzberg</w:t>
      </w:r>
      <w:proofErr w:type="spellEnd"/>
      <w:r w:rsidRPr="00D451BB">
        <w:rPr>
          <w:sz w:val="24"/>
          <w:szCs w:val="24"/>
        </w:rPr>
        <w:t>, H. (1994) The Rise and Fall of Strategic Planning. New York: Free Press.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Moon, J.A. (2004) A Handbook of Reflective and Experiential Learning. London: </w:t>
      </w:r>
      <w:proofErr w:type="spellStart"/>
      <w:r w:rsidRPr="00D451BB">
        <w:rPr>
          <w:sz w:val="24"/>
          <w:szCs w:val="24"/>
        </w:rPr>
        <w:t>RoutledgeFalmer</w:t>
      </w:r>
      <w:proofErr w:type="spellEnd"/>
      <w:r w:rsidRPr="00D451BB">
        <w:rPr>
          <w:sz w:val="24"/>
          <w:szCs w:val="24"/>
        </w:rPr>
        <w:t>.</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lastRenderedPageBreak/>
        <w:t xml:space="preserve">Nestlé (2023a) Nestlé Annual Report and Accounts 2022. </w:t>
      </w:r>
      <w:proofErr w:type="spellStart"/>
      <w:r w:rsidRPr="00D451BB">
        <w:rPr>
          <w:sz w:val="24"/>
          <w:szCs w:val="24"/>
        </w:rPr>
        <w:t>Vevey</w:t>
      </w:r>
      <w:proofErr w:type="spellEnd"/>
      <w:r w:rsidRPr="00D451BB">
        <w:rPr>
          <w:sz w:val="24"/>
          <w:szCs w:val="24"/>
        </w:rPr>
        <w:t>: Nestlé S.A.</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Nestlé (2023b) Nestlé ESG Framework and Commitments 2023. </w:t>
      </w:r>
      <w:proofErr w:type="spellStart"/>
      <w:r w:rsidRPr="00D451BB">
        <w:rPr>
          <w:sz w:val="24"/>
          <w:szCs w:val="24"/>
        </w:rPr>
        <w:t>Vevey</w:t>
      </w:r>
      <w:proofErr w:type="spellEnd"/>
      <w:r w:rsidRPr="00D451BB">
        <w:rPr>
          <w:sz w:val="24"/>
          <w:szCs w:val="24"/>
        </w:rPr>
        <w:t>: Nestlé S.A.</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Nestlé (2024) Nestlé Announces CEO Succession: Laurent </w:t>
      </w:r>
      <w:proofErr w:type="spellStart"/>
      <w:r w:rsidRPr="00D451BB">
        <w:rPr>
          <w:sz w:val="24"/>
          <w:szCs w:val="24"/>
        </w:rPr>
        <w:t>Freixe</w:t>
      </w:r>
      <w:proofErr w:type="spellEnd"/>
      <w:r w:rsidRPr="00D451BB">
        <w:rPr>
          <w:sz w:val="24"/>
          <w:szCs w:val="24"/>
        </w:rPr>
        <w:t xml:space="preserve"> Appointed. </w:t>
      </w:r>
      <w:proofErr w:type="spellStart"/>
      <w:r w:rsidRPr="00D451BB">
        <w:rPr>
          <w:sz w:val="24"/>
          <w:szCs w:val="24"/>
        </w:rPr>
        <w:t>Vevey</w:t>
      </w:r>
      <w:proofErr w:type="spellEnd"/>
      <w:r w:rsidRPr="00D451BB">
        <w:rPr>
          <w:sz w:val="24"/>
          <w:szCs w:val="24"/>
        </w:rPr>
        <w:t>: Nestlé S.A.</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P&amp;G (2017) Procter and Gamble Annual Report 2017. Cincinnati: Procter and Gamble.</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Porter, M.E. (1985) Competitive Advantage. New York: Free Press.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Porter, M.E. and Kramer, M.R. (2011) 'Creating shared value', Harvard Business Review, 89(1/2), pp. 62–77.</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proofErr w:type="spellStart"/>
      <w:r w:rsidRPr="00D451BB">
        <w:rPr>
          <w:sz w:val="24"/>
          <w:szCs w:val="24"/>
        </w:rPr>
        <w:t>Prahalad</w:t>
      </w:r>
      <w:proofErr w:type="spellEnd"/>
      <w:r w:rsidRPr="00D451BB">
        <w:rPr>
          <w:sz w:val="24"/>
          <w:szCs w:val="24"/>
        </w:rPr>
        <w:t>, C.K. and Hamel, G. (1990) 'The core competence of the corporation', Harvard Business Review, 68(3), pp. 79–91.</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Reuters (2023) 'Third Point takes stake in Nestlé, pushes for portfolio review', Reuters, 25 June.</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proofErr w:type="spellStart"/>
      <w:r w:rsidRPr="00D451BB">
        <w:rPr>
          <w:sz w:val="24"/>
          <w:szCs w:val="24"/>
        </w:rPr>
        <w:t>Schön</w:t>
      </w:r>
      <w:proofErr w:type="spellEnd"/>
      <w:r w:rsidRPr="00D451BB">
        <w:rPr>
          <w:sz w:val="24"/>
          <w:szCs w:val="24"/>
        </w:rPr>
        <w:t>, D.A. (1983) The Reflective Practitioner. New York: Basic Books.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proofErr w:type="spellStart"/>
      <w:r w:rsidRPr="00D451BB">
        <w:rPr>
          <w:sz w:val="24"/>
          <w:szCs w:val="24"/>
        </w:rPr>
        <w:t>Teece</w:t>
      </w:r>
      <w:proofErr w:type="spellEnd"/>
      <w:r w:rsidRPr="00D451BB">
        <w:rPr>
          <w:sz w:val="24"/>
          <w:szCs w:val="24"/>
        </w:rPr>
        <w:t xml:space="preserve">, D.J., Pisano, G. and </w:t>
      </w:r>
      <w:proofErr w:type="spellStart"/>
      <w:r w:rsidRPr="00D451BB">
        <w:rPr>
          <w:sz w:val="24"/>
          <w:szCs w:val="24"/>
        </w:rPr>
        <w:t>Shuen</w:t>
      </w:r>
      <w:proofErr w:type="spellEnd"/>
      <w:r w:rsidRPr="00D451BB">
        <w:rPr>
          <w:sz w:val="24"/>
          <w:szCs w:val="24"/>
        </w:rPr>
        <w:t>, A. (1997) 'Dynamic capabilities and strategic management', Strategic Management Journal, 18(7), pp. 509–533.</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The Guardian (2022) 'Nestlé faces criticism over Ukraine and Russia stance', The Guardian, 14 April.</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UK Home Office (2023) Modern Slavery Act 2015: Transparency in Supply Chains. London: Home Office.</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Washington Post (2019) 'Nestlé and big chocolate's child </w:t>
      </w:r>
      <w:proofErr w:type="spellStart"/>
      <w:r w:rsidRPr="00D451BB">
        <w:rPr>
          <w:sz w:val="24"/>
          <w:szCs w:val="24"/>
        </w:rPr>
        <w:t>labour</w:t>
      </w:r>
      <w:proofErr w:type="spellEnd"/>
      <w:r w:rsidRPr="00D451BB">
        <w:rPr>
          <w:sz w:val="24"/>
          <w:szCs w:val="24"/>
        </w:rPr>
        <w:t xml:space="preserve"> problem', Washington Post, 5 June.</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proofErr w:type="spellStart"/>
      <w:r w:rsidRPr="00D451BB">
        <w:rPr>
          <w:sz w:val="24"/>
          <w:szCs w:val="24"/>
        </w:rPr>
        <w:t>Westerman</w:t>
      </w:r>
      <w:proofErr w:type="spellEnd"/>
      <w:r w:rsidRPr="00D451BB">
        <w:rPr>
          <w:sz w:val="24"/>
          <w:szCs w:val="24"/>
        </w:rPr>
        <w:t>, G., Bonnet, D. and McAfee, A. (2014) Leading Digital. Boston: Harvard Business Review Press.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World Bank (2023) Global Economic Prospects. Washington DC: World Bank Group.</w:t>
      </w:r>
    </w:p>
    <w:p w:rsidR="00A542E4" w:rsidRPr="00D451BB" w:rsidRDefault="00A542E4" w:rsidP="00E5798A">
      <w:pPr>
        <w:spacing w:before="40" w:after="40"/>
        <w:rPr>
          <w:sz w:val="24"/>
          <w:szCs w:val="24"/>
        </w:rPr>
      </w:pPr>
    </w:p>
    <w:p w:rsidR="00A542E4" w:rsidRPr="00D451BB" w:rsidRDefault="00952154">
      <w:pPr>
        <w:spacing w:before="40" w:after="40"/>
        <w:ind w:left="720" w:hanging="720"/>
        <w:rPr>
          <w:sz w:val="24"/>
          <w:szCs w:val="24"/>
        </w:rPr>
      </w:pPr>
      <w:r w:rsidRPr="00D451BB">
        <w:rPr>
          <w:sz w:val="24"/>
          <w:szCs w:val="24"/>
        </w:rPr>
        <w:t xml:space="preserve">World Health </w:t>
      </w:r>
      <w:proofErr w:type="spellStart"/>
      <w:r w:rsidRPr="00D451BB">
        <w:rPr>
          <w:sz w:val="24"/>
          <w:szCs w:val="24"/>
        </w:rPr>
        <w:t>Organisation</w:t>
      </w:r>
      <w:proofErr w:type="spellEnd"/>
      <w:r w:rsidRPr="00D451BB">
        <w:rPr>
          <w:sz w:val="24"/>
          <w:szCs w:val="24"/>
        </w:rPr>
        <w:t xml:space="preserve"> (2023) International Code of Marketing of Breast-Milk Substitutes: 2023 Status Report. Geneva: WHO.</w:t>
      </w:r>
    </w:p>
    <w:sectPr w:rsidR="00A542E4" w:rsidRPr="00D451BB">
      <w:headerReference w:type="default" r:id="rId8"/>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506EC" w:rsidRDefault="001506EC">
      <w:r>
        <w:separator/>
      </w:r>
    </w:p>
  </w:endnote>
  <w:endnote w:type="continuationSeparator" w:id="0">
    <w:p w:rsidR="001506EC" w:rsidRDefault="001506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06930647"/>
      <w:docPartObj>
        <w:docPartGallery w:val="Page Numbers (Bottom of Page)"/>
        <w:docPartUnique/>
      </w:docPartObj>
    </w:sdtPr>
    <w:sdtEndPr>
      <w:rPr>
        <w:color w:val="7F7F7F" w:themeColor="background1" w:themeShade="7F"/>
        <w:spacing w:val="60"/>
      </w:rPr>
    </w:sdtEndPr>
    <w:sdtContent>
      <w:p w:rsidR="00952154" w:rsidRDefault="00952154">
        <w:pPr>
          <w:pStyle w:val="Footer"/>
          <w:pBdr>
            <w:top w:val="single" w:sz="4" w:space="1" w:color="D9D9D9" w:themeColor="background1" w:themeShade="D9"/>
          </w:pBdr>
          <w:jc w:val="right"/>
        </w:pPr>
        <w:r>
          <w:fldChar w:fldCharType="begin"/>
        </w:r>
        <w:r>
          <w:instrText xml:space="preserve"> PAGE   \* MERGEFORMAT </w:instrText>
        </w:r>
        <w:r>
          <w:fldChar w:fldCharType="separate"/>
        </w:r>
        <w:r w:rsidR="008D6CA1">
          <w:rPr>
            <w:noProof/>
          </w:rPr>
          <w:t>16</w:t>
        </w:r>
        <w:r>
          <w:rPr>
            <w:noProof/>
          </w:rPr>
          <w:fldChar w:fldCharType="end"/>
        </w:r>
        <w:r>
          <w:t xml:space="preserve"> | </w:t>
        </w:r>
        <w:r>
          <w:rPr>
            <w:color w:val="7F7F7F" w:themeColor="background1" w:themeShade="7F"/>
            <w:spacing w:val="60"/>
          </w:rPr>
          <w:t>Page</w:t>
        </w:r>
      </w:p>
    </w:sdtContent>
  </w:sdt>
  <w:p w:rsidR="00952154" w:rsidRDefault="00952154">
    <w:pPr>
      <w:pBdr>
        <w:top w:val="single" w:sz="4" w:space="1" w:color="1F4E79"/>
      </w:pBdr>
      <w:tabs>
        <w:tab w:val="right" w:pos="9026"/>
      </w:tabs>
      <w:spacing w:before="20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506EC" w:rsidRDefault="001506EC">
      <w:r>
        <w:separator/>
      </w:r>
    </w:p>
  </w:footnote>
  <w:footnote w:type="continuationSeparator" w:id="0">
    <w:p w:rsidR="001506EC" w:rsidRDefault="001506EC">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2154" w:rsidRDefault="00952154">
    <w:pPr>
      <w:pBdr>
        <w:bottom w:val="single" w:sz="4" w:space="1" w:color="1F4E79"/>
      </w:pBdr>
      <w:spacing w:after="200"/>
    </w:pPr>
    <w:r>
      <w:rPr>
        <w:color w:val="595959"/>
        <w:sz w:val="18"/>
        <w:szCs w:val="18"/>
      </w:rPr>
      <w:t>A Strategic Analysis of Nestlé S.A. — MBA Strategic Management</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7B306A"/>
    <w:multiLevelType w:val="hybridMultilevel"/>
    <w:tmpl w:val="114CD096"/>
    <w:lvl w:ilvl="0" w:tplc="B2C0103C">
      <w:start w:val="1"/>
      <w:numFmt w:val="bullet"/>
      <w:lvlText w:val="●"/>
      <w:lvlJc w:val="left"/>
      <w:pPr>
        <w:ind w:left="720" w:hanging="360"/>
      </w:pPr>
    </w:lvl>
    <w:lvl w:ilvl="1" w:tplc="32041BDC">
      <w:start w:val="1"/>
      <w:numFmt w:val="bullet"/>
      <w:lvlText w:val="○"/>
      <w:lvlJc w:val="left"/>
      <w:pPr>
        <w:ind w:left="1440" w:hanging="360"/>
      </w:pPr>
    </w:lvl>
    <w:lvl w:ilvl="2" w:tplc="301894A0">
      <w:start w:val="1"/>
      <w:numFmt w:val="bullet"/>
      <w:lvlText w:val="■"/>
      <w:lvlJc w:val="left"/>
      <w:pPr>
        <w:ind w:left="2160" w:hanging="360"/>
      </w:pPr>
    </w:lvl>
    <w:lvl w:ilvl="3" w:tplc="3F1EC3D8">
      <w:start w:val="1"/>
      <w:numFmt w:val="bullet"/>
      <w:lvlText w:val="●"/>
      <w:lvlJc w:val="left"/>
      <w:pPr>
        <w:ind w:left="2880" w:hanging="360"/>
      </w:pPr>
    </w:lvl>
    <w:lvl w:ilvl="4" w:tplc="C0C02818">
      <w:start w:val="1"/>
      <w:numFmt w:val="bullet"/>
      <w:lvlText w:val="○"/>
      <w:lvlJc w:val="left"/>
      <w:pPr>
        <w:ind w:left="3600" w:hanging="360"/>
      </w:pPr>
    </w:lvl>
    <w:lvl w:ilvl="5" w:tplc="6BFC365C">
      <w:start w:val="1"/>
      <w:numFmt w:val="bullet"/>
      <w:lvlText w:val="■"/>
      <w:lvlJc w:val="left"/>
      <w:pPr>
        <w:ind w:left="4320" w:hanging="360"/>
      </w:pPr>
    </w:lvl>
    <w:lvl w:ilvl="6" w:tplc="F662CDCA">
      <w:start w:val="1"/>
      <w:numFmt w:val="bullet"/>
      <w:lvlText w:val="●"/>
      <w:lvlJc w:val="left"/>
      <w:pPr>
        <w:ind w:left="5040" w:hanging="360"/>
      </w:pPr>
    </w:lvl>
    <w:lvl w:ilvl="7" w:tplc="4D88D4FE">
      <w:start w:val="1"/>
      <w:numFmt w:val="bullet"/>
      <w:lvlText w:val="●"/>
      <w:lvlJc w:val="left"/>
      <w:pPr>
        <w:ind w:left="5760" w:hanging="360"/>
      </w:pPr>
    </w:lvl>
    <w:lvl w:ilvl="8" w:tplc="9188A92A">
      <w:start w:val="1"/>
      <w:numFmt w:val="bullet"/>
      <w:lvlText w:val="●"/>
      <w:lvlJc w:val="left"/>
      <w:pPr>
        <w:ind w:left="6480" w:hanging="360"/>
      </w:pPr>
    </w:lvl>
  </w:abstractNum>
  <w:abstractNum w:abstractNumId="1" w15:restartNumberingAfterBreak="0">
    <w:nsid w:val="2C125B06"/>
    <w:multiLevelType w:val="hybridMultilevel"/>
    <w:tmpl w:val="A18AD1C6"/>
    <w:lvl w:ilvl="0" w:tplc="2A10EF5C">
      <w:start w:val="1"/>
      <w:numFmt w:val="bullet"/>
      <w:lvlText w:val="•"/>
      <w:lvlJc w:val="left"/>
      <w:pPr>
        <w:ind w:left="720" w:hanging="360"/>
      </w:pPr>
    </w:lvl>
    <w:lvl w:ilvl="1" w:tplc="52DC4128">
      <w:numFmt w:val="decimal"/>
      <w:lvlText w:val=""/>
      <w:lvlJc w:val="left"/>
    </w:lvl>
    <w:lvl w:ilvl="2" w:tplc="FB465FE0">
      <w:numFmt w:val="decimal"/>
      <w:lvlText w:val=""/>
      <w:lvlJc w:val="left"/>
    </w:lvl>
    <w:lvl w:ilvl="3" w:tplc="8CB0BF1E">
      <w:numFmt w:val="decimal"/>
      <w:lvlText w:val=""/>
      <w:lvlJc w:val="left"/>
    </w:lvl>
    <w:lvl w:ilvl="4" w:tplc="7D28C73E">
      <w:numFmt w:val="decimal"/>
      <w:lvlText w:val=""/>
      <w:lvlJc w:val="left"/>
    </w:lvl>
    <w:lvl w:ilvl="5" w:tplc="3DE28B2E">
      <w:numFmt w:val="decimal"/>
      <w:lvlText w:val=""/>
      <w:lvlJc w:val="left"/>
    </w:lvl>
    <w:lvl w:ilvl="6" w:tplc="E0F0EB88">
      <w:numFmt w:val="decimal"/>
      <w:lvlText w:val=""/>
      <w:lvlJc w:val="left"/>
    </w:lvl>
    <w:lvl w:ilvl="7" w:tplc="6BFC4524">
      <w:numFmt w:val="decimal"/>
      <w:lvlText w:val=""/>
      <w:lvlJc w:val="left"/>
    </w:lvl>
    <w:lvl w:ilvl="8" w:tplc="C966FBB6">
      <w:numFmt w:val="decimal"/>
      <w:lvlText w:val=""/>
      <w:lvlJc w:val="left"/>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42E4"/>
    <w:rsid w:val="00015CDD"/>
    <w:rsid w:val="001506EC"/>
    <w:rsid w:val="00256411"/>
    <w:rsid w:val="002F6D5A"/>
    <w:rsid w:val="00436A41"/>
    <w:rsid w:val="00841F7A"/>
    <w:rsid w:val="008D6CA1"/>
    <w:rsid w:val="00952154"/>
    <w:rsid w:val="00A34D2D"/>
    <w:rsid w:val="00A542E4"/>
    <w:rsid w:val="00A57FED"/>
    <w:rsid w:val="00D451BB"/>
    <w:rsid w:val="00D713E2"/>
    <w:rsid w:val="00D82A7B"/>
    <w:rsid w:val="00D85B46"/>
    <w:rsid w:val="00D953C0"/>
    <w:rsid w:val="00D97CFC"/>
    <w:rsid w:val="00E5798A"/>
    <w:rsid w:val="00ED62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F7D48"/>
  <w15:docId w15:val="{37B6414B-7F6C-4C6A-89C0-536140F7F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1">
    <w:name w:val="toc 1"/>
    <w:basedOn w:val="Normal"/>
    <w:next w:val="Normal"/>
    <w:autoRedefine/>
    <w:uiPriority w:val="39"/>
    <w:unhideWhenUsed/>
    <w:rsid w:val="00D97CFC"/>
    <w:pPr>
      <w:spacing w:after="100"/>
    </w:pPr>
    <w:rPr>
      <w:sz w:val="24"/>
      <w:szCs w:val="24"/>
    </w:rPr>
  </w:style>
  <w:style w:type="paragraph" w:styleId="TOC2">
    <w:name w:val="toc 2"/>
    <w:basedOn w:val="Normal"/>
    <w:next w:val="Normal"/>
    <w:autoRedefine/>
    <w:uiPriority w:val="39"/>
    <w:unhideWhenUsed/>
    <w:rsid w:val="00D97CFC"/>
    <w:pPr>
      <w:spacing w:after="100"/>
      <w:ind w:left="240"/>
    </w:pPr>
    <w:rPr>
      <w:sz w:val="24"/>
      <w:szCs w:val="24"/>
    </w:rPr>
  </w:style>
  <w:style w:type="paragraph" w:styleId="TOC3">
    <w:name w:val="toc 3"/>
    <w:basedOn w:val="Normal"/>
    <w:next w:val="Normal"/>
    <w:autoRedefine/>
    <w:uiPriority w:val="39"/>
    <w:unhideWhenUsed/>
    <w:rsid w:val="00D97CFC"/>
    <w:pPr>
      <w:spacing w:after="100"/>
      <w:ind w:left="480"/>
    </w:pPr>
    <w:rPr>
      <w:sz w:val="24"/>
      <w:szCs w:val="24"/>
    </w:rPr>
  </w:style>
  <w:style w:type="paragraph" w:styleId="Header">
    <w:name w:val="header"/>
    <w:basedOn w:val="Normal"/>
    <w:link w:val="HeaderChar"/>
    <w:uiPriority w:val="99"/>
    <w:unhideWhenUsed/>
    <w:rsid w:val="00436A41"/>
    <w:pPr>
      <w:tabs>
        <w:tab w:val="center" w:pos="4680"/>
        <w:tab w:val="right" w:pos="9360"/>
      </w:tabs>
    </w:pPr>
  </w:style>
  <w:style w:type="character" w:customStyle="1" w:styleId="HeaderChar">
    <w:name w:val="Header Char"/>
    <w:basedOn w:val="DefaultParagraphFont"/>
    <w:link w:val="Header"/>
    <w:uiPriority w:val="99"/>
    <w:rsid w:val="00436A41"/>
  </w:style>
  <w:style w:type="paragraph" w:styleId="Footer">
    <w:name w:val="footer"/>
    <w:basedOn w:val="Normal"/>
    <w:link w:val="FooterChar"/>
    <w:uiPriority w:val="99"/>
    <w:unhideWhenUsed/>
    <w:rsid w:val="00436A41"/>
    <w:pPr>
      <w:tabs>
        <w:tab w:val="center" w:pos="4680"/>
        <w:tab w:val="right" w:pos="9360"/>
      </w:tabs>
    </w:pPr>
  </w:style>
  <w:style w:type="character" w:customStyle="1" w:styleId="FooterChar">
    <w:name w:val="Footer Char"/>
    <w:basedOn w:val="DefaultParagraphFont"/>
    <w:link w:val="Footer"/>
    <w:uiPriority w:val="99"/>
    <w:rsid w:val="00436A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16</Pages>
  <Words>5112</Words>
  <Characters>29145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DHRUV</cp:lastModifiedBy>
  <cp:revision>7</cp:revision>
  <dcterms:created xsi:type="dcterms:W3CDTF">2026-03-30T16:45:00Z</dcterms:created>
  <dcterms:modified xsi:type="dcterms:W3CDTF">2026-04-01T10:22:00Z</dcterms:modified>
</cp:coreProperties>
</file>