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2171A" w:rsidRDefault="00786623" w:rsidP="00786623">
      <w:pPr>
        <w:pStyle w:val="ListParagraph"/>
        <w:numPr>
          <w:ilvl w:val="0"/>
          <w:numId w:val="1"/>
        </w:numPr>
      </w:pPr>
      <w:r>
        <w:t xml:space="preserve">Section 163 Road traffic Act 1988 is defined as ‘A person driving a vehicle on a road must stop the vehicle on being required to do so by a constable in uniform or a traffic officer. A person riding a cycle on a road must stop the cycle on being required to do so by a constable in uniform or </w:t>
      </w:r>
      <w:r w:rsidR="00456CE0">
        <w:t>a traffic officer. A person is guilty of an offence</w:t>
      </w:r>
      <w:r>
        <w:t xml:space="preserve"> if they fail to comply with this section.’</w:t>
      </w:r>
    </w:p>
    <w:p w:rsidR="00786623" w:rsidRDefault="00786623" w:rsidP="00786623">
      <w:pPr>
        <w:pStyle w:val="ListParagraph"/>
        <w:numPr>
          <w:ilvl w:val="0"/>
          <w:numId w:val="1"/>
        </w:numPr>
      </w:pPr>
      <w:r>
        <w:t xml:space="preserve">S.6(4) Road Traffic Act 1988 outlines that if a person commits an offence whilst driving, attempting to drive or in charge of a mechanically propelled vehicle on a road or other public place, a constable has the right to require a preliminary road side test for alcohol or drugs if an offence has been committed. </w:t>
      </w:r>
    </w:p>
    <w:p w:rsidR="00786623" w:rsidRDefault="00786623" w:rsidP="00786623">
      <w:pPr>
        <w:pStyle w:val="ListParagraph"/>
        <w:numPr>
          <w:ilvl w:val="0"/>
          <w:numId w:val="1"/>
        </w:numPr>
      </w:pPr>
      <w:r>
        <w:t>Driving without due care and attention or reasonable consideration is defined under S.3 of the Road Traffic Act 1988 as ‘If a person drives a mechanically propelled vehicle on a road or other public place without due care and attention or without reasonable consideration for other persons using the road, he is guilty of an offence.’</w:t>
      </w:r>
    </w:p>
    <w:p w:rsidR="00683D4C" w:rsidRDefault="00683D4C" w:rsidP="00683D4C">
      <w:pPr>
        <w:pStyle w:val="ListParagraph"/>
        <w:numPr>
          <w:ilvl w:val="0"/>
          <w:numId w:val="1"/>
        </w:numPr>
      </w:pPr>
      <w:r>
        <w:t xml:space="preserve">The effective use of roads policing powers can help in reducing the wider unlawful activity of criminals by giving police officers the power to stop any vehicles for any suspicious activity or any warning markers as are picked up on the ANPR or PNC that can intercept the criminal activity from taking place. Furthermore, the police can effectively use roads policing powers by checking vehicles for any persons who are unlawfully at large in order to </w:t>
      </w:r>
      <w:r w:rsidR="00A01A00">
        <w:t>protect</w:t>
      </w:r>
      <w:r>
        <w:t xml:space="preserve"> vulnerable people in the communities.</w:t>
      </w:r>
      <w:r w:rsidR="00A01A00">
        <w:t xml:space="preserve"> </w:t>
      </w:r>
    </w:p>
    <w:p w:rsidR="00A01A00" w:rsidRDefault="00A01A00" w:rsidP="00456CE0">
      <w:pPr>
        <w:pStyle w:val="ListParagraph"/>
        <w:numPr>
          <w:ilvl w:val="0"/>
          <w:numId w:val="1"/>
        </w:numPr>
      </w:pPr>
      <w:r>
        <w:t xml:space="preserve">S.165 Road Traffic Act 1988 is defined as ‘A constable may seize any vehicle on a road or other public place whom he has reasonable cause to suspect has committed a serious road traffic offence or </w:t>
      </w:r>
      <w:r w:rsidR="00F711D2">
        <w:t>rea</w:t>
      </w:r>
      <w:r w:rsidR="00456CE0">
        <w:t xml:space="preserve">sonably suspects has no insurance or licence.’ </w:t>
      </w:r>
    </w:p>
    <w:p w:rsidR="00683D4C" w:rsidRDefault="00683D4C" w:rsidP="00456CE0">
      <w:pPr>
        <w:pStyle w:val="ListParagraph"/>
        <w:numPr>
          <w:ilvl w:val="0"/>
          <w:numId w:val="1"/>
        </w:numPr>
      </w:pPr>
      <w:r>
        <w:t>The definition of S.170(1) Road Traffic Act is ‘Owing to the presence of a mechanically propelled vehicle, an accident occurs whereby: Personal injury is caused to a person (other than the driver of the mechanically propelled vehicle); Damage is caused to a vehicle (other than the mechanically propelled vehicle</w:t>
      </w:r>
      <w:r w:rsidR="00456CE0">
        <w:t xml:space="preserve"> or any trailer drawn by it</w:t>
      </w:r>
      <w:r>
        <w:t>) or an animal (other than one in or on the mechanically propelled vehicle or any trailer drawn by it) or any property, fixed to, constructed on, growing on or otherwise forming part of the land in which the road is situated or property adjacent to such land.’</w:t>
      </w:r>
    </w:p>
    <w:p w:rsidR="00683D4C" w:rsidRDefault="00683D4C" w:rsidP="00683D4C">
      <w:pPr>
        <w:pStyle w:val="ListParagraph"/>
        <w:numPr>
          <w:ilvl w:val="0"/>
          <w:numId w:val="1"/>
        </w:numPr>
      </w:pPr>
      <w:r>
        <w:t>A family liaison officer is a designated police officer who is responsible for dealing with the families of any victims of road traffic collisions or accidents. They are the main point of contact between the police and the families and will provide the families with what had happened, what is going to happen next, the cause of death and any other hearings such as court cases if a criminal offence has been committed or any inquests that are due to take place. They</w:t>
      </w:r>
      <w:r w:rsidR="00265743">
        <w:t xml:space="preserve"> a</w:t>
      </w:r>
      <w:r>
        <w:t xml:space="preserve">re also responsible for any property that the family are granted to have back from the victim of the accident and when they are authorised to have them returned. </w:t>
      </w:r>
    </w:p>
    <w:p w:rsidR="00683D4C" w:rsidRDefault="00683D4C" w:rsidP="00683D4C">
      <w:pPr>
        <w:pStyle w:val="ListParagraph"/>
        <w:numPr>
          <w:ilvl w:val="0"/>
          <w:numId w:val="1"/>
        </w:numPr>
      </w:pPr>
      <w:r>
        <w:t>When a reportable road traffic collision has been reported, a driver must stop the vehicle and remain at the scene as long as is reasonable in the circumstances to allow any persons reasonably</w:t>
      </w:r>
      <w:r w:rsidR="009E0C9E">
        <w:t xml:space="preserve"> believed to be</w:t>
      </w:r>
      <w:r>
        <w:t xml:space="preserve"> involved in the collision to take any details of the person </w:t>
      </w:r>
      <w:r w:rsidR="00265743">
        <w:t>such as phone number and insurance details. If the road is blocked or there is any form of obstruction then the driver should contact the police so that a unit is able to attend to avoid any further risk of accidents taking plac</w:t>
      </w:r>
      <w:r w:rsidR="00A01A00">
        <w:t>e. It is a serious offence if a person fails to stop and remain at the scene long enough to exchange details with other relevant persons or the police and it does not matter if they’ve reported it after the time of the accident.</w:t>
      </w:r>
    </w:p>
    <w:p w:rsidR="00265743" w:rsidRDefault="00265743" w:rsidP="00683D4C">
      <w:pPr>
        <w:pStyle w:val="ListParagraph"/>
        <w:numPr>
          <w:ilvl w:val="0"/>
          <w:numId w:val="1"/>
        </w:numPr>
      </w:pPr>
      <w:r>
        <w:t xml:space="preserve">S.6E of the Road Traffic Act 1988 gives a police officer the power to enter any premises, using reasonable force if necessary to require a person who the constable </w:t>
      </w:r>
      <w:r w:rsidR="00A01A00">
        <w:t>reasonably</w:t>
      </w:r>
      <w:r>
        <w:t xml:space="preserve"> suspects has driven or was in charge of a motor vehicle on a road at the time of the accident </w:t>
      </w:r>
      <w:r>
        <w:lastRenderedPageBreak/>
        <w:t xml:space="preserve">to provide a preliminary test, to arrest a person who has provided a positive breath test or to arrest someone who has failed to cooperate with a preliminary breath test in pursuance of </w:t>
      </w:r>
      <w:r w:rsidR="009E0C9E">
        <w:t xml:space="preserve">one or more the preliminary tests </w:t>
      </w:r>
      <w:r>
        <w:t xml:space="preserve">under S.6 and who the constable reasonably suspect has alcohol or a drug in their body or is under the influence of a drug. </w:t>
      </w:r>
    </w:p>
    <w:p w:rsidR="00265743" w:rsidRDefault="00265743" w:rsidP="00683D4C">
      <w:pPr>
        <w:pStyle w:val="ListParagraph"/>
        <w:numPr>
          <w:ilvl w:val="0"/>
          <w:numId w:val="1"/>
        </w:numPr>
      </w:pPr>
      <w:r>
        <w:t xml:space="preserve">Causing death by dangerous driving contrary to Section 1 Road Traffic Act 1988 is defined as ‘A person who causes the death of another person by driving a mechanically propelled vehicle dangerously on a road or other public place is guilty of an offence.’ </w:t>
      </w:r>
    </w:p>
    <w:p w:rsidR="00265743" w:rsidRDefault="00265743" w:rsidP="00683D4C">
      <w:pPr>
        <w:pStyle w:val="ListParagraph"/>
        <w:numPr>
          <w:ilvl w:val="0"/>
          <w:numId w:val="1"/>
        </w:numPr>
      </w:pPr>
      <w:r>
        <w:t>The prescribed limits for drink driving offences are 35 micrograms of alcohol per 100ml of breath, 80 milligrams of alcohol per 100ml of blood and 107miligrams of alcohol per 100ml of urine</w:t>
      </w:r>
      <w:r w:rsidR="006A79CD">
        <w:t>. The prescribed limits for drug driving are 2 micrograms of THC</w:t>
      </w:r>
      <w:r w:rsidR="00456CE0">
        <w:t xml:space="preserve"> (cannabis)</w:t>
      </w:r>
      <w:r w:rsidR="006A79CD">
        <w:t xml:space="preserve"> per litre of blood and 10 micrograms of cocaine per litre of blood. </w:t>
      </w:r>
    </w:p>
    <w:p w:rsidR="006A79CD" w:rsidRDefault="006A79CD" w:rsidP="00683D4C">
      <w:pPr>
        <w:pStyle w:val="ListParagraph"/>
        <w:numPr>
          <w:ilvl w:val="0"/>
          <w:numId w:val="1"/>
        </w:numPr>
      </w:pPr>
      <w:r>
        <w:t xml:space="preserve">During suspect interviews, there can be relevant people present for specific circumstances. A suspect who is being interviewed will be informed at the start of their interview that they are entitled to free and independent legal advice. </w:t>
      </w:r>
      <w:r w:rsidR="001203C2">
        <w:t xml:space="preserve">This </w:t>
      </w:r>
      <w:r w:rsidR="00DB368A">
        <w:t xml:space="preserve">will be carried out by a solicitor who </w:t>
      </w:r>
      <w:bookmarkStart w:id="0" w:name="_GoBack"/>
      <w:bookmarkEnd w:id="0"/>
      <w:r w:rsidR="00DB368A">
        <w:t xml:space="preserve">will be present in the interview, if the suspect has requested to advise the suspect on what to say during the interview and are able to challenge police officers who are conducting the interview of anything that is not being done lawfully within the PACE interviewing guidelines. Another relevant person who may be present during the interview would be an appropriate adult. This person can be a parent or guardian or can even be a social worker who is able to assist any person under the age of 18 or who has any learning difficulties or disabilities. </w:t>
      </w:r>
      <w:r w:rsidR="00A01A00">
        <w:t>Additionally</w:t>
      </w:r>
      <w:r w:rsidR="00DB368A">
        <w:t xml:space="preserve">, during a suspect interview there can be an interpreter. These are present when a suspect does not speak English fluently and so the interpreter is able to translate any questions and relay any answers to the interviewers/officers. They must be impartial and in some cases, must not be part of the suspect’s local community or family to avoid anything being </w:t>
      </w:r>
      <w:r w:rsidR="00456CE0">
        <w:t>translated wrongly</w:t>
      </w:r>
      <w:r w:rsidR="00DB368A">
        <w:t xml:space="preserve"> or anything being lost in translation</w:t>
      </w:r>
      <w:r w:rsidR="00456CE0">
        <w:t xml:space="preserve"> in order for to protect the suspect or anything that the family do not wish for the police to be informed of</w:t>
      </w:r>
      <w:r w:rsidR="00DB368A">
        <w:t>.</w:t>
      </w:r>
    </w:p>
    <w:p w:rsidR="00DB368A" w:rsidRDefault="00DB368A" w:rsidP="00683D4C">
      <w:pPr>
        <w:pStyle w:val="ListParagraph"/>
        <w:numPr>
          <w:ilvl w:val="0"/>
          <w:numId w:val="1"/>
        </w:numPr>
      </w:pPr>
      <w:r>
        <w:t>The National Police interviewing model is explained using the PEACE model. This is the national framework that all police officers and forces must comply to when conducting an interview. The first stage is planning and preparing. Officers must thoroughly plan</w:t>
      </w:r>
      <w:r w:rsidR="002C3EEB">
        <w:t xml:space="preserve"> and prepare</w:t>
      </w:r>
      <w:r>
        <w:t xml:space="preserve"> an interview prior to the commencement of the interview, ensuring that all questions that need to be asked are written down and must have the points to prove for the offence. </w:t>
      </w:r>
      <w:r w:rsidR="002C3EEB">
        <w:t>Next is engage and explain. This part outlines how officers must engage with the suspect/witness or any other relevant person and must explain any procedure thoroughly at the start of the interview. The next stage i</w:t>
      </w:r>
      <w:r w:rsidR="008502DA">
        <w:t xml:space="preserve">nvolves officers ensuring that an account is taken from the suspect to ensure that their side of the story is taken to make sure that the interviewee is treated fairly. The next stage is challenge. This is when the officer must challenge any inconsistencies or anything that is said by the suspect to ensure that the suspect is telling the truth about their side of their story. The final stage is ending. This is when the officer must explain what the next stage is and to summarise what had been said. </w:t>
      </w:r>
    </w:p>
    <w:p w:rsidR="008502DA" w:rsidRDefault="008502DA" w:rsidP="00683D4C">
      <w:pPr>
        <w:pStyle w:val="ListParagraph"/>
        <w:numPr>
          <w:ilvl w:val="0"/>
          <w:numId w:val="1"/>
        </w:numPr>
      </w:pPr>
      <w:r>
        <w:t>Controlling or coercive behaviour is defined under S.76 Serious Crime Act 2015 as ‘A person (A) commits an offence if repeatedly or continuously engages in behaviour towards another (B) that is controlling or coercive if:</w:t>
      </w:r>
    </w:p>
    <w:p w:rsidR="008502DA" w:rsidRDefault="008502DA" w:rsidP="008502DA">
      <w:pPr>
        <w:pStyle w:val="ListParagraph"/>
        <w:numPr>
          <w:ilvl w:val="0"/>
          <w:numId w:val="2"/>
        </w:numPr>
      </w:pPr>
      <w:r>
        <w:t>A and B are both 16 or over and the behaviour is controlling or coercive</w:t>
      </w:r>
    </w:p>
    <w:p w:rsidR="008502DA" w:rsidRDefault="008502DA" w:rsidP="008502DA">
      <w:pPr>
        <w:pStyle w:val="ListParagraph"/>
        <w:numPr>
          <w:ilvl w:val="0"/>
          <w:numId w:val="2"/>
        </w:numPr>
      </w:pPr>
      <w:r>
        <w:t xml:space="preserve">A and B are personally connected at the time of the behaviour </w:t>
      </w:r>
    </w:p>
    <w:p w:rsidR="008502DA" w:rsidRDefault="008502DA" w:rsidP="008502DA">
      <w:pPr>
        <w:pStyle w:val="ListParagraph"/>
        <w:numPr>
          <w:ilvl w:val="0"/>
          <w:numId w:val="2"/>
        </w:numPr>
      </w:pPr>
      <w:r>
        <w:t xml:space="preserve">The behaviour has a serious effect on B and </w:t>
      </w:r>
    </w:p>
    <w:p w:rsidR="008502DA" w:rsidRDefault="008502DA" w:rsidP="008502DA">
      <w:pPr>
        <w:pStyle w:val="ListParagraph"/>
        <w:numPr>
          <w:ilvl w:val="0"/>
          <w:numId w:val="2"/>
        </w:numPr>
      </w:pPr>
      <w:r>
        <w:t>A knows or ought to know that the behaviour has a serious effect on B</w:t>
      </w:r>
    </w:p>
    <w:p w:rsidR="000E6C7C" w:rsidRDefault="008502DA" w:rsidP="000E6C7C">
      <w:pPr>
        <w:pStyle w:val="ListParagraph"/>
        <w:numPr>
          <w:ilvl w:val="0"/>
          <w:numId w:val="1"/>
        </w:numPr>
      </w:pPr>
      <w:r>
        <w:lastRenderedPageBreak/>
        <w:t xml:space="preserve">The relatively new offence of controlling or coercive is so important because is can potentially lead up to a further offence that could take place. The offence under s.76 does fall into the category of domestic abuse and so </w:t>
      </w:r>
      <w:r w:rsidR="00456CE0">
        <w:t>therefore,</w:t>
      </w:r>
      <w:r>
        <w:t xml:space="preserve"> it is important to recognise the signs of the behaviour and the points to prove of this offence. If a person </w:t>
      </w:r>
      <w:r w:rsidR="00456CE0">
        <w:t>does,</w:t>
      </w:r>
      <w:r>
        <w:t xml:space="preserve"> </w:t>
      </w:r>
      <w:r w:rsidR="00A01A00">
        <w:t>engage</w:t>
      </w:r>
      <w:r>
        <w:t xml:space="preserve"> in behaviour towards another which is controlling or coercive then this could have a serious effect on the victim’s </w:t>
      </w:r>
      <w:r w:rsidR="001D0186">
        <w:t xml:space="preserve">physical and mental health and wellbeing. </w:t>
      </w:r>
    </w:p>
    <w:p w:rsidR="000E6C7C" w:rsidRDefault="000E6C7C" w:rsidP="00393511">
      <w:pPr>
        <w:pStyle w:val="ListParagraph"/>
        <w:numPr>
          <w:ilvl w:val="0"/>
          <w:numId w:val="1"/>
        </w:numPr>
      </w:pPr>
      <w:r>
        <w:t xml:space="preserve">If a constable reasonably believes that a child could suffer serious harm due to their circumstances, a constable could ensure the child’s safety by removing the child to a place of safety such as a hospital, care home or place them under the care of social services. A constable may take the child to a police station in certain circumstances such as an emergency removal but may only keep them in a police station for no more than 72 hours. Furthermore, the constable may take steps as are reasonable in the circumstances to ensure that the child’s removal from a hospital or any other place is prevented. Such steps can include arresting the suspect to ensure the child does not suffer any significant harm and to contact the emergency safety team. </w:t>
      </w:r>
    </w:p>
    <w:p w:rsidR="000E6C7C" w:rsidRDefault="000E6C7C" w:rsidP="000E6C7C">
      <w:pPr>
        <w:pStyle w:val="ListParagraph"/>
        <w:numPr>
          <w:ilvl w:val="0"/>
          <w:numId w:val="1"/>
        </w:numPr>
      </w:pPr>
      <w:r>
        <w:t>Child cruelty is defined under Section 1 Children and Young Persons Act 1933 as ‘It is an offence for any person aged 16 or over, who having responsibility for a child under 16, wilfully assaults, neglects, ill-treats or abandons the child in a manner that is likely to cause unnecessary suffering to the child or injury to health’</w:t>
      </w:r>
    </w:p>
    <w:p w:rsidR="000E6C7C" w:rsidRDefault="00393511" w:rsidP="000E6C7C">
      <w:pPr>
        <w:pStyle w:val="ListParagraph"/>
        <w:numPr>
          <w:ilvl w:val="0"/>
          <w:numId w:val="1"/>
        </w:numPr>
      </w:pPr>
      <w:r>
        <w:t xml:space="preserve">A risk identification, assessment and management model that should be used when dealing with domestic abuse is the DASH model. DASH stands for domestic abuse, stalking and harassment </w:t>
      </w:r>
      <w:r w:rsidR="00446788">
        <w:t>and includes honour based abuse/violence. It is a risk model that seeks to give a universal method to all partner agencies that come under MARRAC and helps provide a method to protect the victim or other vulnerable persons and what other support that can be given to them. It keeps partner agencies informed of any updates and any other vital information they need to know in all cases of domestic abuse, stalking and harassment cases and provides a method to protecting the victim which underpins all other methods</w:t>
      </w:r>
      <w:r w:rsidR="00A01A00">
        <w:t xml:space="preserve"> of protecting vulnerable people</w:t>
      </w:r>
      <w:r w:rsidR="00446788">
        <w:t xml:space="preserve">. </w:t>
      </w:r>
    </w:p>
    <w:p w:rsidR="00446788" w:rsidRDefault="00446788" w:rsidP="000E6C7C">
      <w:pPr>
        <w:pStyle w:val="ListParagraph"/>
        <w:numPr>
          <w:ilvl w:val="0"/>
          <w:numId w:val="1"/>
        </w:numPr>
      </w:pPr>
      <w:r>
        <w:t xml:space="preserve">A PPN is required in all DASH cases and must be submitted in all of these cases. It consists of 29 questions that are relevant to the case and it is then graded into three possible grading systems. The first grading is standard. This is when there is no identifiable risk to the victim under the current circumstances. The next grading is medium. This is when there is no risk of serious harm at the moment unless there is a change in circumstances. The final grading is high, which is used when there is an identifiable risk to life and could happen at any time. These grading are a requirement to be completed by response officers who are initially at scene and the officers who have decided on these grades must justify them until it is transferred to the emergency protection team or the following shift team. </w:t>
      </w:r>
    </w:p>
    <w:p w:rsidR="00446788" w:rsidRDefault="00446788" w:rsidP="000E6C7C">
      <w:pPr>
        <w:pStyle w:val="ListParagraph"/>
        <w:numPr>
          <w:ilvl w:val="0"/>
          <w:numId w:val="1"/>
        </w:numPr>
      </w:pPr>
      <w:r>
        <w:t>A DVPN (domestic violence protection notice) is issued</w:t>
      </w:r>
      <w:r w:rsidR="004379EA">
        <w:t xml:space="preserve"> to a perpetrator or suspected perpetrator of domestic violence. It is issued to a perpetrator who is aged 18 or over and </w:t>
      </w:r>
      <w:r w:rsidR="004F5FB2">
        <w:t xml:space="preserve">once it has been issued, it must be heard by a magistrates court within 48 hours of being issued. The notice must be authorised by an officer at the rank of Superintendent or above and there must be reasonable grounds to suspect that the perpetrator has been violent or has threatened violence towards the victim. The notice includes </w:t>
      </w:r>
      <w:r w:rsidR="009E0C9E">
        <w:t>five</w:t>
      </w:r>
      <w:r w:rsidR="004F5FB2">
        <w:t xml:space="preserve"> prohibitions, and if they are breached it is a criminal offence. The prohibitions are prohibit the perpetrator from molesting the victim/person concerned, prohibit the person from entering the address where the victim lives, require the perpetrator to leave the address where the victim lives, prohibit the perpetrator from going a specified distance to the victim. The notice is then served and 48 hours later,</w:t>
      </w:r>
      <w:r w:rsidR="009E0C9E">
        <w:t xml:space="preserve"> after the notice has expired</w:t>
      </w:r>
      <w:r w:rsidR="004F5FB2">
        <w:t xml:space="preserve"> a domestic violence protection order </w:t>
      </w:r>
      <w:r w:rsidR="009E0C9E">
        <w:lastRenderedPageBreak/>
        <w:t>will then be</w:t>
      </w:r>
      <w:r w:rsidR="004F5FB2">
        <w:t xml:space="preserve"> served</w:t>
      </w:r>
      <w:r w:rsidR="009E0C9E">
        <w:t xml:space="preserve"> if necessary</w:t>
      </w:r>
      <w:r w:rsidR="004F5FB2">
        <w:t xml:space="preserve">. Which must be heard by a magistrates court. If a person breaches any of these, then they must be remanded and brought to a magistrates court within 24 hours. </w:t>
      </w:r>
    </w:p>
    <w:p w:rsidR="004F5FB2" w:rsidRDefault="004F5FB2" w:rsidP="000E6C7C">
      <w:pPr>
        <w:pStyle w:val="ListParagraph"/>
        <w:numPr>
          <w:ilvl w:val="0"/>
          <w:numId w:val="1"/>
        </w:numPr>
      </w:pPr>
      <w:r>
        <w:t xml:space="preserve">Child sexual exploitation is a form of child abuse. It occurs when an </w:t>
      </w:r>
      <w:r w:rsidR="00EB32C1">
        <w:t>individual</w:t>
      </w:r>
      <w:r>
        <w:t xml:space="preserve"> or group takes advantage of an imbalance of power to coerce, manipulate or deceive a child or young person under 16 into sexual activity.</w:t>
      </w:r>
    </w:p>
    <w:p w:rsidR="004F5FB2" w:rsidRDefault="004F5FB2" w:rsidP="004F5FB2">
      <w:pPr>
        <w:pStyle w:val="ListParagraph"/>
        <w:numPr>
          <w:ilvl w:val="0"/>
          <w:numId w:val="3"/>
        </w:numPr>
      </w:pPr>
      <w:r>
        <w:t>For something the victim needs or wants and/or</w:t>
      </w:r>
    </w:p>
    <w:p w:rsidR="004F5FB2" w:rsidRDefault="004F5FB2" w:rsidP="004F5FB2">
      <w:pPr>
        <w:pStyle w:val="ListParagraph"/>
        <w:numPr>
          <w:ilvl w:val="0"/>
          <w:numId w:val="3"/>
        </w:numPr>
      </w:pPr>
      <w:r>
        <w:t xml:space="preserve">For the financial advantage or increased status of the perpetrator or facilitator. </w:t>
      </w:r>
    </w:p>
    <w:p w:rsidR="004F5FB2" w:rsidRDefault="004F5FB2" w:rsidP="004F5FB2">
      <w:pPr>
        <w:pStyle w:val="ListParagraph"/>
        <w:numPr>
          <w:ilvl w:val="0"/>
          <w:numId w:val="1"/>
        </w:numPr>
      </w:pPr>
      <w:r>
        <w:t xml:space="preserve">Sarah’s law is a child sexual offender disclosure scheme which allows a person who is concerned that someone who works with children has a history of child sexual offences. It can be requested by a parent, guardian or even friends or neighbours and a request is sent to the police who then determine whether the information is disclosed to them. A person can make the request, however, disclosure is not guaranteed. If the information is not disclosed then the person who made the request can start their own investigation without having reasonable grounds for suspicion. </w:t>
      </w:r>
      <w:r w:rsidR="00EB32C1">
        <w:t>Information will only be disclosed to the person who has made the request and they must comply with data protection regulations.</w:t>
      </w:r>
    </w:p>
    <w:p w:rsidR="00EB32C1" w:rsidRDefault="00EB32C1" w:rsidP="004F5FB2">
      <w:pPr>
        <w:pStyle w:val="ListParagraph"/>
        <w:numPr>
          <w:ilvl w:val="0"/>
          <w:numId w:val="1"/>
        </w:numPr>
      </w:pPr>
      <w:r>
        <w:t xml:space="preserve">S.75 of the Sexual Offences Act 2003 outlines evidential presumptions which must be met in order for the court to determine whether the complainant consented to the relevant sexual act. S.75(a) outlines that if the defendant did the relevant sexual act, any of the circumstances under the evidential presumptions existed and the defendant knew that any of the circumstances existed, then it will be proved in court that the complainant did not consent to the relevant act. S.75(b) names the circumstances under evidential presumptions which are use of or fear or violence, unconsciousness, unable to communicate through physical disability, administering a substance that are not administered that are capable of stupefying or overpowering the complainant’s inability to consent. </w:t>
      </w:r>
    </w:p>
    <w:p w:rsidR="00EB32C1" w:rsidRDefault="00EB32C1" w:rsidP="004F5FB2">
      <w:pPr>
        <w:pStyle w:val="ListParagraph"/>
        <w:numPr>
          <w:ilvl w:val="0"/>
          <w:numId w:val="1"/>
        </w:numPr>
      </w:pPr>
      <w:r>
        <w:t>….</w:t>
      </w:r>
    </w:p>
    <w:p w:rsidR="00EB32C1" w:rsidRDefault="00EB32C1" w:rsidP="004F5FB2">
      <w:pPr>
        <w:pStyle w:val="ListParagraph"/>
        <w:numPr>
          <w:ilvl w:val="0"/>
          <w:numId w:val="1"/>
        </w:numPr>
      </w:pPr>
      <w:r>
        <w:t>The full code test must be met when the CPS decide on a case which involves two stages which are: the public interests stage is met and the evidential stage is met. If both of these stages are passed then the Crown Prosecution service may start or continue a prosecution. If one or neither of these stages are</w:t>
      </w:r>
      <w:r w:rsidR="00456CE0">
        <w:t xml:space="preserve"> not</w:t>
      </w:r>
      <w:r>
        <w:t xml:space="preserve"> met, then the full code test has not been passed. </w:t>
      </w:r>
    </w:p>
    <w:sectPr w:rsidR="00EB32C1" w:rsidSect="0045113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56CE0" w:rsidRDefault="00456CE0" w:rsidP="00451135">
      <w:pPr>
        <w:spacing w:after="0" w:line="240" w:lineRule="auto"/>
      </w:pPr>
      <w:r>
        <w:separator/>
      </w:r>
    </w:p>
  </w:endnote>
  <w:endnote w:type="continuationSeparator" w:id="0">
    <w:p w:rsidR="00456CE0" w:rsidRDefault="00456CE0" w:rsidP="00451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6CE0" w:rsidRDefault="004D0469" w:rsidP="004D0469">
    <w:pPr>
      <w:pStyle w:val="Footer"/>
      <w:rPr>
        <w:color w:val="000000"/>
        <w:sz w:val="17"/>
      </w:rPr>
    </w:pPr>
    <w:bookmarkStart w:id="3" w:name="TITUS1FooterEvenPages"/>
    <w:r>
      <w:rPr>
        <w:color w:val="000000"/>
        <w:sz w:val="17"/>
      </w:rPr>
      <w:t> </w:t>
    </w:r>
  </w:p>
  <w:bookmarkEnd w:id="3"/>
  <w:p w:rsidR="00456CE0" w:rsidRDefault="00456CE0" w:rsidP="0081722D">
    <w:pPr>
      <w:pStyle w:val="Footer"/>
    </w:pPr>
  </w:p>
  <w:p w:rsidR="00456CE0" w:rsidRDefault="00456C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6CE0" w:rsidRDefault="004D0469" w:rsidP="004D0469">
    <w:pPr>
      <w:pStyle w:val="Footer"/>
      <w:rPr>
        <w:color w:val="000000"/>
        <w:sz w:val="17"/>
      </w:rPr>
    </w:pPr>
    <w:bookmarkStart w:id="4" w:name="TITUS1FooterPrimary"/>
    <w:r>
      <w:rPr>
        <w:color w:val="000000"/>
        <w:sz w:val="17"/>
      </w:rPr>
      <w:t> </w:t>
    </w:r>
  </w:p>
  <w:bookmarkEnd w:id="4"/>
  <w:p w:rsidR="00456CE0" w:rsidRDefault="00456C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6CE0" w:rsidRDefault="004D0469" w:rsidP="004D0469">
    <w:pPr>
      <w:pStyle w:val="Footer"/>
      <w:rPr>
        <w:color w:val="000000"/>
        <w:sz w:val="17"/>
      </w:rPr>
    </w:pPr>
    <w:bookmarkStart w:id="6" w:name="TITUS1FooterFirstPage"/>
    <w:r>
      <w:rPr>
        <w:color w:val="000000"/>
        <w:sz w:val="17"/>
      </w:rPr>
      <w:t> </w:t>
    </w:r>
  </w:p>
  <w:bookmarkEnd w:id="6"/>
  <w:p w:rsidR="00456CE0" w:rsidRDefault="00456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56CE0" w:rsidRDefault="00456CE0" w:rsidP="00451135">
      <w:pPr>
        <w:spacing w:after="0" w:line="240" w:lineRule="auto"/>
      </w:pPr>
      <w:r>
        <w:separator/>
      </w:r>
    </w:p>
  </w:footnote>
  <w:footnote w:type="continuationSeparator" w:id="0">
    <w:p w:rsidR="00456CE0" w:rsidRDefault="00456CE0" w:rsidP="004511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6CE0" w:rsidRDefault="004D0469" w:rsidP="004D0469">
    <w:pPr>
      <w:pStyle w:val="Header"/>
      <w:tabs>
        <w:tab w:val="clear" w:pos="4513"/>
        <w:tab w:val="clear" w:pos="9026"/>
        <w:tab w:val="left" w:pos="7036"/>
      </w:tabs>
      <w:rPr>
        <w:color w:val="000000"/>
        <w:sz w:val="17"/>
      </w:rPr>
    </w:pPr>
    <w:bookmarkStart w:id="1" w:name="TITUS1HeaderEvenPages"/>
    <w:r>
      <w:rPr>
        <w:color w:val="000000"/>
        <w:sz w:val="17"/>
      </w:rPr>
      <w:t> </w:t>
    </w:r>
  </w:p>
  <w:bookmarkEnd w:id="1"/>
  <w:p w:rsidR="00456CE0" w:rsidRDefault="00456CE0" w:rsidP="00451135">
    <w:pPr>
      <w:pStyle w:val="Header"/>
      <w:tabs>
        <w:tab w:val="clear" w:pos="4513"/>
        <w:tab w:val="clear" w:pos="9026"/>
        <w:tab w:val="left" w:pos="7036"/>
      </w:tabs>
    </w:pPr>
    <w:r>
      <w:t xml:space="preserve">Osian Llyr Morgan </w:t>
    </w:r>
    <w:r>
      <w:tab/>
      <w:t>Exam 2</w:t>
    </w:r>
  </w:p>
  <w:p w:rsidR="00456CE0" w:rsidRDefault="00456CE0" w:rsidP="00451135">
    <w:pPr>
      <w:pStyle w:val="Header"/>
    </w:pPr>
    <w:r>
      <w:t xml:space="preserve">2031215                                                                                                                      </w:t>
    </w:r>
  </w:p>
  <w:p w:rsidR="00456CE0" w:rsidRDefault="00456C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6CE0" w:rsidRDefault="004D0469" w:rsidP="004D0469">
    <w:pPr>
      <w:pStyle w:val="Header"/>
      <w:tabs>
        <w:tab w:val="clear" w:pos="4513"/>
        <w:tab w:val="clear" w:pos="9026"/>
        <w:tab w:val="left" w:pos="7036"/>
      </w:tabs>
      <w:rPr>
        <w:color w:val="000000"/>
        <w:sz w:val="17"/>
      </w:rPr>
    </w:pPr>
    <w:bookmarkStart w:id="2" w:name="TITUS1HeaderPrimary"/>
    <w:r>
      <w:rPr>
        <w:color w:val="000000"/>
        <w:sz w:val="17"/>
      </w:rPr>
      <w:t> </w:t>
    </w:r>
  </w:p>
  <w:bookmarkEnd w:id="2"/>
  <w:p w:rsidR="00456CE0" w:rsidRDefault="00456CE0" w:rsidP="00451135">
    <w:pPr>
      <w:pStyle w:val="Header"/>
      <w:tabs>
        <w:tab w:val="clear" w:pos="4513"/>
        <w:tab w:val="clear" w:pos="9026"/>
        <w:tab w:val="left" w:pos="7036"/>
      </w:tabs>
    </w:pPr>
    <w:r>
      <w:t xml:space="preserve">Osian Llyr Morgan </w:t>
    </w:r>
    <w:r>
      <w:tab/>
      <w:t>Exam 2</w:t>
    </w:r>
  </w:p>
  <w:p w:rsidR="00456CE0" w:rsidRDefault="00456CE0">
    <w:pPr>
      <w:pStyle w:val="Header"/>
    </w:pPr>
    <w:r>
      <w:t xml:space="preserve">2031215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6CE0" w:rsidRDefault="004D0469" w:rsidP="004D0469">
    <w:pPr>
      <w:pStyle w:val="Header"/>
      <w:tabs>
        <w:tab w:val="clear" w:pos="4513"/>
        <w:tab w:val="clear" w:pos="9026"/>
        <w:tab w:val="left" w:pos="7036"/>
      </w:tabs>
      <w:rPr>
        <w:color w:val="000000"/>
        <w:sz w:val="17"/>
      </w:rPr>
    </w:pPr>
    <w:bookmarkStart w:id="5" w:name="TITUS1HeaderFirstPage"/>
    <w:r>
      <w:rPr>
        <w:color w:val="000000"/>
        <w:sz w:val="17"/>
      </w:rPr>
      <w:t> </w:t>
    </w:r>
  </w:p>
  <w:bookmarkEnd w:id="5"/>
  <w:p w:rsidR="00456CE0" w:rsidRDefault="00456CE0" w:rsidP="00451135">
    <w:pPr>
      <w:pStyle w:val="Header"/>
      <w:tabs>
        <w:tab w:val="clear" w:pos="4513"/>
        <w:tab w:val="clear" w:pos="9026"/>
        <w:tab w:val="left" w:pos="7036"/>
      </w:tabs>
    </w:pPr>
    <w:r>
      <w:t xml:space="preserve">Osian Llyr Morgan </w:t>
    </w:r>
    <w:r>
      <w:tab/>
      <w:t>Exam 2- 29/11/2021</w:t>
    </w:r>
  </w:p>
  <w:p w:rsidR="00456CE0" w:rsidRDefault="00456CE0" w:rsidP="00451135">
    <w:pPr>
      <w:pStyle w:val="Header"/>
    </w:pPr>
    <w:r>
      <w:t>2031215                                                                                                                               PC8019- SWP</w:t>
    </w:r>
  </w:p>
  <w:p w:rsidR="00456CE0" w:rsidRDefault="00456C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E44D32"/>
    <w:multiLevelType w:val="hybridMultilevel"/>
    <w:tmpl w:val="8F6493F8"/>
    <w:lvl w:ilvl="0" w:tplc="F74A802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D615546"/>
    <w:multiLevelType w:val="hybridMultilevel"/>
    <w:tmpl w:val="46F218F0"/>
    <w:lvl w:ilvl="0" w:tplc="6AE2FE4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2293CD7"/>
    <w:multiLevelType w:val="hybridMultilevel"/>
    <w:tmpl w:val="A66CE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1135"/>
    <w:rsid w:val="0009597D"/>
    <w:rsid w:val="000E6C7C"/>
    <w:rsid w:val="001203C2"/>
    <w:rsid w:val="001D0186"/>
    <w:rsid w:val="00265743"/>
    <w:rsid w:val="00294F46"/>
    <w:rsid w:val="002C3EEB"/>
    <w:rsid w:val="00393511"/>
    <w:rsid w:val="004379EA"/>
    <w:rsid w:val="00446788"/>
    <w:rsid w:val="00451135"/>
    <w:rsid w:val="00456CE0"/>
    <w:rsid w:val="004D0469"/>
    <w:rsid w:val="004F5FB2"/>
    <w:rsid w:val="00683D4C"/>
    <w:rsid w:val="006A79CD"/>
    <w:rsid w:val="0072171A"/>
    <w:rsid w:val="00786623"/>
    <w:rsid w:val="0081722D"/>
    <w:rsid w:val="008502DA"/>
    <w:rsid w:val="009B43E1"/>
    <w:rsid w:val="009E0C9E"/>
    <w:rsid w:val="00A01A00"/>
    <w:rsid w:val="00B11B62"/>
    <w:rsid w:val="00B13AC1"/>
    <w:rsid w:val="00DB368A"/>
    <w:rsid w:val="00E5798A"/>
    <w:rsid w:val="00EB32C1"/>
    <w:rsid w:val="00F134B9"/>
    <w:rsid w:val="00F71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A3C9D1"/>
  <w15:chartTrackingRefBased/>
  <w15:docId w15:val="{95DA9526-E31A-48B2-875B-E4439576D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1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135"/>
  </w:style>
  <w:style w:type="paragraph" w:styleId="Footer">
    <w:name w:val="footer"/>
    <w:basedOn w:val="Normal"/>
    <w:link w:val="FooterChar"/>
    <w:uiPriority w:val="99"/>
    <w:unhideWhenUsed/>
    <w:rsid w:val="00451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135"/>
  </w:style>
  <w:style w:type="paragraph" w:styleId="ListParagraph">
    <w:name w:val="List Paragraph"/>
    <w:basedOn w:val="Normal"/>
    <w:uiPriority w:val="34"/>
    <w:qFormat/>
    <w:rsid w:val="007866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4</Pages>
  <Words>2163</Words>
  <Characters>12332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Morgan,Osian swp8019</dc:creator>
  <cp:keywords/>
  <dc:description/>
  <cp:lastModifiedBy>Morgan,Osian swp8019</cp:lastModifiedBy>
  <cp:revision>17</cp:revision>
  <dcterms:created xsi:type="dcterms:W3CDTF">2021-11-29T12:15:00Z</dcterms:created>
  <dcterms:modified xsi:type="dcterms:W3CDTF">2021-11-29T15:05:00Z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209e4b91-d325-4d10-a8d5-084179bd167e</vt:lpwstr>
  </property>
  <property fmtid="{D5CDD505-2E9C-101B-9397-08002B2CF9AE}" pid="3" name="Classification">
    <vt:lpwstr>OFFICIAL</vt:lpwstr>
  </property>
  <property fmtid="{D5CDD505-2E9C-101B-9397-08002B2CF9AE}" pid="4" name="Visibility">
    <vt:lpwstr>NOT VISIBLE</vt:lpwstr>
  </property>
</Properties>
</file>