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B6D0F" w14:textId="77777777" w:rsidR="00BD2F34" w:rsidRDefault="00BD2F34" w:rsidP="00BD2F34">
      <w:pPr>
        <w:pStyle w:val="Title"/>
      </w:pPr>
    </w:p>
    <w:p w14:paraId="0123BF1B" w14:textId="77777777" w:rsidR="00BD2F34" w:rsidRDefault="00BD2F34" w:rsidP="00BD2F34">
      <w:pPr>
        <w:pStyle w:val="Title"/>
      </w:pPr>
    </w:p>
    <w:p w14:paraId="536727FA" w14:textId="77777777" w:rsidR="00BD2F34" w:rsidRDefault="00BD2F34" w:rsidP="00BD2F34">
      <w:pPr>
        <w:pStyle w:val="Title"/>
      </w:pPr>
    </w:p>
    <w:p w14:paraId="3775925D" w14:textId="77777777" w:rsidR="00BD2F34" w:rsidRDefault="00BD2F34" w:rsidP="00BD2F34">
      <w:pPr>
        <w:pStyle w:val="Title"/>
      </w:pPr>
    </w:p>
    <w:p w14:paraId="347CD858" w14:textId="77777777" w:rsidR="00EB6767" w:rsidRDefault="00BD2F34" w:rsidP="00BD2F34">
      <w:pPr>
        <w:pStyle w:val="Title"/>
        <w:jc w:val="center"/>
      </w:pPr>
      <w:r>
        <w:t>Management Accounting</w:t>
      </w:r>
    </w:p>
    <w:p w14:paraId="34848AA6" w14:textId="360F0ECC" w:rsidR="00BD2F34" w:rsidRDefault="00BD2F34" w:rsidP="00BD2F34">
      <w:pPr>
        <w:pStyle w:val="Title"/>
        <w:jc w:val="center"/>
      </w:pPr>
      <w:r>
        <w:t>Assessment 2 Report</w:t>
      </w:r>
    </w:p>
    <w:p w14:paraId="7AB77EA6" w14:textId="6A0CC8A0" w:rsidR="00652CCB" w:rsidRDefault="00652CCB" w:rsidP="00652CCB">
      <w:r>
        <w:t xml:space="preserve"> </w:t>
      </w:r>
    </w:p>
    <w:p w14:paraId="0779943F" w14:textId="1A2BCA5D" w:rsidR="00652CCB" w:rsidRDefault="00652CCB" w:rsidP="00652CCB">
      <w:r>
        <w:t xml:space="preserve">    </w:t>
      </w:r>
    </w:p>
    <w:p w14:paraId="1CFF056A" w14:textId="7E7F6CC0" w:rsidR="00652CCB" w:rsidRPr="00652CCB" w:rsidRDefault="00652CCB" w:rsidP="00652CCB">
      <w:pPr>
        <w:rPr>
          <w:rFonts w:asciiTheme="majorHAnsi" w:hAnsiTheme="majorHAnsi" w:cstheme="majorHAnsi"/>
        </w:rPr>
      </w:pPr>
    </w:p>
    <w:p w14:paraId="797BF942" w14:textId="03403AD9" w:rsidR="00652CCB" w:rsidRPr="00652CCB" w:rsidRDefault="00652CCB" w:rsidP="00652CCB">
      <w:pPr>
        <w:rPr>
          <w:rFonts w:asciiTheme="majorHAnsi" w:hAnsiTheme="majorHAnsi" w:cstheme="majorHAnsi"/>
          <w:sz w:val="36"/>
          <w:szCs w:val="36"/>
        </w:rPr>
      </w:pPr>
      <w:r w:rsidRPr="00652CCB">
        <w:rPr>
          <w:rFonts w:asciiTheme="majorHAnsi" w:hAnsiTheme="majorHAnsi" w:cstheme="majorHAnsi"/>
          <w:sz w:val="36"/>
          <w:szCs w:val="36"/>
        </w:rPr>
        <w:t xml:space="preserve">     Student ID    2022007</w:t>
      </w:r>
    </w:p>
    <w:p w14:paraId="521E4D61" w14:textId="59ECC123" w:rsidR="00652CCB" w:rsidRPr="00652CCB" w:rsidRDefault="00652CCB" w:rsidP="00652CCB">
      <w:pPr>
        <w:rPr>
          <w:rFonts w:asciiTheme="majorHAnsi" w:hAnsiTheme="majorHAnsi" w:cstheme="majorHAnsi"/>
          <w:sz w:val="36"/>
          <w:szCs w:val="36"/>
        </w:rPr>
      </w:pPr>
      <w:r w:rsidRPr="00652CCB">
        <w:rPr>
          <w:rFonts w:asciiTheme="majorHAnsi" w:hAnsiTheme="majorHAnsi" w:cstheme="majorHAnsi"/>
          <w:sz w:val="36"/>
          <w:szCs w:val="36"/>
        </w:rPr>
        <w:t xml:space="preserve">     Student Name     Narcis Gavril</w:t>
      </w:r>
    </w:p>
    <w:p w14:paraId="0C340878" w14:textId="28CF5C27" w:rsidR="00652CCB" w:rsidRDefault="00BD2F34">
      <w:pPr>
        <w:spacing w:line="259" w:lineRule="auto"/>
        <w:jc w:val="left"/>
      </w:pPr>
      <w:r>
        <w:br w:type="page"/>
      </w:r>
      <w:r w:rsidR="00652CCB">
        <w:lastRenderedPageBreak/>
        <w:t>Stu</w:t>
      </w:r>
    </w:p>
    <w:p w14:paraId="1E9A1A80" w14:textId="77777777" w:rsidR="00E3321E" w:rsidRDefault="00E3321E" w:rsidP="00E3321E">
      <w:pPr>
        <w:jc w:val="center"/>
        <w:rPr>
          <w:rFonts w:cs="Times New Roman"/>
          <w:b/>
          <w:bCs/>
          <w:szCs w:val="24"/>
        </w:rPr>
      </w:pPr>
      <w:r>
        <w:rPr>
          <w:rFonts w:cs="Times New Roman"/>
          <w:b/>
          <w:bCs/>
          <w:szCs w:val="24"/>
        </w:rPr>
        <w:t xml:space="preserve">Executive Summary </w:t>
      </w:r>
    </w:p>
    <w:p w14:paraId="18F77492" w14:textId="77777777" w:rsidR="00E3321E" w:rsidRDefault="00E3321E" w:rsidP="00E3321E">
      <w:pPr>
        <w:jc w:val="center"/>
        <w:rPr>
          <w:rFonts w:cs="Times New Roman"/>
          <w:b/>
          <w:bCs/>
          <w:szCs w:val="24"/>
        </w:rPr>
      </w:pPr>
    </w:p>
    <w:p w14:paraId="683FD73C" w14:textId="77777777" w:rsidR="00E3321E" w:rsidRDefault="00E3321E" w:rsidP="00E3321E">
      <w:pPr>
        <w:rPr>
          <w:rFonts w:cs="Times New Roman"/>
          <w:szCs w:val="24"/>
        </w:rPr>
      </w:pPr>
      <w:r>
        <w:rPr>
          <w:rFonts w:cs="Times New Roman"/>
          <w:szCs w:val="24"/>
        </w:rPr>
        <w:t xml:space="preserve">The researcher in the first section of the study underlined the various areas of improvement that the company can undergo. </w:t>
      </w:r>
    </w:p>
    <w:p w14:paraId="7430FC99" w14:textId="77777777" w:rsidR="005F6A4D" w:rsidRDefault="00E3321E" w:rsidP="00E3321E">
      <w:pPr>
        <w:spacing w:line="259" w:lineRule="auto"/>
        <w:jc w:val="left"/>
        <w:rPr>
          <w:rFonts w:cs="Times New Roman"/>
          <w:szCs w:val="24"/>
        </w:rPr>
      </w:pPr>
      <w:r>
        <w:rPr>
          <w:rFonts w:cs="Times New Roman"/>
          <w:szCs w:val="24"/>
        </w:rPr>
        <w:t xml:space="preserve">Furthermore, in the next section of the study the researcher analyzed why the company needs to come up with its online store rather than selling its products on Amazon. </w:t>
      </w:r>
    </w:p>
    <w:p w14:paraId="165777B0" w14:textId="77777777" w:rsidR="005F6A4D" w:rsidRDefault="005F6A4D">
      <w:pPr>
        <w:spacing w:line="259" w:lineRule="auto"/>
        <w:jc w:val="left"/>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rPr>
        <w:id w:val="-212744131"/>
        <w:docPartObj>
          <w:docPartGallery w:val="Table of Contents"/>
          <w:docPartUnique/>
        </w:docPartObj>
      </w:sdtPr>
      <w:sdtEndPr>
        <w:rPr>
          <w:b/>
          <w:bCs/>
          <w:noProof/>
        </w:rPr>
      </w:sdtEndPr>
      <w:sdtContent>
        <w:p w14:paraId="34976963" w14:textId="77777777" w:rsidR="005F6A4D" w:rsidRDefault="005F6A4D">
          <w:pPr>
            <w:pStyle w:val="TOCHeading"/>
          </w:pPr>
          <w:r>
            <w:t>Table of Contents</w:t>
          </w:r>
        </w:p>
        <w:p w14:paraId="2FB2DBA0" w14:textId="77777777" w:rsidR="005F6A4D" w:rsidRDefault="005F6A4D">
          <w:pPr>
            <w:pStyle w:val="TOC1"/>
            <w:tabs>
              <w:tab w:val="right" w:leader="dot" w:pos="9350"/>
            </w:tabs>
            <w:rPr>
              <w:noProof/>
            </w:rPr>
          </w:pPr>
          <w:r>
            <w:fldChar w:fldCharType="begin"/>
          </w:r>
          <w:r>
            <w:instrText xml:space="preserve"> TOC \o "1-3" \h \z \u </w:instrText>
          </w:r>
          <w:r>
            <w:fldChar w:fldCharType="separate"/>
          </w:r>
          <w:hyperlink w:anchor="_Toc100689569" w:history="1">
            <w:r w:rsidRPr="00336D1F">
              <w:rPr>
                <w:rStyle w:val="Hyperlink"/>
                <w:noProof/>
              </w:rPr>
              <w:t>Part A</w:t>
            </w:r>
            <w:r>
              <w:rPr>
                <w:noProof/>
                <w:webHidden/>
              </w:rPr>
              <w:tab/>
            </w:r>
            <w:r>
              <w:rPr>
                <w:noProof/>
                <w:webHidden/>
              </w:rPr>
              <w:fldChar w:fldCharType="begin"/>
            </w:r>
            <w:r>
              <w:rPr>
                <w:noProof/>
                <w:webHidden/>
              </w:rPr>
              <w:instrText xml:space="preserve"> PAGEREF _Toc100689569 \h </w:instrText>
            </w:r>
            <w:r>
              <w:rPr>
                <w:noProof/>
                <w:webHidden/>
              </w:rPr>
            </w:r>
            <w:r>
              <w:rPr>
                <w:noProof/>
                <w:webHidden/>
              </w:rPr>
              <w:fldChar w:fldCharType="separate"/>
            </w:r>
            <w:r>
              <w:rPr>
                <w:noProof/>
                <w:webHidden/>
              </w:rPr>
              <w:t>4</w:t>
            </w:r>
            <w:r>
              <w:rPr>
                <w:noProof/>
                <w:webHidden/>
              </w:rPr>
              <w:fldChar w:fldCharType="end"/>
            </w:r>
          </w:hyperlink>
        </w:p>
        <w:p w14:paraId="7BA048BC" w14:textId="77777777" w:rsidR="005F6A4D" w:rsidRDefault="00652CCB">
          <w:pPr>
            <w:pStyle w:val="TOC2"/>
            <w:tabs>
              <w:tab w:val="right" w:leader="dot" w:pos="9350"/>
            </w:tabs>
            <w:rPr>
              <w:noProof/>
            </w:rPr>
          </w:pPr>
          <w:hyperlink w:anchor="_Toc100689570" w:history="1">
            <w:r w:rsidR="005F6A4D" w:rsidRPr="00336D1F">
              <w:rPr>
                <w:rStyle w:val="Hyperlink"/>
                <w:noProof/>
              </w:rPr>
              <w:t>Control Report Preparation</w:t>
            </w:r>
            <w:r w:rsidR="005F6A4D">
              <w:rPr>
                <w:noProof/>
                <w:webHidden/>
              </w:rPr>
              <w:tab/>
            </w:r>
            <w:r w:rsidR="005F6A4D">
              <w:rPr>
                <w:noProof/>
                <w:webHidden/>
              </w:rPr>
              <w:fldChar w:fldCharType="begin"/>
            </w:r>
            <w:r w:rsidR="005F6A4D">
              <w:rPr>
                <w:noProof/>
                <w:webHidden/>
              </w:rPr>
              <w:instrText xml:space="preserve"> PAGEREF _Toc100689570 \h </w:instrText>
            </w:r>
            <w:r w:rsidR="005F6A4D">
              <w:rPr>
                <w:noProof/>
                <w:webHidden/>
              </w:rPr>
            </w:r>
            <w:r w:rsidR="005F6A4D">
              <w:rPr>
                <w:noProof/>
                <w:webHidden/>
              </w:rPr>
              <w:fldChar w:fldCharType="separate"/>
            </w:r>
            <w:r w:rsidR="005F6A4D">
              <w:rPr>
                <w:noProof/>
                <w:webHidden/>
              </w:rPr>
              <w:t>4</w:t>
            </w:r>
            <w:r w:rsidR="005F6A4D">
              <w:rPr>
                <w:noProof/>
                <w:webHidden/>
              </w:rPr>
              <w:fldChar w:fldCharType="end"/>
            </w:r>
          </w:hyperlink>
        </w:p>
        <w:p w14:paraId="4F135CAA" w14:textId="77777777" w:rsidR="005F6A4D" w:rsidRDefault="00652CCB">
          <w:pPr>
            <w:pStyle w:val="TOC2"/>
            <w:tabs>
              <w:tab w:val="right" w:leader="dot" w:pos="9350"/>
            </w:tabs>
            <w:rPr>
              <w:noProof/>
            </w:rPr>
          </w:pPr>
          <w:hyperlink w:anchor="_Toc100689571" w:history="1">
            <w:r w:rsidR="005F6A4D" w:rsidRPr="00336D1F">
              <w:rPr>
                <w:rStyle w:val="Hyperlink"/>
                <w:noProof/>
              </w:rPr>
              <w:t>Evaluation of Performance based on Control report</w:t>
            </w:r>
            <w:r w:rsidR="005F6A4D">
              <w:rPr>
                <w:noProof/>
                <w:webHidden/>
              </w:rPr>
              <w:tab/>
            </w:r>
            <w:r w:rsidR="005F6A4D">
              <w:rPr>
                <w:noProof/>
                <w:webHidden/>
              </w:rPr>
              <w:fldChar w:fldCharType="begin"/>
            </w:r>
            <w:r w:rsidR="005F6A4D">
              <w:rPr>
                <w:noProof/>
                <w:webHidden/>
              </w:rPr>
              <w:instrText xml:space="preserve"> PAGEREF _Toc100689571 \h </w:instrText>
            </w:r>
            <w:r w:rsidR="005F6A4D">
              <w:rPr>
                <w:noProof/>
                <w:webHidden/>
              </w:rPr>
            </w:r>
            <w:r w:rsidR="005F6A4D">
              <w:rPr>
                <w:noProof/>
                <w:webHidden/>
              </w:rPr>
              <w:fldChar w:fldCharType="separate"/>
            </w:r>
            <w:r w:rsidR="005F6A4D">
              <w:rPr>
                <w:noProof/>
                <w:webHidden/>
              </w:rPr>
              <w:t>6</w:t>
            </w:r>
            <w:r w:rsidR="005F6A4D">
              <w:rPr>
                <w:noProof/>
                <w:webHidden/>
              </w:rPr>
              <w:fldChar w:fldCharType="end"/>
            </w:r>
          </w:hyperlink>
        </w:p>
        <w:p w14:paraId="34D6D614" w14:textId="77777777" w:rsidR="005F6A4D" w:rsidRDefault="00652CCB">
          <w:pPr>
            <w:pStyle w:val="TOC3"/>
            <w:tabs>
              <w:tab w:val="right" w:leader="dot" w:pos="9350"/>
            </w:tabs>
            <w:rPr>
              <w:noProof/>
            </w:rPr>
          </w:pPr>
          <w:hyperlink w:anchor="_Toc100689572" w:history="1">
            <w:r w:rsidR="005F6A4D" w:rsidRPr="00336D1F">
              <w:rPr>
                <w:rStyle w:val="Hyperlink"/>
                <w:noProof/>
              </w:rPr>
              <w:t>Introduction</w:t>
            </w:r>
            <w:r w:rsidR="005F6A4D">
              <w:rPr>
                <w:noProof/>
                <w:webHidden/>
              </w:rPr>
              <w:tab/>
            </w:r>
            <w:r w:rsidR="005F6A4D">
              <w:rPr>
                <w:noProof/>
                <w:webHidden/>
              </w:rPr>
              <w:fldChar w:fldCharType="begin"/>
            </w:r>
            <w:r w:rsidR="005F6A4D">
              <w:rPr>
                <w:noProof/>
                <w:webHidden/>
              </w:rPr>
              <w:instrText xml:space="preserve"> PAGEREF _Toc100689572 \h </w:instrText>
            </w:r>
            <w:r w:rsidR="005F6A4D">
              <w:rPr>
                <w:noProof/>
                <w:webHidden/>
              </w:rPr>
            </w:r>
            <w:r w:rsidR="005F6A4D">
              <w:rPr>
                <w:noProof/>
                <w:webHidden/>
              </w:rPr>
              <w:fldChar w:fldCharType="separate"/>
            </w:r>
            <w:r w:rsidR="005F6A4D">
              <w:rPr>
                <w:noProof/>
                <w:webHidden/>
              </w:rPr>
              <w:t>6</w:t>
            </w:r>
            <w:r w:rsidR="005F6A4D">
              <w:rPr>
                <w:noProof/>
                <w:webHidden/>
              </w:rPr>
              <w:fldChar w:fldCharType="end"/>
            </w:r>
          </w:hyperlink>
        </w:p>
        <w:p w14:paraId="30DF7B75" w14:textId="77777777" w:rsidR="005F6A4D" w:rsidRDefault="00652CCB">
          <w:pPr>
            <w:pStyle w:val="TOC3"/>
            <w:tabs>
              <w:tab w:val="right" w:leader="dot" w:pos="9350"/>
            </w:tabs>
            <w:rPr>
              <w:noProof/>
            </w:rPr>
          </w:pPr>
          <w:hyperlink w:anchor="_Toc100689573" w:history="1">
            <w:r w:rsidR="005F6A4D" w:rsidRPr="00336D1F">
              <w:rPr>
                <w:rStyle w:val="Hyperlink"/>
                <w:noProof/>
              </w:rPr>
              <w:t>Performance measurement</w:t>
            </w:r>
            <w:r w:rsidR="005F6A4D">
              <w:rPr>
                <w:noProof/>
                <w:webHidden/>
              </w:rPr>
              <w:tab/>
            </w:r>
            <w:r w:rsidR="005F6A4D">
              <w:rPr>
                <w:noProof/>
                <w:webHidden/>
              </w:rPr>
              <w:fldChar w:fldCharType="begin"/>
            </w:r>
            <w:r w:rsidR="005F6A4D">
              <w:rPr>
                <w:noProof/>
                <w:webHidden/>
              </w:rPr>
              <w:instrText xml:space="preserve"> PAGEREF _Toc100689573 \h </w:instrText>
            </w:r>
            <w:r w:rsidR="005F6A4D">
              <w:rPr>
                <w:noProof/>
                <w:webHidden/>
              </w:rPr>
            </w:r>
            <w:r w:rsidR="005F6A4D">
              <w:rPr>
                <w:noProof/>
                <w:webHidden/>
              </w:rPr>
              <w:fldChar w:fldCharType="separate"/>
            </w:r>
            <w:r w:rsidR="005F6A4D">
              <w:rPr>
                <w:noProof/>
                <w:webHidden/>
              </w:rPr>
              <w:t>6</w:t>
            </w:r>
            <w:r w:rsidR="005F6A4D">
              <w:rPr>
                <w:noProof/>
                <w:webHidden/>
              </w:rPr>
              <w:fldChar w:fldCharType="end"/>
            </w:r>
          </w:hyperlink>
        </w:p>
        <w:p w14:paraId="08900835" w14:textId="77777777" w:rsidR="005F6A4D" w:rsidRDefault="00652CCB">
          <w:pPr>
            <w:pStyle w:val="TOC3"/>
            <w:tabs>
              <w:tab w:val="right" w:leader="dot" w:pos="9350"/>
            </w:tabs>
            <w:rPr>
              <w:noProof/>
            </w:rPr>
          </w:pPr>
          <w:hyperlink w:anchor="_Toc100689574" w:history="1">
            <w:r w:rsidR="005F6A4D" w:rsidRPr="00336D1F">
              <w:rPr>
                <w:rStyle w:val="Hyperlink"/>
                <w:noProof/>
              </w:rPr>
              <w:t>Conclusion</w:t>
            </w:r>
            <w:r w:rsidR="005F6A4D">
              <w:rPr>
                <w:noProof/>
                <w:webHidden/>
              </w:rPr>
              <w:tab/>
            </w:r>
            <w:r w:rsidR="005F6A4D">
              <w:rPr>
                <w:noProof/>
                <w:webHidden/>
              </w:rPr>
              <w:fldChar w:fldCharType="begin"/>
            </w:r>
            <w:r w:rsidR="005F6A4D">
              <w:rPr>
                <w:noProof/>
                <w:webHidden/>
              </w:rPr>
              <w:instrText xml:space="preserve"> PAGEREF _Toc100689574 \h </w:instrText>
            </w:r>
            <w:r w:rsidR="005F6A4D">
              <w:rPr>
                <w:noProof/>
                <w:webHidden/>
              </w:rPr>
            </w:r>
            <w:r w:rsidR="005F6A4D">
              <w:rPr>
                <w:noProof/>
                <w:webHidden/>
              </w:rPr>
              <w:fldChar w:fldCharType="separate"/>
            </w:r>
            <w:r w:rsidR="005F6A4D">
              <w:rPr>
                <w:noProof/>
                <w:webHidden/>
              </w:rPr>
              <w:t>7</w:t>
            </w:r>
            <w:r w:rsidR="005F6A4D">
              <w:rPr>
                <w:noProof/>
                <w:webHidden/>
              </w:rPr>
              <w:fldChar w:fldCharType="end"/>
            </w:r>
          </w:hyperlink>
        </w:p>
        <w:p w14:paraId="18977E6C" w14:textId="77777777" w:rsidR="005F6A4D" w:rsidRDefault="00652CCB">
          <w:pPr>
            <w:pStyle w:val="TOC2"/>
            <w:tabs>
              <w:tab w:val="right" w:leader="dot" w:pos="9350"/>
            </w:tabs>
            <w:rPr>
              <w:noProof/>
            </w:rPr>
          </w:pPr>
          <w:hyperlink w:anchor="_Toc100689575" w:history="1">
            <w:r w:rsidR="005F6A4D" w:rsidRPr="00336D1F">
              <w:rPr>
                <w:rStyle w:val="Hyperlink"/>
                <w:noProof/>
              </w:rPr>
              <w:t>Recommendations on areas of improvement for Amana’s</w:t>
            </w:r>
            <w:r w:rsidR="005F6A4D">
              <w:rPr>
                <w:noProof/>
                <w:webHidden/>
              </w:rPr>
              <w:tab/>
            </w:r>
            <w:r w:rsidR="005F6A4D">
              <w:rPr>
                <w:noProof/>
                <w:webHidden/>
              </w:rPr>
              <w:fldChar w:fldCharType="begin"/>
            </w:r>
            <w:r w:rsidR="005F6A4D">
              <w:rPr>
                <w:noProof/>
                <w:webHidden/>
              </w:rPr>
              <w:instrText xml:space="preserve"> PAGEREF _Toc100689575 \h </w:instrText>
            </w:r>
            <w:r w:rsidR="005F6A4D">
              <w:rPr>
                <w:noProof/>
                <w:webHidden/>
              </w:rPr>
            </w:r>
            <w:r w:rsidR="005F6A4D">
              <w:rPr>
                <w:noProof/>
                <w:webHidden/>
              </w:rPr>
              <w:fldChar w:fldCharType="separate"/>
            </w:r>
            <w:r w:rsidR="005F6A4D">
              <w:rPr>
                <w:noProof/>
                <w:webHidden/>
              </w:rPr>
              <w:t>7</w:t>
            </w:r>
            <w:r w:rsidR="005F6A4D">
              <w:rPr>
                <w:noProof/>
                <w:webHidden/>
              </w:rPr>
              <w:fldChar w:fldCharType="end"/>
            </w:r>
          </w:hyperlink>
        </w:p>
        <w:p w14:paraId="06D9AC4F" w14:textId="77777777" w:rsidR="005F6A4D" w:rsidRDefault="00652CCB">
          <w:pPr>
            <w:pStyle w:val="TOC1"/>
            <w:tabs>
              <w:tab w:val="right" w:leader="dot" w:pos="9350"/>
            </w:tabs>
            <w:rPr>
              <w:noProof/>
            </w:rPr>
          </w:pPr>
          <w:hyperlink w:anchor="_Toc100689576" w:history="1">
            <w:r w:rsidR="005F6A4D" w:rsidRPr="00336D1F">
              <w:rPr>
                <w:rStyle w:val="Hyperlink"/>
                <w:noProof/>
              </w:rPr>
              <w:t>PART B</w:t>
            </w:r>
            <w:r w:rsidR="005F6A4D">
              <w:rPr>
                <w:noProof/>
                <w:webHidden/>
              </w:rPr>
              <w:tab/>
            </w:r>
            <w:r w:rsidR="005F6A4D">
              <w:rPr>
                <w:noProof/>
                <w:webHidden/>
              </w:rPr>
              <w:fldChar w:fldCharType="begin"/>
            </w:r>
            <w:r w:rsidR="005F6A4D">
              <w:rPr>
                <w:noProof/>
                <w:webHidden/>
              </w:rPr>
              <w:instrText xml:space="preserve"> PAGEREF _Toc100689576 \h </w:instrText>
            </w:r>
            <w:r w:rsidR="005F6A4D">
              <w:rPr>
                <w:noProof/>
                <w:webHidden/>
              </w:rPr>
            </w:r>
            <w:r w:rsidR="005F6A4D">
              <w:rPr>
                <w:noProof/>
                <w:webHidden/>
              </w:rPr>
              <w:fldChar w:fldCharType="separate"/>
            </w:r>
            <w:r w:rsidR="005F6A4D">
              <w:rPr>
                <w:noProof/>
                <w:webHidden/>
              </w:rPr>
              <w:t>8</w:t>
            </w:r>
            <w:r w:rsidR="005F6A4D">
              <w:rPr>
                <w:noProof/>
                <w:webHidden/>
              </w:rPr>
              <w:fldChar w:fldCharType="end"/>
            </w:r>
          </w:hyperlink>
        </w:p>
        <w:p w14:paraId="67B41994" w14:textId="77777777" w:rsidR="005F6A4D" w:rsidRDefault="00652CCB">
          <w:pPr>
            <w:pStyle w:val="TOC2"/>
            <w:tabs>
              <w:tab w:val="right" w:leader="dot" w:pos="9350"/>
            </w:tabs>
            <w:rPr>
              <w:noProof/>
            </w:rPr>
          </w:pPr>
          <w:hyperlink w:anchor="_Toc100689577" w:history="1">
            <w:r w:rsidR="005F6A4D" w:rsidRPr="00336D1F">
              <w:rPr>
                <w:rStyle w:val="Hyperlink"/>
                <w:noProof/>
              </w:rPr>
              <w:t>Reason to do business online by setting up own online shop rather than selling on Amazon</w:t>
            </w:r>
            <w:r w:rsidR="005F6A4D">
              <w:rPr>
                <w:noProof/>
                <w:webHidden/>
              </w:rPr>
              <w:tab/>
            </w:r>
            <w:r w:rsidR="005F6A4D">
              <w:rPr>
                <w:noProof/>
                <w:webHidden/>
              </w:rPr>
              <w:fldChar w:fldCharType="begin"/>
            </w:r>
            <w:r w:rsidR="005F6A4D">
              <w:rPr>
                <w:noProof/>
                <w:webHidden/>
              </w:rPr>
              <w:instrText xml:space="preserve"> PAGEREF _Toc100689577 \h </w:instrText>
            </w:r>
            <w:r w:rsidR="005F6A4D">
              <w:rPr>
                <w:noProof/>
                <w:webHidden/>
              </w:rPr>
            </w:r>
            <w:r w:rsidR="005F6A4D">
              <w:rPr>
                <w:noProof/>
                <w:webHidden/>
              </w:rPr>
              <w:fldChar w:fldCharType="separate"/>
            </w:r>
            <w:r w:rsidR="005F6A4D">
              <w:rPr>
                <w:noProof/>
                <w:webHidden/>
              </w:rPr>
              <w:t>8</w:t>
            </w:r>
            <w:r w:rsidR="005F6A4D">
              <w:rPr>
                <w:noProof/>
                <w:webHidden/>
              </w:rPr>
              <w:fldChar w:fldCharType="end"/>
            </w:r>
          </w:hyperlink>
        </w:p>
        <w:p w14:paraId="03463C87" w14:textId="77777777" w:rsidR="005F6A4D" w:rsidRDefault="00652CCB">
          <w:pPr>
            <w:pStyle w:val="TOC1"/>
            <w:tabs>
              <w:tab w:val="right" w:leader="dot" w:pos="9350"/>
            </w:tabs>
            <w:rPr>
              <w:noProof/>
            </w:rPr>
          </w:pPr>
          <w:hyperlink w:anchor="_Toc100689578" w:history="1">
            <w:r w:rsidR="005F6A4D" w:rsidRPr="00336D1F">
              <w:rPr>
                <w:rStyle w:val="Hyperlink"/>
                <w:noProof/>
              </w:rPr>
              <w:t>Reference list</w:t>
            </w:r>
            <w:r w:rsidR="005F6A4D">
              <w:rPr>
                <w:noProof/>
                <w:webHidden/>
              </w:rPr>
              <w:tab/>
            </w:r>
            <w:r w:rsidR="005F6A4D">
              <w:rPr>
                <w:noProof/>
                <w:webHidden/>
              </w:rPr>
              <w:fldChar w:fldCharType="begin"/>
            </w:r>
            <w:r w:rsidR="005F6A4D">
              <w:rPr>
                <w:noProof/>
                <w:webHidden/>
              </w:rPr>
              <w:instrText xml:space="preserve"> PAGEREF _Toc100689578 \h </w:instrText>
            </w:r>
            <w:r w:rsidR="005F6A4D">
              <w:rPr>
                <w:noProof/>
                <w:webHidden/>
              </w:rPr>
            </w:r>
            <w:r w:rsidR="005F6A4D">
              <w:rPr>
                <w:noProof/>
                <w:webHidden/>
              </w:rPr>
              <w:fldChar w:fldCharType="separate"/>
            </w:r>
            <w:r w:rsidR="005F6A4D">
              <w:rPr>
                <w:noProof/>
                <w:webHidden/>
              </w:rPr>
              <w:t>11</w:t>
            </w:r>
            <w:r w:rsidR="005F6A4D">
              <w:rPr>
                <w:noProof/>
                <w:webHidden/>
              </w:rPr>
              <w:fldChar w:fldCharType="end"/>
            </w:r>
          </w:hyperlink>
        </w:p>
        <w:p w14:paraId="388CC0E3" w14:textId="77777777" w:rsidR="005F6A4D" w:rsidRDefault="005F6A4D">
          <w:r>
            <w:rPr>
              <w:b/>
              <w:bCs/>
              <w:noProof/>
            </w:rPr>
            <w:fldChar w:fldCharType="end"/>
          </w:r>
        </w:p>
      </w:sdtContent>
    </w:sdt>
    <w:p w14:paraId="0AD0A700" w14:textId="77777777" w:rsidR="00E3321E" w:rsidRDefault="00E3321E" w:rsidP="00E3321E">
      <w:pPr>
        <w:spacing w:line="259" w:lineRule="auto"/>
        <w:jc w:val="left"/>
        <w:rPr>
          <w:rFonts w:eastAsiaTheme="majorEastAsia" w:cstheme="majorBidi"/>
          <w:color w:val="000000" w:themeColor="text1"/>
          <w:sz w:val="28"/>
          <w:szCs w:val="32"/>
        </w:rPr>
      </w:pPr>
      <w:r>
        <w:br w:type="page"/>
      </w:r>
    </w:p>
    <w:p w14:paraId="01A37003" w14:textId="77777777" w:rsidR="00BD2F34" w:rsidRDefault="00B95384" w:rsidP="00B95384">
      <w:pPr>
        <w:pStyle w:val="Heading1"/>
      </w:pPr>
      <w:bookmarkStart w:id="0" w:name="_Toc100689569"/>
      <w:r>
        <w:lastRenderedPageBreak/>
        <w:t>Part A</w:t>
      </w:r>
      <w:bookmarkEnd w:id="0"/>
    </w:p>
    <w:p w14:paraId="760CE1BA" w14:textId="77777777" w:rsidR="00B95384" w:rsidRDefault="00B95384" w:rsidP="00B95384">
      <w:pPr>
        <w:pStyle w:val="Heading2"/>
      </w:pPr>
      <w:bookmarkStart w:id="1" w:name="_Toc100689570"/>
      <w:r>
        <w:t>Control Report Preparation</w:t>
      </w:r>
      <w:bookmarkEnd w:id="1"/>
    </w:p>
    <w:p w14:paraId="673C9714" w14:textId="77777777" w:rsidR="00B95384" w:rsidRDefault="0040760E" w:rsidP="00B95384">
      <w:r>
        <w:t>Control report is the types of the report used to control over the cost flow in the business operation. Managers of the organization are using this report to control over the flow of the cost in the current environment</w:t>
      </w:r>
      <w:r w:rsidR="00796D38">
        <w:t xml:space="preserve"> (</w:t>
      </w:r>
      <w:r w:rsidR="00796D38" w:rsidRPr="009341A0">
        <w:t>Humphries</w:t>
      </w:r>
      <w:r w:rsidR="00796D38">
        <w:t xml:space="preserve"> </w:t>
      </w:r>
      <w:r w:rsidR="00796D38" w:rsidRPr="009341A0">
        <w:t xml:space="preserve">and </w:t>
      </w:r>
      <w:proofErr w:type="spellStart"/>
      <w:r w:rsidR="00796D38" w:rsidRPr="009341A0">
        <w:t>Xie</w:t>
      </w:r>
      <w:proofErr w:type="spellEnd"/>
      <w:r w:rsidR="00796D38">
        <w:t>, 2019)</w:t>
      </w:r>
      <w:r>
        <w:t xml:space="preserve">. Control report mainly used in the manufacturing operation to control over the inflow and outflow of the production cost in the manufacturing process. This process leads the operation managers to improve the cost allocation of the firm and effectively distributes the cost in the organizational development. </w:t>
      </w:r>
      <w:r w:rsidR="000A1C7C">
        <w:t xml:space="preserve">Through the use of the cost report, an organization is able to determine the variable costs and fixed cost of the business operation and recognize the excess flow area of the cost. </w:t>
      </w:r>
      <w:r w:rsidR="00FA214A">
        <w:t xml:space="preserve">Control report used to prepare for the identification of the key area of the operational cost for the organization in the current environment. </w:t>
      </w:r>
      <w:r w:rsidR="008A48B8">
        <w:t xml:space="preserve">Monthly control report contained the data regarding the sales revenue, variable cost, fixed cost, contribution and net profit over the period. It can be assessed that the control report used to showcase the budget distribution, actual distribution and variance of the business resource allocation. Cost control report used to determine the efficiency of the operational process in the cost assessment through </w:t>
      </w:r>
      <w:r w:rsidR="00834577">
        <w:t xml:space="preserve">identify the differences between the budgeted distribution and actual allocation in the business operation. Cost control report also showcase the status of the allocation through the analyses of the variance of the distribution process. </w:t>
      </w:r>
    </w:p>
    <w:p w14:paraId="1A7CBF0C" w14:textId="77777777" w:rsidR="00834577" w:rsidRDefault="00834577" w:rsidP="00B95384">
      <w:r w:rsidRPr="00834577">
        <w:t xml:space="preserve">Monthly control reports assist management to keep track of the company's regular production cycle, allowing them to maintain control over the company's operations. Companies can improve system performance while lowering costs by </w:t>
      </w:r>
      <w:proofErr w:type="spellStart"/>
      <w:r w:rsidRPr="00834577">
        <w:t>utilising</w:t>
      </w:r>
      <w:proofErr w:type="spellEnd"/>
      <w:r w:rsidRPr="00834577">
        <w:t xml:space="preserve"> the control summary. Through use of a management report can be used to analyze fixed and variable cost in a corporate activity. Furthermore, variance analysis in the commercial enterprise can efficiently identify variations between the real price and the anticipated cost.</w:t>
      </w:r>
      <w:r>
        <w:t xml:space="preserve"> Management of the organization are able to control over the profit performance of the business through using control report. Monthly Control Report has been prepared for Amana Ltd in below of this assignment effectively -</w:t>
      </w:r>
    </w:p>
    <w:tbl>
      <w:tblPr>
        <w:tblW w:w="5000" w:type="pct"/>
        <w:tblLayout w:type="fixed"/>
        <w:tblLook w:val="04A0" w:firstRow="1" w:lastRow="0" w:firstColumn="1" w:lastColumn="0" w:noHBand="0" w:noVBand="1"/>
      </w:tblPr>
      <w:tblGrid>
        <w:gridCol w:w="2784"/>
        <w:gridCol w:w="1891"/>
        <w:gridCol w:w="1709"/>
        <w:gridCol w:w="1440"/>
        <w:gridCol w:w="1526"/>
      </w:tblGrid>
      <w:tr w:rsidR="0040760E" w:rsidRPr="0040760E" w14:paraId="7E03491B" w14:textId="77777777" w:rsidTr="0040760E">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000000" w:fill="DDD9C4"/>
            <w:noWrap/>
            <w:vAlign w:val="bottom"/>
            <w:hideMark/>
          </w:tcPr>
          <w:p w14:paraId="3EB9EE99" w14:textId="77777777" w:rsidR="0040760E" w:rsidRPr="0040760E" w:rsidRDefault="0040760E" w:rsidP="0040760E">
            <w:pPr>
              <w:spacing w:after="0" w:line="240" w:lineRule="auto"/>
              <w:jc w:val="center"/>
              <w:rPr>
                <w:rFonts w:eastAsia="Times New Roman" w:cs="Times New Roman"/>
                <w:b/>
                <w:bCs/>
                <w:color w:val="000000"/>
                <w:szCs w:val="24"/>
              </w:rPr>
            </w:pPr>
            <w:r w:rsidRPr="0040760E">
              <w:rPr>
                <w:rFonts w:eastAsia="Times New Roman" w:cs="Times New Roman"/>
                <w:b/>
                <w:bCs/>
                <w:color w:val="000000"/>
                <w:szCs w:val="24"/>
              </w:rPr>
              <w:t>Monthly Control Report</w:t>
            </w:r>
          </w:p>
        </w:tc>
      </w:tr>
      <w:tr w:rsidR="0040760E" w:rsidRPr="0040760E" w14:paraId="230E8EA1"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5F1895BB"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1011" w:type="pct"/>
            <w:tcBorders>
              <w:top w:val="nil"/>
              <w:left w:val="nil"/>
              <w:bottom w:val="single" w:sz="4" w:space="0" w:color="auto"/>
              <w:right w:val="single" w:sz="4" w:space="0" w:color="auto"/>
            </w:tcBorders>
            <w:shd w:val="clear" w:color="000000" w:fill="DDD9C4"/>
            <w:noWrap/>
            <w:vAlign w:val="bottom"/>
            <w:hideMark/>
          </w:tcPr>
          <w:p w14:paraId="4D3509C3"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Budget Distribution</w:t>
            </w:r>
          </w:p>
        </w:tc>
        <w:tc>
          <w:tcPr>
            <w:tcW w:w="914" w:type="pct"/>
            <w:tcBorders>
              <w:top w:val="nil"/>
              <w:left w:val="nil"/>
              <w:bottom w:val="single" w:sz="4" w:space="0" w:color="auto"/>
              <w:right w:val="single" w:sz="4" w:space="0" w:color="auto"/>
            </w:tcBorders>
            <w:shd w:val="clear" w:color="000000" w:fill="DDD9C4"/>
            <w:noWrap/>
            <w:vAlign w:val="bottom"/>
            <w:hideMark/>
          </w:tcPr>
          <w:p w14:paraId="06C46E16"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Actual Allocation</w:t>
            </w:r>
          </w:p>
        </w:tc>
        <w:tc>
          <w:tcPr>
            <w:tcW w:w="770" w:type="pct"/>
            <w:tcBorders>
              <w:top w:val="nil"/>
              <w:left w:val="nil"/>
              <w:bottom w:val="single" w:sz="4" w:space="0" w:color="auto"/>
              <w:right w:val="single" w:sz="4" w:space="0" w:color="auto"/>
            </w:tcBorders>
            <w:shd w:val="clear" w:color="000000" w:fill="DDD9C4"/>
            <w:noWrap/>
            <w:vAlign w:val="bottom"/>
            <w:hideMark/>
          </w:tcPr>
          <w:p w14:paraId="38BFF937"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Variance</w:t>
            </w:r>
          </w:p>
        </w:tc>
        <w:tc>
          <w:tcPr>
            <w:tcW w:w="816" w:type="pct"/>
            <w:tcBorders>
              <w:top w:val="nil"/>
              <w:left w:val="nil"/>
              <w:bottom w:val="single" w:sz="4" w:space="0" w:color="auto"/>
              <w:right w:val="single" w:sz="4" w:space="0" w:color="auto"/>
            </w:tcBorders>
            <w:shd w:val="clear" w:color="000000" w:fill="DDD9C4"/>
            <w:noWrap/>
            <w:vAlign w:val="bottom"/>
            <w:hideMark/>
          </w:tcPr>
          <w:p w14:paraId="37C887CD"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Status</w:t>
            </w:r>
          </w:p>
        </w:tc>
      </w:tr>
      <w:tr w:rsidR="0040760E" w:rsidRPr="0040760E" w14:paraId="55F834F0"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00827116"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Numbers of Units</w:t>
            </w:r>
          </w:p>
        </w:tc>
        <w:tc>
          <w:tcPr>
            <w:tcW w:w="1011" w:type="pct"/>
            <w:tcBorders>
              <w:top w:val="nil"/>
              <w:left w:val="nil"/>
              <w:bottom w:val="single" w:sz="4" w:space="0" w:color="auto"/>
              <w:right w:val="single" w:sz="4" w:space="0" w:color="auto"/>
            </w:tcBorders>
            <w:shd w:val="clear" w:color="000000" w:fill="DDD9C4"/>
            <w:noWrap/>
            <w:vAlign w:val="bottom"/>
            <w:hideMark/>
          </w:tcPr>
          <w:p w14:paraId="27390E1E"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xml:space="preserve">       100,000.00 </w:t>
            </w:r>
          </w:p>
        </w:tc>
        <w:tc>
          <w:tcPr>
            <w:tcW w:w="914" w:type="pct"/>
            <w:tcBorders>
              <w:top w:val="nil"/>
              <w:left w:val="nil"/>
              <w:bottom w:val="single" w:sz="4" w:space="0" w:color="auto"/>
              <w:right w:val="single" w:sz="4" w:space="0" w:color="auto"/>
            </w:tcBorders>
            <w:shd w:val="clear" w:color="000000" w:fill="DDD9C4"/>
            <w:noWrap/>
            <w:vAlign w:val="bottom"/>
            <w:hideMark/>
          </w:tcPr>
          <w:p w14:paraId="52DF666C"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xml:space="preserve">         80,000.00 </w:t>
            </w:r>
          </w:p>
        </w:tc>
        <w:tc>
          <w:tcPr>
            <w:tcW w:w="770" w:type="pct"/>
            <w:tcBorders>
              <w:top w:val="nil"/>
              <w:left w:val="nil"/>
              <w:bottom w:val="single" w:sz="4" w:space="0" w:color="auto"/>
              <w:right w:val="single" w:sz="4" w:space="0" w:color="auto"/>
            </w:tcBorders>
            <w:shd w:val="clear" w:color="000000" w:fill="DDD9C4"/>
            <w:noWrap/>
            <w:vAlign w:val="bottom"/>
            <w:hideMark/>
          </w:tcPr>
          <w:p w14:paraId="5F691430"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5D385A97"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28C4A21F"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2E13AC1D"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lastRenderedPageBreak/>
              <w:t>Selling price per unit</w:t>
            </w:r>
          </w:p>
        </w:tc>
        <w:tc>
          <w:tcPr>
            <w:tcW w:w="1011" w:type="pct"/>
            <w:tcBorders>
              <w:top w:val="nil"/>
              <w:left w:val="nil"/>
              <w:bottom w:val="single" w:sz="4" w:space="0" w:color="auto"/>
              <w:right w:val="single" w:sz="4" w:space="0" w:color="auto"/>
            </w:tcBorders>
            <w:shd w:val="clear" w:color="000000" w:fill="DDD9C4"/>
            <w:noWrap/>
            <w:vAlign w:val="bottom"/>
            <w:hideMark/>
          </w:tcPr>
          <w:p w14:paraId="43BE8E9B"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25.00</w:t>
            </w:r>
          </w:p>
        </w:tc>
        <w:tc>
          <w:tcPr>
            <w:tcW w:w="914" w:type="pct"/>
            <w:tcBorders>
              <w:top w:val="nil"/>
              <w:left w:val="nil"/>
              <w:bottom w:val="single" w:sz="4" w:space="0" w:color="auto"/>
              <w:right w:val="single" w:sz="4" w:space="0" w:color="auto"/>
            </w:tcBorders>
            <w:shd w:val="clear" w:color="000000" w:fill="DDD9C4"/>
            <w:noWrap/>
            <w:vAlign w:val="bottom"/>
            <w:hideMark/>
          </w:tcPr>
          <w:p w14:paraId="0071A163"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20.00</w:t>
            </w:r>
          </w:p>
        </w:tc>
        <w:tc>
          <w:tcPr>
            <w:tcW w:w="770" w:type="pct"/>
            <w:tcBorders>
              <w:top w:val="nil"/>
              <w:left w:val="nil"/>
              <w:bottom w:val="single" w:sz="4" w:space="0" w:color="auto"/>
              <w:right w:val="single" w:sz="4" w:space="0" w:color="auto"/>
            </w:tcBorders>
            <w:shd w:val="clear" w:color="000000" w:fill="DDD9C4"/>
            <w:noWrap/>
            <w:vAlign w:val="bottom"/>
            <w:hideMark/>
          </w:tcPr>
          <w:p w14:paraId="2248F49C"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63DCCD80"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5279BEA4"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A8C4FBD"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Sales Revenue</w:t>
            </w:r>
          </w:p>
        </w:tc>
        <w:tc>
          <w:tcPr>
            <w:tcW w:w="1011" w:type="pct"/>
            <w:tcBorders>
              <w:top w:val="nil"/>
              <w:left w:val="nil"/>
              <w:bottom w:val="single" w:sz="4" w:space="0" w:color="auto"/>
              <w:right w:val="single" w:sz="4" w:space="0" w:color="auto"/>
            </w:tcBorders>
            <w:shd w:val="clear" w:color="000000" w:fill="DDD9C4"/>
            <w:noWrap/>
            <w:vAlign w:val="bottom"/>
            <w:hideMark/>
          </w:tcPr>
          <w:p w14:paraId="13DBBC49"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2500000.00</w:t>
            </w:r>
          </w:p>
        </w:tc>
        <w:tc>
          <w:tcPr>
            <w:tcW w:w="914" w:type="pct"/>
            <w:tcBorders>
              <w:top w:val="nil"/>
              <w:left w:val="nil"/>
              <w:bottom w:val="single" w:sz="4" w:space="0" w:color="auto"/>
              <w:right w:val="single" w:sz="4" w:space="0" w:color="auto"/>
            </w:tcBorders>
            <w:shd w:val="clear" w:color="000000" w:fill="DDD9C4"/>
            <w:noWrap/>
            <w:vAlign w:val="bottom"/>
            <w:hideMark/>
          </w:tcPr>
          <w:p w14:paraId="6FD2FFF4"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1600000.00</w:t>
            </w:r>
          </w:p>
        </w:tc>
        <w:tc>
          <w:tcPr>
            <w:tcW w:w="770" w:type="pct"/>
            <w:tcBorders>
              <w:top w:val="nil"/>
              <w:left w:val="nil"/>
              <w:bottom w:val="single" w:sz="4" w:space="0" w:color="auto"/>
              <w:right w:val="single" w:sz="4" w:space="0" w:color="auto"/>
            </w:tcBorders>
            <w:shd w:val="clear" w:color="000000" w:fill="DDD9C4"/>
            <w:noWrap/>
            <w:vAlign w:val="bottom"/>
            <w:hideMark/>
          </w:tcPr>
          <w:p w14:paraId="0CB21FC4"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900000.00</w:t>
            </w:r>
          </w:p>
        </w:tc>
        <w:tc>
          <w:tcPr>
            <w:tcW w:w="816" w:type="pct"/>
            <w:tcBorders>
              <w:top w:val="nil"/>
              <w:left w:val="nil"/>
              <w:bottom w:val="single" w:sz="4" w:space="0" w:color="auto"/>
              <w:right w:val="single" w:sz="4" w:space="0" w:color="auto"/>
            </w:tcBorders>
            <w:shd w:val="clear" w:color="000000" w:fill="DDD9C4"/>
            <w:noWrap/>
            <w:vAlign w:val="bottom"/>
            <w:hideMark/>
          </w:tcPr>
          <w:p w14:paraId="287959E0"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Unacceptable</w:t>
            </w:r>
          </w:p>
        </w:tc>
      </w:tr>
      <w:tr w:rsidR="0040760E" w:rsidRPr="0040760E" w14:paraId="3DC2BA60"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2393725F"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1011" w:type="pct"/>
            <w:tcBorders>
              <w:top w:val="nil"/>
              <w:left w:val="nil"/>
              <w:bottom w:val="single" w:sz="4" w:space="0" w:color="auto"/>
              <w:right w:val="single" w:sz="4" w:space="0" w:color="auto"/>
            </w:tcBorders>
            <w:shd w:val="clear" w:color="000000" w:fill="DDD9C4"/>
            <w:noWrap/>
            <w:vAlign w:val="bottom"/>
            <w:hideMark/>
          </w:tcPr>
          <w:p w14:paraId="6A97635A"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914" w:type="pct"/>
            <w:tcBorders>
              <w:top w:val="nil"/>
              <w:left w:val="nil"/>
              <w:bottom w:val="single" w:sz="4" w:space="0" w:color="auto"/>
              <w:right w:val="single" w:sz="4" w:space="0" w:color="auto"/>
            </w:tcBorders>
            <w:shd w:val="clear" w:color="000000" w:fill="DDD9C4"/>
            <w:noWrap/>
            <w:vAlign w:val="bottom"/>
            <w:hideMark/>
          </w:tcPr>
          <w:p w14:paraId="4CCB606A"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770" w:type="pct"/>
            <w:tcBorders>
              <w:top w:val="nil"/>
              <w:left w:val="nil"/>
              <w:bottom w:val="single" w:sz="4" w:space="0" w:color="auto"/>
              <w:right w:val="single" w:sz="4" w:space="0" w:color="auto"/>
            </w:tcBorders>
            <w:shd w:val="clear" w:color="000000" w:fill="DDD9C4"/>
            <w:noWrap/>
            <w:vAlign w:val="bottom"/>
            <w:hideMark/>
          </w:tcPr>
          <w:p w14:paraId="313EB1DA"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4D39CEE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367AC906"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7274BB88" w14:textId="77777777" w:rsidR="0040760E" w:rsidRPr="0040760E" w:rsidRDefault="0040760E" w:rsidP="0040760E">
            <w:pPr>
              <w:spacing w:after="0" w:line="240" w:lineRule="auto"/>
              <w:jc w:val="left"/>
              <w:rPr>
                <w:rFonts w:eastAsia="Times New Roman" w:cs="Times New Roman"/>
                <w:b/>
                <w:bCs/>
                <w:color w:val="000000"/>
                <w:szCs w:val="24"/>
                <w:u w:val="single"/>
              </w:rPr>
            </w:pPr>
            <w:r w:rsidRPr="0040760E">
              <w:rPr>
                <w:rFonts w:eastAsia="Times New Roman" w:cs="Times New Roman"/>
                <w:b/>
                <w:bCs/>
                <w:color w:val="000000"/>
                <w:szCs w:val="24"/>
                <w:u w:val="single"/>
              </w:rPr>
              <w:t>Variable Costs</w:t>
            </w:r>
          </w:p>
        </w:tc>
        <w:tc>
          <w:tcPr>
            <w:tcW w:w="1011" w:type="pct"/>
            <w:tcBorders>
              <w:top w:val="nil"/>
              <w:left w:val="nil"/>
              <w:bottom w:val="single" w:sz="4" w:space="0" w:color="auto"/>
              <w:right w:val="single" w:sz="4" w:space="0" w:color="auto"/>
            </w:tcBorders>
            <w:shd w:val="clear" w:color="000000" w:fill="DDD9C4"/>
            <w:noWrap/>
            <w:vAlign w:val="bottom"/>
            <w:hideMark/>
          </w:tcPr>
          <w:p w14:paraId="034B3544"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914" w:type="pct"/>
            <w:tcBorders>
              <w:top w:val="nil"/>
              <w:left w:val="nil"/>
              <w:bottom w:val="single" w:sz="4" w:space="0" w:color="auto"/>
              <w:right w:val="single" w:sz="4" w:space="0" w:color="auto"/>
            </w:tcBorders>
            <w:shd w:val="clear" w:color="000000" w:fill="DDD9C4"/>
            <w:noWrap/>
            <w:vAlign w:val="bottom"/>
            <w:hideMark/>
          </w:tcPr>
          <w:p w14:paraId="774711B2"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770" w:type="pct"/>
            <w:tcBorders>
              <w:top w:val="nil"/>
              <w:left w:val="nil"/>
              <w:bottom w:val="single" w:sz="4" w:space="0" w:color="auto"/>
              <w:right w:val="single" w:sz="4" w:space="0" w:color="auto"/>
            </w:tcBorders>
            <w:shd w:val="clear" w:color="000000" w:fill="DDD9C4"/>
            <w:noWrap/>
            <w:vAlign w:val="bottom"/>
            <w:hideMark/>
          </w:tcPr>
          <w:p w14:paraId="7C7EC902"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26F23F80"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421DED00"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F7EB58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Direct Materials</w:t>
            </w:r>
          </w:p>
        </w:tc>
        <w:tc>
          <w:tcPr>
            <w:tcW w:w="1011" w:type="pct"/>
            <w:tcBorders>
              <w:top w:val="nil"/>
              <w:left w:val="nil"/>
              <w:bottom w:val="single" w:sz="4" w:space="0" w:color="auto"/>
              <w:right w:val="single" w:sz="4" w:space="0" w:color="auto"/>
            </w:tcBorders>
            <w:shd w:val="clear" w:color="000000" w:fill="DDD9C4"/>
            <w:noWrap/>
            <w:vAlign w:val="bottom"/>
            <w:hideMark/>
          </w:tcPr>
          <w:p w14:paraId="5B061D42"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250000.00</w:t>
            </w:r>
          </w:p>
        </w:tc>
        <w:tc>
          <w:tcPr>
            <w:tcW w:w="914" w:type="pct"/>
            <w:tcBorders>
              <w:top w:val="nil"/>
              <w:left w:val="nil"/>
              <w:bottom w:val="single" w:sz="4" w:space="0" w:color="auto"/>
              <w:right w:val="single" w:sz="4" w:space="0" w:color="auto"/>
            </w:tcBorders>
            <w:shd w:val="clear" w:color="000000" w:fill="DDD9C4"/>
            <w:noWrap/>
            <w:vAlign w:val="bottom"/>
            <w:hideMark/>
          </w:tcPr>
          <w:p w14:paraId="149D4F6F"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280000.00</w:t>
            </w:r>
          </w:p>
        </w:tc>
        <w:tc>
          <w:tcPr>
            <w:tcW w:w="770" w:type="pct"/>
            <w:tcBorders>
              <w:top w:val="nil"/>
              <w:left w:val="nil"/>
              <w:bottom w:val="single" w:sz="4" w:space="0" w:color="auto"/>
              <w:right w:val="single" w:sz="4" w:space="0" w:color="auto"/>
            </w:tcBorders>
            <w:shd w:val="clear" w:color="000000" w:fill="DDD9C4"/>
            <w:noWrap/>
            <w:vAlign w:val="bottom"/>
            <w:hideMark/>
          </w:tcPr>
          <w:p w14:paraId="71FD22B9"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-30000.00</w:t>
            </w:r>
          </w:p>
        </w:tc>
        <w:tc>
          <w:tcPr>
            <w:tcW w:w="816" w:type="pct"/>
            <w:tcBorders>
              <w:top w:val="nil"/>
              <w:left w:val="nil"/>
              <w:bottom w:val="single" w:sz="4" w:space="0" w:color="auto"/>
              <w:right w:val="single" w:sz="4" w:space="0" w:color="auto"/>
            </w:tcBorders>
            <w:shd w:val="clear" w:color="000000" w:fill="DDD9C4"/>
            <w:noWrap/>
            <w:vAlign w:val="bottom"/>
            <w:hideMark/>
          </w:tcPr>
          <w:p w14:paraId="172A0567"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unacceptable</w:t>
            </w:r>
          </w:p>
        </w:tc>
      </w:tr>
      <w:tr w:rsidR="0040760E" w:rsidRPr="0040760E" w14:paraId="6D6DDB65"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119F5C4"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Direct Labour</w:t>
            </w:r>
          </w:p>
        </w:tc>
        <w:tc>
          <w:tcPr>
            <w:tcW w:w="1011" w:type="pct"/>
            <w:tcBorders>
              <w:top w:val="nil"/>
              <w:left w:val="nil"/>
              <w:bottom w:val="single" w:sz="4" w:space="0" w:color="auto"/>
              <w:right w:val="single" w:sz="4" w:space="0" w:color="auto"/>
            </w:tcBorders>
            <w:shd w:val="clear" w:color="000000" w:fill="DDD9C4"/>
            <w:noWrap/>
            <w:vAlign w:val="bottom"/>
            <w:hideMark/>
          </w:tcPr>
          <w:p w14:paraId="2BF60EBC"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400000.00</w:t>
            </w:r>
          </w:p>
        </w:tc>
        <w:tc>
          <w:tcPr>
            <w:tcW w:w="914" w:type="pct"/>
            <w:tcBorders>
              <w:top w:val="nil"/>
              <w:left w:val="nil"/>
              <w:bottom w:val="single" w:sz="4" w:space="0" w:color="auto"/>
              <w:right w:val="single" w:sz="4" w:space="0" w:color="auto"/>
            </w:tcBorders>
            <w:shd w:val="clear" w:color="000000" w:fill="DDD9C4"/>
            <w:noWrap/>
            <w:vAlign w:val="bottom"/>
            <w:hideMark/>
          </w:tcPr>
          <w:p w14:paraId="19A0146C"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440000.00</w:t>
            </w:r>
          </w:p>
        </w:tc>
        <w:tc>
          <w:tcPr>
            <w:tcW w:w="770" w:type="pct"/>
            <w:tcBorders>
              <w:top w:val="nil"/>
              <w:left w:val="nil"/>
              <w:bottom w:val="single" w:sz="4" w:space="0" w:color="auto"/>
              <w:right w:val="single" w:sz="4" w:space="0" w:color="auto"/>
            </w:tcBorders>
            <w:shd w:val="clear" w:color="000000" w:fill="DDD9C4"/>
            <w:noWrap/>
            <w:vAlign w:val="bottom"/>
            <w:hideMark/>
          </w:tcPr>
          <w:p w14:paraId="2D3C29B5"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-40000.00</w:t>
            </w:r>
          </w:p>
        </w:tc>
        <w:tc>
          <w:tcPr>
            <w:tcW w:w="816" w:type="pct"/>
            <w:tcBorders>
              <w:top w:val="nil"/>
              <w:left w:val="nil"/>
              <w:bottom w:val="single" w:sz="4" w:space="0" w:color="auto"/>
              <w:right w:val="single" w:sz="4" w:space="0" w:color="auto"/>
            </w:tcBorders>
            <w:shd w:val="clear" w:color="000000" w:fill="DDD9C4"/>
            <w:noWrap/>
            <w:vAlign w:val="bottom"/>
            <w:hideMark/>
          </w:tcPr>
          <w:p w14:paraId="7818E09D"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unacceptable</w:t>
            </w:r>
          </w:p>
        </w:tc>
      </w:tr>
      <w:tr w:rsidR="0040760E" w:rsidRPr="0040760E" w14:paraId="3E59AF13"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2A86B558"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Variable Overhead</w:t>
            </w:r>
          </w:p>
        </w:tc>
        <w:tc>
          <w:tcPr>
            <w:tcW w:w="1011" w:type="pct"/>
            <w:tcBorders>
              <w:top w:val="nil"/>
              <w:left w:val="nil"/>
              <w:bottom w:val="single" w:sz="4" w:space="0" w:color="auto"/>
              <w:right w:val="single" w:sz="4" w:space="0" w:color="auto"/>
            </w:tcBorders>
            <w:shd w:val="clear" w:color="000000" w:fill="DDD9C4"/>
            <w:noWrap/>
            <w:vAlign w:val="bottom"/>
            <w:hideMark/>
          </w:tcPr>
          <w:p w14:paraId="0CE7A9FE"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150000.00</w:t>
            </w:r>
          </w:p>
        </w:tc>
        <w:tc>
          <w:tcPr>
            <w:tcW w:w="914" w:type="pct"/>
            <w:tcBorders>
              <w:top w:val="nil"/>
              <w:left w:val="nil"/>
              <w:bottom w:val="single" w:sz="4" w:space="0" w:color="auto"/>
              <w:right w:val="single" w:sz="4" w:space="0" w:color="auto"/>
            </w:tcBorders>
            <w:shd w:val="clear" w:color="000000" w:fill="DDD9C4"/>
            <w:noWrap/>
            <w:vAlign w:val="bottom"/>
            <w:hideMark/>
          </w:tcPr>
          <w:p w14:paraId="2E713184"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120000.00</w:t>
            </w:r>
          </w:p>
        </w:tc>
        <w:tc>
          <w:tcPr>
            <w:tcW w:w="770" w:type="pct"/>
            <w:tcBorders>
              <w:top w:val="nil"/>
              <w:left w:val="nil"/>
              <w:bottom w:val="single" w:sz="4" w:space="0" w:color="auto"/>
              <w:right w:val="single" w:sz="4" w:space="0" w:color="auto"/>
            </w:tcBorders>
            <w:shd w:val="clear" w:color="000000" w:fill="DDD9C4"/>
            <w:noWrap/>
            <w:vAlign w:val="bottom"/>
            <w:hideMark/>
          </w:tcPr>
          <w:p w14:paraId="4785704A"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30000.00</w:t>
            </w:r>
          </w:p>
        </w:tc>
        <w:tc>
          <w:tcPr>
            <w:tcW w:w="816" w:type="pct"/>
            <w:tcBorders>
              <w:top w:val="nil"/>
              <w:left w:val="nil"/>
              <w:bottom w:val="single" w:sz="4" w:space="0" w:color="auto"/>
              <w:right w:val="single" w:sz="4" w:space="0" w:color="auto"/>
            </w:tcBorders>
            <w:shd w:val="clear" w:color="000000" w:fill="DDD9C4"/>
            <w:noWrap/>
            <w:vAlign w:val="bottom"/>
            <w:hideMark/>
          </w:tcPr>
          <w:p w14:paraId="6531B0D4"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5BD281D5"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19E41A0"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Contribution Margin</w:t>
            </w:r>
          </w:p>
        </w:tc>
        <w:tc>
          <w:tcPr>
            <w:tcW w:w="1011" w:type="pct"/>
            <w:tcBorders>
              <w:top w:val="nil"/>
              <w:left w:val="nil"/>
              <w:bottom w:val="single" w:sz="4" w:space="0" w:color="auto"/>
              <w:right w:val="single" w:sz="4" w:space="0" w:color="auto"/>
            </w:tcBorders>
            <w:shd w:val="clear" w:color="000000" w:fill="DDD9C4"/>
            <w:noWrap/>
            <w:vAlign w:val="bottom"/>
            <w:hideMark/>
          </w:tcPr>
          <w:p w14:paraId="7F4842CE"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1700000.00</w:t>
            </w:r>
          </w:p>
        </w:tc>
        <w:tc>
          <w:tcPr>
            <w:tcW w:w="914" w:type="pct"/>
            <w:tcBorders>
              <w:top w:val="nil"/>
              <w:left w:val="nil"/>
              <w:bottom w:val="single" w:sz="4" w:space="0" w:color="auto"/>
              <w:right w:val="single" w:sz="4" w:space="0" w:color="auto"/>
            </w:tcBorders>
            <w:shd w:val="clear" w:color="000000" w:fill="DDD9C4"/>
            <w:noWrap/>
            <w:vAlign w:val="bottom"/>
            <w:hideMark/>
          </w:tcPr>
          <w:p w14:paraId="1237D512"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760000.00</w:t>
            </w:r>
          </w:p>
        </w:tc>
        <w:tc>
          <w:tcPr>
            <w:tcW w:w="770" w:type="pct"/>
            <w:tcBorders>
              <w:top w:val="nil"/>
              <w:left w:val="nil"/>
              <w:bottom w:val="single" w:sz="4" w:space="0" w:color="auto"/>
              <w:right w:val="single" w:sz="4" w:space="0" w:color="auto"/>
            </w:tcBorders>
            <w:shd w:val="clear" w:color="000000" w:fill="DDD9C4"/>
            <w:noWrap/>
            <w:vAlign w:val="bottom"/>
            <w:hideMark/>
          </w:tcPr>
          <w:p w14:paraId="02F5CD50"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940000.00</w:t>
            </w:r>
          </w:p>
        </w:tc>
        <w:tc>
          <w:tcPr>
            <w:tcW w:w="816" w:type="pct"/>
            <w:tcBorders>
              <w:top w:val="nil"/>
              <w:left w:val="nil"/>
              <w:bottom w:val="single" w:sz="4" w:space="0" w:color="auto"/>
              <w:right w:val="single" w:sz="4" w:space="0" w:color="auto"/>
            </w:tcBorders>
            <w:shd w:val="clear" w:color="000000" w:fill="DDD9C4"/>
            <w:noWrap/>
            <w:vAlign w:val="bottom"/>
            <w:hideMark/>
          </w:tcPr>
          <w:p w14:paraId="2AD22B4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unacceptable</w:t>
            </w:r>
          </w:p>
        </w:tc>
      </w:tr>
      <w:tr w:rsidR="0040760E" w:rsidRPr="0040760E" w14:paraId="2809F13D"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35CBA6B7"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1011" w:type="pct"/>
            <w:tcBorders>
              <w:top w:val="nil"/>
              <w:left w:val="nil"/>
              <w:bottom w:val="single" w:sz="4" w:space="0" w:color="auto"/>
              <w:right w:val="single" w:sz="4" w:space="0" w:color="auto"/>
            </w:tcBorders>
            <w:shd w:val="clear" w:color="000000" w:fill="DDD9C4"/>
            <w:noWrap/>
            <w:vAlign w:val="bottom"/>
            <w:hideMark/>
          </w:tcPr>
          <w:p w14:paraId="60C78841"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914" w:type="pct"/>
            <w:tcBorders>
              <w:top w:val="nil"/>
              <w:left w:val="nil"/>
              <w:bottom w:val="single" w:sz="4" w:space="0" w:color="auto"/>
              <w:right w:val="single" w:sz="4" w:space="0" w:color="auto"/>
            </w:tcBorders>
            <w:shd w:val="clear" w:color="000000" w:fill="DDD9C4"/>
            <w:noWrap/>
            <w:vAlign w:val="bottom"/>
            <w:hideMark/>
          </w:tcPr>
          <w:p w14:paraId="61C31448"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770" w:type="pct"/>
            <w:tcBorders>
              <w:top w:val="nil"/>
              <w:left w:val="nil"/>
              <w:bottom w:val="single" w:sz="4" w:space="0" w:color="auto"/>
              <w:right w:val="single" w:sz="4" w:space="0" w:color="auto"/>
            </w:tcBorders>
            <w:shd w:val="clear" w:color="000000" w:fill="DDD9C4"/>
            <w:noWrap/>
            <w:vAlign w:val="bottom"/>
            <w:hideMark/>
          </w:tcPr>
          <w:p w14:paraId="13EDF2DD"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2A8AC08F"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07B3BC3A"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207868FC" w14:textId="77777777" w:rsidR="0040760E" w:rsidRPr="0040760E" w:rsidRDefault="0040760E" w:rsidP="0040760E">
            <w:pPr>
              <w:spacing w:after="0" w:line="240" w:lineRule="auto"/>
              <w:jc w:val="left"/>
              <w:rPr>
                <w:rFonts w:eastAsia="Times New Roman" w:cs="Times New Roman"/>
                <w:b/>
                <w:bCs/>
                <w:color w:val="000000"/>
                <w:szCs w:val="24"/>
                <w:u w:val="single"/>
              </w:rPr>
            </w:pPr>
            <w:r w:rsidRPr="0040760E">
              <w:rPr>
                <w:rFonts w:eastAsia="Times New Roman" w:cs="Times New Roman"/>
                <w:b/>
                <w:bCs/>
                <w:color w:val="000000"/>
                <w:szCs w:val="24"/>
                <w:u w:val="single"/>
              </w:rPr>
              <w:t>Fixed Overhead</w:t>
            </w:r>
          </w:p>
        </w:tc>
        <w:tc>
          <w:tcPr>
            <w:tcW w:w="1011" w:type="pct"/>
            <w:tcBorders>
              <w:top w:val="nil"/>
              <w:left w:val="nil"/>
              <w:bottom w:val="single" w:sz="4" w:space="0" w:color="auto"/>
              <w:right w:val="single" w:sz="4" w:space="0" w:color="auto"/>
            </w:tcBorders>
            <w:shd w:val="clear" w:color="000000" w:fill="DDD9C4"/>
            <w:noWrap/>
            <w:vAlign w:val="bottom"/>
            <w:hideMark/>
          </w:tcPr>
          <w:p w14:paraId="46604B6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914" w:type="pct"/>
            <w:tcBorders>
              <w:top w:val="nil"/>
              <w:left w:val="nil"/>
              <w:bottom w:val="single" w:sz="4" w:space="0" w:color="auto"/>
              <w:right w:val="single" w:sz="4" w:space="0" w:color="auto"/>
            </w:tcBorders>
            <w:shd w:val="clear" w:color="000000" w:fill="DDD9C4"/>
            <w:noWrap/>
            <w:vAlign w:val="bottom"/>
            <w:hideMark/>
          </w:tcPr>
          <w:p w14:paraId="7738E582"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770" w:type="pct"/>
            <w:tcBorders>
              <w:top w:val="nil"/>
              <w:left w:val="nil"/>
              <w:bottom w:val="single" w:sz="4" w:space="0" w:color="auto"/>
              <w:right w:val="single" w:sz="4" w:space="0" w:color="auto"/>
            </w:tcBorders>
            <w:shd w:val="clear" w:color="000000" w:fill="DDD9C4"/>
            <w:noWrap/>
            <w:vAlign w:val="bottom"/>
            <w:hideMark/>
          </w:tcPr>
          <w:p w14:paraId="5CC9B68B"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0.00</w:t>
            </w:r>
          </w:p>
        </w:tc>
        <w:tc>
          <w:tcPr>
            <w:tcW w:w="816" w:type="pct"/>
            <w:tcBorders>
              <w:top w:val="nil"/>
              <w:left w:val="nil"/>
              <w:bottom w:val="single" w:sz="4" w:space="0" w:color="auto"/>
              <w:right w:val="single" w:sz="4" w:space="0" w:color="auto"/>
            </w:tcBorders>
            <w:shd w:val="clear" w:color="000000" w:fill="DDD9C4"/>
            <w:noWrap/>
            <w:vAlign w:val="bottom"/>
            <w:hideMark/>
          </w:tcPr>
          <w:p w14:paraId="416CD85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25B78E29"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548A8E8"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Rental warehouse</w:t>
            </w:r>
          </w:p>
        </w:tc>
        <w:tc>
          <w:tcPr>
            <w:tcW w:w="1011" w:type="pct"/>
            <w:tcBorders>
              <w:top w:val="nil"/>
              <w:left w:val="nil"/>
              <w:bottom w:val="single" w:sz="4" w:space="0" w:color="auto"/>
              <w:right w:val="single" w:sz="4" w:space="0" w:color="auto"/>
            </w:tcBorders>
            <w:shd w:val="clear" w:color="000000" w:fill="DDD9C4"/>
            <w:noWrap/>
            <w:vAlign w:val="bottom"/>
            <w:hideMark/>
          </w:tcPr>
          <w:p w14:paraId="1F8489BA"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200000.00</w:t>
            </w:r>
          </w:p>
        </w:tc>
        <w:tc>
          <w:tcPr>
            <w:tcW w:w="914" w:type="pct"/>
            <w:tcBorders>
              <w:top w:val="nil"/>
              <w:left w:val="nil"/>
              <w:bottom w:val="single" w:sz="4" w:space="0" w:color="auto"/>
              <w:right w:val="single" w:sz="4" w:space="0" w:color="auto"/>
            </w:tcBorders>
            <w:shd w:val="clear" w:color="000000" w:fill="DDD9C4"/>
            <w:noWrap/>
            <w:vAlign w:val="bottom"/>
            <w:hideMark/>
          </w:tcPr>
          <w:p w14:paraId="3AA455F3"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170000.00</w:t>
            </w:r>
          </w:p>
        </w:tc>
        <w:tc>
          <w:tcPr>
            <w:tcW w:w="770" w:type="pct"/>
            <w:tcBorders>
              <w:top w:val="nil"/>
              <w:left w:val="nil"/>
              <w:bottom w:val="single" w:sz="4" w:space="0" w:color="auto"/>
              <w:right w:val="single" w:sz="4" w:space="0" w:color="auto"/>
            </w:tcBorders>
            <w:shd w:val="clear" w:color="000000" w:fill="DDD9C4"/>
            <w:noWrap/>
            <w:vAlign w:val="bottom"/>
            <w:hideMark/>
          </w:tcPr>
          <w:p w14:paraId="4D8219A7"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30000.00</w:t>
            </w:r>
          </w:p>
        </w:tc>
        <w:tc>
          <w:tcPr>
            <w:tcW w:w="816" w:type="pct"/>
            <w:tcBorders>
              <w:top w:val="nil"/>
              <w:left w:val="nil"/>
              <w:bottom w:val="single" w:sz="4" w:space="0" w:color="auto"/>
              <w:right w:val="single" w:sz="4" w:space="0" w:color="auto"/>
            </w:tcBorders>
            <w:shd w:val="clear" w:color="000000" w:fill="DDD9C4"/>
            <w:noWrap/>
            <w:vAlign w:val="bottom"/>
            <w:hideMark/>
          </w:tcPr>
          <w:p w14:paraId="131EF55C"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761E1539"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0DD5762B"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Insurance expenses</w:t>
            </w:r>
          </w:p>
        </w:tc>
        <w:tc>
          <w:tcPr>
            <w:tcW w:w="1011" w:type="pct"/>
            <w:tcBorders>
              <w:top w:val="nil"/>
              <w:left w:val="nil"/>
              <w:bottom w:val="single" w:sz="4" w:space="0" w:color="auto"/>
              <w:right w:val="single" w:sz="4" w:space="0" w:color="auto"/>
            </w:tcBorders>
            <w:shd w:val="clear" w:color="000000" w:fill="DDD9C4"/>
            <w:noWrap/>
            <w:vAlign w:val="bottom"/>
            <w:hideMark/>
          </w:tcPr>
          <w:p w14:paraId="5122F6BC"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100000.00</w:t>
            </w:r>
          </w:p>
        </w:tc>
        <w:tc>
          <w:tcPr>
            <w:tcW w:w="914" w:type="pct"/>
            <w:tcBorders>
              <w:top w:val="nil"/>
              <w:left w:val="nil"/>
              <w:bottom w:val="single" w:sz="4" w:space="0" w:color="auto"/>
              <w:right w:val="single" w:sz="4" w:space="0" w:color="auto"/>
            </w:tcBorders>
            <w:shd w:val="clear" w:color="000000" w:fill="DDD9C4"/>
            <w:noWrap/>
            <w:vAlign w:val="bottom"/>
            <w:hideMark/>
          </w:tcPr>
          <w:p w14:paraId="45605D18"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100000.00</w:t>
            </w:r>
          </w:p>
        </w:tc>
        <w:tc>
          <w:tcPr>
            <w:tcW w:w="770" w:type="pct"/>
            <w:tcBorders>
              <w:top w:val="nil"/>
              <w:left w:val="nil"/>
              <w:bottom w:val="single" w:sz="4" w:space="0" w:color="auto"/>
              <w:right w:val="single" w:sz="4" w:space="0" w:color="auto"/>
            </w:tcBorders>
            <w:shd w:val="clear" w:color="000000" w:fill="DDD9C4"/>
            <w:noWrap/>
            <w:vAlign w:val="bottom"/>
            <w:hideMark/>
          </w:tcPr>
          <w:p w14:paraId="1CE0308C"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0.00</w:t>
            </w:r>
          </w:p>
        </w:tc>
        <w:tc>
          <w:tcPr>
            <w:tcW w:w="816" w:type="pct"/>
            <w:tcBorders>
              <w:top w:val="nil"/>
              <w:left w:val="nil"/>
              <w:bottom w:val="single" w:sz="4" w:space="0" w:color="auto"/>
              <w:right w:val="single" w:sz="4" w:space="0" w:color="auto"/>
            </w:tcBorders>
            <w:shd w:val="clear" w:color="000000" w:fill="DDD9C4"/>
            <w:noWrap/>
            <w:vAlign w:val="bottom"/>
            <w:hideMark/>
          </w:tcPr>
          <w:p w14:paraId="5FB321A1"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5B9D14A6"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7B210F95"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Warehouse supervisor salary (Full time)</w:t>
            </w:r>
          </w:p>
        </w:tc>
        <w:tc>
          <w:tcPr>
            <w:tcW w:w="1011" w:type="pct"/>
            <w:tcBorders>
              <w:top w:val="nil"/>
              <w:left w:val="nil"/>
              <w:bottom w:val="single" w:sz="4" w:space="0" w:color="auto"/>
              <w:right w:val="single" w:sz="4" w:space="0" w:color="auto"/>
            </w:tcBorders>
            <w:shd w:val="clear" w:color="000000" w:fill="DDD9C4"/>
            <w:noWrap/>
            <w:vAlign w:val="bottom"/>
            <w:hideMark/>
          </w:tcPr>
          <w:p w14:paraId="3E5FCC47"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50000.00</w:t>
            </w:r>
          </w:p>
        </w:tc>
        <w:tc>
          <w:tcPr>
            <w:tcW w:w="914" w:type="pct"/>
            <w:tcBorders>
              <w:top w:val="nil"/>
              <w:left w:val="nil"/>
              <w:bottom w:val="single" w:sz="4" w:space="0" w:color="auto"/>
              <w:right w:val="single" w:sz="4" w:space="0" w:color="auto"/>
            </w:tcBorders>
            <w:shd w:val="clear" w:color="000000" w:fill="DDD9C4"/>
            <w:noWrap/>
            <w:vAlign w:val="bottom"/>
            <w:hideMark/>
          </w:tcPr>
          <w:p w14:paraId="7C2C9116"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35000.00</w:t>
            </w:r>
          </w:p>
        </w:tc>
        <w:tc>
          <w:tcPr>
            <w:tcW w:w="770" w:type="pct"/>
            <w:tcBorders>
              <w:top w:val="nil"/>
              <w:left w:val="nil"/>
              <w:bottom w:val="single" w:sz="4" w:space="0" w:color="auto"/>
              <w:right w:val="single" w:sz="4" w:space="0" w:color="auto"/>
            </w:tcBorders>
            <w:shd w:val="clear" w:color="000000" w:fill="DDD9C4"/>
            <w:noWrap/>
            <w:vAlign w:val="bottom"/>
            <w:hideMark/>
          </w:tcPr>
          <w:p w14:paraId="54C6FC44" w14:textId="77777777" w:rsidR="0040760E" w:rsidRPr="0040760E" w:rsidRDefault="0040760E" w:rsidP="0040760E">
            <w:pPr>
              <w:spacing w:after="0" w:line="240" w:lineRule="auto"/>
              <w:jc w:val="right"/>
              <w:rPr>
                <w:rFonts w:eastAsia="Times New Roman" w:cs="Times New Roman"/>
                <w:color w:val="000000"/>
                <w:szCs w:val="24"/>
              </w:rPr>
            </w:pPr>
            <w:r w:rsidRPr="0040760E">
              <w:rPr>
                <w:rFonts w:eastAsia="Times New Roman" w:cs="Times New Roman"/>
                <w:color w:val="000000"/>
                <w:szCs w:val="24"/>
              </w:rPr>
              <w:t>15000.00</w:t>
            </w:r>
          </w:p>
        </w:tc>
        <w:tc>
          <w:tcPr>
            <w:tcW w:w="816" w:type="pct"/>
            <w:tcBorders>
              <w:top w:val="nil"/>
              <w:left w:val="nil"/>
              <w:bottom w:val="single" w:sz="4" w:space="0" w:color="auto"/>
              <w:right w:val="single" w:sz="4" w:space="0" w:color="auto"/>
            </w:tcBorders>
            <w:shd w:val="clear" w:color="000000" w:fill="DDD9C4"/>
            <w:noWrap/>
            <w:vAlign w:val="bottom"/>
            <w:hideMark/>
          </w:tcPr>
          <w:p w14:paraId="70C89F88"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497F0065"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342E020B"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Total Fixed overhead</w:t>
            </w:r>
          </w:p>
        </w:tc>
        <w:tc>
          <w:tcPr>
            <w:tcW w:w="1011" w:type="pct"/>
            <w:tcBorders>
              <w:top w:val="nil"/>
              <w:left w:val="nil"/>
              <w:bottom w:val="single" w:sz="4" w:space="0" w:color="auto"/>
              <w:right w:val="single" w:sz="4" w:space="0" w:color="auto"/>
            </w:tcBorders>
            <w:shd w:val="clear" w:color="000000" w:fill="DDD9C4"/>
            <w:noWrap/>
            <w:vAlign w:val="bottom"/>
            <w:hideMark/>
          </w:tcPr>
          <w:p w14:paraId="64111C63"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350000.00</w:t>
            </w:r>
          </w:p>
        </w:tc>
        <w:tc>
          <w:tcPr>
            <w:tcW w:w="914" w:type="pct"/>
            <w:tcBorders>
              <w:top w:val="nil"/>
              <w:left w:val="nil"/>
              <w:bottom w:val="single" w:sz="4" w:space="0" w:color="auto"/>
              <w:right w:val="single" w:sz="4" w:space="0" w:color="auto"/>
            </w:tcBorders>
            <w:shd w:val="clear" w:color="000000" w:fill="DDD9C4"/>
            <w:noWrap/>
            <w:vAlign w:val="bottom"/>
            <w:hideMark/>
          </w:tcPr>
          <w:p w14:paraId="7F7AEB3C"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305000.00</w:t>
            </w:r>
          </w:p>
        </w:tc>
        <w:tc>
          <w:tcPr>
            <w:tcW w:w="770" w:type="pct"/>
            <w:tcBorders>
              <w:top w:val="nil"/>
              <w:left w:val="nil"/>
              <w:bottom w:val="single" w:sz="4" w:space="0" w:color="auto"/>
              <w:right w:val="single" w:sz="4" w:space="0" w:color="auto"/>
            </w:tcBorders>
            <w:shd w:val="clear" w:color="000000" w:fill="DDD9C4"/>
            <w:noWrap/>
            <w:vAlign w:val="bottom"/>
            <w:hideMark/>
          </w:tcPr>
          <w:p w14:paraId="299F64DE"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45000.00</w:t>
            </w:r>
          </w:p>
        </w:tc>
        <w:tc>
          <w:tcPr>
            <w:tcW w:w="816" w:type="pct"/>
            <w:tcBorders>
              <w:top w:val="nil"/>
              <w:left w:val="nil"/>
              <w:bottom w:val="single" w:sz="4" w:space="0" w:color="auto"/>
              <w:right w:val="single" w:sz="4" w:space="0" w:color="auto"/>
            </w:tcBorders>
            <w:shd w:val="clear" w:color="000000" w:fill="DDD9C4"/>
            <w:noWrap/>
            <w:vAlign w:val="bottom"/>
            <w:hideMark/>
          </w:tcPr>
          <w:p w14:paraId="62ED6D17"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acceptable</w:t>
            </w:r>
          </w:p>
        </w:tc>
      </w:tr>
      <w:tr w:rsidR="0040760E" w:rsidRPr="0040760E" w14:paraId="64D68232"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283EF1E4"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1011" w:type="pct"/>
            <w:tcBorders>
              <w:top w:val="nil"/>
              <w:left w:val="nil"/>
              <w:bottom w:val="single" w:sz="4" w:space="0" w:color="auto"/>
              <w:right w:val="single" w:sz="4" w:space="0" w:color="auto"/>
            </w:tcBorders>
            <w:shd w:val="clear" w:color="000000" w:fill="DDD9C4"/>
            <w:noWrap/>
            <w:vAlign w:val="bottom"/>
            <w:hideMark/>
          </w:tcPr>
          <w:p w14:paraId="11D29172"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914" w:type="pct"/>
            <w:tcBorders>
              <w:top w:val="nil"/>
              <w:left w:val="nil"/>
              <w:bottom w:val="single" w:sz="4" w:space="0" w:color="auto"/>
              <w:right w:val="single" w:sz="4" w:space="0" w:color="auto"/>
            </w:tcBorders>
            <w:shd w:val="clear" w:color="000000" w:fill="DDD9C4"/>
            <w:noWrap/>
            <w:vAlign w:val="bottom"/>
            <w:hideMark/>
          </w:tcPr>
          <w:p w14:paraId="56227F2E"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770" w:type="pct"/>
            <w:tcBorders>
              <w:top w:val="nil"/>
              <w:left w:val="nil"/>
              <w:bottom w:val="single" w:sz="4" w:space="0" w:color="auto"/>
              <w:right w:val="single" w:sz="4" w:space="0" w:color="auto"/>
            </w:tcBorders>
            <w:shd w:val="clear" w:color="000000" w:fill="DDD9C4"/>
            <w:noWrap/>
            <w:vAlign w:val="bottom"/>
            <w:hideMark/>
          </w:tcPr>
          <w:p w14:paraId="0475ED78"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c>
          <w:tcPr>
            <w:tcW w:w="816" w:type="pct"/>
            <w:tcBorders>
              <w:top w:val="nil"/>
              <w:left w:val="nil"/>
              <w:bottom w:val="single" w:sz="4" w:space="0" w:color="auto"/>
              <w:right w:val="single" w:sz="4" w:space="0" w:color="auto"/>
            </w:tcBorders>
            <w:shd w:val="clear" w:color="000000" w:fill="DDD9C4"/>
            <w:noWrap/>
            <w:vAlign w:val="bottom"/>
            <w:hideMark/>
          </w:tcPr>
          <w:p w14:paraId="3B23BB55"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 </w:t>
            </w:r>
          </w:p>
        </w:tc>
      </w:tr>
      <w:tr w:rsidR="0040760E" w:rsidRPr="0040760E" w14:paraId="535C3720" w14:textId="77777777" w:rsidTr="0040760E">
        <w:trPr>
          <w:trHeight w:val="315"/>
        </w:trPr>
        <w:tc>
          <w:tcPr>
            <w:tcW w:w="1489" w:type="pct"/>
            <w:tcBorders>
              <w:top w:val="nil"/>
              <w:left w:val="single" w:sz="4" w:space="0" w:color="auto"/>
              <w:bottom w:val="single" w:sz="4" w:space="0" w:color="auto"/>
              <w:right w:val="single" w:sz="4" w:space="0" w:color="auto"/>
            </w:tcBorders>
            <w:shd w:val="clear" w:color="000000" w:fill="DDD9C4"/>
            <w:noWrap/>
            <w:vAlign w:val="bottom"/>
            <w:hideMark/>
          </w:tcPr>
          <w:p w14:paraId="144D9B99" w14:textId="77777777" w:rsidR="0040760E" w:rsidRPr="0040760E" w:rsidRDefault="0040760E" w:rsidP="0040760E">
            <w:pPr>
              <w:spacing w:after="0" w:line="240" w:lineRule="auto"/>
              <w:jc w:val="left"/>
              <w:rPr>
                <w:rFonts w:eastAsia="Times New Roman" w:cs="Times New Roman"/>
                <w:b/>
                <w:bCs/>
                <w:color w:val="000000"/>
                <w:szCs w:val="24"/>
              </w:rPr>
            </w:pPr>
            <w:r w:rsidRPr="0040760E">
              <w:rPr>
                <w:rFonts w:eastAsia="Times New Roman" w:cs="Times New Roman"/>
                <w:b/>
                <w:bCs/>
                <w:color w:val="000000"/>
                <w:szCs w:val="24"/>
              </w:rPr>
              <w:t>Net Profit</w:t>
            </w:r>
          </w:p>
        </w:tc>
        <w:tc>
          <w:tcPr>
            <w:tcW w:w="1011" w:type="pct"/>
            <w:tcBorders>
              <w:top w:val="nil"/>
              <w:left w:val="nil"/>
              <w:bottom w:val="single" w:sz="4" w:space="0" w:color="auto"/>
              <w:right w:val="single" w:sz="4" w:space="0" w:color="auto"/>
            </w:tcBorders>
            <w:shd w:val="clear" w:color="000000" w:fill="DDD9C4"/>
            <w:noWrap/>
            <w:vAlign w:val="bottom"/>
            <w:hideMark/>
          </w:tcPr>
          <w:p w14:paraId="0056F17C"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1350000.00</w:t>
            </w:r>
          </w:p>
        </w:tc>
        <w:tc>
          <w:tcPr>
            <w:tcW w:w="914" w:type="pct"/>
            <w:tcBorders>
              <w:top w:val="nil"/>
              <w:left w:val="nil"/>
              <w:bottom w:val="single" w:sz="4" w:space="0" w:color="auto"/>
              <w:right w:val="single" w:sz="4" w:space="0" w:color="auto"/>
            </w:tcBorders>
            <w:shd w:val="clear" w:color="000000" w:fill="DDD9C4"/>
            <w:noWrap/>
            <w:vAlign w:val="bottom"/>
            <w:hideMark/>
          </w:tcPr>
          <w:p w14:paraId="227ADEAA"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455000.00</w:t>
            </w:r>
          </w:p>
        </w:tc>
        <w:tc>
          <w:tcPr>
            <w:tcW w:w="770" w:type="pct"/>
            <w:tcBorders>
              <w:top w:val="nil"/>
              <w:left w:val="nil"/>
              <w:bottom w:val="single" w:sz="4" w:space="0" w:color="auto"/>
              <w:right w:val="single" w:sz="4" w:space="0" w:color="auto"/>
            </w:tcBorders>
            <w:shd w:val="clear" w:color="000000" w:fill="DDD9C4"/>
            <w:noWrap/>
            <w:vAlign w:val="bottom"/>
            <w:hideMark/>
          </w:tcPr>
          <w:p w14:paraId="5EBCF793" w14:textId="77777777" w:rsidR="0040760E" w:rsidRPr="0040760E" w:rsidRDefault="0040760E" w:rsidP="0040760E">
            <w:pPr>
              <w:spacing w:after="0" w:line="240" w:lineRule="auto"/>
              <w:jc w:val="right"/>
              <w:rPr>
                <w:rFonts w:eastAsia="Times New Roman" w:cs="Times New Roman"/>
                <w:b/>
                <w:bCs/>
                <w:color w:val="000000"/>
                <w:szCs w:val="24"/>
              </w:rPr>
            </w:pPr>
            <w:r w:rsidRPr="0040760E">
              <w:rPr>
                <w:rFonts w:eastAsia="Times New Roman" w:cs="Times New Roman"/>
                <w:b/>
                <w:bCs/>
                <w:color w:val="000000"/>
                <w:szCs w:val="24"/>
              </w:rPr>
              <w:t>895000.00</w:t>
            </w:r>
          </w:p>
        </w:tc>
        <w:tc>
          <w:tcPr>
            <w:tcW w:w="816" w:type="pct"/>
            <w:tcBorders>
              <w:top w:val="nil"/>
              <w:left w:val="nil"/>
              <w:bottom w:val="single" w:sz="4" w:space="0" w:color="auto"/>
              <w:right w:val="single" w:sz="4" w:space="0" w:color="auto"/>
            </w:tcBorders>
            <w:shd w:val="clear" w:color="000000" w:fill="DDD9C4"/>
            <w:noWrap/>
            <w:vAlign w:val="bottom"/>
            <w:hideMark/>
          </w:tcPr>
          <w:p w14:paraId="1272A623" w14:textId="77777777" w:rsidR="0040760E" w:rsidRPr="0040760E" w:rsidRDefault="0040760E" w:rsidP="0040760E">
            <w:pPr>
              <w:spacing w:after="0" w:line="240" w:lineRule="auto"/>
              <w:jc w:val="left"/>
              <w:rPr>
                <w:rFonts w:eastAsia="Times New Roman" w:cs="Times New Roman"/>
                <w:color w:val="000000"/>
                <w:szCs w:val="24"/>
              </w:rPr>
            </w:pPr>
            <w:r w:rsidRPr="0040760E">
              <w:rPr>
                <w:rFonts w:eastAsia="Times New Roman" w:cs="Times New Roman"/>
                <w:color w:val="000000"/>
                <w:szCs w:val="24"/>
              </w:rPr>
              <w:t>unacceptable</w:t>
            </w:r>
          </w:p>
        </w:tc>
      </w:tr>
    </w:tbl>
    <w:p w14:paraId="13BB9920" w14:textId="77777777" w:rsidR="00B95384" w:rsidRDefault="00B95384" w:rsidP="00B95384"/>
    <w:p w14:paraId="1EEE1394" w14:textId="77777777" w:rsidR="007961D0" w:rsidRDefault="00834577" w:rsidP="007961D0">
      <w:r>
        <w:t xml:space="preserve">Calculation of the monthly </w:t>
      </w:r>
      <w:r w:rsidR="00476AD3">
        <w:t xml:space="preserve">control report illustrated the variance analyses of the cost operation of the business over the period of time. Above chart shows the differences between the actual allocation and budgeted distribution of the cost for the business. In this calculation, it is seen that the budgeted net profit for the business was 1350000 where it is found that the actual profitability of the business become 455000. Here, it can be identified that the actual profit of the business is lower than the budgeted profit. It can be verified that the variance between the actual and budgeted profitability for the organization is 895000. This data indicates that the cost allocation of the business is not effective. </w:t>
      </w:r>
    </w:p>
    <w:p w14:paraId="2E71DC06" w14:textId="77777777" w:rsidR="0040760E" w:rsidRDefault="00476AD3" w:rsidP="00B95384">
      <w:r>
        <w:t xml:space="preserve">Considering the monthly </w:t>
      </w:r>
      <w:r w:rsidR="007961D0">
        <w:t>control</w:t>
      </w:r>
      <w:r>
        <w:t xml:space="preserve"> report, it is seen that </w:t>
      </w:r>
      <w:r w:rsidR="007961D0">
        <w:t xml:space="preserve">Amana Ltd is unable to achieve the budgeted unit sale during the month. Additionally lower selling price compared to the budgeted selling price per unit has also reduce the sales revenue for the firm. As a result of the company's inability to meet the anticipated statement in business operations. Monthly usage on displayed in total and projected costs has been represented in the aforementioned analysis for Amana Ltd. management can make successful company decisions by </w:t>
      </w:r>
      <w:proofErr w:type="spellStart"/>
      <w:r w:rsidR="007961D0">
        <w:t>utilising</w:t>
      </w:r>
      <w:proofErr w:type="spellEnd"/>
      <w:r w:rsidR="007961D0">
        <w:t xml:space="preserve"> this research successfully. It can aid in evaluating the firm's performance and improving the company's new or changed. It may also be useful for the future growth of budget control for the company. </w:t>
      </w:r>
      <w:proofErr w:type="spellStart"/>
      <w:r w:rsidR="007961D0">
        <w:t>Organisations</w:t>
      </w:r>
      <w:proofErr w:type="spellEnd"/>
      <w:r w:rsidR="007961D0">
        <w:t xml:space="preserve"> have influence over </w:t>
      </w:r>
      <w:r w:rsidR="007961D0">
        <w:lastRenderedPageBreak/>
        <w:t>the budgeting responsibilities in the organizational processes, just as they do over the entire manufacturing process.</w:t>
      </w:r>
    </w:p>
    <w:p w14:paraId="6112A20D" w14:textId="77777777" w:rsidR="0040760E" w:rsidRDefault="0040760E" w:rsidP="0040760E">
      <w:pPr>
        <w:pStyle w:val="Heading2"/>
      </w:pPr>
      <w:bookmarkStart w:id="2" w:name="_Toc100689571"/>
      <w:r>
        <w:t>Evaluation of Performance based on Control report</w:t>
      </w:r>
      <w:bookmarkEnd w:id="2"/>
    </w:p>
    <w:p w14:paraId="22DFBEB1" w14:textId="77777777" w:rsidR="0040760E" w:rsidRDefault="0040760E" w:rsidP="0040760E">
      <w:pPr>
        <w:pStyle w:val="Heading3"/>
      </w:pPr>
      <w:bookmarkStart w:id="3" w:name="_Toc100689572"/>
      <w:r>
        <w:t>Introduction</w:t>
      </w:r>
      <w:bookmarkEnd w:id="3"/>
    </w:p>
    <w:p w14:paraId="7CA34A57" w14:textId="77777777" w:rsidR="007961D0" w:rsidRPr="007961D0" w:rsidRDefault="007961D0" w:rsidP="007961D0">
      <w:r>
        <w:t xml:space="preserve">This report aimed to analyzed the performance of the oper5ation following the control report in the current environment. </w:t>
      </w:r>
      <w:r w:rsidRPr="007961D0">
        <w:t>Control reports are used to gain a better knowledge of how the organization works in the present circumstances, and to also help identify financial difficulties. Amana Plc's actual performance has already been assessed using measuring the gap analysis and a monitoring report.</w:t>
      </w:r>
    </w:p>
    <w:p w14:paraId="1F67D4BB" w14:textId="77777777" w:rsidR="0040760E" w:rsidRDefault="0040760E" w:rsidP="0040760E">
      <w:pPr>
        <w:pStyle w:val="Heading3"/>
      </w:pPr>
      <w:bookmarkStart w:id="4" w:name="_Toc100689573"/>
      <w:r>
        <w:t>Performance measurement</w:t>
      </w:r>
      <w:bookmarkEnd w:id="4"/>
    </w:p>
    <w:p w14:paraId="6D58DDC7" w14:textId="77777777" w:rsidR="007961D0" w:rsidRDefault="007961D0" w:rsidP="007961D0">
      <w:r w:rsidRPr="007961D0">
        <w:t>According to the control assessment, projected unit sales were 100,000, whereas actually unit sales were 80,000. It can be observed that exact unit sales are less than anticipated sales volume, that is not good for the institution's finances. It might be said that the company did not conduct well enough to meet the demands of the industry. The corporate production's sale unit cost is $20, whereas the projected selling unit cost is $25. When looking at the company's gross sales, it can be noted that now the true total revenue is 1600000, whereas the planned total revenue is 2500000. Therefore, the organization can perceive an adverse position in the costing system.</w:t>
      </w:r>
      <w:r>
        <w:t xml:space="preserve"> </w:t>
      </w:r>
      <w:r w:rsidRPr="007961D0">
        <w:t>Unit variable analytics and fixed financial analysis approaches must be considered in order to successfully analyze the firm performance</w:t>
      </w:r>
      <w:r w:rsidR="00796D38">
        <w:t xml:space="preserve"> (</w:t>
      </w:r>
      <w:proofErr w:type="spellStart"/>
      <w:r w:rsidR="00796D38" w:rsidRPr="009341A0">
        <w:t>Adriaansen</w:t>
      </w:r>
      <w:proofErr w:type="spellEnd"/>
      <w:r w:rsidR="00796D38">
        <w:t xml:space="preserve"> et al. 2022)</w:t>
      </w:r>
      <w:r w:rsidRPr="007961D0">
        <w:t>. The variable assets of the company, according to the control assessment, include supplies, labour, and overhead expenses. The actual product cost of the firm is 280000, opposed to the anticipated material cost of 250000, according to the variable cost assessment inside the control report. Through all the efficient use of the periodic control reporting, a variation of 30000 can indeed be estimated. As a result, there is an undesirable scenario in the company's expense operation. Overload in material costs can be noticed, indicating that administration seems unable to accurately anticipate resource costs in the future.</w:t>
      </w:r>
    </w:p>
    <w:p w14:paraId="0540FEF4" w14:textId="77777777" w:rsidR="007961D0" w:rsidRPr="007961D0" w:rsidRDefault="007961D0" w:rsidP="007961D0">
      <w:r w:rsidRPr="007961D0">
        <w:t xml:space="preserve">The direct labour cost of such firm is 440000, contrasted to the planned wage costs of 400000 inside the present circumstances, according the labour costs of the company. In the current corporate environment, there is a negative variability in labour costs. The industry's inability to estimate labour costs properly is evident in the overflow in labour costs in the functional area. </w:t>
      </w:r>
      <w:r w:rsidRPr="007961D0">
        <w:lastRenderedPageBreak/>
        <w:t>However, the company's overhead cost is advantageous in that the standard overhead rate is cheaper than the projected overhead expenses. The anticipated overheads for Amana Plc was 150000, however the actual absorption costing was 120000. This information shows that the business is doing well. Focusing on the total fixed studies, it can be concluded that the company is able to estimate fixed costs well, resulting in a beneficial financial position. In light of this element, it may be concluded that the company's performance level is ineffective, and the company is unable to reach the forecasted net income in the present circumstances.</w:t>
      </w:r>
    </w:p>
    <w:p w14:paraId="29817A3C" w14:textId="77777777" w:rsidR="0040760E" w:rsidRDefault="0040760E" w:rsidP="0040760E">
      <w:pPr>
        <w:pStyle w:val="Heading3"/>
      </w:pPr>
      <w:bookmarkStart w:id="5" w:name="_Toc100689574"/>
      <w:r>
        <w:t>Conclusion</w:t>
      </w:r>
      <w:bookmarkEnd w:id="5"/>
    </w:p>
    <w:p w14:paraId="673B0DFC" w14:textId="77777777" w:rsidR="00B95384" w:rsidRDefault="00475EA9" w:rsidP="00E3321E">
      <w:r w:rsidRPr="00475EA9">
        <w:t>It has been determined that the company's performance level is ineffective, as will be unable to attain the anticipated profit. The primary features of the work event that performed so poorly were higher business expenses and decreased sales income. The variable assets of the company, according to the control report, include supplies, labour, and overhead expenses.</w:t>
      </w:r>
    </w:p>
    <w:p w14:paraId="5F94739B" w14:textId="77777777" w:rsidR="00E3321E" w:rsidRDefault="00E3321E" w:rsidP="00E3321E">
      <w:pPr>
        <w:pStyle w:val="Heading2"/>
      </w:pPr>
      <w:bookmarkStart w:id="6" w:name="_Toc100689575"/>
      <w:r>
        <w:t>Recommendations on areas of improvement for Amana’s</w:t>
      </w:r>
      <w:bookmarkEnd w:id="6"/>
      <w:r>
        <w:t xml:space="preserve"> </w:t>
      </w:r>
    </w:p>
    <w:p w14:paraId="5D23F333" w14:textId="77777777" w:rsidR="00E3321E" w:rsidRDefault="00E3321E" w:rsidP="00E3321E">
      <w:pPr>
        <w:rPr>
          <w:rFonts w:cs="Times New Roman"/>
          <w:szCs w:val="24"/>
        </w:rPr>
      </w:pPr>
      <w:r>
        <w:rPr>
          <w:rFonts w:cs="Times New Roman"/>
          <w:szCs w:val="24"/>
        </w:rPr>
        <w:t xml:space="preserve">According to the study, for the company Amana Ltd, it can be said that for the areas of improvement the organization needs to improve its inventory control and supply chain management. </w:t>
      </w:r>
    </w:p>
    <w:p w14:paraId="4735C8F6" w14:textId="77777777" w:rsidR="00E3321E" w:rsidRPr="00E82BE9" w:rsidRDefault="00E3321E" w:rsidP="00E3321E">
      <w:pPr>
        <w:rPr>
          <w:rFonts w:cs="Times New Roman"/>
          <w:b/>
          <w:bCs/>
          <w:szCs w:val="24"/>
        </w:rPr>
      </w:pPr>
      <w:r w:rsidRPr="00E82BE9">
        <w:rPr>
          <w:rFonts w:cs="Times New Roman"/>
          <w:b/>
          <w:bCs/>
          <w:szCs w:val="24"/>
        </w:rPr>
        <w:t>Inventory control</w:t>
      </w:r>
    </w:p>
    <w:p w14:paraId="756B729C" w14:textId="77777777" w:rsidR="00E3321E" w:rsidRPr="007605EF" w:rsidRDefault="00E3321E" w:rsidP="00E3321E">
      <w:pPr>
        <w:rPr>
          <w:rFonts w:cs="Times New Roman"/>
          <w:szCs w:val="24"/>
        </w:rPr>
      </w:pPr>
      <w:r>
        <w:rPr>
          <w:rFonts w:cs="Times New Roman"/>
          <w:szCs w:val="24"/>
        </w:rPr>
        <w:t>To improve the inventory control of the company the organization will have to set a minimum number of stocks for the company. The organization must understand and properly use its supply chain and must get flexible with the SKUs. The organization must also follow the process of moving slow-moving and obsolete inventory (</w:t>
      </w:r>
      <w:proofErr w:type="spellStart"/>
      <w:r w:rsidRPr="00474A95">
        <w:rPr>
          <w:rFonts w:eastAsia="Times New Roman" w:cs="Times New Roman"/>
          <w:szCs w:val="24"/>
          <w:lang w:eastAsia="en-GB"/>
        </w:rPr>
        <w:t>Sembiring</w:t>
      </w:r>
      <w:proofErr w:type="spellEnd"/>
      <w:r>
        <w:rPr>
          <w:rFonts w:eastAsia="Times New Roman" w:cs="Times New Roman"/>
          <w:szCs w:val="24"/>
          <w:lang w:eastAsia="en-GB"/>
        </w:rPr>
        <w:t xml:space="preserve"> et al., </w:t>
      </w:r>
      <w:r w:rsidRPr="00474A95">
        <w:rPr>
          <w:rFonts w:eastAsia="Times New Roman" w:cs="Times New Roman"/>
          <w:szCs w:val="24"/>
          <w:lang w:eastAsia="en-GB"/>
        </w:rPr>
        <w:t>2019, November</w:t>
      </w:r>
      <w:r>
        <w:rPr>
          <w:rFonts w:cs="Times New Roman"/>
          <w:szCs w:val="24"/>
        </w:rPr>
        <w:t xml:space="preserve">). Amana Ltd must also look on to minimize the shrinkage and must choose the right inventory management software. </w:t>
      </w:r>
    </w:p>
    <w:p w14:paraId="3618C46E" w14:textId="77777777" w:rsidR="00E3321E" w:rsidRDefault="00E3321E" w:rsidP="00E3321E">
      <w:pPr>
        <w:rPr>
          <w:rFonts w:cs="Times New Roman"/>
          <w:b/>
          <w:bCs/>
          <w:szCs w:val="24"/>
        </w:rPr>
      </w:pPr>
      <w:r>
        <w:rPr>
          <w:rFonts w:cs="Times New Roman"/>
          <w:b/>
          <w:bCs/>
          <w:szCs w:val="24"/>
        </w:rPr>
        <w:t xml:space="preserve">Supply Chain Management </w:t>
      </w:r>
    </w:p>
    <w:p w14:paraId="6F34903E" w14:textId="77777777" w:rsidR="00E3321E" w:rsidRDefault="00E3321E" w:rsidP="00E3321E">
      <w:pPr>
        <w:rPr>
          <w:rFonts w:cs="Times New Roman"/>
          <w:szCs w:val="24"/>
        </w:rPr>
      </w:pPr>
      <w:r>
        <w:rPr>
          <w:rFonts w:cs="Times New Roman"/>
          <w:szCs w:val="24"/>
        </w:rPr>
        <w:t xml:space="preserve">To improve supply chain management, the organization needs to properly utilize the ERP or the Enterprise Resource Planning software. Thus, the software will be helping in increasing the profits of the business and will be reducing the wastage and the costs. The program will help in placing orders automatically when the inventory levels drop below a certain point. It will thus free employees and will be helping them in concentrating on other duties. Having a standardized ERP will be helping in increasing efficiency while saving time and money. It will help in standardization </w:t>
      </w:r>
      <w:r>
        <w:rPr>
          <w:rFonts w:cs="Times New Roman"/>
          <w:szCs w:val="24"/>
        </w:rPr>
        <w:lastRenderedPageBreak/>
        <w:t>and will increase transparency. Furthermore, it will help in monitoring the vendor performance and will raise the cost awareness, and will be improving the returns management (</w:t>
      </w:r>
      <w:proofErr w:type="spellStart"/>
      <w:r w:rsidRPr="00D6798C">
        <w:rPr>
          <w:rFonts w:eastAsia="Times New Roman" w:cs="Times New Roman"/>
          <w:szCs w:val="24"/>
          <w:lang w:eastAsia="en-GB"/>
        </w:rPr>
        <w:t>Bastas</w:t>
      </w:r>
      <w:proofErr w:type="spellEnd"/>
      <w:r>
        <w:rPr>
          <w:rFonts w:eastAsia="Times New Roman" w:cs="Times New Roman"/>
          <w:szCs w:val="24"/>
          <w:lang w:eastAsia="en-GB"/>
        </w:rPr>
        <w:t xml:space="preserve"> </w:t>
      </w:r>
      <w:r w:rsidRPr="00D6798C">
        <w:rPr>
          <w:rFonts w:eastAsia="Times New Roman" w:cs="Times New Roman"/>
          <w:szCs w:val="24"/>
          <w:lang w:eastAsia="en-GB"/>
        </w:rPr>
        <w:t>&amp; Liyanage, 2019</w:t>
      </w:r>
      <w:r>
        <w:rPr>
          <w:rFonts w:cs="Times New Roman"/>
          <w:szCs w:val="24"/>
        </w:rPr>
        <w:t xml:space="preserve">). </w:t>
      </w:r>
    </w:p>
    <w:p w14:paraId="4E8E8406" w14:textId="77777777" w:rsidR="00E3321E" w:rsidRDefault="00E3321E" w:rsidP="00E3321E">
      <w:pPr>
        <w:pStyle w:val="Heading1"/>
      </w:pPr>
      <w:bookmarkStart w:id="7" w:name="_Toc100689576"/>
      <w:r>
        <w:t>PART B</w:t>
      </w:r>
      <w:bookmarkEnd w:id="7"/>
      <w:r>
        <w:t xml:space="preserve"> </w:t>
      </w:r>
    </w:p>
    <w:p w14:paraId="4C6BAA6D" w14:textId="77777777" w:rsidR="00E3321E" w:rsidRDefault="00E3321E" w:rsidP="00E3321E">
      <w:pPr>
        <w:pStyle w:val="Heading2"/>
      </w:pPr>
      <w:bookmarkStart w:id="8" w:name="_Toc100689577"/>
      <w:r>
        <w:t>Reason to do business online by setting up own online shop rather than selling on Amazon</w:t>
      </w:r>
      <w:bookmarkEnd w:id="8"/>
    </w:p>
    <w:p w14:paraId="5976060A" w14:textId="77777777" w:rsidR="00E3321E" w:rsidRDefault="00E3321E" w:rsidP="00E3321E">
      <w:pPr>
        <w:rPr>
          <w:rFonts w:cs="Times New Roman"/>
          <w:b/>
          <w:bCs/>
          <w:szCs w:val="24"/>
        </w:rPr>
      </w:pPr>
      <w:r>
        <w:rPr>
          <w:rFonts w:cs="Times New Roman"/>
          <w:b/>
          <w:bCs/>
          <w:szCs w:val="24"/>
        </w:rPr>
        <w:t xml:space="preserve">Benefits of doing online business </w:t>
      </w:r>
    </w:p>
    <w:p w14:paraId="1FD2A3CC" w14:textId="77777777" w:rsidR="00E3321E" w:rsidRDefault="00E3321E" w:rsidP="00E3321E">
      <w:pPr>
        <w:rPr>
          <w:rFonts w:cs="Times New Roman"/>
          <w:szCs w:val="24"/>
        </w:rPr>
      </w:pPr>
      <w:r>
        <w:rPr>
          <w:rFonts w:cs="Times New Roman"/>
          <w:szCs w:val="24"/>
        </w:rPr>
        <w:t>There is an ample number of benefits that is related to the online business. Some of the benefits include are:</w:t>
      </w:r>
    </w:p>
    <w:p w14:paraId="6EE28DBE" w14:textId="77777777" w:rsidR="00E3321E" w:rsidRDefault="00E3321E" w:rsidP="00E3321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Global access to the business is one of the important trends that helps a company in showcasing its products all over the world. </w:t>
      </w:r>
    </w:p>
    <w:p w14:paraId="04649A8D" w14:textId="77777777" w:rsidR="00E3321E" w:rsidRDefault="00E3321E" w:rsidP="00E3321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Doing business online helps in improving how a company can serve their client. It helps in improving greater flexibility and also helps in improving the client service. </w:t>
      </w:r>
    </w:p>
    <w:p w14:paraId="2289D5B0" w14:textId="77777777" w:rsidR="00E3321E" w:rsidRDefault="00E3321E" w:rsidP="00E3321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 also helps in building the strong image of the brand and also makes the company capable of catering to a larger audience (</w:t>
      </w:r>
      <w:r w:rsidRPr="00D6798C">
        <w:rPr>
          <w:rFonts w:ascii="Times New Roman" w:eastAsia="Times New Roman" w:hAnsi="Times New Roman" w:cs="Times New Roman"/>
          <w:sz w:val="24"/>
          <w:szCs w:val="24"/>
          <w:lang w:eastAsia="en-GB"/>
        </w:rPr>
        <w:t>Santos, 2020</w:t>
      </w:r>
      <w:r>
        <w:rPr>
          <w:rFonts w:ascii="Times New Roman" w:hAnsi="Times New Roman" w:cs="Times New Roman"/>
          <w:sz w:val="24"/>
          <w:szCs w:val="24"/>
          <w:lang w:val="en-US"/>
        </w:rPr>
        <w:t xml:space="preserve">). </w:t>
      </w:r>
    </w:p>
    <w:p w14:paraId="1CD778D6" w14:textId="77777777" w:rsidR="00E3321E" w:rsidRDefault="00E3321E" w:rsidP="00E3321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online presence of a company helps in making it easier for effective marketing and helps in enabling customers to have informed purchasing choices. </w:t>
      </w:r>
    </w:p>
    <w:p w14:paraId="1143708D" w14:textId="77777777" w:rsidR="00E3321E" w:rsidRDefault="00E3321E" w:rsidP="00E3321E">
      <w:pPr>
        <w:rPr>
          <w:rFonts w:cs="Times New Roman"/>
          <w:b/>
          <w:bCs/>
          <w:szCs w:val="24"/>
        </w:rPr>
      </w:pPr>
      <w:r w:rsidRPr="004D6783">
        <w:rPr>
          <w:rFonts w:cs="Times New Roman"/>
          <w:b/>
          <w:bCs/>
          <w:szCs w:val="24"/>
        </w:rPr>
        <w:t>Reasons for setting up own online shop</w:t>
      </w:r>
    </w:p>
    <w:p w14:paraId="63419DA6" w14:textId="77777777" w:rsidR="00E3321E" w:rsidRDefault="00E3321E" w:rsidP="00E3321E">
      <w:pPr>
        <w:rPr>
          <w:rFonts w:cs="Times New Roman"/>
          <w:szCs w:val="24"/>
        </w:rPr>
      </w:pPr>
      <w:r>
        <w:rPr>
          <w:rFonts w:cs="Times New Roman"/>
          <w:szCs w:val="24"/>
        </w:rPr>
        <w:t>It can be said that an online business is considered to be one of the best investments that a company can ever do and it is more fruitful if the organization sets up its online shop. It is an online business that can be very appealing and has no traditional hurdles that most offline ventures face nowadays. The various reasons for which it can be said that setting up an own online shop is one of the best decisions that a company can take are:</w:t>
      </w:r>
    </w:p>
    <w:p w14:paraId="6749CDA2" w14:textId="77777777" w:rsidR="00E3321E" w:rsidRDefault="00E3321E" w:rsidP="00E3321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Own online website helps the company in increasing scalability in the business. The scaling up of the business is not an easy task whether it is an offline business or if the company is partnering with an e-commerce website to sell its product. Thus, setting up an own online business is one of the best decisions that a company can take. An online website is globally launched and it is not limited to a limited number of audiences and thus can cater to the worldwide population. Once successful advertising and a marketing strategy are identified </w:t>
      </w:r>
      <w:r>
        <w:rPr>
          <w:rFonts w:ascii="Times New Roman" w:hAnsi="Times New Roman" w:cs="Times New Roman"/>
          <w:sz w:val="24"/>
          <w:szCs w:val="24"/>
          <w:lang w:val="en-US"/>
        </w:rPr>
        <w:lastRenderedPageBreak/>
        <w:t>then the business can simply target and increase its budget and grow faster (</w:t>
      </w:r>
      <w:r w:rsidRPr="00D6798C">
        <w:rPr>
          <w:rFonts w:ascii="Times New Roman" w:eastAsia="Times New Roman" w:hAnsi="Times New Roman" w:cs="Times New Roman"/>
          <w:sz w:val="24"/>
          <w:szCs w:val="24"/>
          <w:lang w:eastAsia="en-GB"/>
        </w:rPr>
        <w:t>Park</w:t>
      </w:r>
      <w:r>
        <w:rPr>
          <w:rFonts w:ascii="Times New Roman" w:eastAsia="Times New Roman" w:hAnsi="Times New Roman" w:cs="Times New Roman"/>
          <w:sz w:val="24"/>
          <w:szCs w:val="24"/>
          <w:lang w:eastAsia="en-GB"/>
        </w:rPr>
        <w:t xml:space="preserve"> </w:t>
      </w:r>
      <w:r w:rsidRPr="00D6798C">
        <w:rPr>
          <w:rFonts w:ascii="Times New Roman" w:eastAsia="Times New Roman" w:hAnsi="Times New Roman" w:cs="Times New Roman"/>
          <w:sz w:val="24"/>
          <w:szCs w:val="24"/>
          <w:lang w:eastAsia="en-GB"/>
        </w:rPr>
        <w:t>&amp; Armstrong, 2019</w:t>
      </w:r>
      <w:r>
        <w:rPr>
          <w:rFonts w:ascii="Times New Roman" w:hAnsi="Times New Roman" w:cs="Times New Roman"/>
          <w:sz w:val="24"/>
          <w:szCs w:val="24"/>
          <w:lang w:val="en-US"/>
        </w:rPr>
        <w:t xml:space="preserve">). </w:t>
      </w:r>
    </w:p>
    <w:p w14:paraId="1562A203" w14:textId="77777777" w:rsidR="00E3321E" w:rsidRDefault="00E3321E" w:rsidP="00E3321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Doing business with the help of individual website give limitless freedom to the company. Thus, an organization does not have to rely on any other company to market and sell its product. The company can directly face the customers. It happens often that while selling a product from a third party store the customer does not trusts the seller and changes the seller according to their own. Thus, the company faces losses because in the third-party applications for a single product there are multiple numbers of sellers. </w:t>
      </w:r>
    </w:p>
    <w:p w14:paraId="03EDFE9F" w14:textId="77777777" w:rsidR="00E3321E" w:rsidRDefault="00E3321E" w:rsidP="00E3321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Setting up its online shop will be helping the company in eliminating costs that are associated with the offline business and also with the third-party applications. </w:t>
      </w:r>
    </w:p>
    <w:p w14:paraId="5C4DCFB5" w14:textId="77777777" w:rsidR="00E3321E" w:rsidRDefault="00E3321E" w:rsidP="00E3321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Furthermore, dealing with the clients on their own by setting up an online shop can help the company in researching their competitors (</w:t>
      </w:r>
      <w:proofErr w:type="spellStart"/>
      <w:r w:rsidRPr="00377330">
        <w:rPr>
          <w:rFonts w:ascii="Times New Roman" w:eastAsia="Times New Roman" w:hAnsi="Times New Roman" w:cs="Times New Roman"/>
          <w:sz w:val="24"/>
          <w:szCs w:val="24"/>
          <w:lang w:eastAsia="en-GB"/>
        </w:rPr>
        <w:t>Lubis</w:t>
      </w:r>
      <w:proofErr w:type="spellEnd"/>
      <w:r w:rsidRPr="00377330">
        <w:rPr>
          <w:rFonts w:ascii="Times New Roman" w:eastAsia="Times New Roman" w:hAnsi="Times New Roman" w:cs="Times New Roman"/>
          <w:sz w:val="24"/>
          <w:szCs w:val="24"/>
          <w:lang w:eastAsia="en-GB"/>
        </w:rPr>
        <w:t>, 2018</w:t>
      </w:r>
      <w:r>
        <w:rPr>
          <w:rFonts w:ascii="Times New Roman" w:hAnsi="Times New Roman" w:cs="Times New Roman"/>
          <w:sz w:val="24"/>
          <w:szCs w:val="24"/>
          <w:lang w:val="en-US"/>
        </w:rPr>
        <w:t xml:space="preserve">). It will also help the company in researching the other tools that other companies are benefiting from. Sometimes it happens that a consignment gets loss or got damaged, in such cases the company can take the whole responsibility on their own and can deal with the customer directly. </w:t>
      </w:r>
    </w:p>
    <w:p w14:paraId="30264A91" w14:textId="77777777" w:rsidR="00E3321E" w:rsidRDefault="00E3321E" w:rsidP="00E3321E">
      <w:pPr>
        <w:rPr>
          <w:rFonts w:cs="Times New Roman"/>
          <w:b/>
          <w:bCs/>
          <w:szCs w:val="24"/>
        </w:rPr>
      </w:pPr>
      <w:r w:rsidRPr="00AB17A7">
        <w:rPr>
          <w:rFonts w:cs="Times New Roman"/>
          <w:b/>
          <w:bCs/>
          <w:szCs w:val="24"/>
        </w:rPr>
        <w:t>Problems encountered by selling products on Amazon</w:t>
      </w:r>
    </w:p>
    <w:p w14:paraId="48076129" w14:textId="77777777" w:rsidR="00E3321E" w:rsidRDefault="00E3321E" w:rsidP="00E3321E">
      <w:pPr>
        <w:rPr>
          <w:rFonts w:cs="Times New Roman"/>
          <w:szCs w:val="24"/>
        </w:rPr>
      </w:pPr>
      <w:r>
        <w:rPr>
          <w:rFonts w:cs="Times New Roman"/>
          <w:szCs w:val="24"/>
        </w:rPr>
        <w:t>It can be said that similar to that of the other ventures it is not butterflies and rainbows when it comes to selling products on Amazon. Before reaching the target profit a company or the seller selling their product on Amazon experiences a series of challenges. Some of the common problems that an organization can face while selling their products via Amazon are as follows:</w:t>
      </w:r>
    </w:p>
    <w:p w14:paraId="5E273C7B" w14:textId="77777777" w:rsidR="00E3321E" w:rsidRDefault="00E3321E" w:rsidP="00E3321E">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Delayed profitability – It is one of the important problems that modern sellers are facing on Amazon. It is the challenge that is mostly being encountered by the new sellers of Amazon in generating money to maintain the inventory (</w:t>
      </w:r>
      <w:r w:rsidRPr="00377330">
        <w:rPr>
          <w:rFonts w:ascii="Times New Roman" w:eastAsia="Times New Roman" w:hAnsi="Times New Roman" w:cs="Times New Roman"/>
          <w:sz w:val="24"/>
          <w:szCs w:val="24"/>
          <w:lang w:eastAsia="en-GB"/>
        </w:rPr>
        <w:t xml:space="preserve">van der Aalst, </w:t>
      </w:r>
      <w:proofErr w:type="spellStart"/>
      <w:r w:rsidRPr="00377330">
        <w:rPr>
          <w:rFonts w:ascii="Times New Roman" w:eastAsia="Times New Roman" w:hAnsi="Times New Roman" w:cs="Times New Roman"/>
          <w:sz w:val="24"/>
          <w:szCs w:val="24"/>
          <w:lang w:eastAsia="en-GB"/>
        </w:rPr>
        <w:t>Hinz</w:t>
      </w:r>
      <w:proofErr w:type="spellEnd"/>
      <w:r>
        <w:rPr>
          <w:rFonts w:ascii="Times New Roman" w:eastAsia="Times New Roman" w:hAnsi="Times New Roman" w:cs="Times New Roman"/>
          <w:sz w:val="24"/>
          <w:szCs w:val="24"/>
          <w:lang w:eastAsia="en-GB"/>
        </w:rPr>
        <w:t xml:space="preserve"> </w:t>
      </w:r>
      <w:r w:rsidRPr="00377330">
        <w:rPr>
          <w:rFonts w:ascii="Times New Roman" w:eastAsia="Times New Roman" w:hAnsi="Times New Roman" w:cs="Times New Roman"/>
          <w:sz w:val="24"/>
          <w:szCs w:val="24"/>
          <w:lang w:eastAsia="en-GB"/>
        </w:rPr>
        <w:t xml:space="preserve">&amp; </w:t>
      </w:r>
      <w:proofErr w:type="spellStart"/>
      <w:r w:rsidRPr="00377330">
        <w:rPr>
          <w:rFonts w:ascii="Times New Roman" w:eastAsia="Times New Roman" w:hAnsi="Times New Roman" w:cs="Times New Roman"/>
          <w:sz w:val="24"/>
          <w:szCs w:val="24"/>
          <w:lang w:eastAsia="en-GB"/>
        </w:rPr>
        <w:t>Weinhardt</w:t>
      </w:r>
      <w:proofErr w:type="spellEnd"/>
      <w:r w:rsidRPr="00377330">
        <w:rPr>
          <w:rFonts w:ascii="Times New Roman" w:eastAsia="Times New Roman" w:hAnsi="Times New Roman" w:cs="Times New Roman"/>
          <w:sz w:val="24"/>
          <w:szCs w:val="24"/>
          <w:lang w:eastAsia="en-GB"/>
        </w:rPr>
        <w:t>, 2019</w:t>
      </w:r>
      <w:r>
        <w:rPr>
          <w:rFonts w:ascii="Times New Roman" w:hAnsi="Times New Roman" w:cs="Times New Roman"/>
          <w:sz w:val="24"/>
          <w:szCs w:val="24"/>
          <w:lang w:val="en-US"/>
        </w:rPr>
        <w:t xml:space="preserve">). Amazon pays their third-party merchants every two weeks and for that one needs to invest by themselves in maintaining their inventory. </w:t>
      </w:r>
    </w:p>
    <w:p w14:paraId="22482BAD" w14:textId="77777777" w:rsidR="00E3321E" w:rsidRDefault="00E3321E" w:rsidP="00E3321E">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Competition overload – According to the pulse of the market it can be said that the company Amazon has a total of 8.6 million sellers. Thus selling on Amazon increases the competition and new sellers will be facing difficulty in selling their products. Customers will be preferring those sellers only who are with Amazon for a longer duration and has more popularity (</w:t>
      </w:r>
      <w:r w:rsidRPr="004C51E6">
        <w:rPr>
          <w:rFonts w:ascii="Times New Roman" w:eastAsia="Times New Roman" w:hAnsi="Times New Roman" w:cs="Times New Roman"/>
          <w:sz w:val="24"/>
          <w:szCs w:val="24"/>
          <w:lang w:eastAsia="en-GB"/>
        </w:rPr>
        <w:t>Lee</w:t>
      </w:r>
      <w:r>
        <w:rPr>
          <w:rFonts w:ascii="Times New Roman" w:eastAsia="Times New Roman" w:hAnsi="Times New Roman" w:cs="Times New Roman"/>
          <w:sz w:val="24"/>
          <w:szCs w:val="24"/>
          <w:lang w:eastAsia="en-GB"/>
        </w:rPr>
        <w:t xml:space="preserve"> </w:t>
      </w:r>
      <w:r w:rsidRPr="004C51E6">
        <w:rPr>
          <w:rFonts w:ascii="Times New Roman" w:eastAsia="Times New Roman" w:hAnsi="Times New Roman" w:cs="Times New Roman"/>
          <w:sz w:val="24"/>
          <w:szCs w:val="24"/>
          <w:lang w:eastAsia="en-GB"/>
        </w:rPr>
        <w:t>&amp; Lee, 2020</w:t>
      </w:r>
      <w:r>
        <w:rPr>
          <w:rFonts w:ascii="Times New Roman" w:hAnsi="Times New Roman" w:cs="Times New Roman"/>
          <w:sz w:val="24"/>
          <w:szCs w:val="24"/>
          <w:lang w:val="en-US"/>
        </w:rPr>
        <w:t xml:space="preserve">). </w:t>
      </w:r>
    </w:p>
    <w:p w14:paraId="45C06264" w14:textId="77777777" w:rsidR="00E3321E" w:rsidRDefault="00E3321E" w:rsidP="00E3321E">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Price war on Amazon – With too many sellers there is also a price war that is there in between the sellers regarding a similar product. Some of the sellers to outbid the competition sell their product at a much-discounted rate which is again a problem for them as their profit margin becomes less. </w:t>
      </w:r>
    </w:p>
    <w:p w14:paraId="008B684E" w14:textId="77777777" w:rsidR="00E3321E" w:rsidRDefault="00E3321E" w:rsidP="00E3321E">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Feedback manipulation in Amazon – The company Amazon once found that the feedback system that is there in Amazon can be manipulated by a third party. Thus, the company needs to change its review policy system (</w:t>
      </w:r>
      <w:r w:rsidRPr="00377330">
        <w:rPr>
          <w:rFonts w:ascii="Times New Roman" w:eastAsia="Times New Roman" w:hAnsi="Times New Roman" w:cs="Times New Roman"/>
          <w:sz w:val="24"/>
          <w:szCs w:val="24"/>
          <w:lang w:eastAsia="en-GB"/>
        </w:rPr>
        <w:t>Salazar, Ramos-Martín</w:t>
      </w:r>
      <w:r>
        <w:rPr>
          <w:rFonts w:ascii="Times New Roman" w:eastAsia="Times New Roman" w:hAnsi="Times New Roman" w:cs="Times New Roman"/>
          <w:sz w:val="24"/>
          <w:szCs w:val="24"/>
          <w:lang w:eastAsia="en-GB"/>
        </w:rPr>
        <w:t xml:space="preserve"> </w:t>
      </w:r>
      <w:r w:rsidRPr="00377330">
        <w:rPr>
          <w:rFonts w:ascii="Times New Roman" w:eastAsia="Times New Roman" w:hAnsi="Times New Roman" w:cs="Times New Roman"/>
          <w:sz w:val="24"/>
          <w:szCs w:val="24"/>
          <w:lang w:eastAsia="en-GB"/>
        </w:rPr>
        <w:t>&amp; Lomas, 2018</w:t>
      </w:r>
      <w:r>
        <w:rPr>
          <w:rFonts w:ascii="Times New Roman" w:hAnsi="Times New Roman" w:cs="Times New Roman"/>
          <w:sz w:val="24"/>
          <w:szCs w:val="24"/>
          <w:lang w:val="en-US"/>
        </w:rPr>
        <w:t xml:space="preserve">). </w:t>
      </w:r>
    </w:p>
    <w:p w14:paraId="7F2D20DE" w14:textId="77777777" w:rsidR="00E3321E" w:rsidRDefault="00E3321E" w:rsidP="00E3321E">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Strict rules – Unlike other platforms it is seen Amazon provides various guidelines to sell products under its banner. </w:t>
      </w:r>
    </w:p>
    <w:p w14:paraId="0152EF1F" w14:textId="77777777" w:rsidR="00E3321E" w:rsidRDefault="00E3321E" w:rsidP="00E3321E">
      <w:pPr>
        <w:rPr>
          <w:rFonts w:eastAsia="Times New Roman" w:cs="Times New Roman"/>
          <w:color w:val="000000"/>
          <w:szCs w:val="24"/>
          <w:lang w:eastAsia="en-GB"/>
        </w:rPr>
      </w:pPr>
      <w:r>
        <w:rPr>
          <w:rFonts w:cs="Times New Roman"/>
          <w:szCs w:val="24"/>
        </w:rPr>
        <w:t xml:space="preserve">According to the calculation, it can be said that to sell products with the help of Amazon Amana Ltd will have to bear a fulfillment fee that is near about </w:t>
      </w:r>
      <w:r w:rsidRPr="00925F90">
        <w:rPr>
          <w:rFonts w:eastAsia="Times New Roman" w:cs="Times New Roman"/>
          <w:color w:val="000000"/>
          <w:szCs w:val="24"/>
          <w:lang w:eastAsia="en-GB"/>
        </w:rPr>
        <w:t>£ 50,000.</w:t>
      </w:r>
      <w:r>
        <w:rPr>
          <w:rFonts w:eastAsia="Times New Roman" w:cs="Times New Roman"/>
          <w:color w:val="000000"/>
          <w:szCs w:val="24"/>
          <w:lang w:eastAsia="en-GB"/>
        </w:rPr>
        <w:t xml:space="preserve"> Provided by that the guaranteed sale that Amana Ltd will be getting will be </w:t>
      </w:r>
      <w:r w:rsidRPr="00925F90">
        <w:rPr>
          <w:rFonts w:eastAsia="Times New Roman" w:cs="Times New Roman"/>
          <w:color w:val="000000"/>
          <w:szCs w:val="24"/>
          <w:lang w:eastAsia="en-GB"/>
        </w:rPr>
        <w:t>£</w:t>
      </w:r>
      <w:r>
        <w:rPr>
          <w:rFonts w:eastAsia="Times New Roman" w:cs="Times New Roman"/>
          <w:color w:val="000000"/>
          <w:szCs w:val="24"/>
          <w:lang w:eastAsia="en-GB"/>
        </w:rPr>
        <w:t xml:space="preserve"> 65000. Furthermore, if Amana Ltd sets up its online shop then the company will be getting a guaranteed sale of </w:t>
      </w:r>
      <w:r w:rsidRPr="00925F90">
        <w:rPr>
          <w:rFonts w:eastAsia="Times New Roman" w:cs="Times New Roman"/>
          <w:color w:val="000000"/>
          <w:szCs w:val="24"/>
          <w:lang w:eastAsia="en-GB"/>
        </w:rPr>
        <w:t>£</w:t>
      </w:r>
      <w:r>
        <w:rPr>
          <w:rFonts w:eastAsia="Times New Roman" w:cs="Times New Roman"/>
          <w:color w:val="000000"/>
          <w:szCs w:val="24"/>
          <w:lang w:eastAsia="en-GB"/>
        </w:rPr>
        <w:t xml:space="preserve"> 100000. Thus, it is seen that if the company does sell from that Amazon </w:t>
      </w:r>
      <w:proofErr w:type="gramStart"/>
      <w:r>
        <w:rPr>
          <w:rFonts w:eastAsia="Times New Roman" w:cs="Times New Roman"/>
          <w:color w:val="000000"/>
          <w:szCs w:val="24"/>
          <w:lang w:eastAsia="en-GB"/>
        </w:rPr>
        <w:t>portal</w:t>
      </w:r>
      <w:proofErr w:type="gramEnd"/>
      <w:r>
        <w:rPr>
          <w:rFonts w:eastAsia="Times New Roman" w:cs="Times New Roman"/>
          <w:color w:val="000000"/>
          <w:szCs w:val="24"/>
          <w:lang w:eastAsia="en-GB"/>
        </w:rPr>
        <w:t xml:space="preserve"> then it will end up making a profit of </w:t>
      </w:r>
      <w:r w:rsidRPr="00925F90">
        <w:rPr>
          <w:rFonts w:eastAsia="Times New Roman" w:cs="Times New Roman"/>
          <w:color w:val="000000"/>
          <w:szCs w:val="24"/>
          <w:lang w:eastAsia="en-GB"/>
        </w:rPr>
        <w:t>£</w:t>
      </w:r>
      <w:r>
        <w:rPr>
          <w:rFonts w:eastAsia="Times New Roman" w:cs="Times New Roman"/>
          <w:color w:val="000000"/>
          <w:szCs w:val="24"/>
          <w:lang w:eastAsia="en-GB"/>
        </w:rPr>
        <w:t xml:space="preserve">12,50,000. While if the company sets up its store and sells its products on its own it will end up making a profit of </w:t>
      </w:r>
      <w:r w:rsidRPr="00925F90">
        <w:rPr>
          <w:rFonts w:eastAsia="Times New Roman" w:cs="Times New Roman"/>
          <w:color w:val="000000"/>
          <w:szCs w:val="24"/>
          <w:lang w:eastAsia="en-GB"/>
        </w:rPr>
        <w:t>£</w:t>
      </w:r>
      <w:r>
        <w:rPr>
          <w:rFonts w:eastAsia="Times New Roman" w:cs="Times New Roman"/>
          <w:color w:val="000000"/>
          <w:szCs w:val="24"/>
          <w:lang w:eastAsia="en-GB"/>
        </w:rPr>
        <w:t xml:space="preserve"> 17,65,000 which is more than that of Amazon. Thus, Amana Ltd needs to establish its online store and do business on its own.</w:t>
      </w:r>
    </w:p>
    <w:p w14:paraId="65AC2AB0" w14:textId="77777777" w:rsidR="00E3321E" w:rsidRDefault="00E3321E">
      <w:pPr>
        <w:spacing w:line="259" w:lineRule="auto"/>
        <w:jc w:val="left"/>
        <w:rPr>
          <w:rFonts w:eastAsia="Times New Roman" w:cs="Times New Roman"/>
          <w:color w:val="000000"/>
          <w:szCs w:val="24"/>
          <w:lang w:eastAsia="en-GB"/>
        </w:rPr>
      </w:pPr>
      <w:r>
        <w:rPr>
          <w:rFonts w:eastAsia="Times New Roman" w:cs="Times New Roman"/>
          <w:color w:val="000000"/>
          <w:szCs w:val="24"/>
          <w:lang w:eastAsia="en-GB"/>
        </w:rPr>
        <w:br w:type="page"/>
      </w:r>
    </w:p>
    <w:p w14:paraId="18EE8525" w14:textId="77777777" w:rsidR="00E3321E" w:rsidRPr="00E3321E" w:rsidRDefault="00E3321E" w:rsidP="00E3321E">
      <w:pPr>
        <w:pStyle w:val="Heading1"/>
      </w:pPr>
      <w:bookmarkStart w:id="9" w:name="_Toc100689578"/>
      <w:r>
        <w:lastRenderedPageBreak/>
        <w:t>Reference list</w:t>
      </w:r>
      <w:bookmarkEnd w:id="9"/>
    </w:p>
    <w:p w14:paraId="1176AE44" w14:textId="77777777" w:rsidR="00796D38" w:rsidRDefault="00796D38" w:rsidP="00796D38">
      <w:proofErr w:type="spellStart"/>
      <w:r w:rsidRPr="009341A0">
        <w:t>Adriaansen</w:t>
      </w:r>
      <w:proofErr w:type="spellEnd"/>
      <w:r w:rsidRPr="009341A0">
        <w:t xml:space="preserve">, J., Stanton, J., </w:t>
      </w:r>
      <w:proofErr w:type="spellStart"/>
      <w:r w:rsidRPr="009341A0">
        <w:t>Schaut</w:t>
      </w:r>
      <w:proofErr w:type="spellEnd"/>
      <w:r w:rsidRPr="009341A0">
        <w:t xml:space="preserve">, W. and Bowden, R., </w:t>
      </w:r>
      <w:r>
        <w:t>(</w:t>
      </w:r>
      <w:r w:rsidRPr="009341A0">
        <w:t>2022</w:t>
      </w:r>
      <w:r>
        <w:t>)</w:t>
      </w:r>
      <w:r w:rsidRPr="009341A0">
        <w:t>. Compliance and cost control for cryopreservation of cellular starting materials: An industry perspective. </w:t>
      </w:r>
      <w:proofErr w:type="spellStart"/>
      <w:r w:rsidRPr="009341A0">
        <w:rPr>
          <w:i/>
          <w:iCs/>
        </w:rPr>
        <w:t>Cytotherapy</w:t>
      </w:r>
      <w:proofErr w:type="spellEnd"/>
      <w:r w:rsidRPr="009341A0">
        <w:t>.</w:t>
      </w:r>
    </w:p>
    <w:p w14:paraId="110827AB" w14:textId="77777777" w:rsidR="00796D38" w:rsidRPr="00C864A6" w:rsidRDefault="00796D38" w:rsidP="00E3321E">
      <w:pPr>
        <w:spacing w:after="0"/>
        <w:rPr>
          <w:rFonts w:eastAsia="Times New Roman" w:cs="Times New Roman"/>
          <w:color w:val="000000" w:themeColor="text1"/>
          <w:szCs w:val="24"/>
          <w:lang w:eastAsia="en-GB"/>
        </w:rPr>
      </w:pPr>
      <w:proofErr w:type="spellStart"/>
      <w:r w:rsidRPr="00D6798C">
        <w:rPr>
          <w:rFonts w:eastAsia="Times New Roman" w:cs="Times New Roman"/>
          <w:color w:val="000000" w:themeColor="text1"/>
          <w:szCs w:val="24"/>
          <w:lang w:eastAsia="en-GB"/>
        </w:rPr>
        <w:t>Bastas</w:t>
      </w:r>
      <w:proofErr w:type="spellEnd"/>
      <w:r w:rsidRPr="00D6798C">
        <w:rPr>
          <w:rFonts w:eastAsia="Times New Roman" w:cs="Times New Roman"/>
          <w:color w:val="000000" w:themeColor="text1"/>
          <w:szCs w:val="24"/>
          <w:lang w:eastAsia="en-GB"/>
        </w:rPr>
        <w:t xml:space="preserve">, A., &amp; Liyanage, K. (2019). Integrated quality and supply chain management business diagnostics for organizational sustainability improvement. </w:t>
      </w:r>
      <w:r w:rsidRPr="00D6798C">
        <w:rPr>
          <w:rFonts w:eastAsia="Times New Roman" w:cs="Times New Roman"/>
          <w:i/>
          <w:iCs/>
          <w:color w:val="000000" w:themeColor="text1"/>
          <w:szCs w:val="24"/>
          <w:lang w:eastAsia="en-GB"/>
        </w:rPr>
        <w:t>Sustainable Production and Consumption</w:t>
      </w:r>
      <w:r w:rsidRPr="00D6798C">
        <w:rPr>
          <w:rFonts w:eastAsia="Times New Roman" w:cs="Times New Roman"/>
          <w:color w:val="000000" w:themeColor="text1"/>
          <w:szCs w:val="24"/>
          <w:lang w:eastAsia="en-GB"/>
        </w:rPr>
        <w:t xml:space="preserve">, </w:t>
      </w:r>
      <w:r w:rsidRPr="00D6798C">
        <w:rPr>
          <w:rFonts w:eastAsia="Times New Roman" w:cs="Times New Roman"/>
          <w:i/>
          <w:iCs/>
          <w:color w:val="000000" w:themeColor="text1"/>
          <w:szCs w:val="24"/>
          <w:lang w:eastAsia="en-GB"/>
        </w:rPr>
        <w:t>17</w:t>
      </w:r>
      <w:r w:rsidRPr="00D6798C">
        <w:rPr>
          <w:rFonts w:eastAsia="Times New Roman" w:cs="Times New Roman"/>
          <w:color w:val="000000" w:themeColor="text1"/>
          <w:szCs w:val="24"/>
          <w:lang w:eastAsia="en-GB"/>
        </w:rPr>
        <w:t>, 11-30.</w:t>
      </w:r>
    </w:p>
    <w:p w14:paraId="00E6911C" w14:textId="77777777" w:rsidR="00796D38" w:rsidRDefault="00796D38" w:rsidP="00796D38">
      <w:r w:rsidRPr="009341A0">
        <w:t xml:space="preserve">Humphries, B. and </w:t>
      </w:r>
      <w:proofErr w:type="spellStart"/>
      <w:r w:rsidRPr="009341A0">
        <w:t>Xie</w:t>
      </w:r>
      <w:proofErr w:type="spellEnd"/>
      <w:r w:rsidRPr="009341A0">
        <w:t xml:space="preserve">, F., </w:t>
      </w:r>
      <w:r>
        <w:t>(</w:t>
      </w:r>
      <w:r w:rsidRPr="009341A0">
        <w:t>2019</w:t>
      </w:r>
      <w:r>
        <w:t>)</w:t>
      </w:r>
      <w:r w:rsidRPr="009341A0">
        <w:t xml:space="preserve">. Canada’s amendment to patented drug price regulation: a prescription for global drug cost </w:t>
      </w:r>
      <w:proofErr w:type="gramStart"/>
      <w:r w:rsidRPr="009341A0">
        <w:t>control?.</w:t>
      </w:r>
      <w:proofErr w:type="gramEnd"/>
      <w:r w:rsidRPr="009341A0">
        <w:t> </w:t>
      </w:r>
      <w:r w:rsidRPr="009341A0">
        <w:rPr>
          <w:i/>
          <w:iCs/>
        </w:rPr>
        <w:t>Jama</w:t>
      </w:r>
      <w:r w:rsidRPr="009341A0">
        <w:t>, </w:t>
      </w:r>
      <w:r w:rsidRPr="009341A0">
        <w:rPr>
          <w:i/>
          <w:iCs/>
        </w:rPr>
        <w:t>321</w:t>
      </w:r>
      <w:r w:rsidRPr="009341A0">
        <w:t>(16), pp.1565-1566.</w:t>
      </w:r>
    </w:p>
    <w:p w14:paraId="28598550" w14:textId="77777777" w:rsidR="00796D38" w:rsidRPr="00C864A6" w:rsidRDefault="00796D38" w:rsidP="00E3321E">
      <w:pPr>
        <w:spacing w:after="0"/>
        <w:rPr>
          <w:rFonts w:eastAsia="Times New Roman" w:cs="Times New Roman"/>
          <w:color w:val="000000" w:themeColor="text1"/>
          <w:szCs w:val="24"/>
          <w:lang w:eastAsia="en-GB"/>
        </w:rPr>
      </w:pPr>
      <w:r w:rsidRPr="004C51E6">
        <w:rPr>
          <w:rFonts w:eastAsia="Times New Roman" w:cs="Times New Roman"/>
          <w:color w:val="000000" w:themeColor="text1"/>
          <w:szCs w:val="24"/>
          <w:lang w:eastAsia="en-GB"/>
        </w:rPr>
        <w:t>Lee, S. M., &amp; Lee, D. (2020). “</w:t>
      </w:r>
      <w:proofErr w:type="spellStart"/>
      <w:r w:rsidRPr="004C51E6">
        <w:rPr>
          <w:rFonts w:eastAsia="Times New Roman" w:cs="Times New Roman"/>
          <w:color w:val="000000" w:themeColor="text1"/>
          <w:szCs w:val="24"/>
          <w:lang w:eastAsia="en-GB"/>
        </w:rPr>
        <w:t>Untact</w:t>
      </w:r>
      <w:proofErr w:type="spellEnd"/>
      <w:r w:rsidRPr="004C51E6">
        <w:rPr>
          <w:rFonts w:eastAsia="Times New Roman" w:cs="Times New Roman"/>
          <w:color w:val="000000" w:themeColor="text1"/>
          <w:szCs w:val="24"/>
          <w:lang w:eastAsia="en-GB"/>
        </w:rPr>
        <w:t xml:space="preserve">”: a new customer service strategy in the digital age. </w:t>
      </w:r>
      <w:r w:rsidRPr="004C51E6">
        <w:rPr>
          <w:rFonts w:eastAsia="Times New Roman" w:cs="Times New Roman"/>
          <w:i/>
          <w:iCs/>
          <w:color w:val="000000" w:themeColor="text1"/>
          <w:szCs w:val="24"/>
          <w:lang w:eastAsia="en-GB"/>
        </w:rPr>
        <w:t>Service Business</w:t>
      </w:r>
      <w:r w:rsidRPr="004C51E6">
        <w:rPr>
          <w:rFonts w:eastAsia="Times New Roman" w:cs="Times New Roman"/>
          <w:color w:val="000000" w:themeColor="text1"/>
          <w:szCs w:val="24"/>
          <w:lang w:eastAsia="en-GB"/>
        </w:rPr>
        <w:t xml:space="preserve">, </w:t>
      </w:r>
      <w:r w:rsidRPr="004C51E6">
        <w:rPr>
          <w:rFonts w:eastAsia="Times New Roman" w:cs="Times New Roman"/>
          <w:i/>
          <w:iCs/>
          <w:color w:val="000000" w:themeColor="text1"/>
          <w:szCs w:val="24"/>
          <w:lang w:eastAsia="en-GB"/>
        </w:rPr>
        <w:t>14</w:t>
      </w:r>
      <w:r w:rsidRPr="004C51E6">
        <w:rPr>
          <w:rFonts w:eastAsia="Times New Roman" w:cs="Times New Roman"/>
          <w:color w:val="000000" w:themeColor="text1"/>
          <w:szCs w:val="24"/>
          <w:lang w:eastAsia="en-GB"/>
        </w:rPr>
        <w:t>(1), 1-22.</w:t>
      </w:r>
      <w:r w:rsidRPr="00C864A6">
        <w:rPr>
          <w:rFonts w:eastAsia="Times New Roman" w:cs="Times New Roman"/>
          <w:color w:val="000000" w:themeColor="text1"/>
          <w:szCs w:val="24"/>
          <w:lang w:eastAsia="en-GB"/>
        </w:rPr>
        <w:t xml:space="preserve"> </w:t>
      </w:r>
      <w:hyperlink r:id="rId6" w:history="1">
        <w:r w:rsidRPr="00C864A6">
          <w:rPr>
            <w:rStyle w:val="Hyperlink"/>
            <w:rFonts w:eastAsia="Times New Roman" w:cs="Times New Roman"/>
            <w:color w:val="000000" w:themeColor="text1"/>
            <w:szCs w:val="24"/>
            <w:lang w:eastAsia="en-GB"/>
          </w:rPr>
          <w:t>https://digitalcommons.unl.edu/cgi/viewcontent.cgi?article=1252&amp;context=managementfacpub</w:t>
        </w:r>
      </w:hyperlink>
    </w:p>
    <w:p w14:paraId="0D5C1300" w14:textId="77777777" w:rsidR="00796D38" w:rsidRPr="00C864A6" w:rsidRDefault="00796D38" w:rsidP="00E3321E">
      <w:pPr>
        <w:spacing w:after="0"/>
        <w:rPr>
          <w:rFonts w:eastAsia="Times New Roman" w:cs="Times New Roman"/>
          <w:color w:val="000000" w:themeColor="text1"/>
          <w:szCs w:val="24"/>
          <w:lang w:eastAsia="en-GB"/>
        </w:rPr>
      </w:pPr>
      <w:proofErr w:type="spellStart"/>
      <w:r w:rsidRPr="00377330">
        <w:rPr>
          <w:rFonts w:eastAsia="Times New Roman" w:cs="Times New Roman"/>
          <w:color w:val="000000" w:themeColor="text1"/>
          <w:szCs w:val="24"/>
          <w:lang w:eastAsia="en-GB"/>
        </w:rPr>
        <w:t>Lubis</w:t>
      </w:r>
      <w:proofErr w:type="spellEnd"/>
      <w:r w:rsidRPr="00377330">
        <w:rPr>
          <w:rFonts w:eastAsia="Times New Roman" w:cs="Times New Roman"/>
          <w:color w:val="000000" w:themeColor="text1"/>
          <w:szCs w:val="24"/>
          <w:lang w:eastAsia="en-GB"/>
        </w:rPr>
        <w:t xml:space="preserve">, A. N. (2018). Evaluating the customer preferences of online shopping: Demographic factors and online shop application issue. </w:t>
      </w:r>
      <w:r w:rsidRPr="00377330">
        <w:rPr>
          <w:rFonts w:eastAsia="Times New Roman" w:cs="Times New Roman"/>
          <w:i/>
          <w:iCs/>
          <w:color w:val="000000" w:themeColor="text1"/>
          <w:szCs w:val="24"/>
          <w:lang w:eastAsia="en-GB"/>
        </w:rPr>
        <w:t>Academy of Strategic Management Journal</w:t>
      </w:r>
      <w:r w:rsidRPr="00377330">
        <w:rPr>
          <w:rFonts w:eastAsia="Times New Roman" w:cs="Times New Roman"/>
          <w:color w:val="000000" w:themeColor="text1"/>
          <w:szCs w:val="24"/>
          <w:lang w:eastAsia="en-GB"/>
        </w:rPr>
        <w:t xml:space="preserve">, </w:t>
      </w:r>
      <w:r w:rsidRPr="00377330">
        <w:rPr>
          <w:rFonts w:eastAsia="Times New Roman" w:cs="Times New Roman"/>
          <w:i/>
          <w:iCs/>
          <w:color w:val="000000" w:themeColor="text1"/>
          <w:szCs w:val="24"/>
          <w:lang w:eastAsia="en-GB"/>
        </w:rPr>
        <w:t>17</w:t>
      </w:r>
      <w:r w:rsidRPr="00377330">
        <w:rPr>
          <w:rFonts w:eastAsia="Times New Roman" w:cs="Times New Roman"/>
          <w:color w:val="000000" w:themeColor="text1"/>
          <w:szCs w:val="24"/>
          <w:lang w:eastAsia="en-GB"/>
        </w:rPr>
        <w:t>(2), 1-13.</w:t>
      </w:r>
    </w:p>
    <w:p w14:paraId="2051AA2D" w14:textId="77777777" w:rsidR="00796D38" w:rsidRPr="00C864A6" w:rsidRDefault="00796D38" w:rsidP="00E3321E">
      <w:pPr>
        <w:spacing w:after="0"/>
        <w:rPr>
          <w:rFonts w:eastAsia="Times New Roman" w:cs="Times New Roman"/>
          <w:color w:val="000000" w:themeColor="text1"/>
          <w:szCs w:val="24"/>
          <w:lang w:eastAsia="en-GB"/>
        </w:rPr>
      </w:pPr>
      <w:r w:rsidRPr="00D6798C">
        <w:rPr>
          <w:rFonts w:eastAsia="Times New Roman" w:cs="Times New Roman"/>
          <w:color w:val="000000" w:themeColor="text1"/>
          <w:szCs w:val="24"/>
          <w:lang w:eastAsia="en-GB"/>
        </w:rPr>
        <w:t xml:space="preserve">Park, H., &amp; Armstrong, C. M. J. (2019). Is money the biggest driver? Uncovering motives for engaging in online collaborative consumption retail models for apparel. </w:t>
      </w:r>
      <w:r w:rsidRPr="00D6798C">
        <w:rPr>
          <w:rFonts w:eastAsia="Times New Roman" w:cs="Times New Roman"/>
          <w:i/>
          <w:iCs/>
          <w:color w:val="000000" w:themeColor="text1"/>
          <w:szCs w:val="24"/>
          <w:lang w:eastAsia="en-GB"/>
        </w:rPr>
        <w:t>Journal of Retailing and Consumer Services</w:t>
      </w:r>
      <w:r w:rsidRPr="00D6798C">
        <w:rPr>
          <w:rFonts w:eastAsia="Times New Roman" w:cs="Times New Roman"/>
          <w:color w:val="000000" w:themeColor="text1"/>
          <w:szCs w:val="24"/>
          <w:lang w:eastAsia="en-GB"/>
        </w:rPr>
        <w:t xml:space="preserve">, </w:t>
      </w:r>
      <w:r w:rsidRPr="00D6798C">
        <w:rPr>
          <w:rFonts w:eastAsia="Times New Roman" w:cs="Times New Roman"/>
          <w:i/>
          <w:iCs/>
          <w:color w:val="000000" w:themeColor="text1"/>
          <w:szCs w:val="24"/>
          <w:lang w:eastAsia="en-GB"/>
        </w:rPr>
        <w:t>51</w:t>
      </w:r>
      <w:r w:rsidRPr="00D6798C">
        <w:rPr>
          <w:rFonts w:eastAsia="Times New Roman" w:cs="Times New Roman"/>
          <w:color w:val="000000" w:themeColor="text1"/>
          <w:szCs w:val="24"/>
          <w:lang w:eastAsia="en-GB"/>
        </w:rPr>
        <w:t>, 42-50.</w:t>
      </w:r>
    </w:p>
    <w:p w14:paraId="77FA40E5" w14:textId="77777777" w:rsidR="00796D38" w:rsidRPr="00C864A6" w:rsidRDefault="00796D38" w:rsidP="00E3321E">
      <w:pPr>
        <w:spacing w:after="0"/>
        <w:rPr>
          <w:rFonts w:eastAsia="Times New Roman" w:cs="Times New Roman"/>
          <w:color w:val="000000" w:themeColor="text1"/>
          <w:szCs w:val="24"/>
          <w:lang w:eastAsia="en-GB"/>
        </w:rPr>
      </w:pPr>
      <w:r w:rsidRPr="00377330">
        <w:rPr>
          <w:rFonts w:eastAsia="Times New Roman" w:cs="Times New Roman"/>
          <w:color w:val="000000" w:themeColor="text1"/>
          <w:szCs w:val="24"/>
          <w:lang w:eastAsia="en-GB"/>
        </w:rPr>
        <w:t xml:space="preserve">Salazar, O. V., Ramos-Martín, J., &amp; Lomas, P. L. (2018). Livelihood sustainability assessment of coffee and cocoa producers in the Amazon region of Ecuador using household types. </w:t>
      </w:r>
      <w:r w:rsidRPr="00377330">
        <w:rPr>
          <w:rFonts w:eastAsia="Times New Roman" w:cs="Times New Roman"/>
          <w:i/>
          <w:iCs/>
          <w:color w:val="000000" w:themeColor="text1"/>
          <w:szCs w:val="24"/>
          <w:lang w:eastAsia="en-GB"/>
        </w:rPr>
        <w:t>Journal of Rural Studies</w:t>
      </w:r>
      <w:r w:rsidRPr="00377330">
        <w:rPr>
          <w:rFonts w:eastAsia="Times New Roman" w:cs="Times New Roman"/>
          <w:color w:val="000000" w:themeColor="text1"/>
          <w:szCs w:val="24"/>
          <w:lang w:eastAsia="en-GB"/>
        </w:rPr>
        <w:t xml:space="preserve">, </w:t>
      </w:r>
      <w:r w:rsidRPr="00377330">
        <w:rPr>
          <w:rFonts w:eastAsia="Times New Roman" w:cs="Times New Roman"/>
          <w:i/>
          <w:iCs/>
          <w:color w:val="000000" w:themeColor="text1"/>
          <w:szCs w:val="24"/>
          <w:lang w:eastAsia="en-GB"/>
        </w:rPr>
        <w:t>62</w:t>
      </w:r>
      <w:r w:rsidRPr="00377330">
        <w:rPr>
          <w:rFonts w:eastAsia="Times New Roman" w:cs="Times New Roman"/>
          <w:color w:val="000000" w:themeColor="text1"/>
          <w:szCs w:val="24"/>
          <w:lang w:eastAsia="en-GB"/>
        </w:rPr>
        <w:t>, 1-9.</w:t>
      </w:r>
      <w:r w:rsidRPr="00C864A6">
        <w:rPr>
          <w:rFonts w:eastAsia="Times New Roman" w:cs="Times New Roman"/>
          <w:color w:val="000000" w:themeColor="text1"/>
          <w:szCs w:val="24"/>
          <w:lang w:eastAsia="en-GB"/>
        </w:rPr>
        <w:t xml:space="preserve"> </w:t>
      </w:r>
      <w:hyperlink r:id="rId7" w:history="1">
        <w:r w:rsidRPr="00C864A6">
          <w:rPr>
            <w:rStyle w:val="Hyperlink"/>
            <w:rFonts w:eastAsia="Times New Roman" w:cs="Times New Roman"/>
            <w:color w:val="000000" w:themeColor="text1"/>
            <w:szCs w:val="24"/>
            <w:lang w:eastAsia="en-GB"/>
          </w:rPr>
          <w:t>https://repositorio.ikiam.edu.ec:8443/jspui/bitstream/RD_IKIAM/205/1/A-IKIAM-000141.pdf</w:t>
        </w:r>
      </w:hyperlink>
    </w:p>
    <w:p w14:paraId="569890C1" w14:textId="77777777" w:rsidR="00796D38" w:rsidRPr="00C864A6" w:rsidRDefault="00796D38" w:rsidP="00E3321E">
      <w:pPr>
        <w:spacing w:after="0"/>
        <w:rPr>
          <w:rFonts w:eastAsia="Times New Roman" w:cs="Times New Roman"/>
          <w:color w:val="000000" w:themeColor="text1"/>
          <w:szCs w:val="24"/>
          <w:lang w:eastAsia="en-GB"/>
        </w:rPr>
      </w:pPr>
      <w:r w:rsidRPr="00D6798C">
        <w:rPr>
          <w:rFonts w:eastAsia="Times New Roman" w:cs="Times New Roman"/>
          <w:color w:val="000000" w:themeColor="text1"/>
          <w:szCs w:val="24"/>
          <w:lang w:eastAsia="en-GB"/>
        </w:rPr>
        <w:t xml:space="preserve">Santos, K. E. S. (2020). Online Marketing: Benefits and Difficulties to online Business Sellers. </w:t>
      </w:r>
      <w:r w:rsidRPr="00D6798C">
        <w:rPr>
          <w:rFonts w:eastAsia="Times New Roman" w:cs="Times New Roman"/>
          <w:i/>
          <w:iCs/>
          <w:color w:val="000000" w:themeColor="text1"/>
          <w:szCs w:val="24"/>
          <w:lang w:eastAsia="en-GB"/>
        </w:rPr>
        <w:t>International Journal of Advanced Engineering Research and Science</w:t>
      </w:r>
      <w:r w:rsidRPr="00D6798C">
        <w:rPr>
          <w:rFonts w:eastAsia="Times New Roman" w:cs="Times New Roman"/>
          <w:color w:val="000000" w:themeColor="text1"/>
          <w:szCs w:val="24"/>
          <w:lang w:eastAsia="en-GB"/>
        </w:rPr>
        <w:t xml:space="preserve">, </w:t>
      </w:r>
      <w:r w:rsidRPr="00D6798C">
        <w:rPr>
          <w:rFonts w:eastAsia="Times New Roman" w:cs="Times New Roman"/>
          <w:i/>
          <w:iCs/>
          <w:color w:val="000000" w:themeColor="text1"/>
          <w:szCs w:val="24"/>
          <w:lang w:eastAsia="en-GB"/>
        </w:rPr>
        <w:t>7</w:t>
      </w:r>
      <w:r w:rsidRPr="00D6798C">
        <w:rPr>
          <w:rFonts w:eastAsia="Times New Roman" w:cs="Times New Roman"/>
          <w:color w:val="000000" w:themeColor="text1"/>
          <w:szCs w:val="24"/>
          <w:lang w:eastAsia="en-GB"/>
        </w:rPr>
        <w:t>(3), 159-163.</w:t>
      </w:r>
      <w:r w:rsidRPr="00C864A6">
        <w:rPr>
          <w:rFonts w:eastAsia="Times New Roman" w:cs="Times New Roman"/>
          <w:color w:val="000000" w:themeColor="text1"/>
          <w:szCs w:val="24"/>
          <w:lang w:eastAsia="en-GB"/>
        </w:rPr>
        <w:t xml:space="preserve"> </w:t>
      </w:r>
      <w:hyperlink r:id="rId8" w:history="1">
        <w:r w:rsidRPr="00C864A6">
          <w:rPr>
            <w:rStyle w:val="Hyperlink"/>
            <w:rFonts w:eastAsia="Times New Roman" w:cs="Times New Roman"/>
            <w:color w:val="000000" w:themeColor="text1"/>
            <w:szCs w:val="24"/>
            <w:lang w:eastAsia="en-GB"/>
          </w:rPr>
          <w:t>https://www.academia.edu/download/62407466/27IJAERS-03202032-OnlineMarketing20200318-73054-7ugd59.pdf</w:t>
        </w:r>
      </w:hyperlink>
    </w:p>
    <w:p w14:paraId="35F63293" w14:textId="77777777" w:rsidR="00796D38" w:rsidRPr="00474A95" w:rsidRDefault="00796D38" w:rsidP="00E3321E">
      <w:pPr>
        <w:spacing w:after="0"/>
        <w:rPr>
          <w:rFonts w:eastAsia="Times New Roman" w:cs="Times New Roman"/>
          <w:color w:val="000000" w:themeColor="text1"/>
          <w:szCs w:val="24"/>
          <w:lang w:eastAsia="en-GB"/>
        </w:rPr>
      </w:pPr>
      <w:proofErr w:type="spellStart"/>
      <w:r w:rsidRPr="00474A95">
        <w:rPr>
          <w:rFonts w:eastAsia="Times New Roman" w:cs="Times New Roman"/>
          <w:color w:val="000000" w:themeColor="text1"/>
          <w:szCs w:val="24"/>
          <w:lang w:eastAsia="en-GB"/>
        </w:rPr>
        <w:t>Sembiring</w:t>
      </w:r>
      <w:proofErr w:type="spellEnd"/>
      <w:r w:rsidRPr="00474A95">
        <w:rPr>
          <w:rFonts w:eastAsia="Times New Roman" w:cs="Times New Roman"/>
          <w:color w:val="000000" w:themeColor="text1"/>
          <w:szCs w:val="24"/>
          <w:lang w:eastAsia="en-GB"/>
        </w:rPr>
        <w:t xml:space="preserve">, A. C., </w:t>
      </w:r>
      <w:proofErr w:type="spellStart"/>
      <w:r w:rsidRPr="00474A95">
        <w:rPr>
          <w:rFonts w:eastAsia="Times New Roman" w:cs="Times New Roman"/>
          <w:color w:val="000000" w:themeColor="text1"/>
          <w:szCs w:val="24"/>
          <w:lang w:eastAsia="en-GB"/>
        </w:rPr>
        <w:t>Tampubolon</w:t>
      </w:r>
      <w:proofErr w:type="spellEnd"/>
      <w:r w:rsidRPr="00474A95">
        <w:rPr>
          <w:rFonts w:eastAsia="Times New Roman" w:cs="Times New Roman"/>
          <w:color w:val="000000" w:themeColor="text1"/>
          <w:szCs w:val="24"/>
          <w:lang w:eastAsia="en-GB"/>
        </w:rPr>
        <w:t xml:space="preserve">, J., </w:t>
      </w:r>
      <w:proofErr w:type="spellStart"/>
      <w:r w:rsidRPr="00474A95">
        <w:rPr>
          <w:rFonts w:eastAsia="Times New Roman" w:cs="Times New Roman"/>
          <w:color w:val="000000" w:themeColor="text1"/>
          <w:szCs w:val="24"/>
          <w:lang w:eastAsia="en-GB"/>
        </w:rPr>
        <w:t>Sitanggang</w:t>
      </w:r>
      <w:proofErr w:type="spellEnd"/>
      <w:r w:rsidRPr="00474A95">
        <w:rPr>
          <w:rFonts w:eastAsia="Times New Roman" w:cs="Times New Roman"/>
          <w:color w:val="000000" w:themeColor="text1"/>
          <w:szCs w:val="24"/>
          <w:lang w:eastAsia="en-GB"/>
        </w:rPr>
        <w:t xml:space="preserve">, D., &amp; Turnip, M. (2019, November). Improvement of inventory system using first in first out (FIFO) method. In </w:t>
      </w:r>
      <w:r w:rsidRPr="00474A95">
        <w:rPr>
          <w:rFonts w:eastAsia="Times New Roman" w:cs="Times New Roman"/>
          <w:i/>
          <w:iCs/>
          <w:color w:val="000000" w:themeColor="text1"/>
          <w:szCs w:val="24"/>
          <w:lang w:eastAsia="en-GB"/>
        </w:rPr>
        <w:t>Journal of Physics: Conference Series</w:t>
      </w:r>
      <w:r w:rsidRPr="00474A95">
        <w:rPr>
          <w:rFonts w:eastAsia="Times New Roman" w:cs="Times New Roman"/>
          <w:color w:val="000000" w:themeColor="text1"/>
          <w:szCs w:val="24"/>
          <w:lang w:eastAsia="en-GB"/>
        </w:rPr>
        <w:t xml:space="preserve"> (Vol. 1361, No. 1, p. 012070). IOP Publishing.</w:t>
      </w:r>
      <w:r w:rsidRPr="00C864A6">
        <w:rPr>
          <w:rFonts w:eastAsia="Times New Roman" w:cs="Times New Roman"/>
          <w:color w:val="000000" w:themeColor="text1"/>
          <w:szCs w:val="24"/>
          <w:lang w:eastAsia="en-GB"/>
        </w:rPr>
        <w:t xml:space="preserve"> https://iopscience.iop.org/article/10.1088/1742-6596/1361/1/012070/pdf</w:t>
      </w:r>
    </w:p>
    <w:p w14:paraId="40FF11E9" w14:textId="77777777" w:rsidR="00796D38" w:rsidRDefault="00796D38" w:rsidP="00E3321E">
      <w:pPr>
        <w:rPr>
          <w:rStyle w:val="Hyperlink"/>
          <w:rFonts w:eastAsia="Times New Roman" w:cs="Times New Roman"/>
          <w:color w:val="000000" w:themeColor="text1"/>
          <w:szCs w:val="24"/>
          <w:u w:val="none"/>
          <w:lang w:eastAsia="en-GB"/>
        </w:rPr>
      </w:pPr>
      <w:r w:rsidRPr="00377330">
        <w:rPr>
          <w:rFonts w:eastAsia="Times New Roman" w:cs="Times New Roman"/>
          <w:color w:val="000000" w:themeColor="text1"/>
          <w:szCs w:val="24"/>
          <w:lang w:eastAsia="en-GB"/>
        </w:rPr>
        <w:lastRenderedPageBreak/>
        <w:t xml:space="preserve">van der Aalst, W., </w:t>
      </w:r>
      <w:proofErr w:type="spellStart"/>
      <w:r w:rsidRPr="00377330">
        <w:rPr>
          <w:rFonts w:eastAsia="Times New Roman" w:cs="Times New Roman"/>
          <w:color w:val="000000" w:themeColor="text1"/>
          <w:szCs w:val="24"/>
          <w:lang w:eastAsia="en-GB"/>
        </w:rPr>
        <w:t>Hinz</w:t>
      </w:r>
      <w:proofErr w:type="spellEnd"/>
      <w:r w:rsidRPr="00377330">
        <w:rPr>
          <w:rFonts w:eastAsia="Times New Roman" w:cs="Times New Roman"/>
          <w:color w:val="000000" w:themeColor="text1"/>
          <w:szCs w:val="24"/>
          <w:lang w:eastAsia="en-GB"/>
        </w:rPr>
        <w:t xml:space="preserve">, O., &amp; </w:t>
      </w:r>
      <w:proofErr w:type="spellStart"/>
      <w:r w:rsidRPr="00377330">
        <w:rPr>
          <w:rFonts w:eastAsia="Times New Roman" w:cs="Times New Roman"/>
          <w:color w:val="000000" w:themeColor="text1"/>
          <w:szCs w:val="24"/>
          <w:lang w:eastAsia="en-GB"/>
        </w:rPr>
        <w:t>Weinhardt</w:t>
      </w:r>
      <w:proofErr w:type="spellEnd"/>
      <w:r w:rsidRPr="00377330">
        <w:rPr>
          <w:rFonts w:eastAsia="Times New Roman" w:cs="Times New Roman"/>
          <w:color w:val="000000" w:themeColor="text1"/>
          <w:szCs w:val="24"/>
          <w:lang w:eastAsia="en-GB"/>
        </w:rPr>
        <w:t xml:space="preserve">, C. (2019). Big digital platforms. </w:t>
      </w:r>
      <w:r w:rsidRPr="00377330">
        <w:rPr>
          <w:rFonts w:eastAsia="Times New Roman" w:cs="Times New Roman"/>
          <w:i/>
          <w:iCs/>
          <w:color w:val="000000" w:themeColor="text1"/>
          <w:szCs w:val="24"/>
          <w:lang w:eastAsia="en-GB"/>
        </w:rPr>
        <w:t>Business &amp; Information Systems Engineering</w:t>
      </w:r>
      <w:r w:rsidRPr="00377330">
        <w:rPr>
          <w:rFonts w:eastAsia="Times New Roman" w:cs="Times New Roman"/>
          <w:color w:val="000000" w:themeColor="text1"/>
          <w:szCs w:val="24"/>
          <w:lang w:eastAsia="en-GB"/>
        </w:rPr>
        <w:t xml:space="preserve">, </w:t>
      </w:r>
      <w:r w:rsidRPr="00377330">
        <w:rPr>
          <w:rFonts w:eastAsia="Times New Roman" w:cs="Times New Roman"/>
          <w:i/>
          <w:iCs/>
          <w:color w:val="000000" w:themeColor="text1"/>
          <w:szCs w:val="24"/>
          <w:lang w:eastAsia="en-GB"/>
        </w:rPr>
        <w:t>61</w:t>
      </w:r>
      <w:r w:rsidRPr="00377330">
        <w:rPr>
          <w:rFonts w:eastAsia="Times New Roman" w:cs="Times New Roman"/>
          <w:color w:val="000000" w:themeColor="text1"/>
          <w:szCs w:val="24"/>
          <w:lang w:eastAsia="en-GB"/>
        </w:rPr>
        <w:t>(6), 645-648.</w:t>
      </w:r>
      <w:r w:rsidRPr="00C864A6">
        <w:rPr>
          <w:rFonts w:eastAsia="Times New Roman" w:cs="Times New Roman"/>
          <w:color w:val="000000" w:themeColor="text1"/>
          <w:szCs w:val="24"/>
          <w:lang w:eastAsia="en-GB"/>
        </w:rPr>
        <w:t xml:space="preserve"> </w:t>
      </w:r>
      <w:hyperlink r:id="rId9" w:history="1">
        <w:r w:rsidRPr="00C864A6">
          <w:rPr>
            <w:rStyle w:val="Hyperlink"/>
            <w:rFonts w:eastAsia="Times New Roman" w:cs="Times New Roman"/>
            <w:color w:val="000000" w:themeColor="text1"/>
            <w:szCs w:val="24"/>
            <w:lang w:eastAsia="en-GB"/>
          </w:rPr>
          <w:t>https://link.springer.com/article/10.1007/s12599-019-00618-y</w:t>
        </w:r>
      </w:hyperlink>
    </w:p>
    <w:p w14:paraId="145EEFB0" w14:textId="77777777" w:rsidR="00796D38" w:rsidRPr="00BD2F34" w:rsidRDefault="00796D38" w:rsidP="00E3321E"/>
    <w:sectPr w:rsidR="00796D38" w:rsidRPr="00BD2F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12F"/>
    <w:multiLevelType w:val="hybridMultilevel"/>
    <w:tmpl w:val="2D882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34850"/>
    <w:multiLevelType w:val="hybridMultilevel"/>
    <w:tmpl w:val="BC5A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647877"/>
    <w:multiLevelType w:val="hybridMultilevel"/>
    <w:tmpl w:val="9260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0106">
    <w:abstractNumId w:val="0"/>
  </w:num>
  <w:num w:numId="2" w16cid:durableId="892735098">
    <w:abstractNumId w:val="1"/>
  </w:num>
  <w:num w:numId="3" w16cid:durableId="1819301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A99"/>
    <w:rsid w:val="000A1C7C"/>
    <w:rsid w:val="001611E2"/>
    <w:rsid w:val="00232A99"/>
    <w:rsid w:val="0040760E"/>
    <w:rsid w:val="00475EA9"/>
    <w:rsid w:val="00476AD3"/>
    <w:rsid w:val="005F6A4D"/>
    <w:rsid w:val="00652CCB"/>
    <w:rsid w:val="006B7892"/>
    <w:rsid w:val="007961D0"/>
    <w:rsid w:val="00796D38"/>
    <w:rsid w:val="00834577"/>
    <w:rsid w:val="008A48B8"/>
    <w:rsid w:val="009C2314"/>
    <w:rsid w:val="00B52478"/>
    <w:rsid w:val="00B95384"/>
    <w:rsid w:val="00BD2F34"/>
    <w:rsid w:val="00E3321E"/>
    <w:rsid w:val="00E80BCC"/>
    <w:rsid w:val="00EB6767"/>
    <w:rsid w:val="00FA2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C5DC"/>
  <w15:chartTrackingRefBased/>
  <w15:docId w15:val="{24B351E2-5A8B-454F-A8C0-F6BE89474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1E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paragraph" w:styleId="Title">
    <w:name w:val="Title"/>
    <w:basedOn w:val="Normal"/>
    <w:next w:val="Normal"/>
    <w:link w:val="TitleChar"/>
    <w:uiPriority w:val="10"/>
    <w:qFormat/>
    <w:rsid w:val="00BD2F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F3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3321E"/>
    <w:pPr>
      <w:spacing w:line="259" w:lineRule="auto"/>
      <w:ind w:left="720"/>
      <w:contextualSpacing/>
      <w:jc w:val="left"/>
    </w:pPr>
    <w:rPr>
      <w:rFonts w:asciiTheme="minorHAnsi" w:hAnsiTheme="minorHAnsi"/>
      <w:sz w:val="22"/>
      <w:lang w:val="en-GB"/>
    </w:rPr>
  </w:style>
  <w:style w:type="character" w:styleId="Hyperlink">
    <w:name w:val="Hyperlink"/>
    <w:basedOn w:val="DefaultParagraphFont"/>
    <w:uiPriority w:val="99"/>
    <w:unhideWhenUsed/>
    <w:rsid w:val="00E3321E"/>
    <w:rPr>
      <w:color w:val="0563C1" w:themeColor="hyperlink"/>
      <w:u w:val="single"/>
    </w:rPr>
  </w:style>
  <w:style w:type="paragraph" w:styleId="TOCHeading">
    <w:name w:val="TOC Heading"/>
    <w:basedOn w:val="Heading1"/>
    <w:next w:val="Normal"/>
    <w:uiPriority w:val="39"/>
    <w:unhideWhenUsed/>
    <w:qFormat/>
    <w:rsid w:val="005F6A4D"/>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5F6A4D"/>
    <w:pPr>
      <w:spacing w:after="100"/>
    </w:pPr>
  </w:style>
  <w:style w:type="paragraph" w:styleId="TOC2">
    <w:name w:val="toc 2"/>
    <w:basedOn w:val="Normal"/>
    <w:next w:val="Normal"/>
    <w:autoRedefine/>
    <w:uiPriority w:val="39"/>
    <w:unhideWhenUsed/>
    <w:rsid w:val="005F6A4D"/>
    <w:pPr>
      <w:spacing w:after="100"/>
      <w:ind w:left="240"/>
    </w:pPr>
  </w:style>
  <w:style w:type="paragraph" w:styleId="TOC3">
    <w:name w:val="toc 3"/>
    <w:basedOn w:val="Normal"/>
    <w:next w:val="Normal"/>
    <w:autoRedefine/>
    <w:uiPriority w:val="39"/>
    <w:unhideWhenUsed/>
    <w:rsid w:val="005F6A4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273217">
      <w:bodyDiv w:val="1"/>
      <w:marLeft w:val="0"/>
      <w:marRight w:val="0"/>
      <w:marTop w:val="0"/>
      <w:marBottom w:val="0"/>
      <w:divBdr>
        <w:top w:val="none" w:sz="0" w:space="0" w:color="auto"/>
        <w:left w:val="none" w:sz="0" w:space="0" w:color="auto"/>
        <w:bottom w:val="none" w:sz="0" w:space="0" w:color="auto"/>
        <w:right w:val="none" w:sz="0" w:space="0" w:color="auto"/>
      </w:divBdr>
    </w:div>
    <w:div w:id="56206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62407466/27IJAERS-03202032-OnlineMarketing20200318-73054-7ugd59.pdf" TargetMode="External"/><Relationship Id="rId3" Type="http://schemas.openxmlformats.org/officeDocument/2006/relationships/styles" Target="styles.xml"/><Relationship Id="rId7" Type="http://schemas.openxmlformats.org/officeDocument/2006/relationships/hyperlink" Target="https://repositorio.ikiam.edu.ec:8443/jspui/bitstream/RD_IKIAM/205/1/A-IKIAM-00014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gitalcommons.unl.edu/cgi/viewcontent.cgi?article=1252&amp;context=managementfacpub"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nk.springer.com/article/10.1007/s12599-019-00618-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82677-5425-44FE-BE5F-99BBE1DB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2911</Words>
  <Characters>16594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Narcis Gavril</cp:lastModifiedBy>
  <cp:revision>12</cp:revision>
  <dcterms:created xsi:type="dcterms:W3CDTF">2022-04-12T10:38:00Z</dcterms:created>
  <dcterms:modified xsi:type="dcterms:W3CDTF">2022-04-23T12:01:00Z</dcterms:modified>
</cp:coreProperties>
</file>