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897DE" w14:textId="77777777" w:rsidR="009F026B" w:rsidRDefault="00000000">
      <w:pPr>
        <w:spacing w:after="249" w:line="259" w:lineRule="auto"/>
        <w:ind w:left="0" w:firstLine="0"/>
        <w:jc w:val="left"/>
      </w:pPr>
      <w:r>
        <w:rPr>
          <w:b/>
          <w:sz w:val="52"/>
        </w:rPr>
        <w:t xml:space="preserve"> </w:t>
      </w:r>
    </w:p>
    <w:p w14:paraId="63E6E2E5" w14:textId="77777777" w:rsidR="009F026B" w:rsidRDefault="00000000">
      <w:pPr>
        <w:spacing w:after="249" w:line="259" w:lineRule="auto"/>
        <w:ind w:left="0" w:firstLine="0"/>
        <w:jc w:val="left"/>
      </w:pPr>
      <w:r>
        <w:rPr>
          <w:b/>
          <w:sz w:val="52"/>
        </w:rPr>
        <w:t xml:space="preserve"> </w:t>
      </w:r>
    </w:p>
    <w:p w14:paraId="2B9B5913" w14:textId="77777777" w:rsidR="009F026B" w:rsidRDefault="00000000">
      <w:pPr>
        <w:spacing w:after="249" w:line="259" w:lineRule="auto"/>
        <w:ind w:left="0" w:firstLine="0"/>
        <w:jc w:val="left"/>
      </w:pPr>
      <w:r>
        <w:rPr>
          <w:b/>
          <w:sz w:val="52"/>
        </w:rPr>
        <w:t xml:space="preserve"> </w:t>
      </w:r>
    </w:p>
    <w:p w14:paraId="01B50306" w14:textId="77777777" w:rsidR="009F026B" w:rsidRDefault="00000000">
      <w:pPr>
        <w:spacing w:after="244" w:line="259" w:lineRule="auto"/>
        <w:ind w:left="0" w:firstLine="0"/>
        <w:jc w:val="left"/>
      </w:pPr>
      <w:r>
        <w:rPr>
          <w:b/>
          <w:sz w:val="52"/>
        </w:rPr>
        <w:t xml:space="preserve"> </w:t>
      </w:r>
    </w:p>
    <w:p w14:paraId="1841BDD8" w14:textId="77777777" w:rsidR="009F026B" w:rsidRDefault="00000000">
      <w:pPr>
        <w:spacing w:after="244" w:line="259" w:lineRule="auto"/>
        <w:ind w:right="57"/>
        <w:jc w:val="center"/>
      </w:pPr>
      <w:r>
        <w:rPr>
          <w:b/>
          <w:sz w:val="52"/>
        </w:rPr>
        <w:t xml:space="preserve">ACFA7004 </w:t>
      </w:r>
    </w:p>
    <w:p w14:paraId="2D1CD7F2" w14:textId="77777777" w:rsidR="009F026B" w:rsidRDefault="00000000">
      <w:pPr>
        <w:spacing w:after="0" w:line="259" w:lineRule="auto"/>
        <w:ind w:right="57"/>
        <w:jc w:val="center"/>
      </w:pPr>
      <w:r>
        <w:rPr>
          <w:b/>
          <w:sz w:val="52"/>
        </w:rPr>
        <w:t xml:space="preserve">Research Proposal </w:t>
      </w:r>
    </w:p>
    <w:p w14:paraId="46952C8A" w14:textId="77777777" w:rsidR="009F026B" w:rsidRDefault="00000000">
      <w:pPr>
        <w:spacing w:after="318" w:line="259" w:lineRule="auto"/>
        <w:ind w:left="-29" w:firstLine="0"/>
        <w:jc w:val="left"/>
      </w:pPr>
      <w:r>
        <w:rPr>
          <w:rFonts w:ascii="Calibri" w:eastAsia="Calibri" w:hAnsi="Calibri" w:cs="Calibri"/>
          <w:noProof/>
          <w:sz w:val="22"/>
        </w:rPr>
        <mc:AlternateContent>
          <mc:Choice Requires="wpg">
            <w:drawing>
              <wp:inline distT="0" distB="0" distL="0" distR="0" wp14:anchorId="74345062" wp14:editId="15FCA2CF">
                <wp:extent cx="5980176" cy="12192"/>
                <wp:effectExtent l="0" t="0" r="0" b="0"/>
                <wp:docPr id="14494" name="Group 14494"/>
                <wp:cNvGraphicFramePr/>
                <a:graphic xmlns:a="http://schemas.openxmlformats.org/drawingml/2006/main">
                  <a:graphicData uri="http://schemas.microsoft.com/office/word/2010/wordprocessingGroup">
                    <wpg:wgp>
                      <wpg:cNvGrpSpPr/>
                      <wpg:grpSpPr>
                        <a:xfrm>
                          <a:off x="0" y="0"/>
                          <a:ext cx="5980176" cy="12192"/>
                          <a:chOff x="0" y="0"/>
                          <a:chExt cx="5980176" cy="12192"/>
                        </a:xfrm>
                      </wpg:grpSpPr>
                      <wps:wsp>
                        <wps:cNvPr id="17055" name="Shape 17055"/>
                        <wps:cNvSpPr/>
                        <wps:spPr>
                          <a:xfrm>
                            <a:off x="0" y="0"/>
                            <a:ext cx="5980176" cy="12192"/>
                          </a:xfrm>
                          <a:custGeom>
                            <a:avLst/>
                            <a:gdLst/>
                            <a:ahLst/>
                            <a:cxnLst/>
                            <a:rect l="0" t="0" r="0" b="0"/>
                            <a:pathLst>
                              <a:path w="5980176" h="12192">
                                <a:moveTo>
                                  <a:pt x="0" y="0"/>
                                </a:moveTo>
                                <a:lnTo>
                                  <a:pt x="5980176" y="0"/>
                                </a:lnTo>
                                <a:lnTo>
                                  <a:pt x="5980176" y="12192"/>
                                </a:lnTo>
                                <a:lnTo>
                                  <a:pt x="0" y="12192"/>
                                </a:lnTo>
                                <a:lnTo>
                                  <a:pt x="0" y="0"/>
                                </a:lnTo>
                              </a:path>
                            </a:pathLst>
                          </a:custGeom>
                          <a:ln w="0" cap="flat">
                            <a:miter lim="127000"/>
                          </a:ln>
                        </wps:spPr>
                        <wps:style>
                          <a:lnRef idx="0">
                            <a:srgbClr val="000000">
                              <a:alpha val="0"/>
                            </a:srgbClr>
                          </a:lnRef>
                          <a:fillRef idx="1">
                            <a:srgbClr val="4E81BD"/>
                          </a:fillRef>
                          <a:effectRef idx="0">
                            <a:scrgbClr r="0" g="0" b="0"/>
                          </a:effectRef>
                          <a:fontRef idx="none"/>
                        </wps:style>
                        <wps:bodyPr/>
                      </wps:wsp>
                    </wpg:wgp>
                  </a:graphicData>
                </a:graphic>
              </wp:inline>
            </w:drawing>
          </mc:Choice>
          <mc:Fallback xmlns:a="http://schemas.openxmlformats.org/drawingml/2006/main">
            <w:pict>
              <v:group id="Group 14494" style="width:470.88pt;height:0.959991pt;mso-position-horizontal-relative:char;mso-position-vertical-relative:line" coordsize="59801,121">
                <v:shape id="Shape 17056" style="position:absolute;width:59801;height:121;left:0;top:0;" coordsize="5980176,12192" path="m0,0l5980176,0l5980176,12192l0,12192l0,0">
                  <v:stroke weight="0pt" endcap="flat" joinstyle="miter" miterlimit="10" on="false" color="#000000" opacity="0"/>
                  <v:fill on="true" color="#4e81bd"/>
                </v:shape>
              </v:group>
            </w:pict>
          </mc:Fallback>
        </mc:AlternateContent>
      </w:r>
    </w:p>
    <w:p w14:paraId="63DA8ADD" w14:textId="2BEE4ABA" w:rsidR="009F026B" w:rsidRDefault="004D1820">
      <w:pPr>
        <w:spacing w:after="223" w:line="259" w:lineRule="auto"/>
        <w:ind w:left="19" w:firstLine="0"/>
        <w:jc w:val="center"/>
      </w:pPr>
      <w:r>
        <w:rPr>
          <w:b/>
          <w:sz w:val="28"/>
        </w:rPr>
        <w:t>This proposal was a pass!</w:t>
      </w:r>
      <w:r w:rsidR="008B7B26">
        <w:rPr>
          <w:b/>
          <w:sz w:val="28"/>
        </w:rPr>
        <w:t xml:space="preserve"> Minor spelling and grammatical errors </w:t>
      </w:r>
      <w:proofErr w:type="gramStart"/>
      <w:r w:rsidR="008B7B26">
        <w:rPr>
          <w:b/>
          <w:sz w:val="28"/>
        </w:rPr>
        <w:t>within !</w:t>
      </w:r>
      <w:proofErr w:type="gramEnd"/>
      <w:r w:rsidR="008B7B26">
        <w:rPr>
          <w:b/>
          <w:sz w:val="28"/>
        </w:rPr>
        <w:t xml:space="preserve"> Methodology section is essentially nonexistent!</w:t>
      </w:r>
      <w:r w:rsidR="00000000">
        <w:rPr>
          <w:b/>
          <w:sz w:val="28"/>
        </w:rPr>
        <w:t xml:space="preserve"> </w:t>
      </w:r>
    </w:p>
    <w:p w14:paraId="520E2D3B" w14:textId="77777777" w:rsidR="009F026B" w:rsidRDefault="00000000">
      <w:pPr>
        <w:spacing w:after="223" w:line="259" w:lineRule="auto"/>
        <w:ind w:left="19" w:firstLine="0"/>
        <w:jc w:val="center"/>
      </w:pPr>
      <w:r>
        <w:rPr>
          <w:b/>
          <w:sz w:val="28"/>
        </w:rPr>
        <w:t xml:space="preserve"> </w:t>
      </w:r>
    </w:p>
    <w:p w14:paraId="04EA0E53" w14:textId="77777777" w:rsidR="009F026B" w:rsidRDefault="00000000">
      <w:pPr>
        <w:spacing w:after="21" w:line="259" w:lineRule="auto"/>
        <w:ind w:right="440"/>
        <w:jc w:val="right"/>
      </w:pPr>
      <w:r>
        <w:rPr>
          <w:b/>
          <w:sz w:val="28"/>
        </w:rPr>
        <w:t xml:space="preserve">Topic: Analysis of liver disease prediction using machine learning using </w:t>
      </w:r>
    </w:p>
    <w:p w14:paraId="22342A1F" w14:textId="77777777" w:rsidR="009F026B" w:rsidRDefault="00000000">
      <w:pPr>
        <w:tabs>
          <w:tab w:val="center" w:pos="4679"/>
          <w:tab w:val="center" w:pos="8206"/>
        </w:tabs>
        <w:spacing w:after="21" w:line="259" w:lineRule="auto"/>
        <w:ind w:left="0" w:firstLine="0"/>
        <w:jc w:val="left"/>
      </w:pPr>
      <w:r>
        <w:rPr>
          <w:rFonts w:ascii="Calibri" w:eastAsia="Calibri" w:hAnsi="Calibri" w:cs="Calibri"/>
          <w:sz w:val="22"/>
        </w:rPr>
        <w:tab/>
      </w:r>
      <w:r>
        <w:rPr>
          <w:b/>
          <w:sz w:val="28"/>
        </w:rPr>
        <w:t xml:space="preserve">algorithms </w:t>
      </w:r>
      <w:r>
        <w:rPr>
          <w:b/>
          <w:sz w:val="28"/>
        </w:rPr>
        <w:tab/>
        <w:t xml:space="preserve"> </w:t>
      </w:r>
    </w:p>
    <w:sdt>
      <w:sdtPr>
        <w:id w:val="-701166903"/>
        <w:docPartObj>
          <w:docPartGallery w:val="Table of Contents"/>
        </w:docPartObj>
      </w:sdtPr>
      <w:sdtContent>
        <w:p w14:paraId="4640A1EE" w14:textId="77777777" w:rsidR="009F026B" w:rsidRDefault="00000000">
          <w:pPr>
            <w:spacing w:after="0" w:line="259" w:lineRule="auto"/>
            <w:ind w:left="0" w:firstLine="0"/>
            <w:jc w:val="left"/>
          </w:pPr>
          <w:r>
            <w:rPr>
              <w:rFonts w:ascii="Cambria" w:eastAsia="Cambria" w:hAnsi="Cambria" w:cs="Cambria"/>
              <w:color w:val="355E91"/>
              <w:sz w:val="32"/>
            </w:rPr>
            <w:t>Table</w:t>
          </w:r>
          <w:r>
            <w:rPr>
              <w:rFonts w:ascii="Cambria" w:eastAsia="Cambria" w:hAnsi="Cambria" w:cs="Cambria"/>
              <w:color w:val="355E91"/>
              <w:sz w:val="32"/>
            </w:rPr>
            <w:tab/>
            <w:t>of</w:t>
          </w:r>
          <w:r>
            <w:rPr>
              <w:rFonts w:ascii="Cambria" w:eastAsia="Cambria" w:hAnsi="Cambria" w:cs="Cambria"/>
              <w:color w:val="355E91"/>
              <w:sz w:val="32"/>
            </w:rPr>
            <w:tab/>
            <w:t>Contents</w:t>
          </w:r>
          <w:r>
            <w:rPr>
              <w:rFonts w:ascii="Cambria" w:eastAsia="Cambria" w:hAnsi="Cambria" w:cs="Cambria"/>
              <w:color w:val="355E91"/>
              <w:sz w:val="32"/>
            </w:rPr>
            <w:tab/>
          </w:r>
        </w:p>
        <w:p w14:paraId="389109EB" w14:textId="77777777" w:rsidR="009F026B" w:rsidRDefault="00000000">
          <w:pPr>
            <w:pStyle w:val="TOC1"/>
            <w:tabs>
              <w:tab w:val="right" w:leader="dot" w:pos="9410"/>
            </w:tabs>
          </w:pPr>
          <w:r>
            <w:fldChar w:fldCharType="begin"/>
          </w:r>
          <w:r>
            <w:instrText xml:space="preserve"> TOC \o "1-2" \h \z \u </w:instrText>
          </w:r>
          <w:r>
            <w:fldChar w:fldCharType="separate"/>
          </w:r>
          <w:hyperlink w:anchor="_Toc17000">
            <w:r>
              <w:t>1.</w:t>
            </w:r>
            <w:r>
              <w:rPr>
                <w:rFonts w:ascii="Calibri" w:eastAsia="Calibri" w:hAnsi="Calibri" w:cs="Calibri"/>
                <w:sz w:val="22"/>
              </w:rPr>
              <w:t xml:space="preserve">  </w:t>
            </w:r>
            <w:r>
              <w:t>Introduction</w:t>
            </w:r>
            <w:r>
              <w:tab/>
            </w:r>
            <w:r>
              <w:fldChar w:fldCharType="begin"/>
            </w:r>
            <w:r>
              <w:instrText>PAGEREF _Toc17000 \h</w:instrText>
            </w:r>
            <w:r>
              <w:fldChar w:fldCharType="separate"/>
            </w:r>
            <w:r>
              <w:t xml:space="preserve">3 </w:t>
            </w:r>
            <w:r>
              <w:fldChar w:fldCharType="end"/>
            </w:r>
          </w:hyperlink>
        </w:p>
        <w:p w14:paraId="2F3649C6" w14:textId="77777777" w:rsidR="009F026B" w:rsidRDefault="00000000">
          <w:pPr>
            <w:pStyle w:val="TOC2"/>
            <w:tabs>
              <w:tab w:val="right" w:leader="dot" w:pos="9410"/>
            </w:tabs>
          </w:pPr>
          <w:hyperlink w:anchor="_Toc17001">
            <w:r>
              <w:t>1.1</w:t>
            </w:r>
            <w:r>
              <w:rPr>
                <w:rFonts w:ascii="Calibri" w:eastAsia="Calibri" w:hAnsi="Calibri" w:cs="Calibri"/>
                <w:sz w:val="22"/>
              </w:rPr>
              <w:t xml:space="preserve">  </w:t>
            </w:r>
            <w:r>
              <w:t>Background</w:t>
            </w:r>
            <w:r>
              <w:tab/>
            </w:r>
            <w:r>
              <w:fldChar w:fldCharType="begin"/>
            </w:r>
            <w:r>
              <w:instrText>PAGEREF _Toc17001 \h</w:instrText>
            </w:r>
            <w:r>
              <w:fldChar w:fldCharType="separate"/>
            </w:r>
            <w:r>
              <w:t xml:space="preserve">3 </w:t>
            </w:r>
            <w:r>
              <w:fldChar w:fldCharType="end"/>
            </w:r>
          </w:hyperlink>
        </w:p>
        <w:p w14:paraId="50B8FCC2" w14:textId="77777777" w:rsidR="009F026B" w:rsidRDefault="00000000">
          <w:pPr>
            <w:pStyle w:val="TOC2"/>
            <w:tabs>
              <w:tab w:val="right" w:leader="dot" w:pos="9410"/>
            </w:tabs>
          </w:pPr>
          <w:hyperlink w:anchor="_Toc17002">
            <w:r>
              <w:t>1.2</w:t>
            </w:r>
            <w:r>
              <w:rPr>
                <w:rFonts w:ascii="Calibri" w:eastAsia="Calibri" w:hAnsi="Calibri" w:cs="Calibri"/>
                <w:sz w:val="22"/>
              </w:rPr>
              <w:t xml:space="preserve">  </w:t>
            </w:r>
            <w:r>
              <w:t>Problem statement</w:t>
            </w:r>
            <w:r>
              <w:tab/>
            </w:r>
            <w:r>
              <w:fldChar w:fldCharType="begin"/>
            </w:r>
            <w:r>
              <w:instrText>PAGEREF _Toc17002 \h</w:instrText>
            </w:r>
            <w:r>
              <w:fldChar w:fldCharType="separate"/>
            </w:r>
            <w:r>
              <w:t xml:space="preserve">4 </w:t>
            </w:r>
            <w:r>
              <w:fldChar w:fldCharType="end"/>
            </w:r>
          </w:hyperlink>
        </w:p>
        <w:p w14:paraId="63C5716C" w14:textId="77777777" w:rsidR="009F026B" w:rsidRDefault="00000000">
          <w:pPr>
            <w:pStyle w:val="TOC2"/>
            <w:tabs>
              <w:tab w:val="right" w:leader="dot" w:pos="9410"/>
            </w:tabs>
          </w:pPr>
          <w:hyperlink w:anchor="_Toc17003">
            <w:r>
              <w:t>1.3</w:t>
            </w:r>
            <w:r>
              <w:rPr>
                <w:rFonts w:ascii="Calibri" w:eastAsia="Calibri" w:hAnsi="Calibri" w:cs="Calibri"/>
                <w:sz w:val="22"/>
              </w:rPr>
              <w:t xml:space="preserve">  </w:t>
            </w:r>
            <w:r>
              <w:t>Research rationale</w:t>
            </w:r>
            <w:r>
              <w:tab/>
            </w:r>
            <w:r>
              <w:fldChar w:fldCharType="begin"/>
            </w:r>
            <w:r>
              <w:instrText>PAGEREF _Toc17003 \h</w:instrText>
            </w:r>
            <w:r>
              <w:fldChar w:fldCharType="separate"/>
            </w:r>
            <w:r>
              <w:t xml:space="preserve">4 </w:t>
            </w:r>
            <w:r>
              <w:fldChar w:fldCharType="end"/>
            </w:r>
          </w:hyperlink>
        </w:p>
        <w:p w14:paraId="289D18FF" w14:textId="77777777" w:rsidR="009F026B" w:rsidRDefault="00000000">
          <w:pPr>
            <w:pStyle w:val="TOC2"/>
            <w:tabs>
              <w:tab w:val="right" w:leader="dot" w:pos="9410"/>
            </w:tabs>
          </w:pPr>
          <w:hyperlink w:anchor="_Toc17004">
            <w:r>
              <w:t>1.4</w:t>
            </w:r>
            <w:r>
              <w:rPr>
                <w:rFonts w:ascii="Calibri" w:eastAsia="Calibri" w:hAnsi="Calibri" w:cs="Calibri"/>
                <w:sz w:val="22"/>
              </w:rPr>
              <w:t xml:space="preserve">  </w:t>
            </w:r>
            <w:r>
              <w:t>Research Aim</w:t>
            </w:r>
            <w:r>
              <w:tab/>
            </w:r>
            <w:r>
              <w:fldChar w:fldCharType="begin"/>
            </w:r>
            <w:r>
              <w:instrText>PAGEREF _Toc17004 \h</w:instrText>
            </w:r>
            <w:r>
              <w:fldChar w:fldCharType="separate"/>
            </w:r>
            <w:r>
              <w:t xml:space="preserve">5 </w:t>
            </w:r>
            <w:r>
              <w:fldChar w:fldCharType="end"/>
            </w:r>
          </w:hyperlink>
        </w:p>
        <w:p w14:paraId="2DD4C388" w14:textId="77777777" w:rsidR="009F026B" w:rsidRDefault="00000000">
          <w:pPr>
            <w:pStyle w:val="TOC2"/>
            <w:tabs>
              <w:tab w:val="right" w:leader="dot" w:pos="9410"/>
            </w:tabs>
          </w:pPr>
          <w:hyperlink w:anchor="_Toc17005">
            <w:r>
              <w:t>1.5     Research Objective</w:t>
            </w:r>
            <w:r>
              <w:tab/>
            </w:r>
            <w:r>
              <w:fldChar w:fldCharType="begin"/>
            </w:r>
            <w:r>
              <w:instrText>PAGEREF _Toc17005 \h</w:instrText>
            </w:r>
            <w:r>
              <w:fldChar w:fldCharType="separate"/>
            </w:r>
            <w:r>
              <w:t xml:space="preserve">5 </w:t>
            </w:r>
            <w:r>
              <w:fldChar w:fldCharType="end"/>
            </w:r>
          </w:hyperlink>
        </w:p>
        <w:p w14:paraId="565E0A87" w14:textId="77777777" w:rsidR="009F026B" w:rsidRDefault="00000000">
          <w:pPr>
            <w:pStyle w:val="TOC2"/>
            <w:tabs>
              <w:tab w:val="right" w:leader="dot" w:pos="9410"/>
            </w:tabs>
          </w:pPr>
          <w:hyperlink w:anchor="_Toc17006">
            <w:r>
              <w:t>1.6</w:t>
            </w:r>
            <w:r>
              <w:rPr>
                <w:rFonts w:ascii="Calibri" w:eastAsia="Calibri" w:hAnsi="Calibri" w:cs="Calibri"/>
                <w:sz w:val="22"/>
              </w:rPr>
              <w:t xml:space="preserve">  </w:t>
            </w:r>
            <w:r>
              <w:t>Research significance</w:t>
            </w:r>
            <w:r>
              <w:tab/>
            </w:r>
            <w:r>
              <w:fldChar w:fldCharType="begin"/>
            </w:r>
            <w:r>
              <w:instrText>PAGEREF _Toc17006 \h</w:instrText>
            </w:r>
            <w:r>
              <w:fldChar w:fldCharType="separate"/>
            </w:r>
            <w:r>
              <w:t xml:space="preserve">6 </w:t>
            </w:r>
            <w:r>
              <w:fldChar w:fldCharType="end"/>
            </w:r>
          </w:hyperlink>
        </w:p>
        <w:p w14:paraId="70C6B9E0" w14:textId="77777777" w:rsidR="009F026B" w:rsidRDefault="00000000">
          <w:pPr>
            <w:pStyle w:val="TOC1"/>
            <w:tabs>
              <w:tab w:val="right" w:leader="dot" w:pos="9410"/>
            </w:tabs>
          </w:pPr>
          <w:hyperlink w:anchor="_Toc17007">
            <w:r>
              <w:t>2</w:t>
            </w:r>
            <w:r>
              <w:rPr>
                <w:rFonts w:ascii="Calibri" w:eastAsia="Calibri" w:hAnsi="Calibri" w:cs="Calibri"/>
                <w:sz w:val="22"/>
              </w:rPr>
              <w:t xml:space="preserve">  </w:t>
            </w:r>
            <w:r>
              <w:t>Literature review</w:t>
            </w:r>
            <w:r>
              <w:tab/>
            </w:r>
            <w:r>
              <w:fldChar w:fldCharType="begin"/>
            </w:r>
            <w:r>
              <w:instrText>PAGEREF _Toc17007 \h</w:instrText>
            </w:r>
            <w:r>
              <w:fldChar w:fldCharType="separate"/>
            </w:r>
            <w:r>
              <w:t xml:space="preserve">7 </w:t>
            </w:r>
            <w:r>
              <w:fldChar w:fldCharType="end"/>
            </w:r>
          </w:hyperlink>
        </w:p>
        <w:p w14:paraId="12D5C89A" w14:textId="77777777" w:rsidR="009F026B" w:rsidRDefault="00000000">
          <w:pPr>
            <w:pStyle w:val="TOC2"/>
            <w:tabs>
              <w:tab w:val="right" w:leader="dot" w:pos="9410"/>
            </w:tabs>
          </w:pPr>
          <w:hyperlink w:anchor="_Toc17008">
            <w:r>
              <w:t>Datasets are randomly divided and randomized</w:t>
            </w:r>
            <w:r>
              <w:tab/>
            </w:r>
            <w:r>
              <w:fldChar w:fldCharType="begin"/>
            </w:r>
            <w:r>
              <w:instrText>PAGEREF _Toc17008 \h</w:instrText>
            </w:r>
            <w:r>
              <w:fldChar w:fldCharType="separate"/>
            </w:r>
            <w:r>
              <w:t xml:space="preserve">9 </w:t>
            </w:r>
            <w:r>
              <w:fldChar w:fldCharType="end"/>
            </w:r>
          </w:hyperlink>
        </w:p>
        <w:p w14:paraId="2E7D8A19" w14:textId="77777777" w:rsidR="009F026B" w:rsidRDefault="00000000">
          <w:pPr>
            <w:pStyle w:val="TOC2"/>
            <w:tabs>
              <w:tab w:val="right" w:leader="dot" w:pos="9410"/>
            </w:tabs>
          </w:pPr>
          <w:hyperlink w:anchor="_Toc17009">
            <w:r>
              <w:t>Selection of features for pre-processing and finalization</w:t>
            </w:r>
            <w:r>
              <w:tab/>
            </w:r>
            <w:r>
              <w:fldChar w:fldCharType="begin"/>
            </w:r>
            <w:r>
              <w:instrText>PAGEREF _Toc17009 \h</w:instrText>
            </w:r>
            <w:r>
              <w:fldChar w:fldCharType="separate"/>
            </w:r>
            <w:r>
              <w:t xml:space="preserve">9 </w:t>
            </w:r>
            <w:r>
              <w:fldChar w:fldCharType="end"/>
            </w:r>
          </w:hyperlink>
        </w:p>
        <w:p w14:paraId="2127A5DE" w14:textId="77777777" w:rsidR="009F026B" w:rsidRDefault="00000000">
          <w:pPr>
            <w:pStyle w:val="TOC2"/>
            <w:tabs>
              <w:tab w:val="right" w:leader="dot" w:pos="9410"/>
            </w:tabs>
          </w:pPr>
          <w:hyperlink w:anchor="_Toc17010">
            <w:r>
              <w:t>Compilation of Information</w:t>
            </w:r>
            <w:r>
              <w:tab/>
            </w:r>
            <w:r>
              <w:fldChar w:fldCharType="begin"/>
            </w:r>
            <w:r>
              <w:instrText>PAGEREF _Toc17010 \h</w:instrText>
            </w:r>
            <w:r>
              <w:fldChar w:fldCharType="separate"/>
            </w:r>
            <w:r>
              <w:t xml:space="preserve">9 </w:t>
            </w:r>
            <w:r>
              <w:fldChar w:fldCharType="end"/>
            </w:r>
          </w:hyperlink>
        </w:p>
        <w:p w14:paraId="091305C0" w14:textId="77777777" w:rsidR="009F026B" w:rsidRDefault="00000000">
          <w:pPr>
            <w:pStyle w:val="TOC2"/>
            <w:tabs>
              <w:tab w:val="right" w:leader="dot" w:pos="9410"/>
            </w:tabs>
          </w:pPr>
          <w:hyperlink w:anchor="_Toc17011">
            <w:r>
              <w:t>Algorithms for classification</w:t>
            </w:r>
            <w:r>
              <w:tab/>
            </w:r>
            <w:r>
              <w:fldChar w:fldCharType="begin"/>
            </w:r>
            <w:r>
              <w:instrText>PAGEREF _Toc17011 \h</w:instrText>
            </w:r>
            <w:r>
              <w:fldChar w:fldCharType="separate"/>
            </w:r>
            <w:r>
              <w:t xml:space="preserve">9 </w:t>
            </w:r>
            <w:r>
              <w:fldChar w:fldCharType="end"/>
            </w:r>
          </w:hyperlink>
        </w:p>
        <w:p w14:paraId="39D050E5" w14:textId="77777777" w:rsidR="009F026B" w:rsidRDefault="00000000">
          <w:pPr>
            <w:pStyle w:val="TOC2"/>
            <w:tabs>
              <w:tab w:val="right" w:leader="dot" w:pos="9410"/>
            </w:tabs>
          </w:pPr>
          <w:hyperlink w:anchor="_Toc17012">
            <w:r>
              <w:t>Decision Tree:</w:t>
            </w:r>
            <w:r>
              <w:tab/>
            </w:r>
            <w:r>
              <w:fldChar w:fldCharType="begin"/>
            </w:r>
            <w:r>
              <w:instrText>PAGEREF _Toc17012 \h</w:instrText>
            </w:r>
            <w:r>
              <w:fldChar w:fldCharType="separate"/>
            </w:r>
            <w:r>
              <w:t xml:space="preserve">10 </w:t>
            </w:r>
            <w:r>
              <w:fldChar w:fldCharType="end"/>
            </w:r>
          </w:hyperlink>
        </w:p>
        <w:p w14:paraId="07BC393C" w14:textId="77777777" w:rsidR="009F026B" w:rsidRDefault="00000000">
          <w:pPr>
            <w:pStyle w:val="TOC1"/>
            <w:tabs>
              <w:tab w:val="right" w:leader="dot" w:pos="9410"/>
            </w:tabs>
          </w:pPr>
          <w:hyperlink w:anchor="_Toc17013">
            <w:r>
              <w:t>3</w:t>
            </w:r>
            <w:r>
              <w:rPr>
                <w:rFonts w:ascii="Calibri" w:eastAsia="Calibri" w:hAnsi="Calibri" w:cs="Calibri"/>
                <w:sz w:val="22"/>
              </w:rPr>
              <w:t xml:space="preserve">  </w:t>
            </w:r>
            <w:r>
              <w:t>Evaluation</w:t>
            </w:r>
            <w:r>
              <w:tab/>
            </w:r>
            <w:r>
              <w:fldChar w:fldCharType="begin"/>
            </w:r>
            <w:r>
              <w:instrText>PAGEREF _Toc17013 \h</w:instrText>
            </w:r>
            <w:r>
              <w:fldChar w:fldCharType="separate"/>
            </w:r>
            <w:r>
              <w:t xml:space="preserve">13 </w:t>
            </w:r>
            <w:r>
              <w:fldChar w:fldCharType="end"/>
            </w:r>
          </w:hyperlink>
        </w:p>
        <w:p w14:paraId="5AEC76AE" w14:textId="77777777" w:rsidR="009F026B" w:rsidRDefault="00000000">
          <w:pPr>
            <w:pStyle w:val="TOC2"/>
            <w:tabs>
              <w:tab w:val="right" w:leader="dot" w:pos="9410"/>
            </w:tabs>
          </w:pPr>
          <w:hyperlink w:anchor="_Toc17014">
            <w:r>
              <w:t>3.1</w:t>
            </w:r>
            <w:r>
              <w:rPr>
                <w:rFonts w:ascii="Calibri" w:eastAsia="Calibri" w:hAnsi="Calibri" w:cs="Calibri"/>
                <w:sz w:val="22"/>
              </w:rPr>
              <w:t xml:space="preserve">  </w:t>
            </w:r>
            <w:r>
              <w:t>Analysis</w:t>
            </w:r>
            <w:r>
              <w:tab/>
            </w:r>
            <w:r>
              <w:fldChar w:fldCharType="begin"/>
            </w:r>
            <w:r>
              <w:instrText>PAGEREF _Toc17014 \h</w:instrText>
            </w:r>
            <w:r>
              <w:fldChar w:fldCharType="separate"/>
            </w:r>
            <w:r>
              <w:t xml:space="preserve">14 </w:t>
            </w:r>
            <w:r>
              <w:fldChar w:fldCharType="end"/>
            </w:r>
          </w:hyperlink>
        </w:p>
        <w:p w14:paraId="3C91E0C8" w14:textId="77777777" w:rsidR="009F026B" w:rsidRDefault="00000000">
          <w:pPr>
            <w:pStyle w:val="TOC1"/>
            <w:tabs>
              <w:tab w:val="right" w:leader="dot" w:pos="9410"/>
            </w:tabs>
          </w:pPr>
          <w:hyperlink w:anchor="_Toc17015">
            <w:r>
              <w:t>4</w:t>
            </w:r>
            <w:r>
              <w:rPr>
                <w:rFonts w:ascii="Calibri" w:eastAsia="Calibri" w:hAnsi="Calibri" w:cs="Calibri"/>
                <w:sz w:val="22"/>
              </w:rPr>
              <w:t xml:space="preserve"> </w:t>
            </w:r>
            <w:r>
              <w:t>References</w:t>
            </w:r>
            <w:r>
              <w:tab/>
            </w:r>
            <w:r>
              <w:fldChar w:fldCharType="begin"/>
            </w:r>
            <w:r>
              <w:instrText>PAGEREF _Toc17015 \h</w:instrText>
            </w:r>
            <w:r>
              <w:fldChar w:fldCharType="separate"/>
            </w:r>
            <w:r>
              <w:t xml:space="preserve">18 </w:t>
            </w:r>
            <w:r>
              <w:fldChar w:fldCharType="end"/>
            </w:r>
          </w:hyperlink>
        </w:p>
        <w:p w14:paraId="43691DE4" w14:textId="77777777" w:rsidR="009F026B" w:rsidRDefault="00000000">
          <w:r>
            <w:fldChar w:fldCharType="end"/>
          </w:r>
        </w:p>
      </w:sdtContent>
    </w:sdt>
    <w:p w14:paraId="32AC8760" w14:textId="77777777" w:rsidR="009F026B" w:rsidRDefault="00000000">
      <w:pPr>
        <w:spacing w:after="138" w:line="367" w:lineRule="auto"/>
        <w:ind w:left="-5" w:right="36"/>
      </w:pPr>
      <w:r>
        <w:t xml:space="preserve"> </w:t>
      </w:r>
    </w:p>
    <w:p w14:paraId="1FD235A9" w14:textId="77777777" w:rsidR="009F026B" w:rsidRDefault="00000000">
      <w:pPr>
        <w:spacing w:after="0" w:line="259" w:lineRule="auto"/>
        <w:ind w:left="0" w:firstLine="0"/>
        <w:jc w:val="left"/>
      </w:pPr>
      <w:r>
        <w:t xml:space="preserve"> </w:t>
      </w:r>
      <w:r>
        <w:tab/>
      </w:r>
      <w:r>
        <w:rPr>
          <w:b/>
          <w:sz w:val="28"/>
        </w:rPr>
        <w:t xml:space="preserve"> </w:t>
      </w:r>
    </w:p>
    <w:p w14:paraId="5E614851" w14:textId="77777777" w:rsidR="009F026B" w:rsidRDefault="00000000">
      <w:pPr>
        <w:pStyle w:val="Heading1"/>
        <w:ind w:left="-5" w:right="0"/>
      </w:pPr>
      <w:bookmarkStart w:id="0" w:name="_Toc17000"/>
      <w:r>
        <w:t>1.</w:t>
      </w:r>
      <w:r>
        <w:rPr>
          <w:rFonts w:ascii="Arial" w:eastAsia="Arial" w:hAnsi="Arial" w:cs="Arial"/>
        </w:rPr>
        <w:t xml:space="preserve"> </w:t>
      </w:r>
      <w:r>
        <w:t xml:space="preserve">Introduction </w:t>
      </w:r>
      <w:bookmarkEnd w:id="0"/>
    </w:p>
    <w:p w14:paraId="552046E8" w14:textId="77777777" w:rsidR="009F026B" w:rsidRDefault="00000000">
      <w:pPr>
        <w:ind w:left="-5" w:right="36"/>
      </w:pPr>
      <w:r>
        <w:t xml:space="preserve">The liver is a massive and critically important component in the human anatomy. Measuring around three pounds. The liver is divided into two large sections, which are referred to as the privilege and left projections. The liver is a vital organ in the human body, performing several activities such as the disintegration of red blood cells and other metabolic processes. This huge organ is positioned in the right upper portion of our belly, where it is the biggest of our bodily organs. The gallbladder is located underneath the liver and adjacent sections of the pancreas, as well as stomach-related structures. The liver and various organs work together to digest, ingest, and process nutrition in a coordinated manner. </w:t>
      </w:r>
    </w:p>
    <w:p w14:paraId="524D194F" w14:textId="77777777" w:rsidR="009F026B" w:rsidRDefault="00000000">
      <w:pPr>
        <w:ind w:left="-5" w:right="36"/>
      </w:pPr>
      <w:r>
        <w:t xml:space="preserve">The increasing prevalence of sedentary lifestyles and a lack of physical activity have resulted in liver ailments being more prevalent </w:t>
      </w:r>
      <w:proofErr w:type="gramStart"/>
      <w:r>
        <w:t>in today's society</w:t>
      </w:r>
      <w:proofErr w:type="gramEnd"/>
      <w:r>
        <w:t xml:space="preserve">. However, liver illness is becoming more widespread in urban regions, particularly in metropolitan areas, </w:t>
      </w:r>
      <w:proofErr w:type="gramStart"/>
      <w:r>
        <w:t>despite the fact that</w:t>
      </w:r>
      <w:proofErr w:type="gramEnd"/>
      <w:r>
        <w:t xml:space="preserve"> the severity has been kept under control in rural areas. </w:t>
      </w:r>
    </w:p>
    <w:p w14:paraId="72D0BC2B" w14:textId="77777777" w:rsidR="009F026B" w:rsidRDefault="00000000">
      <w:pPr>
        <w:ind w:left="-5" w:right="36"/>
      </w:pPr>
      <w:r>
        <w:t xml:space="preserve">The liver's most important function is to channel harmful compounds in the bloodstream beginning with the stomach linked framework and passing them on to the rest of the body, as indicated by WebMD. There is currently no known way to compensate for the absence of liver capacity over the long term, however liver dialysis treatments may be used to temporarily compensate. Artificial livers have not yet been developed to allow for long-term liver replacement without the need for liver transplantation. As of 2017, hepatic transplant is the primary treatment option for those who have had severe liver failure. </w:t>
      </w:r>
    </w:p>
    <w:p w14:paraId="4CCFC0F8" w14:textId="77777777" w:rsidR="009F026B" w:rsidRDefault="00000000">
      <w:pPr>
        <w:ind w:left="-5" w:right="36"/>
      </w:pPr>
      <w:r>
        <w:t xml:space="preserve">A severe liver disease is caused by the hepatitis B virus (HBV), the hepatitis C virus, and the hepatitis delta virus, which are all chronic diseases. The most fundamental distinction between acute and chronic liver disease is that the former is more severe. Acute hepatic illness is defined as having a duration of less than six months and a background of the illness that does not surpass six months. For the most part, instances of acute liver illness are caused by viral hepatitis or by medication responses. </w:t>
      </w:r>
    </w:p>
    <w:p w14:paraId="592AD3F7" w14:textId="77777777" w:rsidR="009F026B" w:rsidRDefault="00000000">
      <w:pPr>
        <w:pStyle w:val="Heading2"/>
        <w:ind w:left="-5"/>
      </w:pPr>
      <w:bookmarkStart w:id="1" w:name="_Toc17001"/>
      <w:r>
        <w:t>1.1</w:t>
      </w:r>
      <w:r>
        <w:rPr>
          <w:rFonts w:ascii="Arial" w:eastAsia="Arial" w:hAnsi="Arial" w:cs="Arial"/>
        </w:rPr>
        <w:t xml:space="preserve"> </w:t>
      </w:r>
      <w:r>
        <w:t xml:space="preserve">Background </w:t>
      </w:r>
      <w:bookmarkEnd w:id="1"/>
    </w:p>
    <w:p w14:paraId="5B129DD2" w14:textId="77777777" w:rsidR="009F026B" w:rsidRDefault="00000000">
      <w:pPr>
        <w:spacing w:after="247"/>
        <w:ind w:left="-5" w:right="36"/>
      </w:pPr>
      <w:r>
        <w:t xml:space="preserve">This study makes use of a sample from the University of California, Irvine Deep Learning Archive. This collection contains data from 583 liver patients, with 75.64 percent of the patients being male and 24.36 percent being female. This database contains 11 specific variables, of which we have </w:t>
      </w:r>
      <w:r>
        <w:lastRenderedPageBreak/>
        <w:t xml:space="preserve">chosen 10 for further research and one for inclusion in a targeted category in our study. Examples include, for example, </w:t>
      </w:r>
    </w:p>
    <w:p w14:paraId="743D5B20" w14:textId="77777777" w:rsidR="009F026B" w:rsidRDefault="00000000">
      <w:pPr>
        <w:numPr>
          <w:ilvl w:val="0"/>
          <w:numId w:val="1"/>
        </w:numPr>
        <w:spacing w:after="9"/>
        <w:ind w:right="36" w:hanging="360"/>
      </w:pPr>
      <w:r>
        <w:t xml:space="preserve">Patient's age is indicated by the word "patient." </w:t>
      </w:r>
    </w:p>
    <w:p w14:paraId="70DDD2A8" w14:textId="77777777" w:rsidR="009F026B" w:rsidRDefault="00000000">
      <w:pPr>
        <w:numPr>
          <w:ilvl w:val="0"/>
          <w:numId w:val="1"/>
        </w:numPr>
        <w:spacing w:after="9"/>
        <w:ind w:right="36" w:hanging="360"/>
      </w:pPr>
      <w:r>
        <w:t xml:space="preserve">Gender: The gender of the individuals who are being treated. </w:t>
      </w:r>
    </w:p>
    <w:p w14:paraId="08E776F0" w14:textId="77777777" w:rsidR="009F026B" w:rsidRDefault="00000000">
      <w:pPr>
        <w:numPr>
          <w:ilvl w:val="0"/>
          <w:numId w:val="1"/>
        </w:numPr>
        <w:spacing w:after="4"/>
        <w:ind w:right="36" w:hanging="360"/>
      </w:pPr>
      <w:r>
        <w:t xml:space="preserve">TB stands for Total Bilirubin. </w:t>
      </w:r>
    </w:p>
    <w:p w14:paraId="32CA8B10" w14:textId="77777777" w:rsidR="009F026B" w:rsidRDefault="00000000">
      <w:pPr>
        <w:numPr>
          <w:ilvl w:val="0"/>
          <w:numId w:val="1"/>
        </w:numPr>
        <w:spacing w:after="9"/>
        <w:ind w:right="36" w:hanging="360"/>
      </w:pPr>
      <w:r>
        <w:t xml:space="preserve">DB stands for Direct Bilirubin. </w:t>
      </w:r>
    </w:p>
    <w:p w14:paraId="1F45AF4B" w14:textId="77777777" w:rsidR="009F026B" w:rsidRDefault="00000000">
      <w:pPr>
        <w:numPr>
          <w:ilvl w:val="0"/>
          <w:numId w:val="1"/>
        </w:numPr>
        <w:ind w:right="36" w:hanging="360"/>
      </w:pPr>
      <w:proofErr w:type="spellStart"/>
      <w:r>
        <w:t>Alkphos</w:t>
      </w:r>
      <w:proofErr w:type="spellEnd"/>
      <w:r>
        <w:t xml:space="preserve"> is a Greek word meaning "alkaline." </w:t>
      </w:r>
      <w:proofErr w:type="spellStart"/>
      <w:r>
        <w:t>Phosphotase</w:t>
      </w:r>
      <w:proofErr w:type="spellEnd"/>
      <w:r>
        <w:t xml:space="preserve"> </w:t>
      </w:r>
    </w:p>
    <w:p w14:paraId="4F6298DA" w14:textId="77777777" w:rsidR="009F026B" w:rsidRDefault="00000000">
      <w:pPr>
        <w:numPr>
          <w:ilvl w:val="0"/>
          <w:numId w:val="1"/>
        </w:numPr>
        <w:spacing w:after="9"/>
        <w:ind w:right="36" w:hanging="360"/>
      </w:pPr>
      <w:proofErr w:type="spellStart"/>
      <w:r>
        <w:t>Sgpt</w:t>
      </w:r>
      <w:proofErr w:type="spellEnd"/>
      <w:r>
        <w:t xml:space="preserve"> is an abbreviation for </w:t>
      </w:r>
      <w:proofErr w:type="spellStart"/>
      <w:r>
        <w:t>Alamine</w:t>
      </w:r>
      <w:proofErr w:type="spellEnd"/>
      <w:r>
        <w:t xml:space="preserve"> Aminotransferase. </w:t>
      </w:r>
    </w:p>
    <w:p w14:paraId="148EBD69" w14:textId="77777777" w:rsidR="009F026B" w:rsidRDefault="00000000">
      <w:pPr>
        <w:numPr>
          <w:ilvl w:val="0"/>
          <w:numId w:val="1"/>
        </w:numPr>
        <w:spacing w:after="6"/>
        <w:ind w:right="36" w:hanging="360"/>
      </w:pPr>
      <w:r>
        <w:t xml:space="preserve">Aspartate is a slang term for asparagus. Aminotransferase </w:t>
      </w:r>
      <w:r>
        <w:rPr>
          <w:rFonts w:ascii="Segoe UI Symbol" w:eastAsia="Segoe UI Symbol" w:hAnsi="Segoe UI Symbol" w:cs="Segoe UI Symbol"/>
        </w:rPr>
        <w:t>•</w:t>
      </w:r>
      <w:r>
        <w:rPr>
          <w:rFonts w:ascii="Arial" w:eastAsia="Arial" w:hAnsi="Arial" w:cs="Arial"/>
        </w:rPr>
        <w:t xml:space="preserve"> </w:t>
      </w:r>
      <w:r>
        <w:t xml:space="preserve">TP stands for Total Proteins. </w:t>
      </w:r>
    </w:p>
    <w:p w14:paraId="4305334B" w14:textId="77777777" w:rsidR="009F026B" w:rsidRDefault="00000000">
      <w:pPr>
        <w:numPr>
          <w:ilvl w:val="0"/>
          <w:numId w:val="1"/>
        </w:numPr>
        <w:spacing w:after="45"/>
        <w:ind w:right="36" w:hanging="360"/>
      </w:pPr>
      <w:r>
        <w:t xml:space="preserve">Albumin AG is an abbreviation for Albumin AG. Albumin to Globulin Ratio: Albumin to Globulin Ratio </w:t>
      </w:r>
    </w:p>
    <w:p w14:paraId="398DAF65" w14:textId="77777777" w:rsidR="009F026B" w:rsidRDefault="00000000">
      <w:pPr>
        <w:numPr>
          <w:ilvl w:val="0"/>
          <w:numId w:val="1"/>
        </w:numPr>
        <w:spacing w:after="168"/>
        <w:ind w:right="36" w:hanging="360"/>
      </w:pPr>
      <w:r>
        <w:t xml:space="preserve">The selector field was utilized to divide the data into two groups. </w:t>
      </w:r>
    </w:p>
    <w:p w14:paraId="0B8E85CB" w14:textId="77777777" w:rsidR="009F026B" w:rsidRDefault="00000000">
      <w:pPr>
        <w:pStyle w:val="Heading2"/>
        <w:ind w:left="-5"/>
      </w:pPr>
      <w:bookmarkStart w:id="2" w:name="_Toc17002"/>
      <w:r>
        <w:t>1.2</w:t>
      </w:r>
      <w:r>
        <w:rPr>
          <w:rFonts w:ascii="Arial" w:eastAsia="Arial" w:hAnsi="Arial" w:cs="Arial"/>
        </w:rPr>
        <w:t xml:space="preserve"> </w:t>
      </w:r>
      <w:r>
        <w:t xml:space="preserve">Problem statement </w:t>
      </w:r>
      <w:bookmarkEnd w:id="2"/>
    </w:p>
    <w:p w14:paraId="75AF76E3" w14:textId="77777777" w:rsidR="009F026B" w:rsidRDefault="00000000">
      <w:pPr>
        <w:ind w:left="-5" w:right="36"/>
      </w:pPr>
      <w:r>
        <w:t xml:space="preserve">Unsupervised machine learning, as opposed to supervised learning, consists merely of grouping, when patterns are not labelled. With the aid of these uncontrolled computations, researchers hope to uncover a previously unknown but ultimately beneficial type of item. Grouping is a term used to describe uncontrolled </w:t>
      </w:r>
      <w:proofErr w:type="gramStart"/>
      <w:r>
        <w:t>development in particular</w:t>
      </w:r>
      <w:proofErr w:type="gramEnd"/>
      <w:r>
        <w:t xml:space="preserve">. Clustering is ubiquitous, and an excess of clumping has been developed to address a wide range of challenges in a wide range of specific disciplines (Mohanty, et al., 2021). There is no classification method that can be utilized everywhere to ensure everything is comparable in any situation. According to the author, "it has been quite difficult to put together a cohesive framework for understanding about that now (churning) at a specialized level; moreover, there are fundamentally various approaches to dealing with grouping." According to AK Jain, grouping approaches are classified into five categories: </w:t>
      </w:r>
      <w:proofErr w:type="spellStart"/>
      <w:r>
        <w:t>parceling</w:t>
      </w:r>
      <w:proofErr w:type="spellEnd"/>
      <w:r>
        <w:t xml:space="preserve">, multiple tiered tactics, concentration approaches, grid-based techniques, and prototype techniques. </w:t>
      </w:r>
    </w:p>
    <w:p w14:paraId="6770E0DE" w14:textId="77777777" w:rsidR="009F026B" w:rsidRDefault="00000000">
      <w:pPr>
        <w:pStyle w:val="Heading2"/>
        <w:ind w:left="-5"/>
      </w:pPr>
      <w:bookmarkStart w:id="3" w:name="_Toc17003"/>
      <w:r>
        <w:t>1.3</w:t>
      </w:r>
      <w:r>
        <w:rPr>
          <w:rFonts w:ascii="Arial" w:eastAsia="Arial" w:hAnsi="Arial" w:cs="Arial"/>
        </w:rPr>
        <w:t xml:space="preserve"> </w:t>
      </w:r>
      <w:r>
        <w:t xml:space="preserve">Research rationale </w:t>
      </w:r>
      <w:bookmarkEnd w:id="3"/>
    </w:p>
    <w:p w14:paraId="706F8EF8" w14:textId="77777777" w:rsidR="009F026B" w:rsidRDefault="00000000">
      <w:pPr>
        <w:ind w:left="-5" w:right="36"/>
      </w:pPr>
      <w:r>
        <w:t xml:space="preserve">The use of machine learning to classify liver diseases is not a novel development field. Scientists have written </w:t>
      </w:r>
      <w:proofErr w:type="gramStart"/>
      <w:r>
        <w:t>a large number of</w:t>
      </w:r>
      <w:proofErr w:type="gramEnd"/>
      <w:r>
        <w:t xml:space="preserve"> excellent articles on the subject. The terms we selected included things like cognitive computing for liver disease identification, surface assessment, imaging techniques, and computer-aided diagnostics, among other things (Asrani, et al., 2013). We discovered early study work on the issue that used restricted datasets and methodology, which we found to be disappointing. </w:t>
      </w:r>
      <w:proofErr w:type="gramStart"/>
      <w:r>
        <w:t>The majority of</w:t>
      </w:r>
      <w:proofErr w:type="gramEnd"/>
      <w:r>
        <w:t xml:space="preserve"> such statistics are likewise not accessible to the general public. We thus created our own sample, comprising of approximately 500 CT scans, which serves as the primary addition of this research to the scientific community.  </w:t>
      </w:r>
    </w:p>
    <w:p w14:paraId="02CCB6A2" w14:textId="77777777" w:rsidR="009F026B" w:rsidRDefault="00000000">
      <w:pPr>
        <w:ind w:left="-5" w:right="36"/>
      </w:pPr>
      <w:r>
        <w:t xml:space="preserve">Machine learning has garnered </w:t>
      </w:r>
      <w:proofErr w:type="gramStart"/>
      <w:r>
        <w:t>a large number of</w:t>
      </w:r>
      <w:proofErr w:type="gramEnd"/>
      <w:r>
        <w:t xml:space="preserve"> academic studies and has been utilized in a variety of sectors throughout the globe in recent years (Karthik, et al., 2011). Machine learning has shown its effectiveness in medical, where it has been used to tackle a variety of critical situations, </w:t>
      </w:r>
      <w:r>
        <w:lastRenderedPageBreak/>
        <w:t xml:space="preserve">including </w:t>
      </w:r>
      <w:proofErr w:type="spellStart"/>
      <w:r>
        <w:t>tumor</w:t>
      </w:r>
      <w:proofErr w:type="spellEnd"/>
      <w:r>
        <w:t xml:space="preserve"> therapy, cardiac diagnostic testing, dengue cases prognosis, and other ailments. Decision Tree algorithms, which are among the most effective approaches available, have been used in a variety of studies. Inhalation of toxic gases, ingestion of infected meals, administration of various medicines, and heavy liquor use are all factors that contribute to the progression of liver damage in individuals over time. Automated categorization technologies have the potential to relieve physicians of some of their responsibilities. The categorization techniques were developed </w:t>
      </w:r>
      <w:proofErr w:type="gramStart"/>
      <w:r>
        <w:t>on the basis of</w:t>
      </w:r>
      <w:proofErr w:type="gramEnd"/>
      <w:r>
        <w:t xml:space="preserve"> the categorization of certain hepatic clinical records. </w:t>
      </w:r>
    </w:p>
    <w:p w14:paraId="0287261E" w14:textId="77777777" w:rsidR="009F026B" w:rsidRDefault="00000000">
      <w:pPr>
        <w:ind w:left="-5" w:right="36"/>
      </w:pPr>
      <w:r>
        <w:t>To choose a classification method, he looked at the Nave Bayes classification, the C4.5 classification method, the Recursive neural Network program, and the Supporting Vector Machines technique, all of which were assessed depending on three attributes: precision, responsiveness, and selectivity (</w:t>
      </w:r>
      <w:proofErr w:type="spellStart"/>
      <w:r>
        <w:t>Mokdad</w:t>
      </w:r>
      <w:proofErr w:type="spellEnd"/>
      <w:r>
        <w:t xml:space="preserve">, et al. 2014). Aneesh Kumar, on the other hand, employed an approach to effectively classify a collection of hepatic and non-liver illness cases. A pre-processing procedure is utilized to cleanse the data </w:t>
      </w:r>
      <w:proofErr w:type="gramStart"/>
      <w:r>
        <w:t>in order to</w:t>
      </w:r>
      <w:proofErr w:type="gramEnd"/>
      <w:r>
        <w:t xml:space="preserve"> ensure that it can be classified effectively after being cleansed. A total of 15 characteristics of genuine medical data have been extracted from the database. The algorithms utilized in his investigation were C4.5 and Naive Bayes, which are both probabilistic in nature. He separated datasets into three distinct sorts of ratios based on the median and mean variation from each element of both classes and then tested the correctness of each form of ratio created. After evaluating the reliability in his investigation, he concluded that C4.5 provides superior reliability than Naive Bayes since it provides more reliability in the shortest amount of time. </w:t>
      </w:r>
    </w:p>
    <w:p w14:paraId="15CE0866" w14:textId="77777777" w:rsidR="009F026B" w:rsidRDefault="00000000">
      <w:pPr>
        <w:pStyle w:val="Heading2"/>
        <w:ind w:left="-5"/>
      </w:pPr>
      <w:bookmarkStart w:id="4" w:name="_Toc17004"/>
      <w:r>
        <w:t>1.4</w:t>
      </w:r>
      <w:r>
        <w:rPr>
          <w:rFonts w:ascii="Arial" w:eastAsia="Arial" w:hAnsi="Arial" w:cs="Arial"/>
        </w:rPr>
        <w:t xml:space="preserve"> </w:t>
      </w:r>
      <w:r>
        <w:t xml:space="preserve">Research Aim </w:t>
      </w:r>
      <w:bookmarkEnd w:id="4"/>
    </w:p>
    <w:p w14:paraId="1C24DDB6" w14:textId="77777777" w:rsidR="009F026B" w:rsidRDefault="00000000">
      <w:pPr>
        <w:ind w:left="-5" w:right="36"/>
      </w:pPr>
      <w:r>
        <w:t xml:space="preserve">The primary goal of this investigation is to determine if or whether an individual suffers hepatic impairment </w:t>
      </w:r>
      <w:proofErr w:type="gramStart"/>
      <w:r>
        <w:t>in order to</w:t>
      </w:r>
      <w:proofErr w:type="gramEnd"/>
      <w:r>
        <w:t xml:space="preserve"> treat it. A few of the parameters are utilized for diagnosing liver illness and comparing the efficacy of different decision tree approaches, while others are utilized for research. Regular expression is a data gathering program implemented in decision. Decision tree is a highly effective information extraction application that allows you to categorize reliability by implementing multiple computational techniques and comparing them on the foundation of various databases in real time (Hastie, et al., 2009). It is also a useful tool for developing novel network training algorithms. The results obtained from the liver ailment information via the use of the decision tree application are presented, which describes the results of a 10-fold cross verification conducted on the information. The purpose of this research is to use a data mining technology to predict liver disease in patients. </w:t>
      </w:r>
    </w:p>
    <w:p w14:paraId="4D5A44DC" w14:textId="77777777" w:rsidR="009F026B" w:rsidRDefault="00000000">
      <w:pPr>
        <w:pStyle w:val="Heading2"/>
        <w:ind w:left="-5"/>
      </w:pPr>
      <w:bookmarkStart w:id="5" w:name="_Toc17005"/>
      <w:r>
        <w:t xml:space="preserve">1.5 Research Objective </w:t>
      </w:r>
      <w:bookmarkEnd w:id="5"/>
    </w:p>
    <w:p w14:paraId="1B1086F6" w14:textId="77777777" w:rsidR="009F026B" w:rsidRDefault="00000000">
      <w:pPr>
        <w:numPr>
          <w:ilvl w:val="0"/>
          <w:numId w:val="2"/>
        </w:numPr>
        <w:ind w:right="36" w:hanging="144"/>
      </w:pPr>
      <w:r>
        <w:t xml:space="preserve">A variety of decision tree algorithms are used in the forecasting of liver disease. </w:t>
      </w:r>
    </w:p>
    <w:p w14:paraId="64165971" w14:textId="77777777" w:rsidR="009F026B" w:rsidRDefault="00000000">
      <w:pPr>
        <w:numPr>
          <w:ilvl w:val="0"/>
          <w:numId w:val="2"/>
        </w:numPr>
        <w:ind w:right="36" w:hanging="144"/>
      </w:pPr>
      <w:r>
        <w:t xml:space="preserve">Comparing and contrasting various decision tree methodologies. </w:t>
      </w:r>
    </w:p>
    <w:p w14:paraId="4872283B" w14:textId="77777777" w:rsidR="009F026B" w:rsidRDefault="00000000">
      <w:pPr>
        <w:numPr>
          <w:ilvl w:val="0"/>
          <w:numId w:val="2"/>
        </w:numPr>
        <w:ind w:right="36" w:hanging="144"/>
      </w:pPr>
      <w:r>
        <w:t xml:space="preserve">Identifying the most effective decision tree for the prognosis of liver illness </w:t>
      </w:r>
    </w:p>
    <w:p w14:paraId="5E7E33A7" w14:textId="77777777" w:rsidR="009F026B" w:rsidRDefault="00000000">
      <w:pPr>
        <w:ind w:left="-5" w:right="36"/>
      </w:pPr>
      <w:r>
        <w:lastRenderedPageBreak/>
        <w:t xml:space="preserve">Dataset from the UCI Machine Learning repository was used in this work, including the ILPD database. It is a representative sampling of the entire Indian population drawn from the state of Andhra Pradesh. In the database, there were 583 cases based on 10 distinct biologic factors, which was a significant number. Based on such parameters, the classification value was determined to be either affirmative (416 instances) or negative (167 cases), indicating the presence or absence of liver disease. </w:t>
      </w:r>
    </w:p>
    <w:p w14:paraId="2A906DCD" w14:textId="77777777" w:rsidR="009F026B" w:rsidRDefault="00000000">
      <w:pPr>
        <w:ind w:left="-5" w:right="36"/>
      </w:pPr>
      <w:r>
        <w:t xml:space="preserve">Pre-processing approaches have been developed </w:t>
      </w:r>
      <w:proofErr w:type="gramStart"/>
      <w:r>
        <w:t>in order to</w:t>
      </w:r>
      <w:proofErr w:type="gramEnd"/>
      <w:r>
        <w:t xml:space="preserve"> normalize the variables that are absent. The absent values are represented by null variables, which were then substituted by the occurrences of those null attributes. The selection of characteristics was performed </w:t>
      </w:r>
      <w:proofErr w:type="gramStart"/>
      <w:r>
        <w:t>in order to</w:t>
      </w:r>
      <w:proofErr w:type="gramEnd"/>
      <w:r>
        <w:t xml:space="preserve"> categorize the most relevant characteristic for classification purposes. Characteristic identification was accomplished via the use of combined wrapper feature selection techniques. The characteristics having a relationship of more than 70% were first eliminated from the database based on the results of the association assessment. The technique was developed to assess the value of distinct characteristics in a dataset using random forests, which was then deployed in practice (</w:t>
      </w:r>
      <w:proofErr w:type="spellStart"/>
      <w:r>
        <w:t>Byaas</w:t>
      </w:r>
      <w:proofErr w:type="spellEnd"/>
      <w:r>
        <w:t xml:space="preserve">, 2014). </w:t>
      </w:r>
    </w:p>
    <w:p w14:paraId="01D12D0A" w14:textId="77777777" w:rsidR="009F026B" w:rsidRDefault="00000000">
      <w:pPr>
        <w:ind w:left="-5" w:right="36"/>
      </w:pPr>
      <w:r>
        <w:t xml:space="preserve">The characteristics picked in the prior step were acceptable for use in the construction of categorization algorithms. To begin with, the dataset was randomized </w:t>
      </w:r>
      <w:proofErr w:type="gramStart"/>
      <w:r>
        <w:t>in order to</w:t>
      </w:r>
      <w:proofErr w:type="gramEnd"/>
      <w:r>
        <w:t xml:space="preserve"> generate an unpredictable sampling iteration. Following this, the database was divided into two groups: training sets (which included 70% of the data) and testing set (30 percent of the dataset). Three hundred eighty-nine examples comprised the training set, while the remainder 194 cases comprised the assessment set. </w:t>
      </w:r>
    </w:p>
    <w:p w14:paraId="50B98AC2" w14:textId="77777777" w:rsidR="009F026B" w:rsidRDefault="00000000">
      <w:pPr>
        <w:spacing w:after="241"/>
        <w:ind w:left="-5" w:right="36"/>
      </w:pPr>
      <w:r>
        <w:t xml:space="preserve">The categorization method is one of the most important and useful data mining methods that may be used in the field of illness prognosis and prognosis. Many computerized medical health diagnostics use a classification method, which is the most prevalent kind of algorithm used. Many of them have high accuracy in classifying objects. Various data mining methods, such as Naive Bayes, Decision Tree, Logistic Regression, </w:t>
      </w:r>
      <w:proofErr w:type="gramStart"/>
      <w:r>
        <w:t>Random forest</w:t>
      </w:r>
      <w:proofErr w:type="gramEnd"/>
      <w:r>
        <w:t xml:space="preserve">, and Support vector machine (SVM), were employed in this study. The following algorithms are briefly explained in more detail below: </w:t>
      </w:r>
    </w:p>
    <w:p w14:paraId="790D222C" w14:textId="77777777" w:rsidR="009F026B" w:rsidRDefault="00000000">
      <w:pPr>
        <w:numPr>
          <w:ilvl w:val="0"/>
          <w:numId w:val="3"/>
        </w:numPr>
        <w:spacing w:after="8"/>
        <w:ind w:right="36" w:hanging="360"/>
      </w:pPr>
      <w:r>
        <w:t xml:space="preserve">Naïve Bayes </w:t>
      </w:r>
    </w:p>
    <w:p w14:paraId="07E4DFD5" w14:textId="77777777" w:rsidR="009F026B" w:rsidRDefault="00000000">
      <w:pPr>
        <w:numPr>
          <w:ilvl w:val="0"/>
          <w:numId w:val="3"/>
        </w:numPr>
        <w:spacing w:after="8"/>
        <w:ind w:right="36" w:hanging="360"/>
      </w:pPr>
      <w:r>
        <w:t xml:space="preserve">Logistic Regression </w:t>
      </w:r>
    </w:p>
    <w:p w14:paraId="726BACF1" w14:textId="77777777" w:rsidR="009F026B" w:rsidRDefault="00000000">
      <w:pPr>
        <w:numPr>
          <w:ilvl w:val="0"/>
          <w:numId w:val="3"/>
        </w:numPr>
        <w:spacing w:after="9"/>
        <w:ind w:right="36" w:hanging="360"/>
      </w:pPr>
      <w:r>
        <w:t xml:space="preserve">Random Forest </w:t>
      </w:r>
    </w:p>
    <w:p w14:paraId="27D68D18" w14:textId="77777777" w:rsidR="009F026B" w:rsidRDefault="00000000">
      <w:pPr>
        <w:numPr>
          <w:ilvl w:val="0"/>
          <w:numId w:val="3"/>
        </w:numPr>
        <w:spacing w:after="3"/>
        <w:ind w:right="36" w:hanging="360"/>
      </w:pPr>
      <w:r>
        <w:t xml:space="preserve">Support Vector Machine </w:t>
      </w:r>
    </w:p>
    <w:p w14:paraId="6CEF88CA" w14:textId="77777777" w:rsidR="009F026B" w:rsidRDefault="00000000">
      <w:pPr>
        <w:numPr>
          <w:ilvl w:val="0"/>
          <w:numId w:val="3"/>
        </w:numPr>
        <w:spacing w:after="173"/>
        <w:ind w:right="36" w:hanging="360"/>
      </w:pPr>
      <w:r>
        <w:t xml:space="preserve">Decision Tree </w:t>
      </w:r>
    </w:p>
    <w:p w14:paraId="3C5F9AA1" w14:textId="77777777" w:rsidR="009F026B" w:rsidRDefault="00000000">
      <w:pPr>
        <w:pStyle w:val="Heading2"/>
        <w:ind w:left="-5"/>
      </w:pPr>
      <w:bookmarkStart w:id="6" w:name="_Toc17006"/>
      <w:r>
        <w:t>1.6</w:t>
      </w:r>
      <w:r>
        <w:rPr>
          <w:rFonts w:ascii="Arial" w:eastAsia="Arial" w:hAnsi="Arial" w:cs="Arial"/>
        </w:rPr>
        <w:t xml:space="preserve"> </w:t>
      </w:r>
      <w:r>
        <w:t xml:space="preserve">Research significance </w:t>
      </w:r>
      <w:bookmarkEnd w:id="6"/>
    </w:p>
    <w:p w14:paraId="3ABBE609" w14:textId="77777777" w:rsidR="009F026B" w:rsidRDefault="00000000">
      <w:pPr>
        <w:ind w:left="-5" w:right="36"/>
      </w:pPr>
      <w:r>
        <w:t xml:space="preserve">Individuals suffering from liver cirrhosis in this planet must endure extended waiting periods before being detected </w:t>
      </w:r>
      <w:proofErr w:type="gramStart"/>
      <w:r>
        <w:t>as a consequence of</w:t>
      </w:r>
      <w:proofErr w:type="gramEnd"/>
      <w:r>
        <w:t xml:space="preserve"> inadequate medical resources and extensive diagnostic procedures. Liver cirrhosis is currently considered to be the most prevalent cause of mortality in the general population (</w:t>
      </w:r>
      <w:proofErr w:type="spellStart"/>
      <w:r>
        <w:t>Pahareeya</w:t>
      </w:r>
      <w:proofErr w:type="spellEnd"/>
      <w:r>
        <w:t xml:space="preserve">, et al., 2014). When discovered early, liver cirrhosis advances slowly, and the likelihood of a prolonged life is significantly boosted. In the case of liver cirrhosis, </w:t>
      </w:r>
      <w:r>
        <w:lastRenderedPageBreak/>
        <w:t xml:space="preserve">reducing diagnostic delays increases early diagnosis and improves treatment results. As a result, eliminating these delays increases early diagnosis while also increasing the </w:t>
      </w:r>
      <w:proofErr w:type="spellStart"/>
      <w:r>
        <w:t>costeffectiveness</w:t>
      </w:r>
      <w:proofErr w:type="spellEnd"/>
      <w:r>
        <w:t xml:space="preserve"> of therapy. Doctors or other medical professionals may take immediate action. Again, liver cirrhosis is sometimes misdiagnosed </w:t>
      </w:r>
      <w:proofErr w:type="gramStart"/>
      <w:r>
        <w:t>as a result of</w:t>
      </w:r>
      <w:proofErr w:type="gramEnd"/>
      <w:r>
        <w:t xml:space="preserve"> a lack of appropriate diagnostic equipment and lengthy diagnostic procedures. A prolonged </w:t>
      </w:r>
      <w:proofErr w:type="gramStart"/>
      <w:r>
        <w:t>period of time</w:t>
      </w:r>
      <w:proofErr w:type="gramEnd"/>
      <w:r>
        <w:t xml:space="preserve"> between diagnosis and treatment of liver cirrhosis may increase the likelihood of the illness spreading. </w:t>
      </w:r>
    </w:p>
    <w:p w14:paraId="5574AF0D" w14:textId="77777777" w:rsidR="009F026B" w:rsidRDefault="00000000">
      <w:pPr>
        <w:pStyle w:val="Heading1"/>
        <w:ind w:left="-5" w:right="0"/>
      </w:pPr>
      <w:bookmarkStart w:id="7" w:name="_Toc17007"/>
      <w:r>
        <w:t>2</w:t>
      </w:r>
      <w:r>
        <w:rPr>
          <w:rFonts w:ascii="Arial" w:eastAsia="Arial" w:hAnsi="Arial" w:cs="Arial"/>
        </w:rPr>
        <w:t xml:space="preserve"> </w:t>
      </w:r>
      <w:r>
        <w:t xml:space="preserve">Literature review </w:t>
      </w:r>
      <w:bookmarkEnd w:id="7"/>
    </w:p>
    <w:p w14:paraId="786C6002" w14:textId="77777777" w:rsidR="009F026B" w:rsidRDefault="00000000">
      <w:pPr>
        <w:spacing w:after="218" w:line="259" w:lineRule="auto"/>
        <w:ind w:left="0" w:firstLine="0"/>
        <w:jc w:val="left"/>
      </w:pPr>
      <w:r>
        <w:t xml:space="preserve"> </w:t>
      </w:r>
    </w:p>
    <w:p w14:paraId="70AC2835" w14:textId="77777777" w:rsidR="009F026B" w:rsidRDefault="00000000">
      <w:pPr>
        <w:ind w:left="-5" w:right="36"/>
      </w:pPr>
      <w:r>
        <w:t xml:space="preserve">On a regular basis, the wellness and medical industries deal with massive amounts of data. This data set contains data on the individuals, as well as diagnostic reports and medical photographs, among other things. It is critical to make use of this knowledge while attempting to comprehend a decision assistance technology. </w:t>
      </w:r>
      <w:proofErr w:type="gramStart"/>
      <w:r>
        <w:t>In order to</w:t>
      </w:r>
      <w:proofErr w:type="gramEnd"/>
      <w:r>
        <w:t xml:space="preserve"> do this, it is necessary to locate and retrieve the expertise area from the original data set (Auxilia, 2018). It is performed via the use of information finding and data mining techniques (KDD). The use of data mining methods is becoming more popular in the biomedical sector. In subsequent times, there has been an alarming rise in the number of liver illnesses, with liver diseases now ranking among the most lethal diseases in </w:t>
      </w:r>
      <w:proofErr w:type="gramStart"/>
      <w:r>
        <w:t>a number of</w:t>
      </w:r>
      <w:proofErr w:type="gramEnd"/>
      <w:r>
        <w:t xml:space="preserve"> nations. In this work, liver patient databases are investigated for the purpose of developing categorization models that may be used to forecast the development of liver disease. It is proposed to use many </w:t>
      </w:r>
      <w:proofErr w:type="gramStart"/>
      <w:r>
        <w:t>feature</w:t>
      </w:r>
      <w:proofErr w:type="gramEnd"/>
      <w:r>
        <w:t xml:space="preserve"> model development and comparison analysis techniques in order to improve the reliability of predictions for Indian hepatic patients. </w:t>
      </w:r>
      <w:proofErr w:type="gramStart"/>
      <w:r>
        <w:t>In order to</w:t>
      </w:r>
      <w:proofErr w:type="gramEnd"/>
      <w:r>
        <w:t xml:space="preserve"> classify liver illnesses, many investigations have been undertaken. The results of these research are simply summarized below. The categorization strategy is among the most important and useful data mining methods that may be used in the field of illness diagnosis and prognosis.  </w:t>
      </w:r>
    </w:p>
    <w:p w14:paraId="178F6048" w14:textId="77777777" w:rsidR="009F026B" w:rsidRDefault="00000000">
      <w:pPr>
        <w:ind w:left="-5" w:right="36"/>
      </w:pPr>
      <w:r>
        <w:t xml:space="preserve">Over the past few years, it has been demonstrated that irregularities such as liver infections may be significant and that they are sensitive to significant socioeconomic shifts as well as health conditions. Microbial or parasite diseases are the primary prevalent causes of hepatic infections. Blood diseases, stomach diseases, diseases induced by injuries, and microbial or parasite diseases are the other causes. It is critical to evaluate the seriousness of infections, diagnose them, and treat them as soon as possible </w:t>
      </w:r>
      <w:proofErr w:type="gramStart"/>
      <w:r>
        <w:t>in order to</w:t>
      </w:r>
      <w:proofErr w:type="gramEnd"/>
      <w:r>
        <w:t xml:space="preserve"> avert consequences in undiagnosed individuals (</w:t>
      </w:r>
      <w:proofErr w:type="spellStart"/>
      <w:r>
        <w:t>Gulia</w:t>
      </w:r>
      <w:proofErr w:type="spellEnd"/>
      <w:r>
        <w:t xml:space="preserve">, et al., 2014). Disorders of the bile system are one of the most common causes of granulomatous hepatic infections. Damage to the liver occurs </w:t>
      </w:r>
      <w:proofErr w:type="gramStart"/>
      <w:r>
        <w:t>as a result of</w:t>
      </w:r>
      <w:proofErr w:type="gramEnd"/>
      <w:r>
        <w:t xml:space="preserve"> ischemia, infarction, pharmacological exposure, and contamination. Wounded cells, on the other hand, are unable to heal after reaching a certain point, resulting in irreversible impairment. Fibrosis is the term used to describe the formation of scarred tissue and otherwise non-functioning tissues in the hepatic </w:t>
      </w:r>
      <w:proofErr w:type="gramStart"/>
      <w:r>
        <w:t>as a result of</w:t>
      </w:r>
      <w:proofErr w:type="gramEnd"/>
      <w:r>
        <w:t xml:space="preserve"> this. Until about the 1970s, hepatic cirrhosis and liver damage were thought to be irreversible conditions. Cirrhosis was first mentioned in the journals in 1819 by Laennec, who described it as a fundamental malignancy that can be distinguished in the hepatic by the </w:t>
      </w:r>
      <w:proofErr w:type="spellStart"/>
      <w:r>
        <w:t>colors</w:t>
      </w:r>
      <w:proofErr w:type="spellEnd"/>
      <w:r>
        <w:t xml:space="preserve"> of the cells. cirrhosis of the hepatic is the next phase of fibrosis that develops </w:t>
      </w:r>
      <w:proofErr w:type="gramStart"/>
      <w:r>
        <w:t>as a result of</w:t>
      </w:r>
      <w:proofErr w:type="gramEnd"/>
      <w:r>
        <w:t xml:space="preserve"> liver illnesses such as liver damage, inflammation, aberrant proliferation of non-functioning cells, and vasculature. </w:t>
      </w:r>
      <w:r>
        <w:lastRenderedPageBreak/>
        <w:t xml:space="preserve">Recurrent liver cancer, also known as a disseminated hepatic </w:t>
      </w:r>
      <w:proofErr w:type="spellStart"/>
      <w:r>
        <w:t>tumor</w:t>
      </w:r>
      <w:proofErr w:type="spellEnd"/>
      <w:r>
        <w:t xml:space="preserve">, is more visible than an initial liver </w:t>
      </w:r>
      <w:proofErr w:type="spellStart"/>
      <w:r>
        <w:t>tumor</w:t>
      </w:r>
      <w:proofErr w:type="spellEnd"/>
      <w:r>
        <w:t xml:space="preserve"> in terms of appearance. In most instances of invasive hepatocellular carcinoma, the disease is restricted to the hepatic in 70 percent to 80 percent of cases. Unaugment CT scans of the liver often show hypo-attenuation of metastatic disease (Hashem &amp; Mabrouk, 2014). It is possible that the lesions will be separated or somewhat </w:t>
      </w:r>
      <w:proofErr w:type="spellStart"/>
      <w:r>
        <w:t>hyperattenuated</w:t>
      </w:r>
      <w:proofErr w:type="spellEnd"/>
      <w:r>
        <w:t xml:space="preserve"> if there is concurrent hepatic steatosis. </w:t>
      </w:r>
    </w:p>
    <w:p w14:paraId="726D7AB4" w14:textId="77777777" w:rsidR="009F026B" w:rsidRDefault="00000000">
      <w:pPr>
        <w:ind w:left="-5" w:right="36"/>
      </w:pPr>
      <w:r>
        <w:t xml:space="preserve">The heatmap is shown, and it seems that several factors are associated with one another. Several of these sections have a limited degree of association with one another (Babu, 2017). As a result, we eliminated some of the characteristics </w:t>
      </w:r>
      <w:proofErr w:type="gramStart"/>
      <w:r>
        <w:t>in order to</w:t>
      </w:r>
      <w:proofErr w:type="gramEnd"/>
      <w:r>
        <w:t xml:space="preserve"> provide a more accurate forecast of liver illness. </w:t>
      </w:r>
    </w:p>
    <w:p w14:paraId="6D092F58" w14:textId="77777777" w:rsidR="009F026B" w:rsidRDefault="00000000">
      <w:pPr>
        <w:spacing w:after="170" w:line="259" w:lineRule="auto"/>
        <w:ind w:left="0" w:firstLine="0"/>
        <w:jc w:val="right"/>
      </w:pPr>
      <w:r>
        <w:rPr>
          <w:noProof/>
        </w:rPr>
        <w:drawing>
          <wp:inline distT="0" distB="0" distL="0" distR="0" wp14:anchorId="17FEA58F" wp14:editId="1F2227EF">
            <wp:extent cx="5933910" cy="5389355"/>
            <wp:effectExtent l="0" t="0" r="0" b="0"/>
            <wp:docPr id="744" name="Picture 744"/>
            <wp:cNvGraphicFramePr/>
            <a:graphic xmlns:a="http://schemas.openxmlformats.org/drawingml/2006/main">
              <a:graphicData uri="http://schemas.openxmlformats.org/drawingml/2006/picture">
                <pic:pic xmlns:pic="http://schemas.openxmlformats.org/drawingml/2006/picture">
                  <pic:nvPicPr>
                    <pic:cNvPr id="744" name="Picture 744"/>
                    <pic:cNvPicPr/>
                  </pic:nvPicPr>
                  <pic:blipFill>
                    <a:blip r:embed="rId5"/>
                    <a:stretch>
                      <a:fillRect/>
                    </a:stretch>
                  </pic:blipFill>
                  <pic:spPr>
                    <a:xfrm>
                      <a:off x="0" y="0"/>
                      <a:ext cx="5933910" cy="5389355"/>
                    </a:xfrm>
                    <a:prstGeom prst="rect">
                      <a:avLst/>
                    </a:prstGeom>
                  </pic:spPr>
                </pic:pic>
              </a:graphicData>
            </a:graphic>
          </wp:inline>
        </w:drawing>
      </w:r>
      <w:r>
        <w:t xml:space="preserve"> </w:t>
      </w:r>
    </w:p>
    <w:p w14:paraId="146A28CD" w14:textId="77777777" w:rsidR="009F026B" w:rsidRDefault="00000000">
      <w:pPr>
        <w:spacing w:after="213" w:line="259" w:lineRule="auto"/>
        <w:ind w:left="0" w:firstLine="0"/>
        <w:jc w:val="left"/>
      </w:pPr>
      <w:r>
        <w:t xml:space="preserve"> </w:t>
      </w:r>
    </w:p>
    <w:p w14:paraId="47ABEE41" w14:textId="77777777" w:rsidR="009F026B" w:rsidRDefault="00000000">
      <w:pPr>
        <w:ind w:left="-5" w:right="36"/>
      </w:pPr>
      <w:r>
        <w:lastRenderedPageBreak/>
        <w:t xml:space="preserve">Many computerized medical health diagnostics use a categorization method, which is the most prevalent kind of algorithm used. Many of them have high accuracy in classifying objects. In another work, the UCI liver database was utilized to extract sub features using a random forest classification with a </w:t>
      </w:r>
      <w:proofErr w:type="gramStart"/>
      <w:r>
        <w:t>multi-layer activation functions</w:t>
      </w:r>
      <w:proofErr w:type="gramEnd"/>
      <w:r>
        <w:t xml:space="preserve"> generated, which was then used to train the classification (</w:t>
      </w:r>
      <w:proofErr w:type="spellStart"/>
      <w:r>
        <w:t>Jin</w:t>
      </w:r>
      <w:proofErr w:type="spellEnd"/>
      <w:r>
        <w:t xml:space="preserve">, et al., 2014). Various artificial intelligence algorithms were used to </w:t>
      </w:r>
      <w:proofErr w:type="spellStart"/>
      <w:r>
        <w:t>analyze</w:t>
      </w:r>
      <w:proofErr w:type="spellEnd"/>
      <w:r>
        <w:t xml:space="preserve"> the liver patient database, and exact forecasts of liver failure were made using these approaches. It is critical to identify liver infection at an early stage </w:t>
      </w:r>
      <w:proofErr w:type="gramStart"/>
      <w:r>
        <w:t>in order to</w:t>
      </w:r>
      <w:proofErr w:type="gramEnd"/>
      <w:r>
        <w:t xml:space="preserve"> reduce the incidence and severity of patient fatalities in India. Patients must be assessed based on their early symptoms </w:t>
      </w:r>
      <w:proofErr w:type="gramStart"/>
      <w:r>
        <w:t>in order to</w:t>
      </w:r>
      <w:proofErr w:type="gramEnd"/>
      <w:r>
        <w:t xml:space="preserve"> design a specific treatment regimen. Using data mining methods, an effort is made in this research to predict liver disease in individuals who are already undergoing treatment. Based on a survey of the literature, it was discovered that previous research projects have used a variety of data mining approaches for the categorization of liver datasets, which was shown. It is possible to modify a hybrid model </w:t>
      </w:r>
      <w:proofErr w:type="gramStart"/>
      <w:r>
        <w:t>in order to</w:t>
      </w:r>
      <w:proofErr w:type="gramEnd"/>
      <w:r>
        <w:t xml:space="preserve"> improve the reliability of liver disease prediction even more. A graphical user interface, which would be developed thereafter, would enable the scientific establishment in making an early identification of liver infection, which would benefit everyone. It will serve as a platform for end-user applications aimed at the development of potentially effective treatment procedures (</w:t>
      </w:r>
      <w:proofErr w:type="spellStart"/>
      <w:r>
        <w:t>Sontakke</w:t>
      </w:r>
      <w:proofErr w:type="spellEnd"/>
      <w:r>
        <w:t xml:space="preserve">, et al., 2017). </w:t>
      </w:r>
    </w:p>
    <w:p w14:paraId="29E00CC8" w14:textId="77777777" w:rsidR="009F026B" w:rsidRDefault="00000000">
      <w:pPr>
        <w:pStyle w:val="Heading2"/>
        <w:ind w:left="-5"/>
      </w:pPr>
      <w:bookmarkStart w:id="8" w:name="_Toc17008"/>
      <w:r>
        <w:t xml:space="preserve">Datasets are randomly divided and </w:t>
      </w:r>
      <w:proofErr w:type="gramStart"/>
      <w:r>
        <w:t>randomized</w:t>
      </w:r>
      <w:proofErr w:type="gramEnd"/>
      <w:r>
        <w:t xml:space="preserve"> </w:t>
      </w:r>
      <w:bookmarkEnd w:id="8"/>
    </w:p>
    <w:p w14:paraId="13570DFB" w14:textId="77777777" w:rsidR="009F026B" w:rsidRDefault="00000000">
      <w:pPr>
        <w:ind w:left="-5" w:right="36"/>
      </w:pPr>
      <w:r>
        <w:t xml:space="preserve">The characteristics picked in the prior step were acceptable for use in the construction of classification models. To begin with, the dataset was randomized </w:t>
      </w:r>
      <w:proofErr w:type="gramStart"/>
      <w:r>
        <w:t>in order to</w:t>
      </w:r>
      <w:proofErr w:type="gramEnd"/>
      <w:r>
        <w:t xml:space="preserve"> generate an unpredictable sample iteration. Following this, the dataset was divided into two groups: training sets (which included 70% of the information) and test sets (30 percent of the dataset). Three hundred eighty-nine examples comprised the training set, while the remainder 194 cases comprised the assessment set.  </w:t>
      </w:r>
    </w:p>
    <w:p w14:paraId="0DC007F0" w14:textId="77777777" w:rsidR="009F026B" w:rsidRDefault="00000000">
      <w:pPr>
        <w:pStyle w:val="Heading2"/>
        <w:ind w:left="-5"/>
      </w:pPr>
      <w:bookmarkStart w:id="9" w:name="_Toc17009"/>
      <w:r>
        <w:t xml:space="preserve">Selection of features for pre-processing and finalization </w:t>
      </w:r>
      <w:bookmarkEnd w:id="9"/>
    </w:p>
    <w:p w14:paraId="1AFD4D0B" w14:textId="77777777" w:rsidR="009F026B" w:rsidRDefault="00000000">
      <w:pPr>
        <w:ind w:left="-5" w:right="36"/>
      </w:pPr>
      <w:r>
        <w:t xml:space="preserve">Pre-processing approaches have been developed </w:t>
      </w:r>
      <w:proofErr w:type="gramStart"/>
      <w:r>
        <w:t>in order to</w:t>
      </w:r>
      <w:proofErr w:type="gramEnd"/>
      <w:r>
        <w:t xml:space="preserve"> normalize the variables that are absent. The absent variables were substituted by null values, which were then replaced by the instances of those null values. The selection of features was followed </w:t>
      </w:r>
      <w:proofErr w:type="gramStart"/>
      <w:r>
        <w:t>in order to</w:t>
      </w:r>
      <w:proofErr w:type="gramEnd"/>
      <w:r>
        <w:t xml:space="preserve"> categorize the most relevant characteristic for classification purposes. Feature selection was accomplished via the use of both wrapper feature selection techniques. The characteristics having a correlation of more than 70% were first eliminated from the dataset based on the results of the correlation analysis. The technique was developed to assess the value of distinct characteristics in a dataset using random forests, which was then deployed in practice (</w:t>
      </w:r>
      <w:proofErr w:type="spellStart"/>
      <w:r>
        <w:t>Alfisahrin</w:t>
      </w:r>
      <w:proofErr w:type="spellEnd"/>
      <w:r>
        <w:t xml:space="preserve"> &amp; </w:t>
      </w:r>
      <w:proofErr w:type="spellStart"/>
      <w:r>
        <w:t>Mantoro</w:t>
      </w:r>
      <w:proofErr w:type="spellEnd"/>
      <w:r>
        <w:t xml:space="preserve">, 2013). </w:t>
      </w:r>
    </w:p>
    <w:p w14:paraId="02816416" w14:textId="77777777" w:rsidR="009F026B" w:rsidRDefault="00000000">
      <w:pPr>
        <w:pStyle w:val="Heading2"/>
        <w:ind w:left="-5"/>
      </w:pPr>
      <w:bookmarkStart w:id="10" w:name="_Toc17010"/>
      <w:r>
        <w:t xml:space="preserve">Compilation of Information </w:t>
      </w:r>
      <w:bookmarkEnd w:id="10"/>
    </w:p>
    <w:p w14:paraId="38E93F3D" w14:textId="77777777" w:rsidR="009F026B" w:rsidRDefault="00000000">
      <w:pPr>
        <w:ind w:left="-5" w:right="36"/>
      </w:pPr>
      <w:r>
        <w:t xml:space="preserve">The Indian Liver Patient Dataset (ILPD) was chosen from the UCI Machine Learning repository for use in this research. It is a </w:t>
      </w:r>
      <w:proofErr w:type="gramStart"/>
      <w:r>
        <w:t>representative samples</w:t>
      </w:r>
      <w:proofErr w:type="gramEnd"/>
      <w:r>
        <w:t xml:space="preserve"> of the thought the entire Indian demographic drawn from the state of Andhra Pradesh. In the dataset, there were 583 cases based on 10 distinct biological factors, which was a significant number. Based on these parameters, the class value was </w:t>
      </w:r>
      <w:r>
        <w:lastRenderedPageBreak/>
        <w:t xml:space="preserve">determined to be either yes (416 instances) or no (167 cases), indicating that the liver was healthy or unhealthy. </w:t>
      </w:r>
    </w:p>
    <w:p w14:paraId="672BD72F" w14:textId="77777777" w:rsidR="009F026B" w:rsidRDefault="00000000">
      <w:pPr>
        <w:pStyle w:val="Heading2"/>
        <w:ind w:left="-5"/>
      </w:pPr>
      <w:bookmarkStart w:id="11" w:name="_Toc17011"/>
      <w:r>
        <w:t xml:space="preserve">Algorithms for classification </w:t>
      </w:r>
      <w:bookmarkEnd w:id="11"/>
    </w:p>
    <w:p w14:paraId="17EB169F" w14:textId="77777777" w:rsidR="009F026B" w:rsidRDefault="00000000">
      <w:pPr>
        <w:ind w:left="-5" w:right="36"/>
      </w:pPr>
      <w:r>
        <w:t xml:space="preserve">The categorization technique is among of the most important and useful data mining methods that may be used in the field of illness prediction and prediction. Many computerized medical health diagnostics use a classification algorithm, which is the most prevalent kind of algorithm used. Many of them have high accuracy in classifying objects. Various data mining methods, such as Naive Bayes, Decision Tree, Logistic Regression, </w:t>
      </w:r>
      <w:proofErr w:type="gramStart"/>
      <w:r>
        <w:t>Random forest</w:t>
      </w:r>
      <w:proofErr w:type="gramEnd"/>
      <w:r>
        <w:t xml:space="preserve">, and Support vector machine (SVM), were employed in this study. The following algorithms are briefly explained in more detail below: </w:t>
      </w:r>
    </w:p>
    <w:p w14:paraId="30CF7E7F" w14:textId="77777777" w:rsidR="009F026B" w:rsidRDefault="00000000">
      <w:pPr>
        <w:pStyle w:val="Heading2"/>
        <w:spacing w:after="7" w:line="269" w:lineRule="auto"/>
        <w:ind w:left="-5" w:right="36"/>
        <w:jc w:val="both"/>
      </w:pPr>
      <w:bookmarkStart w:id="12" w:name="_Toc17012"/>
      <w:r>
        <w:rPr>
          <w:b w:val="0"/>
        </w:rPr>
        <w:t xml:space="preserve">Decision Tree: </w:t>
      </w:r>
      <w:bookmarkEnd w:id="12"/>
    </w:p>
    <w:p w14:paraId="23349279" w14:textId="77777777" w:rsidR="009F026B" w:rsidRDefault="00000000">
      <w:pPr>
        <w:ind w:left="-5" w:right="36"/>
      </w:pPr>
      <w:r>
        <w:t>In Guided Machine Learning, Decision Trees are a kind of machine learning in which data is continually separated relative to a definite characteristic. The computation of Decision Trees has a position among the supervised learning methods, as well. Each intrinsic base station symbolizes a trial on a characteristic (</w:t>
      </w:r>
      <w:proofErr w:type="gramStart"/>
      <w:r>
        <w:t>e.g.</w:t>
      </w:r>
      <w:proofErr w:type="gramEnd"/>
      <w:r>
        <w:t xml:space="preserve"> if a roll of the dice pops up educated guesses), every leaf module symbolizes a classifier (decision made after calculating all characteristics), and sections portray the combinations of characteristics that ultimately led to those class labels (e.g. if a coin flip actually came up heads and tails). Two variables, called decision nodes and leaves, may be used to describe the structure of the tree. The choices or ultimate results are represented by the leaves. The computation of Decision Trees has a position among the guided training methods, as well. In contrary to other guided training methods, a decision tree approach may be used to deal with both regression and categorization problems at the same time. The fundamental thinking process behind using a Decision Tree is to develop an innovative that can be used to forecast classification or estimate of subjective elements by including choice criteria obtained from previous data into the development framework (training data) (</w:t>
      </w:r>
      <w:proofErr w:type="spellStart"/>
      <w:r>
        <w:t>Hassoon</w:t>
      </w:r>
      <w:proofErr w:type="spellEnd"/>
      <w:r>
        <w:t xml:space="preserve">, et al., 2017). Below figure is an illustration of a decision tree in its simplest form. Computed extrapolation was mostly used in environmental science exploration and operations throughout the mid-20th century. The routes that go from the base to the leaf are representations of categorization rules.  </w:t>
      </w:r>
    </w:p>
    <w:p w14:paraId="32E3F89C" w14:textId="77777777" w:rsidR="009F026B" w:rsidRDefault="00000000">
      <w:pPr>
        <w:spacing w:after="165" w:line="259" w:lineRule="auto"/>
        <w:ind w:left="0" w:firstLine="0"/>
        <w:jc w:val="right"/>
      </w:pPr>
      <w:r>
        <w:rPr>
          <w:noProof/>
        </w:rPr>
        <w:lastRenderedPageBreak/>
        <w:drawing>
          <wp:inline distT="0" distB="0" distL="0" distR="0" wp14:anchorId="7C62AC26" wp14:editId="70733413">
            <wp:extent cx="5937742" cy="2544492"/>
            <wp:effectExtent l="0" t="0" r="0" b="0"/>
            <wp:docPr id="911" name="Picture 911"/>
            <wp:cNvGraphicFramePr/>
            <a:graphic xmlns:a="http://schemas.openxmlformats.org/drawingml/2006/main">
              <a:graphicData uri="http://schemas.openxmlformats.org/drawingml/2006/picture">
                <pic:pic xmlns:pic="http://schemas.openxmlformats.org/drawingml/2006/picture">
                  <pic:nvPicPr>
                    <pic:cNvPr id="911" name="Picture 911"/>
                    <pic:cNvPicPr/>
                  </pic:nvPicPr>
                  <pic:blipFill>
                    <a:blip r:embed="rId6"/>
                    <a:stretch>
                      <a:fillRect/>
                    </a:stretch>
                  </pic:blipFill>
                  <pic:spPr>
                    <a:xfrm>
                      <a:off x="0" y="0"/>
                      <a:ext cx="5937742" cy="2544492"/>
                    </a:xfrm>
                    <a:prstGeom prst="rect">
                      <a:avLst/>
                    </a:prstGeom>
                  </pic:spPr>
                </pic:pic>
              </a:graphicData>
            </a:graphic>
          </wp:inline>
        </w:drawing>
      </w:r>
      <w:r>
        <w:t xml:space="preserve"> </w:t>
      </w:r>
    </w:p>
    <w:p w14:paraId="6EC54B8A" w14:textId="77777777" w:rsidR="009F026B" w:rsidRDefault="00000000">
      <w:pPr>
        <w:ind w:left="-5" w:right="36"/>
      </w:pPr>
      <w:r>
        <w:t>Naive Bayes: This method is founded on the Bayes hypothesis of probabilistic reasoning, which is a well-known mathematical formula. The method is predicated on the assumption that each characteristic contributes to the overall result independently of the other qualities. In learning algorithms, researchers are frequently concerned with picking the most appropriate hypothesis (h) provided a set of data (d). For example, in a categorization task, our premise (h) can be the category to which we should allocate a new data example (d). Another simple method of picking the most likely explanation given the facts that we have is to utilize our previous understanding about the issue as our previous knowledge about the situation. Naive Bayes is among the most fundamental, best, and most often used artificial intelligence approaches. It is a stochastic encoder that distinguishes using the supposition of limited liberty in conjunction with pre-trained information to make classification decisions (</w:t>
      </w:r>
      <w:proofErr w:type="spellStart"/>
      <w:r>
        <w:t>Abdar</w:t>
      </w:r>
      <w:proofErr w:type="spellEnd"/>
      <w:r>
        <w:t xml:space="preserve">, et al., 2017). The Naive Bayes classification is a process for determining the customary organization of categorizing concerns, such as spammer detection. It is also a technique that is well-suited for healthcare problems in general. The Bayes' Theorem determines the likelihood of an event happening based on the likelihood of an event happening that has just occurred in the past. </w:t>
      </w:r>
    </w:p>
    <w:p w14:paraId="21EFE94B" w14:textId="77777777" w:rsidR="009F026B" w:rsidRDefault="00000000">
      <w:pPr>
        <w:ind w:left="-5" w:right="36"/>
      </w:pPr>
      <w:r>
        <w:t xml:space="preserve">Logistic Regression: Also known as Calculated Regression, this technique was widely used in natural science exploration and operations throughout the mid - twentieth century. Regression analysis </w:t>
      </w:r>
      <w:proofErr w:type="gramStart"/>
      <w:r>
        <w:t>is capable of dealing</w:t>
      </w:r>
      <w:proofErr w:type="gramEnd"/>
      <w:r>
        <w:t xml:space="preserve"> with arbitrary combination of quantitative as well as qualitative components in a single analysis. A continuous parallel item is also introduced, with a value between 0 and 1 falling midway between the two. Logistic regression is a categorization technique that uses guided reasoning to estimate the likelihood of a target variable occurring. Regression analysis </w:t>
      </w:r>
      <w:proofErr w:type="gramStart"/>
      <w:r>
        <w:t>is capable of dealing</w:t>
      </w:r>
      <w:proofErr w:type="gramEnd"/>
      <w:r>
        <w:t xml:space="preserve"> with any amount of quantitative as well as qualitative variables at the time of the analysis. Also included is a distinct paralleled item that is somewhere between 0 to 1 in the value spectrum (Ramana, et al., 2011). By assessing possibilities (p) and employing an underpinning logistical model, Strategy Modelling examines the relationship between the constituent components and makes connections between them. It is one of the most straightforward machine learning methods, and it can be used to a variety of categorization issues such as spam </w:t>
      </w:r>
      <w:r>
        <w:lastRenderedPageBreak/>
        <w:t xml:space="preserve">identification, diabetic prognosis, cancer diagnosis, and so on. A logistic regression model may be classified into the following types: </w:t>
      </w:r>
    </w:p>
    <w:p w14:paraId="0BD594FA" w14:textId="77777777" w:rsidR="009F026B" w:rsidRDefault="00000000">
      <w:pPr>
        <w:pStyle w:val="Heading3"/>
        <w:spacing w:after="218"/>
        <w:ind w:left="-5"/>
      </w:pPr>
      <w:r>
        <w:t xml:space="preserve">Binary or binomial expressions </w:t>
      </w:r>
    </w:p>
    <w:p w14:paraId="1BC0ED2D" w14:textId="77777777" w:rsidR="009F026B" w:rsidRDefault="00000000">
      <w:pPr>
        <w:ind w:left="-5" w:right="36"/>
      </w:pPr>
      <w:r>
        <w:t xml:space="preserve">If you use this form of categorization, a heavily reliant parameter will simply have two potential categories: 1 and 0. For instance, these parameters may indicate achievement as well as rejection, affirmative as well as negative, a victory and perhaps a defeat, or any other combination of these concepts. </w:t>
      </w:r>
    </w:p>
    <w:p w14:paraId="53578D38" w14:textId="77777777" w:rsidR="009F026B" w:rsidRDefault="00000000">
      <w:pPr>
        <w:pStyle w:val="Heading3"/>
        <w:spacing w:after="218"/>
        <w:ind w:left="-5"/>
      </w:pPr>
      <w:r>
        <w:t xml:space="preserve">Multinomial </w:t>
      </w:r>
    </w:p>
    <w:p w14:paraId="60D18E2F" w14:textId="77777777" w:rsidR="009F026B" w:rsidRDefault="00000000">
      <w:pPr>
        <w:ind w:left="-5" w:right="36"/>
      </w:pPr>
      <w:r>
        <w:t xml:space="preserve">In this sort of categorization, the reliant parameter might have three or even more alternative unsorted categories, or types that have no numerical meaning, depending on the situation. For instance, these parameters may indicate "Type A" or "Type B" or "Type C" of data, respectively. </w:t>
      </w:r>
    </w:p>
    <w:p w14:paraId="6248900B" w14:textId="77777777" w:rsidR="009F026B" w:rsidRDefault="00000000">
      <w:pPr>
        <w:pStyle w:val="Heading3"/>
        <w:spacing w:after="218"/>
        <w:ind w:left="-5"/>
      </w:pPr>
      <w:r>
        <w:t xml:space="preserve">Ordinal </w:t>
      </w:r>
    </w:p>
    <w:p w14:paraId="14CAD036" w14:textId="77777777" w:rsidR="009F026B" w:rsidRDefault="00000000">
      <w:pPr>
        <w:ind w:left="-5" w:right="36"/>
      </w:pPr>
      <w:r>
        <w:t xml:space="preserve">In this sort of categorization, the reliant parameter might have three or more potential ordered categories, or the categories that have a statistically significant relevance. Using the examples above, these parameters may indicate "bad," "good," "very good," and "Excellent," with each category having scores such as 0, 1, 2, and 3. </w:t>
      </w:r>
    </w:p>
    <w:p w14:paraId="43A275C4" w14:textId="77777777" w:rsidR="009F026B" w:rsidRDefault="00000000">
      <w:pPr>
        <w:pStyle w:val="Heading3"/>
        <w:spacing w:after="218"/>
        <w:ind w:left="-5"/>
      </w:pPr>
      <w:r>
        <w:t xml:space="preserve">Random Forest </w:t>
      </w:r>
    </w:p>
    <w:p w14:paraId="4A8CCB5A" w14:textId="77777777" w:rsidR="009F026B" w:rsidRDefault="00000000">
      <w:pPr>
        <w:ind w:left="-5" w:right="36"/>
      </w:pPr>
      <w:r>
        <w:t xml:space="preserve">The Random Forest method is a categorization technique that requires supervision. Researchers can tell from the title that it is intended to produce a forest in some manner while keeping it unpredictable. In the forestry, there is indeed a straight link among the quantity of trees present and the accuracy of the findings that may be obtained (AS &amp; </w:t>
      </w:r>
      <w:proofErr w:type="spellStart"/>
      <w:r>
        <w:t>Venkateswaran</w:t>
      </w:r>
      <w:proofErr w:type="spellEnd"/>
      <w:r>
        <w:t xml:space="preserve">, 2012). The greater the quantity of branches in the forest, the better precise the findings obtained. The creation of the forest, however, is not the identical as building the choice with knowledge gained or using a gain index technique, which are two different things. These are classifications that generate decision trees based on the training data they are given. </w:t>
      </w:r>
      <w:proofErr w:type="gramStart"/>
      <w:r>
        <w:t>For the purpose of</w:t>
      </w:r>
      <w:proofErr w:type="gramEnd"/>
      <w:r>
        <w:t xml:space="preserve"> dividing the tree, a randomized value is given to the characteristic area as a range. When it comes to categorization, stagnation, and distinct coursework, arbitrary forests (also known as random decision forests) are a classifier methodology that collaborates by building a strong amount of decision trees at instructional period and resulting a category that is the technique of the courses (categorization</w:t>
      </w:r>
      <w:proofErr w:type="gramStart"/>
      <w:r>
        <w:t>)</w:t>
      </w:r>
      <w:proofErr w:type="gramEnd"/>
      <w:r>
        <w:t xml:space="preserve"> or a mean predict (recurrence) of the independent trees. Because of decision trees' proclivity for generalization to their training dataset, random decision forests are the best choice for this problem. In the forest of trees, there has always been an instantaneous relationship between the combination of trees and the possible consequence. Random forest is used to increase the effectiveness and precision of forecasts by adding an extra layer of unpredictability to the stowing process. Depending on the learning composition, the modal value of each individual tree is projected as the classifier of the grouping. Bierman was the one who put the algorithm into action. Out-of-bag error is estimated </w:t>
      </w:r>
      <w:r>
        <w:lastRenderedPageBreak/>
        <w:t xml:space="preserve">using the technique, which is then used to rank the characteristics (Saranya &amp; </w:t>
      </w:r>
      <w:proofErr w:type="spellStart"/>
      <w:r>
        <w:t>Seenuvasan</w:t>
      </w:r>
      <w:proofErr w:type="spellEnd"/>
      <w:r>
        <w:t xml:space="preserve">, 2017). Following that, the computation of the most significant score for each characteristic is performed. </w:t>
      </w:r>
    </w:p>
    <w:p w14:paraId="16620BCC" w14:textId="77777777" w:rsidR="009F026B" w:rsidRDefault="00000000">
      <w:pPr>
        <w:ind w:left="-5" w:right="36"/>
      </w:pPr>
      <w:r>
        <w:t xml:space="preserve">Support Vector Machines (SVMs) are a kind of machine that helps you to solve problems. </w:t>
      </w:r>
    </w:p>
    <w:p w14:paraId="4A6B4B41" w14:textId="77777777" w:rsidR="009F026B" w:rsidRDefault="00000000">
      <w:pPr>
        <w:spacing w:after="165" w:line="259" w:lineRule="auto"/>
        <w:ind w:left="0" w:firstLine="0"/>
        <w:jc w:val="right"/>
      </w:pPr>
      <w:r>
        <w:rPr>
          <w:noProof/>
        </w:rPr>
        <w:drawing>
          <wp:inline distT="0" distB="0" distL="0" distR="0" wp14:anchorId="0EA1A9ED" wp14:editId="6B00A7A9">
            <wp:extent cx="5937743" cy="2544493"/>
            <wp:effectExtent l="0" t="0" r="0" b="0"/>
            <wp:docPr id="1138" name="Picture 1138"/>
            <wp:cNvGraphicFramePr/>
            <a:graphic xmlns:a="http://schemas.openxmlformats.org/drawingml/2006/main">
              <a:graphicData uri="http://schemas.openxmlformats.org/drawingml/2006/picture">
                <pic:pic xmlns:pic="http://schemas.openxmlformats.org/drawingml/2006/picture">
                  <pic:nvPicPr>
                    <pic:cNvPr id="1138" name="Picture 1138"/>
                    <pic:cNvPicPr/>
                  </pic:nvPicPr>
                  <pic:blipFill>
                    <a:blip r:embed="rId7"/>
                    <a:stretch>
                      <a:fillRect/>
                    </a:stretch>
                  </pic:blipFill>
                  <pic:spPr>
                    <a:xfrm>
                      <a:off x="0" y="0"/>
                      <a:ext cx="5937743" cy="2544493"/>
                    </a:xfrm>
                    <a:prstGeom prst="rect">
                      <a:avLst/>
                    </a:prstGeom>
                  </pic:spPr>
                </pic:pic>
              </a:graphicData>
            </a:graphic>
          </wp:inline>
        </w:drawing>
      </w:r>
      <w:r>
        <w:t xml:space="preserve"> </w:t>
      </w:r>
    </w:p>
    <w:p w14:paraId="1132D4A8" w14:textId="77777777" w:rsidR="009F026B" w:rsidRDefault="00000000">
      <w:pPr>
        <w:spacing w:after="522"/>
        <w:ind w:left="-5" w:right="36"/>
      </w:pPr>
      <w:r>
        <w:t xml:space="preserve">Known as guided machine learning, the "Support Vector Machine" (SVM) is a machine learning technique that may be used to both categorization and prediction problems. In practice, it's most often employed in categorization difficulties. They are guided classifiers based on kernels that were invented by </w:t>
      </w:r>
      <w:proofErr w:type="spellStart"/>
      <w:r>
        <w:t>Vapnik</w:t>
      </w:r>
      <w:proofErr w:type="spellEnd"/>
      <w:r>
        <w:t xml:space="preserve">. The support vector machine application's goal is to create a hyper - plane in an N-dimensional environment (where N is the quantity of variables) that can be used to distinguish between different classes of pieces of data. Researchers depict every piece of data as a juncture in n-dimensional environment using the SVM method, with the score of every characteristic representing the number of a certain coordinate. After that, we do classification by identifying the hyper-plane that most effectively distinguishes between the two classes. </w:t>
      </w:r>
    </w:p>
    <w:p w14:paraId="6614F4EA" w14:textId="77777777" w:rsidR="009F026B" w:rsidRDefault="00000000">
      <w:pPr>
        <w:pStyle w:val="Heading1"/>
        <w:ind w:left="-5" w:right="0"/>
      </w:pPr>
      <w:bookmarkStart w:id="13" w:name="_Toc17013"/>
      <w:r>
        <w:t>3</w:t>
      </w:r>
      <w:r>
        <w:rPr>
          <w:rFonts w:ascii="Arial" w:eastAsia="Arial" w:hAnsi="Arial" w:cs="Arial"/>
        </w:rPr>
        <w:t xml:space="preserve"> </w:t>
      </w:r>
      <w:r>
        <w:t xml:space="preserve">Evaluation </w:t>
      </w:r>
      <w:bookmarkEnd w:id="13"/>
    </w:p>
    <w:p w14:paraId="4D04A493" w14:textId="77777777" w:rsidR="009F026B" w:rsidRDefault="00000000">
      <w:pPr>
        <w:ind w:left="-5" w:right="36"/>
      </w:pPr>
      <w:r>
        <w:t xml:space="preserve">It is a representative selection of the overall Indian demographic drawn from the Andhra Pradesh area. Five hundred eighty-three cases, each representing one of ten distinct biological factors, were included in the collection. In accordance with these characteristics, the category result was recorded as simply affirmative (416 instances) or negative (167 cases), indicating the presence or absence of the liver infection. Patients with liver disease were classified as either '1' or '2' according to their severity. </w:t>
      </w:r>
    </w:p>
    <w:p w14:paraId="462A8700" w14:textId="77777777" w:rsidR="009F026B" w:rsidRDefault="00000000">
      <w:pPr>
        <w:ind w:left="-5" w:right="36"/>
      </w:pPr>
      <w:r>
        <w:t xml:space="preserve">For the categorization of the Indian Hepatic Patient Database, five algorithms were used: Nave Bayes, Logistic Regression, Decision Tree, </w:t>
      </w:r>
      <w:proofErr w:type="gramStart"/>
      <w:r>
        <w:t>Random forest</w:t>
      </w:r>
      <w:proofErr w:type="gramEnd"/>
      <w:r>
        <w:t xml:space="preserve">, and SVM. The algorithms were applied in the following order: The models were created for the coaching dataset and then tested on the testing set to ensure they were accurate. Predictive performance was measured and found to be 74.09 percent for the SVM (Mahmud, et al., 2018). </w:t>
      </w:r>
    </w:p>
    <w:p w14:paraId="6889DE8B" w14:textId="77777777" w:rsidR="009F026B" w:rsidRDefault="00000000">
      <w:pPr>
        <w:ind w:left="-5" w:right="36"/>
      </w:pPr>
      <w:r>
        <w:lastRenderedPageBreak/>
        <w:t xml:space="preserve">The Receiver - operating characteristic Parameters are shown in Below figure. (ROC). The true positive rate (TPR) and false positive rate (FPR) of categorization findings are utilized to indicate the effectiveness of machine learning algorithms, and the ROC curve is used to show this efficiency. Furthermore, for ROC, SVM obtained the maximum AUC (area under the curve) of any algorithm. </w:t>
      </w:r>
    </w:p>
    <w:p w14:paraId="0C2B68A5" w14:textId="77777777" w:rsidR="009F026B" w:rsidRDefault="00000000">
      <w:pPr>
        <w:ind w:left="-5" w:right="36"/>
      </w:pPr>
      <w:r>
        <w:t xml:space="preserve">The primary goal of this research is to develop a reliable diagnostic method for individuals with chorionic liver disease by combining six different guided machine learning classifiers. We investigated the implementation of all classifiers on patient data </w:t>
      </w:r>
      <w:proofErr w:type="gramStart"/>
      <w:r>
        <w:t>variables, and</w:t>
      </w:r>
      <w:proofErr w:type="gramEnd"/>
      <w:r>
        <w:t xml:space="preserve"> found that the LR classifier provides the highest order preciseness (75 percent) based on the F1 measurement to forecast liver illness, while the NB classifier provides the lowest precision (53 percent). Outperform categorization procedures will be used in the future for the choice support system and the identification of persistent diseases. The program will have the capability of predicting liver disease in advance and informing the user of his or her health status. With the lack of medical foundations and, more importantly, specific experts, this application may be unexpectedly profitable in low-wage countries with limited resources. These are a few takeaways from our research that will be useful for further research in this sector (Rahman, et al., 2019). Having examined a few widely used guided machine learning methods, it is possible to choose even more algorithms from which to create a more exact </w:t>
      </w:r>
      <w:proofErr w:type="spellStart"/>
      <w:r>
        <w:t>modeling</w:t>
      </w:r>
      <w:proofErr w:type="spellEnd"/>
      <w:r>
        <w:t xml:space="preserve"> of liver disease prediction, with performance steadily improving as the model becomes more specific. Additionally, this study is poised to play a big role in health-care research, as well as in the development of restorative strategies to prevent liver infection. </w:t>
      </w:r>
    </w:p>
    <w:p w14:paraId="785A35DD" w14:textId="77777777" w:rsidR="009F026B" w:rsidRDefault="00000000">
      <w:pPr>
        <w:spacing w:after="218" w:line="259" w:lineRule="auto"/>
        <w:ind w:left="0" w:firstLine="0"/>
        <w:jc w:val="left"/>
      </w:pPr>
      <w:r>
        <w:t xml:space="preserve"> </w:t>
      </w:r>
    </w:p>
    <w:p w14:paraId="37D15AC5" w14:textId="77777777" w:rsidR="009F026B" w:rsidRDefault="00000000">
      <w:pPr>
        <w:ind w:left="-5" w:right="36"/>
      </w:pPr>
      <w:r>
        <w:t xml:space="preserve">Using these approaches, it was possible to see the differences in texture patterns between normal and sick livers. Nonetheless, these findings represented a big step forward in terms of establishing the heterogeneity in liver structure from illness to illness, and even from moderate to severe instances within a single disease (Wu, et al., 2019). These solutions are easier to adopt and manage since they are more straightforward. It is impossible to talk about the excellence of a particular technique. The kind of analysis might differ from one illness to another. However, when it comes to differentiating between distinct tissue properties, the mixture of several methodologies might provide encouraging results. Future study should involve the use of a variety of analytic tools to validate clinical results and establish a standardization process, among other things. It is vital to get appropriate training in order to provide reliable diagnosis findings and to put these ideas into action. Finally, we were able to demonstrate that surface assessment of CT images is a substantially unbiased approach that can be used to differentiate between distinct liver stages ranging from normal to pathological. </w:t>
      </w:r>
    </w:p>
    <w:p w14:paraId="7593F83A" w14:textId="77777777" w:rsidR="009F026B" w:rsidRDefault="00000000">
      <w:pPr>
        <w:spacing w:after="218" w:line="259" w:lineRule="auto"/>
        <w:ind w:left="0" w:firstLine="0"/>
        <w:jc w:val="left"/>
      </w:pPr>
      <w:r>
        <w:t xml:space="preserve"> </w:t>
      </w:r>
    </w:p>
    <w:p w14:paraId="48A6BFE8" w14:textId="77777777" w:rsidR="009F026B" w:rsidRDefault="00000000">
      <w:pPr>
        <w:pStyle w:val="Heading2"/>
        <w:ind w:left="-5"/>
      </w:pPr>
      <w:bookmarkStart w:id="14" w:name="_Toc17014"/>
      <w:r>
        <w:lastRenderedPageBreak/>
        <w:t xml:space="preserve">3.1 Analysis </w:t>
      </w:r>
      <w:bookmarkEnd w:id="14"/>
    </w:p>
    <w:p w14:paraId="401D046B" w14:textId="77777777" w:rsidR="009F026B" w:rsidRDefault="00000000">
      <w:pPr>
        <w:ind w:left="-5" w:right="36"/>
      </w:pPr>
      <w:r>
        <w:t xml:space="preserve">In this study, we used certain factual estimates to determine how well different categorization algorithms performed when tested in the field. The effectiveness of the categorization algorithms was evaluated using a variety of assessment methodologies, including correctness, susceptibility, selectivity, sharpness, and the f1-score, among other things. Therefore, the uncertainty matrices determine the factors that will be evaluated throughout the show (Islam, et al., 2018). Here, an example of a True Positive (TP) is when the outcome of a forecast properly classifies an individual as having liver ailment. In the case of a false positive (FP), the outcome of the forecast wrongly classifies an individual as having liver illness. TN stands for True Negative, and it indicates that the prognosis was </w:t>
      </w:r>
      <w:proofErr w:type="gramStart"/>
      <w:r>
        <w:t>right</w:t>
      </w:r>
      <w:proofErr w:type="gramEnd"/>
      <w:r>
        <w:t xml:space="preserve"> and the individual does not have liver ailment. An example of a False Negative (FN) is when the outcome of a forecast wrongly excludes the possibility that an individual has liver ailment (Priya, et al., 2018). The accuracy provides a comparison among the noise and human capability ratios when the projection model is used to calculate the ratio. To identify the accuracy of categorization, the true positive, true negative, false positive, and false negative are all used in conjunction with each other. </w:t>
      </w:r>
    </w:p>
    <w:p w14:paraId="343F4E3F" w14:textId="77777777" w:rsidR="009F026B" w:rsidRDefault="00000000">
      <w:pPr>
        <w:ind w:left="-5" w:right="36"/>
      </w:pPr>
      <w:r>
        <w:t xml:space="preserve">As part of this experiment, we looked at a variety of different analyses to see how well the </w:t>
      </w:r>
      <w:proofErr w:type="spellStart"/>
      <w:r>
        <w:t>sixmachine</w:t>
      </w:r>
      <w:proofErr w:type="spellEnd"/>
      <w:r>
        <w:t xml:space="preserve"> learning classification performed for the categorization of liver disease database. In regards of efficiency, LR earned the maximum accuracy of 77%, while NB obtained the poorest effectiveness of 55.5%, respectively. When it comes to accuracy, LR received the greatest score of 91.5 percent, while NB received the lowest score of 35 percent. When sensitivity is taken into consideration, SVM earned the greatest score of 87 percent and KNN acquired the lowest value of 75.5 percent. Logistics Regression also had the highest success in terms of the f1 metric, with an 89.1 percent score, whereas NB had the weakest performance, with a 54 percent score. When precision was taken into consideration, DT earned the maximum value of 49 percent and LR the worst value of 49.5 percent. Based on a comparison of these measuring parameters, the LR categorization approach is shown to be more successful than the previous classifications in the prediction of chronic liver disease. As seen in below figure, the ambiguity matrices of predictions outcomes is displayed.  </w:t>
      </w:r>
    </w:p>
    <w:p w14:paraId="7BA98466" w14:textId="77777777" w:rsidR="009F026B" w:rsidRDefault="00000000">
      <w:pPr>
        <w:spacing w:after="0" w:line="259" w:lineRule="auto"/>
        <w:ind w:left="0" w:firstLine="0"/>
        <w:jc w:val="right"/>
      </w:pPr>
      <w:r>
        <w:rPr>
          <w:noProof/>
        </w:rPr>
        <w:lastRenderedPageBreak/>
        <w:drawing>
          <wp:inline distT="0" distB="0" distL="0" distR="0" wp14:anchorId="132CF1F0" wp14:editId="3E4A3B43">
            <wp:extent cx="5934729" cy="2965966"/>
            <wp:effectExtent l="0" t="0" r="0" b="0"/>
            <wp:docPr id="1292" name="Picture 1292"/>
            <wp:cNvGraphicFramePr/>
            <a:graphic xmlns:a="http://schemas.openxmlformats.org/drawingml/2006/main">
              <a:graphicData uri="http://schemas.openxmlformats.org/drawingml/2006/picture">
                <pic:pic xmlns:pic="http://schemas.openxmlformats.org/drawingml/2006/picture">
                  <pic:nvPicPr>
                    <pic:cNvPr id="1292" name="Picture 1292"/>
                    <pic:cNvPicPr/>
                  </pic:nvPicPr>
                  <pic:blipFill>
                    <a:blip r:embed="rId8"/>
                    <a:stretch>
                      <a:fillRect/>
                    </a:stretch>
                  </pic:blipFill>
                  <pic:spPr>
                    <a:xfrm>
                      <a:off x="0" y="0"/>
                      <a:ext cx="5934729" cy="2965966"/>
                    </a:xfrm>
                    <a:prstGeom prst="rect">
                      <a:avLst/>
                    </a:prstGeom>
                  </pic:spPr>
                </pic:pic>
              </a:graphicData>
            </a:graphic>
          </wp:inline>
        </w:drawing>
      </w:r>
      <w:r>
        <w:t xml:space="preserve"> </w:t>
      </w:r>
    </w:p>
    <w:p w14:paraId="31494221" w14:textId="77777777" w:rsidR="009F026B" w:rsidRDefault="00000000">
      <w:pPr>
        <w:spacing w:after="218" w:line="259" w:lineRule="auto"/>
        <w:ind w:left="0" w:firstLine="0"/>
        <w:jc w:val="left"/>
      </w:pPr>
      <w:r>
        <w:t xml:space="preserve"> </w:t>
      </w:r>
    </w:p>
    <w:p w14:paraId="627AB63E" w14:textId="77777777" w:rsidR="009F026B" w:rsidRDefault="00000000">
      <w:pPr>
        <w:ind w:left="-5" w:right="36"/>
      </w:pPr>
      <w:r>
        <w:t xml:space="preserve">Another figure depicts an evaluation of the effectiveness of six guided machine learning algorithms. </w:t>
      </w:r>
    </w:p>
    <w:p w14:paraId="18AE4297" w14:textId="77777777" w:rsidR="009F026B" w:rsidRDefault="00000000">
      <w:pPr>
        <w:spacing w:after="165" w:line="259" w:lineRule="auto"/>
        <w:ind w:left="0" w:firstLine="0"/>
        <w:jc w:val="right"/>
      </w:pPr>
      <w:r>
        <w:rPr>
          <w:noProof/>
        </w:rPr>
        <w:drawing>
          <wp:inline distT="0" distB="0" distL="0" distR="0" wp14:anchorId="40D04039" wp14:editId="103C9E1B">
            <wp:extent cx="5934729" cy="2965966"/>
            <wp:effectExtent l="0" t="0" r="0" b="0"/>
            <wp:docPr id="1338" name="Picture 1338"/>
            <wp:cNvGraphicFramePr/>
            <a:graphic xmlns:a="http://schemas.openxmlformats.org/drawingml/2006/main">
              <a:graphicData uri="http://schemas.openxmlformats.org/drawingml/2006/picture">
                <pic:pic xmlns:pic="http://schemas.openxmlformats.org/drawingml/2006/picture">
                  <pic:nvPicPr>
                    <pic:cNvPr id="1338" name="Picture 1338"/>
                    <pic:cNvPicPr/>
                  </pic:nvPicPr>
                  <pic:blipFill>
                    <a:blip r:embed="rId9"/>
                    <a:stretch>
                      <a:fillRect/>
                    </a:stretch>
                  </pic:blipFill>
                  <pic:spPr>
                    <a:xfrm>
                      <a:off x="0" y="0"/>
                      <a:ext cx="5934729" cy="2965966"/>
                    </a:xfrm>
                    <a:prstGeom prst="rect">
                      <a:avLst/>
                    </a:prstGeom>
                  </pic:spPr>
                </pic:pic>
              </a:graphicData>
            </a:graphic>
          </wp:inline>
        </w:drawing>
      </w:r>
      <w:r>
        <w:t xml:space="preserve"> </w:t>
      </w:r>
    </w:p>
    <w:p w14:paraId="703D5B11" w14:textId="77777777" w:rsidR="009F026B" w:rsidRDefault="00000000">
      <w:pPr>
        <w:spacing w:after="218" w:line="259" w:lineRule="auto"/>
        <w:ind w:left="0" w:firstLine="0"/>
        <w:jc w:val="left"/>
      </w:pPr>
      <w:r>
        <w:t xml:space="preserve"> </w:t>
      </w:r>
    </w:p>
    <w:p w14:paraId="7CDB8E90" w14:textId="77777777" w:rsidR="009F026B" w:rsidRDefault="00000000">
      <w:pPr>
        <w:ind w:left="-5" w:right="36"/>
      </w:pPr>
      <w:r>
        <w:t xml:space="preserve">The primary goal of this research is to develop a reliable diagnostic method for individuals with choroid plexus liver illness by combining six different guided machine learning classifiers. We investigated the implementation of all classifications on patient data </w:t>
      </w:r>
      <w:proofErr w:type="gramStart"/>
      <w:r>
        <w:t>characteristics, and</w:t>
      </w:r>
      <w:proofErr w:type="gramEnd"/>
      <w:r>
        <w:t xml:space="preserve"> found that the LR classifier provides the highest order exactness (75.5 percent) based on the F1 measurement </w:t>
      </w:r>
      <w:r>
        <w:lastRenderedPageBreak/>
        <w:t xml:space="preserve">to forecast liver disease, while the NB classification provides the lowest precision (54 percent). Outclass categorization procedures will be used in the future for the decision assistance network and the identification of persistent diseases. The program will have the capability of predicting liver infection in advance and informing the user of his or her health status. With the lack of medical institutions and, more importantly, specific experts, this technology may be unexpectedly profitable in low-wage countries with limited resources. There are a few takeaways from our research that will be useful for further work in this sector. Having examined a few widely used guided machine learning techniques, it is possible to choose even more algorithms from which to create a more exact model of liver ailment prognosis, with performance steadily improving as the model becomes more specific. Additionally, this study is poised to play a big role in health-care research, as well as in the development of restorative strategies to prevent liver infection. </w:t>
      </w:r>
    </w:p>
    <w:p w14:paraId="0DF92007" w14:textId="77777777" w:rsidR="009F026B" w:rsidRDefault="00000000">
      <w:pPr>
        <w:ind w:left="-5" w:right="36"/>
      </w:pPr>
      <w:r>
        <w:t xml:space="preserve">With the passage of time, diseases of the liver and heart are getting more and more prevalent. This are undoubtedly expected to become more prevalent in the future </w:t>
      </w:r>
      <w:proofErr w:type="gramStart"/>
      <w:r>
        <w:t>as a result of</w:t>
      </w:r>
      <w:proofErr w:type="gramEnd"/>
      <w:r>
        <w:t xml:space="preserve"> continuing technology improvements. However, even if individuals are getting more wellness aware today and are enrolling in yoga and dancing classes, the healthy living, as well as the amenities that are constantly getting presented and increased, will ensure that the issue will persist for a long time. As a result, our product will be tremendously beneficial to the </w:t>
      </w:r>
      <w:proofErr w:type="gramStart"/>
      <w:r>
        <w:t>general public</w:t>
      </w:r>
      <w:proofErr w:type="gramEnd"/>
      <w:r>
        <w:t xml:space="preserve"> in such an environment (Fatima &amp; Pasha, 2017).  </w:t>
      </w:r>
    </w:p>
    <w:p w14:paraId="294E6DCF" w14:textId="77777777" w:rsidR="009F026B" w:rsidRDefault="00000000">
      <w:pPr>
        <w:ind w:left="-5" w:right="36"/>
      </w:pPr>
      <w:r>
        <w:t xml:space="preserve">In the presented study, several algorithms were applied on a dataset of liver patient disorders </w:t>
      </w:r>
      <w:proofErr w:type="gramStart"/>
      <w:r>
        <w:t>in order to</w:t>
      </w:r>
      <w:proofErr w:type="gramEnd"/>
      <w:r>
        <w:t xml:space="preserve"> forecast liver diseases depending on software that was previously established. The data set was </w:t>
      </w:r>
      <w:proofErr w:type="spellStart"/>
      <w:r>
        <w:t>analyzed</w:t>
      </w:r>
      <w:proofErr w:type="spellEnd"/>
      <w:r>
        <w:t xml:space="preserve"> and integrated on the Decision Tree tool utilizing feature selection approaches and the 10-fold cross validation assessment option, as well as the Decision Tree tool. After the installation of several classifiers, the outcomes of the suggested research were evaluated in regards of implementation duration and reliability between those obtained using pattern choice approaches and those obtained without characteristic selection methods. Also examined were the results of additional metrics such as the kappa statistic, the number of occurrences that had been properly identified, and the average relative error, all of which were applied to the hepatic patient illnesses database. Using the Logistic Regression classification in conjunction with highlight choice approaches, the best results were obtained, and the implementation time of various classifiers was reduced as a consequence of the application of the feature selection strategy (</w:t>
      </w:r>
      <w:proofErr w:type="spellStart"/>
      <w:r>
        <w:t>Vijayarani</w:t>
      </w:r>
      <w:proofErr w:type="spellEnd"/>
      <w:r>
        <w:t xml:space="preserve"> &amp; </w:t>
      </w:r>
      <w:proofErr w:type="spellStart"/>
      <w:r>
        <w:t>Dhayanand</w:t>
      </w:r>
      <w:proofErr w:type="spellEnd"/>
      <w:r>
        <w:t xml:space="preserve">, 2015). </w:t>
      </w:r>
    </w:p>
    <w:p w14:paraId="40D759B1" w14:textId="77777777" w:rsidR="009F026B" w:rsidRDefault="00000000">
      <w:pPr>
        <w:ind w:left="-5" w:right="36"/>
      </w:pPr>
      <w:r>
        <w:t xml:space="preserve">The forthcoming methods will be utilized to divide the hepatic area into separate divisions, such as the liver and other organs. However, there is still room for development, particularly in terms of the choice of liver characteristics into several sections, which include the renal cortical, renal column, renal cortex, and renal basin, among others. Aside from that, it is intended to increase the size of the data on what the technology will be evaluated. Furthermore, the approach presented in this dissertation may be used in the future to identify heart disorders using a heart information and to classify the illnesses using the methodology given in this dissertation. </w:t>
      </w:r>
    </w:p>
    <w:p w14:paraId="2098BDAF" w14:textId="77777777" w:rsidR="009F026B" w:rsidRDefault="00000000">
      <w:pPr>
        <w:spacing w:after="16" w:line="259" w:lineRule="auto"/>
        <w:ind w:left="0" w:firstLine="0"/>
        <w:jc w:val="left"/>
      </w:pPr>
      <w:r>
        <w:rPr>
          <w:b/>
        </w:rPr>
        <w:t xml:space="preserve"> </w:t>
      </w:r>
    </w:p>
    <w:p w14:paraId="1EB1A902" w14:textId="77777777" w:rsidR="009F026B" w:rsidRDefault="00000000">
      <w:pPr>
        <w:spacing w:after="268" w:line="259" w:lineRule="auto"/>
        <w:ind w:left="0" w:firstLine="0"/>
        <w:jc w:val="left"/>
      </w:pPr>
      <w:r>
        <w:lastRenderedPageBreak/>
        <w:t xml:space="preserve"> </w:t>
      </w:r>
    </w:p>
    <w:p w14:paraId="20AD81AD" w14:textId="77777777" w:rsidR="009F026B" w:rsidRDefault="00000000">
      <w:pPr>
        <w:spacing w:after="0" w:line="259" w:lineRule="auto"/>
        <w:ind w:left="0" w:firstLine="0"/>
        <w:jc w:val="left"/>
      </w:pPr>
      <w:r>
        <w:t xml:space="preserve"> </w:t>
      </w:r>
      <w:r>
        <w:tab/>
      </w:r>
      <w:r>
        <w:rPr>
          <w:b/>
          <w:sz w:val="28"/>
        </w:rPr>
        <w:t xml:space="preserve"> </w:t>
      </w:r>
    </w:p>
    <w:p w14:paraId="3B549C6B" w14:textId="77777777" w:rsidR="009F026B" w:rsidRDefault="00000000">
      <w:pPr>
        <w:pStyle w:val="Heading1"/>
        <w:ind w:left="-5" w:right="0"/>
      </w:pPr>
      <w:bookmarkStart w:id="15" w:name="_Toc17015"/>
      <w:r>
        <w:t>2.</w:t>
      </w:r>
      <w:r>
        <w:rPr>
          <w:rFonts w:ascii="Arial" w:eastAsia="Arial" w:hAnsi="Arial" w:cs="Arial"/>
        </w:rPr>
        <w:t xml:space="preserve"> </w:t>
      </w:r>
      <w:r>
        <w:t xml:space="preserve">References </w:t>
      </w:r>
      <w:bookmarkEnd w:id="15"/>
    </w:p>
    <w:p w14:paraId="38019528" w14:textId="77777777" w:rsidR="009F026B" w:rsidRDefault="00000000">
      <w:pPr>
        <w:ind w:left="-5" w:right="36"/>
      </w:pPr>
      <w:r>
        <w:t xml:space="preserve">Mohanty, S., </w:t>
      </w:r>
      <w:proofErr w:type="spellStart"/>
      <w:r>
        <w:t>Gantayat</w:t>
      </w:r>
      <w:proofErr w:type="spellEnd"/>
      <w:r>
        <w:t xml:space="preserve">, P. K., Dash, S., Mishra, B. P., &amp; Barik, S. C. (2021). Liver Disease Prediction Using Machine Learning Algorithm. In </w:t>
      </w:r>
      <w:r>
        <w:rPr>
          <w:i/>
        </w:rPr>
        <w:t>Data Engineering and Intelligent Computing</w:t>
      </w:r>
      <w:r>
        <w:t xml:space="preserve"> (pp. 589-596). Springer, Singapore. </w:t>
      </w:r>
    </w:p>
    <w:p w14:paraId="2FC3E2AB" w14:textId="77777777" w:rsidR="009F026B" w:rsidRDefault="00000000">
      <w:pPr>
        <w:ind w:left="-5" w:right="36"/>
      </w:pPr>
      <w:r>
        <w:t xml:space="preserve">Asrani, S. K., Larson, J. J., Yawn, B., </w:t>
      </w:r>
      <w:proofErr w:type="spellStart"/>
      <w:r>
        <w:t>Therneau</w:t>
      </w:r>
      <w:proofErr w:type="spellEnd"/>
      <w:r>
        <w:t xml:space="preserve">, T. M., &amp; Kim, W. R. (2013). Underestimation of liver-related mortality in the United States. </w:t>
      </w:r>
      <w:r>
        <w:rPr>
          <w:i/>
        </w:rPr>
        <w:t>Gastroenterology, 145</w:t>
      </w:r>
      <w:r>
        <w:t xml:space="preserve">(2), 375-382. </w:t>
      </w:r>
    </w:p>
    <w:p w14:paraId="08DB8A5F" w14:textId="77777777" w:rsidR="009F026B" w:rsidRDefault="00000000">
      <w:pPr>
        <w:spacing w:after="202" w:line="273" w:lineRule="auto"/>
        <w:ind w:left="-5"/>
        <w:jc w:val="left"/>
      </w:pPr>
      <w:r>
        <w:t xml:space="preserve">Karthik, S., </w:t>
      </w:r>
      <w:proofErr w:type="spellStart"/>
      <w:r>
        <w:t>Priyadarishini</w:t>
      </w:r>
      <w:proofErr w:type="spellEnd"/>
      <w:r>
        <w:t xml:space="preserve">, A., Anuradha, J., &amp; Tripathy, B. K. (2011). Classification and rule extraction using rough set for diagnosis of liver disease and its types. </w:t>
      </w:r>
      <w:r>
        <w:rPr>
          <w:i/>
        </w:rPr>
        <w:t xml:space="preserve">Adv </w:t>
      </w:r>
      <w:proofErr w:type="spellStart"/>
      <w:r>
        <w:rPr>
          <w:i/>
        </w:rPr>
        <w:t>Appl</w:t>
      </w:r>
      <w:proofErr w:type="spellEnd"/>
      <w:r>
        <w:rPr>
          <w:i/>
        </w:rPr>
        <w:t xml:space="preserve"> Sci Res</w:t>
      </w:r>
      <w:r>
        <w:t xml:space="preserve">, </w:t>
      </w:r>
      <w:r>
        <w:rPr>
          <w:i/>
        </w:rPr>
        <w:t>2</w:t>
      </w:r>
      <w:r>
        <w:t xml:space="preserve">(3), 334-345. </w:t>
      </w:r>
    </w:p>
    <w:p w14:paraId="69582697" w14:textId="77777777" w:rsidR="009F026B" w:rsidRDefault="00000000">
      <w:pPr>
        <w:ind w:left="-5" w:right="36"/>
      </w:pPr>
      <w:proofErr w:type="spellStart"/>
      <w:r>
        <w:t>Mokdad</w:t>
      </w:r>
      <w:proofErr w:type="spellEnd"/>
      <w:r>
        <w:t xml:space="preserve">, A. A., Lopez, A. D., </w:t>
      </w:r>
      <w:proofErr w:type="spellStart"/>
      <w:r>
        <w:t>Shahraz</w:t>
      </w:r>
      <w:proofErr w:type="spellEnd"/>
      <w:r>
        <w:t xml:space="preserve">, S., Lozano, R., </w:t>
      </w:r>
      <w:proofErr w:type="spellStart"/>
      <w:r>
        <w:t>Mokdad</w:t>
      </w:r>
      <w:proofErr w:type="spellEnd"/>
      <w:r>
        <w:t xml:space="preserve">, A. H., </w:t>
      </w:r>
      <w:proofErr w:type="spellStart"/>
      <w:r>
        <w:t>Stanaway</w:t>
      </w:r>
      <w:proofErr w:type="spellEnd"/>
      <w:r>
        <w:t xml:space="preserve">, J., ... &amp; </w:t>
      </w:r>
      <w:proofErr w:type="spellStart"/>
      <w:r>
        <w:t>Naghavi</w:t>
      </w:r>
      <w:proofErr w:type="spellEnd"/>
      <w:r>
        <w:t xml:space="preserve">, M. (2014). Liver cirrhosis mortality in 187 countries between 1980 and 2010: a systematic analysis. </w:t>
      </w:r>
      <w:r>
        <w:rPr>
          <w:i/>
        </w:rPr>
        <w:t>BMC medicine</w:t>
      </w:r>
      <w:r>
        <w:t xml:space="preserve">, </w:t>
      </w:r>
      <w:r>
        <w:rPr>
          <w:i/>
        </w:rPr>
        <w:t>12</w:t>
      </w:r>
      <w:r>
        <w:t xml:space="preserve">(1), 1-24. </w:t>
      </w:r>
    </w:p>
    <w:p w14:paraId="75CD6504" w14:textId="77777777" w:rsidR="009F026B" w:rsidRDefault="00000000">
      <w:pPr>
        <w:ind w:left="-5" w:right="36"/>
      </w:pPr>
      <w:r>
        <w:t xml:space="preserve">Hastie T, Robert, T, Jerome F (2009). The Elements of Statistical Learning: Data mining, Inference and Prediction. Springer. 485–586. </w:t>
      </w:r>
    </w:p>
    <w:p w14:paraId="63A93573" w14:textId="77777777" w:rsidR="009F026B" w:rsidRDefault="00000000">
      <w:pPr>
        <w:ind w:left="-5" w:right="36"/>
      </w:pPr>
      <w:proofErr w:type="spellStart"/>
      <w:r>
        <w:t>Byass</w:t>
      </w:r>
      <w:proofErr w:type="spellEnd"/>
      <w:r>
        <w:t xml:space="preserve">, P. (2014). The global burden of liver disease: a challenge for methods and for public health. </w:t>
      </w:r>
      <w:r>
        <w:rPr>
          <w:i/>
        </w:rPr>
        <w:t>BMC medicine</w:t>
      </w:r>
      <w:r>
        <w:t xml:space="preserve">, </w:t>
      </w:r>
      <w:r>
        <w:rPr>
          <w:i/>
        </w:rPr>
        <w:t>12</w:t>
      </w:r>
      <w:r>
        <w:t xml:space="preserve">(1), 1-3. </w:t>
      </w:r>
    </w:p>
    <w:p w14:paraId="6D74654D" w14:textId="77777777" w:rsidR="009F026B" w:rsidRDefault="00000000">
      <w:pPr>
        <w:ind w:left="-5" w:right="36"/>
      </w:pPr>
      <w:proofErr w:type="spellStart"/>
      <w:r>
        <w:t>Pahareeya</w:t>
      </w:r>
      <w:proofErr w:type="spellEnd"/>
      <w:r>
        <w:t xml:space="preserve">, J., Vohra, R., Makhijani, J., &amp; </w:t>
      </w:r>
      <w:proofErr w:type="spellStart"/>
      <w:r>
        <w:t>Patsariya</w:t>
      </w:r>
      <w:proofErr w:type="spellEnd"/>
      <w:r>
        <w:t xml:space="preserve">, S. (2014). Liver patient classification using intelligence techniques. </w:t>
      </w:r>
      <w:r>
        <w:rPr>
          <w:i/>
        </w:rPr>
        <w:t>International journal of advanced research in computer science and software engineering</w:t>
      </w:r>
      <w:r>
        <w:t xml:space="preserve">, </w:t>
      </w:r>
      <w:r>
        <w:rPr>
          <w:i/>
        </w:rPr>
        <w:t>4</w:t>
      </w:r>
      <w:r>
        <w:t xml:space="preserve">(2), 295-299. </w:t>
      </w:r>
    </w:p>
    <w:p w14:paraId="255F23B9" w14:textId="77777777" w:rsidR="009F026B" w:rsidRDefault="00000000">
      <w:pPr>
        <w:ind w:left="-5" w:right="36"/>
      </w:pPr>
      <w:r>
        <w:t xml:space="preserve">Auxilia, L. A. (2018, May). Accuracy prediction using machine learning techniques for </w:t>
      </w:r>
      <w:proofErr w:type="spellStart"/>
      <w:r>
        <w:t>indian</w:t>
      </w:r>
      <w:proofErr w:type="spellEnd"/>
      <w:r>
        <w:t xml:space="preserve"> patient liver disease. In </w:t>
      </w:r>
      <w:r>
        <w:rPr>
          <w:i/>
        </w:rPr>
        <w:t>2018 2nd International Conference on Trends in Electronics and Informatics (ICOEI)</w:t>
      </w:r>
      <w:r>
        <w:t xml:space="preserve"> (pp. 45-50). IEEE. </w:t>
      </w:r>
    </w:p>
    <w:p w14:paraId="4DEA47A6" w14:textId="77777777" w:rsidR="009F026B" w:rsidRDefault="00000000">
      <w:pPr>
        <w:ind w:left="-5" w:right="36"/>
      </w:pPr>
      <w:proofErr w:type="spellStart"/>
      <w:r>
        <w:t>Gulia</w:t>
      </w:r>
      <w:proofErr w:type="spellEnd"/>
      <w:r>
        <w:t xml:space="preserve">, A., Vohra, R., &amp; Rani, P. (2014). Liver patient classification using intelligent techniques. </w:t>
      </w:r>
      <w:r>
        <w:rPr>
          <w:i/>
        </w:rPr>
        <w:t>International Journal of Computer Science and Information Technologies</w:t>
      </w:r>
      <w:r>
        <w:t xml:space="preserve">, </w:t>
      </w:r>
      <w:r>
        <w:rPr>
          <w:i/>
        </w:rPr>
        <w:t>5</w:t>
      </w:r>
      <w:r>
        <w:t xml:space="preserve">(4), 5110-5115. </w:t>
      </w:r>
    </w:p>
    <w:p w14:paraId="2FCB842C" w14:textId="77777777" w:rsidR="009F026B" w:rsidRDefault="00000000">
      <w:pPr>
        <w:ind w:left="-5" w:right="36"/>
      </w:pPr>
      <w:r>
        <w:t xml:space="preserve">Hashem, E. M., &amp; Mabrouk, M. S. (2014). A study of support vector machine algorithm for liver disease diagnosis. </w:t>
      </w:r>
      <w:r>
        <w:rPr>
          <w:i/>
        </w:rPr>
        <w:t>American Journal of Intelligent Systems</w:t>
      </w:r>
      <w:r>
        <w:t xml:space="preserve">, </w:t>
      </w:r>
      <w:r>
        <w:rPr>
          <w:i/>
        </w:rPr>
        <w:t>4</w:t>
      </w:r>
      <w:r>
        <w:t xml:space="preserve">(1), 9-14. </w:t>
      </w:r>
    </w:p>
    <w:p w14:paraId="2D9A4FCC" w14:textId="77777777" w:rsidR="009F026B" w:rsidRDefault="00000000">
      <w:pPr>
        <w:ind w:left="-5" w:right="36"/>
      </w:pPr>
      <w:r>
        <w:t xml:space="preserve">Babu, K. S. P. M. P. (2017). A critical study on cluster analysis methods to extract liver disease patterns in Indian liver patient data. </w:t>
      </w:r>
      <w:r>
        <w:rPr>
          <w:i/>
        </w:rPr>
        <w:t>International Journal of Computational Intelligence Research</w:t>
      </w:r>
      <w:r>
        <w:t xml:space="preserve">, </w:t>
      </w:r>
      <w:r>
        <w:rPr>
          <w:i/>
        </w:rPr>
        <w:t>13</w:t>
      </w:r>
      <w:r>
        <w:t xml:space="preserve">(10), 2379-2390. </w:t>
      </w:r>
    </w:p>
    <w:p w14:paraId="13F40759" w14:textId="77777777" w:rsidR="009F026B" w:rsidRDefault="00000000">
      <w:pPr>
        <w:spacing w:after="7"/>
        <w:ind w:left="-5" w:right="36"/>
      </w:pPr>
      <w:proofErr w:type="spellStart"/>
      <w:r>
        <w:t>Jin</w:t>
      </w:r>
      <w:proofErr w:type="spellEnd"/>
      <w:r>
        <w:t xml:space="preserve">, H., Kim, S., &amp; Kim, J. (2014). Decision factors on effective liver patient data prediction. </w:t>
      </w:r>
    </w:p>
    <w:p w14:paraId="13CAAAB1" w14:textId="77777777" w:rsidR="009F026B" w:rsidRDefault="00000000">
      <w:pPr>
        <w:spacing w:after="0" w:line="259" w:lineRule="auto"/>
        <w:ind w:left="0" w:firstLine="0"/>
        <w:jc w:val="left"/>
      </w:pPr>
      <w:r>
        <w:rPr>
          <w:i/>
        </w:rPr>
        <w:t xml:space="preserve">International Journal of </w:t>
      </w:r>
      <w:proofErr w:type="gramStart"/>
      <w:r>
        <w:rPr>
          <w:i/>
        </w:rPr>
        <w:t>Bio-Science</w:t>
      </w:r>
      <w:proofErr w:type="gramEnd"/>
      <w:r>
        <w:rPr>
          <w:i/>
        </w:rPr>
        <w:t xml:space="preserve"> and Bio-Technology</w:t>
      </w:r>
      <w:r>
        <w:t xml:space="preserve">, </w:t>
      </w:r>
      <w:r>
        <w:rPr>
          <w:i/>
        </w:rPr>
        <w:t>6</w:t>
      </w:r>
      <w:r>
        <w:t xml:space="preserve">(4), 167-178. </w:t>
      </w:r>
    </w:p>
    <w:p w14:paraId="6102F51B" w14:textId="77777777" w:rsidR="009F026B" w:rsidRDefault="00000000">
      <w:pPr>
        <w:ind w:left="-5" w:right="36"/>
      </w:pPr>
      <w:proofErr w:type="spellStart"/>
      <w:r>
        <w:lastRenderedPageBreak/>
        <w:t>Sontakke</w:t>
      </w:r>
      <w:proofErr w:type="spellEnd"/>
      <w:r>
        <w:t xml:space="preserve">, S., </w:t>
      </w:r>
      <w:proofErr w:type="spellStart"/>
      <w:r>
        <w:t>Lohokare</w:t>
      </w:r>
      <w:proofErr w:type="spellEnd"/>
      <w:r>
        <w:t xml:space="preserve">, J., &amp; Dani, R. (2017, February). Diagnosis of liver diseases using machine learning. In </w:t>
      </w:r>
      <w:r>
        <w:rPr>
          <w:i/>
        </w:rPr>
        <w:t>2017 International Conference on Emerging Trends &amp; Innovation in ICT (ICEI)</w:t>
      </w:r>
      <w:r>
        <w:t xml:space="preserve"> (pp. 129-133). IEEE. </w:t>
      </w:r>
    </w:p>
    <w:p w14:paraId="4981FE79" w14:textId="77777777" w:rsidR="009F026B" w:rsidRDefault="00000000">
      <w:pPr>
        <w:ind w:left="-5" w:right="36"/>
      </w:pPr>
      <w:proofErr w:type="spellStart"/>
      <w:r>
        <w:t>Alfisahrin</w:t>
      </w:r>
      <w:proofErr w:type="spellEnd"/>
      <w:r>
        <w:t xml:space="preserve">, S. N. N., &amp; </w:t>
      </w:r>
      <w:proofErr w:type="spellStart"/>
      <w:r>
        <w:t>Mantoro</w:t>
      </w:r>
      <w:proofErr w:type="spellEnd"/>
      <w:r>
        <w:t xml:space="preserve">, T. (2013, December). Data mining techniques for optimization of liver disease classification. In </w:t>
      </w:r>
      <w:r>
        <w:rPr>
          <w:i/>
        </w:rPr>
        <w:t>2013 International Conference on Advanced Computer Science Applications and Technologies</w:t>
      </w:r>
      <w:r>
        <w:t xml:space="preserve"> (pp. 379-384). IEEE. </w:t>
      </w:r>
    </w:p>
    <w:p w14:paraId="1B0C56DA" w14:textId="77777777" w:rsidR="009F026B" w:rsidRDefault="00000000">
      <w:pPr>
        <w:ind w:left="-5" w:right="36"/>
      </w:pPr>
      <w:proofErr w:type="spellStart"/>
      <w:r>
        <w:t>Hassoon</w:t>
      </w:r>
      <w:proofErr w:type="spellEnd"/>
      <w:r>
        <w:t xml:space="preserve">, M., </w:t>
      </w:r>
      <w:proofErr w:type="spellStart"/>
      <w:r>
        <w:t>Kouhi</w:t>
      </w:r>
      <w:proofErr w:type="spellEnd"/>
      <w:r>
        <w:t xml:space="preserve">, M. S., </w:t>
      </w:r>
      <w:proofErr w:type="spellStart"/>
      <w:r>
        <w:t>Zomorodi</w:t>
      </w:r>
      <w:proofErr w:type="spellEnd"/>
      <w:r>
        <w:t xml:space="preserve">-Moghadam, M., &amp; </w:t>
      </w:r>
      <w:proofErr w:type="spellStart"/>
      <w:r>
        <w:t>Abdar</w:t>
      </w:r>
      <w:proofErr w:type="spellEnd"/>
      <w:r>
        <w:t xml:space="preserve">, M. (2017, September). Rule optimization of boosted c5. 0 classification using genetic algorithm for liver disease prediction. In </w:t>
      </w:r>
      <w:r>
        <w:rPr>
          <w:i/>
        </w:rPr>
        <w:t>2017 international conference on computer and applications (</w:t>
      </w:r>
      <w:proofErr w:type="spellStart"/>
      <w:r>
        <w:rPr>
          <w:i/>
        </w:rPr>
        <w:t>icca</w:t>
      </w:r>
      <w:proofErr w:type="spellEnd"/>
      <w:r>
        <w:rPr>
          <w:i/>
        </w:rPr>
        <w:t>)</w:t>
      </w:r>
      <w:r>
        <w:t xml:space="preserve"> (pp. 299-305). IEEE. </w:t>
      </w:r>
    </w:p>
    <w:p w14:paraId="436CBC71" w14:textId="77777777" w:rsidR="009F026B" w:rsidRDefault="00000000">
      <w:pPr>
        <w:ind w:left="-5" w:right="36"/>
      </w:pPr>
      <w:r w:rsidRPr="004D1820">
        <w:rPr>
          <w:lang w:val="pt-BR"/>
        </w:rPr>
        <w:t xml:space="preserve">Abdar, M., Zomorodi-Moghadam, M., Das, R., &amp; Ting, I. H. (2017). </w:t>
      </w:r>
      <w:r>
        <w:t xml:space="preserve">Performance analysis of classification algorithms on early detection of liver disease. </w:t>
      </w:r>
      <w:r>
        <w:rPr>
          <w:i/>
        </w:rPr>
        <w:t>Expert Systems with Applications</w:t>
      </w:r>
      <w:r>
        <w:t xml:space="preserve">, </w:t>
      </w:r>
      <w:r>
        <w:rPr>
          <w:i/>
        </w:rPr>
        <w:t>67</w:t>
      </w:r>
      <w:r>
        <w:t xml:space="preserve">, 239-251. </w:t>
      </w:r>
    </w:p>
    <w:p w14:paraId="3D860D53" w14:textId="77777777" w:rsidR="009F026B" w:rsidRDefault="00000000">
      <w:pPr>
        <w:ind w:left="-5" w:right="36"/>
      </w:pPr>
      <w:r>
        <w:t xml:space="preserve">Ramana, B. V., Babu, M. S. P., &amp; </w:t>
      </w:r>
      <w:proofErr w:type="spellStart"/>
      <w:r>
        <w:t>Venkateswarlu</w:t>
      </w:r>
      <w:proofErr w:type="spellEnd"/>
      <w:r>
        <w:t xml:space="preserve">, N. B. (2011). A critical study of selected classification algorithms for liver disease diagnosis. </w:t>
      </w:r>
      <w:r>
        <w:rPr>
          <w:i/>
        </w:rPr>
        <w:t>International Journal of Database Management Systems</w:t>
      </w:r>
      <w:r>
        <w:t xml:space="preserve">, </w:t>
      </w:r>
      <w:r>
        <w:rPr>
          <w:i/>
        </w:rPr>
        <w:t>3</w:t>
      </w:r>
      <w:r>
        <w:t xml:space="preserve">(2), 101-114.  </w:t>
      </w:r>
    </w:p>
    <w:p w14:paraId="5AB9ED90" w14:textId="77777777" w:rsidR="009F026B" w:rsidRDefault="00000000">
      <w:pPr>
        <w:ind w:left="-5" w:right="36"/>
      </w:pPr>
      <w:r>
        <w:t xml:space="preserve">AS, D., &amp; </w:t>
      </w:r>
      <w:proofErr w:type="spellStart"/>
      <w:r>
        <w:t>Venkateswaran</w:t>
      </w:r>
      <w:proofErr w:type="spellEnd"/>
      <w:r>
        <w:t xml:space="preserve">, C. J. (2012). Estimating the surveillance of liver disorder using classification algorithms. </w:t>
      </w:r>
      <w:r>
        <w:rPr>
          <w:i/>
        </w:rPr>
        <w:t>International Journal of Computer Applications</w:t>
      </w:r>
      <w:r>
        <w:t xml:space="preserve">, 0975-8887. </w:t>
      </w:r>
    </w:p>
    <w:p w14:paraId="29DB80EF" w14:textId="77777777" w:rsidR="009F026B" w:rsidRDefault="00000000">
      <w:pPr>
        <w:ind w:left="-5" w:right="36"/>
      </w:pPr>
      <w:r>
        <w:t xml:space="preserve">Saranya, A., &amp; </w:t>
      </w:r>
      <w:proofErr w:type="spellStart"/>
      <w:r>
        <w:t>Seenuvasan</w:t>
      </w:r>
      <w:proofErr w:type="spellEnd"/>
      <w:r>
        <w:t xml:space="preserve">, G. (2017). A Comparative Study of Diagnosing Liver Disorder Disease Using Classification Algorithm. </w:t>
      </w:r>
      <w:r>
        <w:rPr>
          <w:i/>
        </w:rPr>
        <w:t>International Journal of Computer Science and Mobile Computing</w:t>
      </w:r>
      <w:r>
        <w:t xml:space="preserve">, </w:t>
      </w:r>
      <w:r>
        <w:rPr>
          <w:i/>
        </w:rPr>
        <w:t>6</w:t>
      </w:r>
      <w:r>
        <w:t xml:space="preserve">(8), 49-54. </w:t>
      </w:r>
    </w:p>
    <w:p w14:paraId="64EE1F92" w14:textId="77777777" w:rsidR="009F026B" w:rsidRDefault="00000000">
      <w:pPr>
        <w:ind w:left="-5" w:right="36"/>
      </w:pPr>
      <w:r>
        <w:t xml:space="preserve">Mahmud, S. H., </w:t>
      </w:r>
      <w:proofErr w:type="spellStart"/>
      <w:r>
        <w:t>Hossin</w:t>
      </w:r>
      <w:proofErr w:type="spellEnd"/>
      <w:r>
        <w:t xml:space="preserve">, M. A., Ahmed, M. R., Noori, S. R. H., &amp; Sarkar, M. N. I. (2018, August). Machine learning based unified framework for diabetes prediction. In </w:t>
      </w:r>
      <w:r>
        <w:rPr>
          <w:i/>
        </w:rPr>
        <w:t>Proceedings of the 2018 International Conference on Big Data Engineering and Technology</w:t>
      </w:r>
      <w:r>
        <w:t xml:space="preserve"> (pp. 46-50). </w:t>
      </w:r>
    </w:p>
    <w:p w14:paraId="1E3E2093" w14:textId="77777777" w:rsidR="009F026B" w:rsidRDefault="00000000">
      <w:pPr>
        <w:ind w:left="-5" w:right="36"/>
      </w:pPr>
      <w:r>
        <w:t xml:space="preserve">Rahman, A. S., </w:t>
      </w:r>
      <w:proofErr w:type="spellStart"/>
      <w:r>
        <w:t>Shamrat</w:t>
      </w:r>
      <w:proofErr w:type="spellEnd"/>
      <w:r>
        <w:t xml:space="preserve">, F. J. M., </w:t>
      </w:r>
      <w:proofErr w:type="spellStart"/>
      <w:r>
        <w:t>Tasnim</w:t>
      </w:r>
      <w:proofErr w:type="spellEnd"/>
      <w:r>
        <w:t xml:space="preserve">, Z., Roy, J., &amp; Hossain, S. A. (2019). A comparative study on liver disease prediction using supervised machine learning algorithms. </w:t>
      </w:r>
      <w:r>
        <w:rPr>
          <w:i/>
        </w:rPr>
        <w:t>International Journal of Scientific &amp; Technology Research</w:t>
      </w:r>
      <w:r>
        <w:t xml:space="preserve">, </w:t>
      </w:r>
      <w:r>
        <w:rPr>
          <w:i/>
        </w:rPr>
        <w:t>8</w:t>
      </w:r>
      <w:r>
        <w:t xml:space="preserve">(11), 419-422. </w:t>
      </w:r>
    </w:p>
    <w:p w14:paraId="50745688" w14:textId="77777777" w:rsidR="009F026B" w:rsidRDefault="00000000">
      <w:pPr>
        <w:ind w:left="-5" w:right="36"/>
      </w:pPr>
      <w:r>
        <w:t xml:space="preserve">Priya, M. B., Juliet, P. L., &amp; </w:t>
      </w:r>
      <w:proofErr w:type="spellStart"/>
      <w:r>
        <w:t>Tamilselvi</w:t>
      </w:r>
      <w:proofErr w:type="spellEnd"/>
      <w:r>
        <w:t xml:space="preserve">, P. R. (2018). Performance analysis of liver disease prediction using machine learning algorithms. </w:t>
      </w:r>
      <w:r>
        <w:rPr>
          <w:i/>
        </w:rPr>
        <w:t>International Research Journal of Engineering and Technology (IRJET)</w:t>
      </w:r>
      <w:r>
        <w:t xml:space="preserve">, </w:t>
      </w:r>
      <w:r>
        <w:rPr>
          <w:i/>
        </w:rPr>
        <w:t>5</w:t>
      </w:r>
      <w:r>
        <w:t xml:space="preserve">(1), 206-211. </w:t>
      </w:r>
    </w:p>
    <w:p w14:paraId="1A2882EA" w14:textId="77777777" w:rsidR="009F026B" w:rsidRDefault="00000000">
      <w:pPr>
        <w:spacing w:after="5"/>
        <w:ind w:left="-5" w:right="36"/>
      </w:pPr>
      <w:proofErr w:type="spellStart"/>
      <w:r>
        <w:t>Vijayarani</w:t>
      </w:r>
      <w:proofErr w:type="spellEnd"/>
      <w:r>
        <w:t xml:space="preserve">, S., &amp; </w:t>
      </w:r>
      <w:proofErr w:type="spellStart"/>
      <w:r>
        <w:t>Dhayanand</w:t>
      </w:r>
      <w:proofErr w:type="spellEnd"/>
      <w:r>
        <w:t xml:space="preserve">, S. (2015). Liver disease prediction using SVM and Naïve Bayes algorithms. </w:t>
      </w:r>
      <w:r>
        <w:rPr>
          <w:i/>
        </w:rPr>
        <w:t>International Journal of Science, Engineering and Technology Research (IJSETR)</w:t>
      </w:r>
      <w:r>
        <w:t xml:space="preserve">, </w:t>
      </w:r>
      <w:r>
        <w:rPr>
          <w:i/>
        </w:rPr>
        <w:t>4</w:t>
      </w:r>
      <w:r>
        <w:t xml:space="preserve">(4), 816-820. </w:t>
      </w:r>
    </w:p>
    <w:p w14:paraId="1F3306E1" w14:textId="77777777" w:rsidR="009F026B" w:rsidRDefault="00000000">
      <w:pPr>
        <w:spacing w:after="0" w:line="259" w:lineRule="auto"/>
        <w:ind w:left="-29" w:firstLine="0"/>
        <w:jc w:val="left"/>
      </w:pPr>
      <w:r>
        <w:rPr>
          <w:rFonts w:ascii="Calibri" w:eastAsia="Calibri" w:hAnsi="Calibri" w:cs="Calibri"/>
          <w:noProof/>
          <w:sz w:val="22"/>
        </w:rPr>
        <mc:AlternateContent>
          <mc:Choice Requires="wpg">
            <w:drawing>
              <wp:inline distT="0" distB="0" distL="0" distR="0" wp14:anchorId="008A2BA8" wp14:editId="4FB98833">
                <wp:extent cx="5980176" cy="9144"/>
                <wp:effectExtent l="0" t="0" r="0" b="0"/>
                <wp:docPr id="16306" name="Group 16306"/>
                <wp:cNvGraphicFramePr/>
                <a:graphic xmlns:a="http://schemas.openxmlformats.org/drawingml/2006/main">
                  <a:graphicData uri="http://schemas.microsoft.com/office/word/2010/wordprocessingGroup">
                    <wpg:wgp>
                      <wpg:cNvGrpSpPr/>
                      <wpg:grpSpPr>
                        <a:xfrm>
                          <a:off x="0" y="0"/>
                          <a:ext cx="5980176" cy="9144"/>
                          <a:chOff x="0" y="0"/>
                          <a:chExt cx="5980176" cy="9144"/>
                        </a:xfrm>
                      </wpg:grpSpPr>
                      <wps:wsp>
                        <wps:cNvPr id="17362" name="Shape 17362"/>
                        <wps:cNvSpPr/>
                        <wps:spPr>
                          <a:xfrm>
                            <a:off x="0" y="0"/>
                            <a:ext cx="5980176" cy="9144"/>
                          </a:xfrm>
                          <a:custGeom>
                            <a:avLst/>
                            <a:gdLst/>
                            <a:ahLst/>
                            <a:cxnLst/>
                            <a:rect l="0" t="0" r="0" b="0"/>
                            <a:pathLst>
                              <a:path w="5980176" h="9144">
                                <a:moveTo>
                                  <a:pt x="0" y="0"/>
                                </a:moveTo>
                                <a:lnTo>
                                  <a:pt x="5980176" y="0"/>
                                </a:lnTo>
                                <a:lnTo>
                                  <a:pt x="598017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306" style="width:470.88pt;height:0.719971pt;mso-position-horizontal-relative:char;mso-position-vertical-relative:line" coordsize="59801,91">
                <v:shape id="Shape 17363" style="position:absolute;width:59801;height:91;left:0;top:0;" coordsize="5980176,9144" path="m0,0l5980176,0l5980176,9144l0,9144l0,0">
                  <v:stroke weight="0pt" endcap="flat" joinstyle="miter" miterlimit="10" on="false" color="#000000" opacity="0"/>
                  <v:fill on="true" color="#000000"/>
                </v:shape>
              </v:group>
            </w:pict>
          </mc:Fallback>
        </mc:AlternateContent>
      </w:r>
    </w:p>
    <w:p w14:paraId="039B9E3D" w14:textId="77777777" w:rsidR="009F026B" w:rsidRDefault="00000000">
      <w:pPr>
        <w:spacing w:after="7"/>
        <w:ind w:left="-5" w:right="36"/>
      </w:pPr>
      <w:r w:rsidRPr="004D1820">
        <w:rPr>
          <w:lang w:val="es-ES"/>
        </w:rPr>
        <w:t xml:space="preserve">Wu, C. C., </w:t>
      </w:r>
      <w:proofErr w:type="spellStart"/>
      <w:r w:rsidRPr="004D1820">
        <w:rPr>
          <w:lang w:val="es-ES"/>
        </w:rPr>
        <w:t>Yeh</w:t>
      </w:r>
      <w:proofErr w:type="spellEnd"/>
      <w:r w:rsidRPr="004D1820">
        <w:rPr>
          <w:lang w:val="es-ES"/>
        </w:rPr>
        <w:t xml:space="preserve">, W. C., </w:t>
      </w:r>
      <w:proofErr w:type="spellStart"/>
      <w:r w:rsidRPr="004D1820">
        <w:rPr>
          <w:lang w:val="es-ES"/>
        </w:rPr>
        <w:t>Hsu</w:t>
      </w:r>
      <w:proofErr w:type="spellEnd"/>
      <w:r w:rsidRPr="004D1820">
        <w:rPr>
          <w:lang w:val="es-ES"/>
        </w:rPr>
        <w:t xml:space="preserve">, W. D., </w:t>
      </w:r>
      <w:proofErr w:type="gramStart"/>
      <w:r w:rsidRPr="004D1820">
        <w:rPr>
          <w:lang w:val="es-ES"/>
        </w:rPr>
        <w:t>Islam</w:t>
      </w:r>
      <w:proofErr w:type="gramEnd"/>
      <w:r w:rsidRPr="004D1820">
        <w:rPr>
          <w:lang w:val="es-ES"/>
        </w:rPr>
        <w:t xml:space="preserve">, M. M., Nguyen, P. A. A., </w:t>
      </w:r>
      <w:proofErr w:type="spellStart"/>
      <w:r w:rsidRPr="004D1820">
        <w:rPr>
          <w:lang w:val="es-ES"/>
        </w:rPr>
        <w:t>Poly</w:t>
      </w:r>
      <w:proofErr w:type="spellEnd"/>
      <w:r w:rsidRPr="004D1820">
        <w:rPr>
          <w:lang w:val="es-ES"/>
        </w:rPr>
        <w:t xml:space="preserve">, T. N., ... </w:t>
      </w:r>
      <w:r>
        <w:t xml:space="preserve">&amp; Li, Y. C. </w:t>
      </w:r>
    </w:p>
    <w:p w14:paraId="04123BFE" w14:textId="77777777" w:rsidR="009F026B" w:rsidRDefault="00000000">
      <w:pPr>
        <w:ind w:left="-5" w:right="36"/>
      </w:pPr>
      <w:r>
        <w:lastRenderedPageBreak/>
        <w:t xml:space="preserve">J. (2019). Prediction of fatty liver disease using machine learning algorithms. </w:t>
      </w:r>
      <w:r>
        <w:rPr>
          <w:i/>
        </w:rPr>
        <w:t>Computer methods and programs in biomedicine</w:t>
      </w:r>
      <w:r>
        <w:t xml:space="preserve">, </w:t>
      </w:r>
      <w:r>
        <w:rPr>
          <w:i/>
        </w:rPr>
        <w:t>170</w:t>
      </w:r>
      <w:r>
        <w:t xml:space="preserve">, 23-29. </w:t>
      </w:r>
    </w:p>
    <w:p w14:paraId="4A942ABB" w14:textId="77777777" w:rsidR="009F026B" w:rsidRDefault="00000000">
      <w:pPr>
        <w:spacing w:after="202" w:line="273" w:lineRule="auto"/>
        <w:ind w:left="-5"/>
        <w:jc w:val="left"/>
      </w:pPr>
      <w:r>
        <w:t xml:space="preserve">Islam, M., Wu, C. C., Poly, T. N., Yang, H. C., &amp; Li, Y. C. J. (2018). Applications of machine learning in fatty live disease prediction. In </w:t>
      </w:r>
      <w:r>
        <w:rPr>
          <w:i/>
        </w:rPr>
        <w:t>Building Continents of Knowledge in Oceans of Data: The Future of Co-Created eHealth</w:t>
      </w:r>
      <w:r>
        <w:t xml:space="preserve"> (pp. 166-170). IOS Press. </w:t>
      </w:r>
    </w:p>
    <w:p w14:paraId="31382F43" w14:textId="77777777" w:rsidR="009F026B" w:rsidRDefault="00000000">
      <w:pPr>
        <w:spacing w:after="202" w:line="273" w:lineRule="auto"/>
        <w:ind w:left="-5"/>
        <w:jc w:val="left"/>
      </w:pPr>
      <w:r>
        <w:t xml:space="preserve">Lang, S., </w:t>
      </w:r>
      <w:proofErr w:type="spellStart"/>
      <w:r>
        <w:t>Farowski</w:t>
      </w:r>
      <w:proofErr w:type="spellEnd"/>
      <w:r>
        <w:t xml:space="preserve">, F., Martin, A., </w:t>
      </w:r>
      <w:proofErr w:type="spellStart"/>
      <w:r>
        <w:t>Wisplinghoff</w:t>
      </w:r>
      <w:proofErr w:type="spellEnd"/>
      <w:r>
        <w:t xml:space="preserve">, H., </w:t>
      </w:r>
      <w:proofErr w:type="spellStart"/>
      <w:r>
        <w:t>Vehreschild</w:t>
      </w:r>
      <w:proofErr w:type="spellEnd"/>
      <w:r>
        <w:t xml:space="preserve">, M. J., Krawczyk, M., ... &amp; Demir, M. (2020). Prediction of advanced fibrosis in non-alcoholic fatty liver disease using gut microbiota-based approaches compared with simple non-invasive tools. </w:t>
      </w:r>
      <w:r>
        <w:rPr>
          <w:i/>
        </w:rPr>
        <w:t>Scientific reports</w:t>
      </w:r>
      <w:r>
        <w:t xml:space="preserve">, </w:t>
      </w:r>
      <w:r>
        <w:rPr>
          <w:i/>
        </w:rPr>
        <w:t>10</w:t>
      </w:r>
      <w:r>
        <w:t xml:space="preserve">(1), 1-9. </w:t>
      </w:r>
    </w:p>
    <w:p w14:paraId="5379E352" w14:textId="77777777" w:rsidR="009F026B" w:rsidRDefault="00000000">
      <w:pPr>
        <w:spacing w:after="7"/>
        <w:ind w:left="-5" w:right="36"/>
      </w:pPr>
      <w:proofErr w:type="spellStart"/>
      <w:r>
        <w:t>Zinkin</w:t>
      </w:r>
      <w:proofErr w:type="spellEnd"/>
      <w:r>
        <w:t xml:space="preserve">, N. T., </w:t>
      </w:r>
      <w:proofErr w:type="spellStart"/>
      <w:r>
        <w:t>Grall</w:t>
      </w:r>
      <w:proofErr w:type="spellEnd"/>
      <w:r>
        <w:t xml:space="preserve">, F., Bhaskar, K., </w:t>
      </w:r>
      <w:proofErr w:type="spellStart"/>
      <w:r>
        <w:t>Otu</w:t>
      </w:r>
      <w:proofErr w:type="spellEnd"/>
      <w:r>
        <w:t xml:space="preserve">, H. H., </w:t>
      </w:r>
      <w:proofErr w:type="spellStart"/>
      <w:r>
        <w:t>Spentzos</w:t>
      </w:r>
      <w:proofErr w:type="spellEnd"/>
      <w:r>
        <w:t xml:space="preserve">, D., </w:t>
      </w:r>
      <w:proofErr w:type="spellStart"/>
      <w:r>
        <w:t>Kalmowitz</w:t>
      </w:r>
      <w:proofErr w:type="spellEnd"/>
      <w:r>
        <w:t xml:space="preserve">, B., ... &amp; </w:t>
      </w:r>
      <w:proofErr w:type="spellStart"/>
      <w:r>
        <w:t>Afdhal</w:t>
      </w:r>
      <w:proofErr w:type="spellEnd"/>
      <w:r>
        <w:t xml:space="preserve">, N. H. </w:t>
      </w:r>
    </w:p>
    <w:p w14:paraId="0612B3A8" w14:textId="77777777" w:rsidR="009F026B" w:rsidRDefault="00000000">
      <w:pPr>
        <w:ind w:left="-5" w:right="36"/>
      </w:pPr>
      <w:r>
        <w:t xml:space="preserve">(2008). Serum proteomics and biomarkers in hepatocellular carcinoma and chronic liver disease. </w:t>
      </w:r>
      <w:r>
        <w:rPr>
          <w:i/>
        </w:rPr>
        <w:t>Clinical cancer research</w:t>
      </w:r>
      <w:r>
        <w:t xml:space="preserve">, </w:t>
      </w:r>
      <w:r>
        <w:rPr>
          <w:i/>
        </w:rPr>
        <w:t>14</w:t>
      </w:r>
      <w:r>
        <w:t xml:space="preserve">(2), 470-477. </w:t>
      </w:r>
    </w:p>
    <w:p w14:paraId="1682F8F8" w14:textId="77777777" w:rsidR="009F026B" w:rsidRDefault="00000000">
      <w:pPr>
        <w:ind w:left="-5" w:right="36"/>
      </w:pPr>
      <w:r>
        <w:t xml:space="preserve">Fatima, M., &amp; Pasha, M. (2017). Survey of machine learning algorithms for disease diagnostic. </w:t>
      </w:r>
      <w:r>
        <w:rPr>
          <w:i/>
        </w:rPr>
        <w:t>Journal of Intelligent Learning Systems and Applications</w:t>
      </w:r>
      <w:r>
        <w:t xml:space="preserve">, </w:t>
      </w:r>
      <w:r>
        <w:rPr>
          <w:i/>
        </w:rPr>
        <w:t>9</w:t>
      </w:r>
      <w:r>
        <w:t xml:space="preserve">(01), 1. </w:t>
      </w:r>
    </w:p>
    <w:p w14:paraId="3995F9C4" w14:textId="77777777" w:rsidR="009F026B" w:rsidRDefault="00000000">
      <w:pPr>
        <w:spacing w:after="0" w:line="259" w:lineRule="auto"/>
        <w:ind w:left="0" w:firstLine="0"/>
        <w:jc w:val="left"/>
      </w:pPr>
      <w:r>
        <w:t xml:space="preserve"> </w:t>
      </w:r>
    </w:p>
    <w:p w14:paraId="499BAC78" w14:textId="77777777" w:rsidR="009F026B" w:rsidRDefault="00000000">
      <w:pPr>
        <w:spacing w:after="0" w:line="259" w:lineRule="auto"/>
        <w:ind w:left="0" w:firstLine="0"/>
        <w:jc w:val="left"/>
      </w:pPr>
      <w:r>
        <w:t xml:space="preserve"> </w:t>
      </w:r>
      <w:r>
        <w:tab/>
        <w:t xml:space="preserve"> </w:t>
      </w:r>
    </w:p>
    <w:sectPr w:rsidR="009F026B">
      <w:pgSz w:w="12240" w:h="15840"/>
      <w:pgMar w:top="1440" w:right="1390" w:bottom="1498"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35DAC"/>
    <w:multiLevelType w:val="hybridMultilevel"/>
    <w:tmpl w:val="C1B4B2E2"/>
    <w:lvl w:ilvl="0" w:tplc="1BC4935E">
      <w:start w:val="1"/>
      <w:numFmt w:val="bullet"/>
      <w:lvlText w:val="•"/>
      <w:lvlJc w:val="left"/>
      <w:pPr>
        <w:ind w:left="14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E5D01F06">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6DC20C34">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7A80E04C">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608C608C">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613CC4B8">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33888C8">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DAC770A">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80A41C4">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9C85E3D"/>
    <w:multiLevelType w:val="hybridMultilevel"/>
    <w:tmpl w:val="49EA195A"/>
    <w:lvl w:ilvl="0" w:tplc="D00E233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5A814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BF8102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D8C08B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8E0942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CF62FB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F30445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502FE5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3C4087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04A0C7E"/>
    <w:multiLevelType w:val="hybridMultilevel"/>
    <w:tmpl w:val="B9B29192"/>
    <w:lvl w:ilvl="0" w:tplc="185838F8">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3647EB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590D9E0">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6A014A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0DC1BD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07E1E6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7A4002A">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540EE8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1A8F8C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492478861">
    <w:abstractNumId w:val="1"/>
  </w:num>
  <w:num w:numId="2" w16cid:durableId="1552302059">
    <w:abstractNumId w:val="0"/>
  </w:num>
  <w:num w:numId="3" w16cid:durableId="1469457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026B"/>
    <w:rsid w:val="004D1820"/>
    <w:rsid w:val="008B7B26"/>
    <w:rsid w:val="009F0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2AABB"/>
  <w15:docId w15:val="{FDF7C943-48A7-45E0-B93D-2915A751A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69"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0"/>
      <w:ind w:left="10" w:right="455"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17"/>
      <w:ind w:left="10" w:hanging="10"/>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pPr>
      <w:keepNext/>
      <w:keepLines/>
      <w:spacing w:after="17"/>
      <w:ind w:left="10" w:hanging="10"/>
      <w:outlineLvl w:val="2"/>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8"/>
    </w:rPr>
  </w:style>
  <w:style w:type="character" w:customStyle="1" w:styleId="Heading2Char">
    <w:name w:val="Heading 2 Char"/>
    <w:link w:val="Heading2"/>
    <w:rPr>
      <w:rFonts w:ascii="Times New Roman" w:eastAsia="Times New Roman" w:hAnsi="Times New Roman" w:cs="Times New Roman"/>
      <w:b/>
      <w:color w:val="000000"/>
      <w:sz w:val="24"/>
    </w:rPr>
  </w:style>
  <w:style w:type="paragraph" w:styleId="TOC1">
    <w:name w:val="toc 1"/>
    <w:hidden/>
    <w:pPr>
      <w:spacing w:after="115" w:line="269" w:lineRule="auto"/>
      <w:ind w:left="25" w:right="58" w:hanging="10"/>
      <w:jc w:val="both"/>
    </w:pPr>
    <w:rPr>
      <w:rFonts w:ascii="Times New Roman" w:eastAsia="Times New Roman" w:hAnsi="Times New Roman" w:cs="Times New Roman"/>
      <w:color w:val="000000"/>
      <w:sz w:val="24"/>
    </w:rPr>
  </w:style>
  <w:style w:type="paragraph" w:styleId="TOC2">
    <w:name w:val="toc 2"/>
    <w:hidden/>
    <w:pPr>
      <w:spacing w:after="115" w:line="269" w:lineRule="auto"/>
      <w:ind w:left="265" w:right="58" w:hanging="10"/>
      <w:jc w:val="both"/>
    </w:pPr>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6925</Words>
  <Characters>39474</Characters>
  <Application>Microsoft Office Word</Application>
  <DocSecurity>0</DocSecurity>
  <Lines>328</Lines>
  <Paragraphs>92</Paragraphs>
  <ScaleCrop>false</ScaleCrop>
  <Company/>
  <LinksUpToDate>false</LinksUpToDate>
  <CharactersWithSpaces>46307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SSMAR219 - R1.docx</dc:title>
  <dc:subject/>
  <dc:creator>Terry Walcott</dc:creator>
  <cp:keywords/>
  <cp:lastModifiedBy>Terry Walcott</cp:lastModifiedBy>
  <cp:revision>2</cp:revision>
  <dcterms:created xsi:type="dcterms:W3CDTF">2023-04-11T22:16:00Z</dcterms:created>
  <dcterms:modified xsi:type="dcterms:W3CDTF">2023-04-11T22:16:00Z</dcterms:modified>
</cp:coreProperties>
</file>