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B974CD" w14:textId="77777777" w:rsidR="00985241" w:rsidRPr="008B4414" w:rsidRDefault="00985241" w:rsidP="00985241">
      <w:pPr>
        <w:rPr>
          <w:rFonts w:asciiTheme="majorHAnsi" w:hAnsiTheme="majorHAnsi"/>
          <w:noProof/>
        </w:rPr>
      </w:pPr>
      <w:r w:rsidRPr="008B4414">
        <w:rPr>
          <w:rFonts w:asciiTheme="majorHAnsi" w:hAnsiTheme="majorHAnsi" w:cs="Calibri"/>
          <w:noProof/>
          <w:color w:val="0B769F" w:themeColor="accent4" w:themeShade="BF"/>
        </w:rPr>
        <mc:AlternateContent>
          <mc:Choice Requires="wpg">
            <w:drawing>
              <wp:anchor distT="0" distB="0" distL="114300" distR="114300" simplePos="0" relativeHeight="251662336" behindDoc="0" locked="0" layoutInCell="1" allowOverlap="1" wp14:anchorId="21C1FB42" wp14:editId="29D0E879">
                <wp:simplePos x="0" y="0"/>
                <wp:positionH relativeFrom="margin">
                  <wp:align>center</wp:align>
                </wp:positionH>
                <wp:positionV relativeFrom="page">
                  <wp:posOffset>482600</wp:posOffset>
                </wp:positionV>
                <wp:extent cx="7315200" cy="1215391"/>
                <wp:effectExtent l="0" t="0" r="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B39BF4" id="Group 51" o:spid="_x0000_s1026" style="position:absolute;margin-left:0;margin-top:38pt;width:8in;height:95.7pt;z-index:251662336;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IiC7/7cAAAACAEAAA8AAABkcnMvZG93&#10;bnJldi54bWxMj8FuwjAQRO+V+AdrkXorTiIaqjQOKpX6AQVUcTTxNomI1yF2IOnXdznBaXc1q5k3&#10;+Xq0rbhg7xtHCuJFBAKpdKahSsF+9/XyBsIHTUa3jlDBhB7Wxewp15lxV/rGyzZUgk3IZ1pBHUKX&#10;SenLGq32C9chsfbreqsDn30lTa+vbG5bmURRKq1uiBNq3eFnjeVpO1jOPSSbIf6bJpKHn9Omm9Lz&#10;sDwr9TwfP95BBBzD/Rlu+IwOBTMd3UDGi1YBFwkKVinPmxq/JrwdFSTpagmyyOVjgeIf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margin" anchory="page"/>
              </v:group>
            </w:pict>
          </mc:Fallback>
        </mc:AlternateContent>
      </w:r>
    </w:p>
    <w:p w14:paraId="0FC29F63" w14:textId="77777777" w:rsidR="00985241" w:rsidRPr="008B4414" w:rsidRDefault="00985241" w:rsidP="00985241">
      <w:pPr>
        <w:jc w:val="center"/>
        <w:rPr>
          <w:rFonts w:asciiTheme="majorHAnsi" w:hAnsiTheme="majorHAnsi"/>
          <w:color w:val="0B769F" w:themeColor="accent4" w:themeShade="BF"/>
        </w:rPr>
      </w:pPr>
    </w:p>
    <w:p w14:paraId="3869544F" w14:textId="77777777" w:rsidR="00985241" w:rsidRPr="008B4414" w:rsidRDefault="00985241" w:rsidP="00985241">
      <w:pPr>
        <w:jc w:val="center"/>
        <w:rPr>
          <w:rFonts w:asciiTheme="majorHAnsi" w:hAnsiTheme="majorHAnsi"/>
          <w:color w:val="0B769F" w:themeColor="accent4" w:themeShade="BF"/>
        </w:rPr>
      </w:pPr>
    </w:p>
    <w:p w14:paraId="3BD42F25" w14:textId="77777777" w:rsidR="00985241" w:rsidRPr="008B4414" w:rsidRDefault="00985241" w:rsidP="00985241">
      <w:pPr>
        <w:jc w:val="center"/>
        <w:rPr>
          <w:rFonts w:asciiTheme="majorHAnsi" w:hAnsiTheme="majorHAnsi"/>
          <w:color w:val="0B769F" w:themeColor="accent4" w:themeShade="BF"/>
        </w:rPr>
      </w:pPr>
    </w:p>
    <w:p w14:paraId="56216D1D" w14:textId="77777777" w:rsidR="00985241" w:rsidRPr="006248B8" w:rsidRDefault="00985241" w:rsidP="00985241">
      <w:pPr>
        <w:jc w:val="center"/>
        <w:rPr>
          <w:rFonts w:asciiTheme="majorHAnsi" w:hAnsiTheme="majorHAnsi"/>
          <w:caps/>
          <w:color w:val="156082" w:themeColor="accent1"/>
          <w:kern w:val="0"/>
          <w:sz w:val="32"/>
          <w:szCs w:val="32"/>
          <w14:ligatures w14:val="none"/>
        </w:rPr>
      </w:pPr>
      <w:r w:rsidRPr="006248B8">
        <w:rPr>
          <w:rFonts w:asciiTheme="majorHAnsi" w:hAnsiTheme="majorHAnsi"/>
          <w:caps/>
          <w:color w:val="156082" w:themeColor="accent1"/>
          <w:kern w:val="0"/>
          <w:sz w:val="32"/>
          <w:szCs w:val="32"/>
          <w14:ligatures w14:val="none"/>
        </w:rPr>
        <w:t xml:space="preserve">CENTRICA PLC </w:t>
      </w:r>
    </w:p>
    <w:p w14:paraId="5B63E719" w14:textId="77777777" w:rsidR="00985241" w:rsidRPr="006248B8" w:rsidRDefault="00985241" w:rsidP="00985241">
      <w:pPr>
        <w:jc w:val="center"/>
        <w:rPr>
          <w:rFonts w:asciiTheme="majorHAnsi" w:hAnsiTheme="majorHAnsi" w:cs="Calibri"/>
          <w:sz w:val="32"/>
          <w:szCs w:val="32"/>
        </w:rPr>
      </w:pPr>
      <w:r w:rsidRPr="006248B8">
        <w:rPr>
          <w:rFonts w:asciiTheme="majorHAnsi" w:hAnsiTheme="majorHAnsi"/>
          <w:color w:val="404040" w:themeColor="text1" w:themeTint="BF"/>
          <w:kern w:val="0"/>
          <w:sz w:val="32"/>
          <w:szCs w:val="32"/>
          <w14:ligatures w14:val="none"/>
        </w:rPr>
        <w:t>Diversification Strategy and Sustainability</w:t>
      </w:r>
      <w:r w:rsidRPr="006248B8">
        <w:rPr>
          <w:rFonts w:asciiTheme="majorHAnsi" w:hAnsiTheme="majorHAnsi" w:cs="Calibri"/>
          <w:sz w:val="32"/>
          <w:szCs w:val="32"/>
        </w:rPr>
        <w:t xml:space="preserve"> </w:t>
      </w:r>
    </w:p>
    <w:p w14:paraId="22A583B3" w14:textId="77777777" w:rsidR="00985241" w:rsidRPr="00596ADD" w:rsidRDefault="00985241" w:rsidP="00985241">
      <w:pPr>
        <w:rPr>
          <w:rFonts w:asciiTheme="majorHAnsi" w:hAnsiTheme="majorHAnsi" w:cs="Calibri"/>
          <w:color w:val="0B769F" w:themeColor="accent4" w:themeShade="BF"/>
        </w:rPr>
      </w:pPr>
    </w:p>
    <w:p w14:paraId="42BA26CB" w14:textId="77777777" w:rsidR="00985241" w:rsidRPr="008B4414" w:rsidRDefault="00985241" w:rsidP="00985241">
      <w:pPr>
        <w:jc w:val="right"/>
        <w:rPr>
          <w:rFonts w:asciiTheme="majorHAnsi" w:eastAsiaTheme="minorEastAsia" w:hAnsiTheme="majorHAnsi"/>
          <w:color w:val="595959" w:themeColor="text1" w:themeTint="A6"/>
          <w:kern w:val="0"/>
          <w:lang w:eastAsia="en-GB"/>
          <w14:ligatures w14:val="none"/>
        </w:rPr>
      </w:pPr>
    </w:p>
    <w:p w14:paraId="7A6F1F7F" w14:textId="77777777" w:rsidR="00985241" w:rsidRPr="008B4414" w:rsidRDefault="00985241" w:rsidP="00985241">
      <w:pPr>
        <w:jc w:val="right"/>
        <w:rPr>
          <w:rFonts w:asciiTheme="majorHAnsi" w:eastAsiaTheme="minorEastAsia" w:hAnsiTheme="majorHAnsi"/>
          <w:color w:val="595959" w:themeColor="text1" w:themeTint="A6"/>
          <w:kern w:val="0"/>
          <w:lang w:eastAsia="en-GB"/>
          <w14:ligatures w14:val="none"/>
        </w:rPr>
      </w:pPr>
    </w:p>
    <w:p w14:paraId="14183E9B" w14:textId="77777777" w:rsidR="00985241" w:rsidRPr="008B4414" w:rsidRDefault="00985241" w:rsidP="00985241">
      <w:pPr>
        <w:jc w:val="right"/>
        <w:rPr>
          <w:rFonts w:asciiTheme="majorHAnsi" w:eastAsiaTheme="minorEastAsia" w:hAnsiTheme="majorHAnsi"/>
          <w:color w:val="595959" w:themeColor="text1" w:themeTint="A6"/>
          <w:kern w:val="0"/>
          <w:lang w:eastAsia="en-GB"/>
          <w14:ligatures w14:val="none"/>
        </w:rPr>
      </w:pPr>
    </w:p>
    <w:p w14:paraId="01267057" w14:textId="77777777" w:rsidR="00985241" w:rsidRPr="008B4414" w:rsidRDefault="00985241" w:rsidP="00985241">
      <w:pPr>
        <w:jc w:val="right"/>
        <w:rPr>
          <w:rFonts w:asciiTheme="majorHAnsi" w:eastAsiaTheme="minorEastAsia" w:hAnsiTheme="majorHAnsi"/>
          <w:color w:val="595959" w:themeColor="text1" w:themeTint="A6"/>
          <w:kern w:val="0"/>
          <w:lang w:eastAsia="en-GB"/>
          <w14:ligatures w14:val="none"/>
        </w:rPr>
      </w:pPr>
    </w:p>
    <w:p w14:paraId="3AB07DA4" w14:textId="77777777" w:rsidR="00985241" w:rsidRPr="008B4414" w:rsidRDefault="00985241" w:rsidP="00985241">
      <w:pPr>
        <w:spacing w:after="0" w:line="240" w:lineRule="auto"/>
        <w:rPr>
          <w:rFonts w:asciiTheme="majorHAnsi" w:hAnsiTheme="majorHAnsi"/>
        </w:rPr>
      </w:pPr>
      <w:r w:rsidRPr="008B4414">
        <w:rPr>
          <w:rFonts w:asciiTheme="majorHAnsi" w:hAnsiTheme="majorHAnsi"/>
        </w:rPr>
        <w:t>Lecturer: Dr Hossein Shokri</w:t>
      </w:r>
    </w:p>
    <w:p w14:paraId="1FD0D3B9" w14:textId="77777777" w:rsidR="00985241" w:rsidRPr="008B4414" w:rsidRDefault="00985241" w:rsidP="00985241">
      <w:pPr>
        <w:spacing w:after="0" w:line="240" w:lineRule="auto"/>
        <w:rPr>
          <w:rFonts w:asciiTheme="majorHAnsi" w:hAnsiTheme="majorHAnsi"/>
        </w:rPr>
      </w:pPr>
      <w:r w:rsidRPr="008B4414">
        <w:rPr>
          <w:rFonts w:asciiTheme="majorHAnsi" w:hAnsiTheme="majorHAnsi"/>
        </w:rPr>
        <w:t>Student: Mihail Roussev</w:t>
      </w:r>
    </w:p>
    <w:p w14:paraId="295728AA" w14:textId="77777777" w:rsidR="00985241" w:rsidRPr="008B4414" w:rsidRDefault="00985241" w:rsidP="00985241">
      <w:pPr>
        <w:spacing w:after="0" w:line="240" w:lineRule="auto"/>
        <w:rPr>
          <w:rFonts w:asciiTheme="majorHAnsi" w:hAnsiTheme="majorHAnsi"/>
        </w:rPr>
      </w:pPr>
      <w:r w:rsidRPr="008B4414">
        <w:rPr>
          <w:rFonts w:asciiTheme="majorHAnsi" w:hAnsiTheme="majorHAnsi"/>
        </w:rPr>
        <w:t>Module code: LCBB6004</w:t>
      </w:r>
    </w:p>
    <w:p w14:paraId="0FBFCE0A" w14:textId="77777777" w:rsidR="00985241" w:rsidRPr="008B4414" w:rsidRDefault="00985241" w:rsidP="00985241">
      <w:pPr>
        <w:spacing w:after="0" w:line="240" w:lineRule="auto"/>
        <w:rPr>
          <w:rFonts w:asciiTheme="majorHAnsi" w:hAnsiTheme="majorHAnsi"/>
        </w:rPr>
      </w:pPr>
      <w:r w:rsidRPr="008B4414">
        <w:rPr>
          <w:rFonts w:asciiTheme="majorHAnsi" w:hAnsiTheme="majorHAnsi"/>
        </w:rPr>
        <w:t>Student Number 2115133</w:t>
      </w:r>
    </w:p>
    <w:p w14:paraId="4C5005A9" w14:textId="77777777" w:rsidR="00985241" w:rsidRDefault="00985241" w:rsidP="00985241">
      <w:pPr>
        <w:spacing w:after="0" w:line="240" w:lineRule="auto"/>
        <w:rPr>
          <w:rFonts w:asciiTheme="majorHAnsi" w:hAnsiTheme="majorHAnsi"/>
        </w:rPr>
      </w:pPr>
    </w:p>
    <w:p w14:paraId="34F60ECB" w14:textId="77777777" w:rsidR="00985241" w:rsidRPr="008B4414" w:rsidRDefault="00985241" w:rsidP="00985241">
      <w:pPr>
        <w:spacing w:after="0" w:line="240" w:lineRule="auto"/>
        <w:rPr>
          <w:rFonts w:asciiTheme="majorHAnsi" w:hAnsiTheme="majorHAnsi"/>
        </w:rPr>
      </w:pPr>
    </w:p>
    <w:p w14:paraId="5EA258E3" w14:textId="77777777" w:rsidR="00985241" w:rsidRPr="008B4414" w:rsidRDefault="00985241" w:rsidP="00985241">
      <w:pPr>
        <w:jc w:val="right"/>
        <w:rPr>
          <w:rFonts w:asciiTheme="majorHAnsi" w:eastAsiaTheme="minorEastAsia" w:hAnsiTheme="majorHAnsi"/>
          <w:color w:val="595959" w:themeColor="text1" w:themeTint="A6"/>
          <w:kern w:val="0"/>
          <w:lang w:eastAsia="en-GB"/>
          <w14:ligatures w14:val="none"/>
        </w:rPr>
      </w:pPr>
    </w:p>
    <w:p w14:paraId="58EE85FC" w14:textId="77777777" w:rsidR="007E440A" w:rsidRDefault="007E440A" w:rsidP="00985241">
      <w:pPr>
        <w:pStyle w:val="Heading1"/>
        <w:rPr>
          <w:rFonts w:cstheme="minorHAnsi"/>
          <w:b/>
          <w:bCs/>
          <w:sz w:val="22"/>
          <w:szCs w:val="22"/>
        </w:rPr>
      </w:pPr>
    </w:p>
    <w:p w14:paraId="25A8E49F" w14:textId="77777777" w:rsidR="007E440A" w:rsidRDefault="007E440A" w:rsidP="00985241">
      <w:pPr>
        <w:pStyle w:val="Heading1"/>
        <w:rPr>
          <w:rFonts w:cstheme="minorHAnsi"/>
          <w:b/>
          <w:bCs/>
          <w:sz w:val="22"/>
          <w:szCs w:val="22"/>
        </w:rPr>
      </w:pPr>
    </w:p>
    <w:p w14:paraId="45DD5096" w14:textId="77777777" w:rsidR="007E440A" w:rsidRDefault="007E440A" w:rsidP="00985241">
      <w:pPr>
        <w:pStyle w:val="Heading1"/>
        <w:rPr>
          <w:rFonts w:cstheme="minorHAnsi"/>
          <w:b/>
          <w:bCs/>
          <w:sz w:val="22"/>
          <w:szCs w:val="22"/>
        </w:rPr>
      </w:pPr>
    </w:p>
    <w:p w14:paraId="21DF3DB6" w14:textId="77777777" w:rsidR="007E440A" w:rsidRDefault="007E440A" w:rsidP="00985241">
      <w:pPr>
        <w:pStyle w:val="Heading1"/>
        <w:rPr>
          <w:rFonts w:cstheme="minorHAnsi"/>
          <w:b/>
          <w:bCs/>
          <w:sz w:val="22"/>
          <w:szCs w:val="22"/>
        </w:rPr>
      </w:pPr>
    </w:p>
    <w:p w14:paraId="5613CEAE" w14:textId="77777777" w:rsidR="007E440A" w:rsidRDefault="007E440A" w:rsidP="00985241">
      <w:pPr>
        <w:pStyle w:val="Heading1"/>
        <w:rPr>
          <w:rFonts w:cstheme="minorHAnsi"/>
          <w:b/>
          <w:bCs/>
          <w:sz w:val="22"/>
          <w:szCs w:val="22"/>
        </w:rPr>
      </w:pPr>
    </w:p>
    <w:p w14:paraId="257F6158" w14:textId="77777777" w:rsidR="007E440A" w:rsidRDefault="007E440A" w:rsidP="00985241">
      <w:pPr>
        <w:pStyle w:val="Heading1"/>
        <w:rPr>
          <w:rFonts w:cstheme="minorHAnsi"/>
          <w:b/>
          <w:bCs/>
          <w:sz w:val="22"/>
          <w:szCs w:val="22"/>
        </w:rPr>
      </w:pPr>
    </w:p>
    <w:p w14:paraId="7B88F13F" w14:textId="77777777" w:rsidR="0085616E" w:rsidRDefault="0085616E" w:rsidP="0085616E"/>
    <w:p w14:paraId="4EF2B112" w14:textId="77777777" w:rsidR="0085616E" w:rsidRDefault="0085616E" w:rsidP="0085616E"/>
    <w:p w14:paraId="78473E73" w14:textId="77777777" w:rsidR="0085616E" w:rsidRPr="0085616E" w:rsidRDefault="0085616E" w:rsidP="0085616E"/>
    <w:p w14:paraId="05400E59" w14:textId="77777777" w:rsidR="007E440A" w:rsidRDefault="007E440A" w:rsidP="00985241">
      <w:pPr>
        <w:pStyle w:val="Heading1"/>
        <w:rPr>
          <w:rFonts w:cstheme="minorHAnsi"/>
          <w:b/>
          <w:bCs/>
          <w:sz w:val="22"/>
          <w:szCs w:val="22"/>
        </w:rPr>
      </w:pPr>
    </w:p>
    <w:p w14:paraId="39B18DDE" w14:textId="77777777" w:rsidR="0085616E" w:rsidRDefault="0085616E" w:rsidP="0085616E"/>
    <w:p w14:paraId="6936B82C" w14:textId="77777777" w:rsidR="0085616E" w:rsidRPr="0085616E" w:rsidRDefault="0085616E" w:rsidP="0085616E"/>
    <w:bookmarkStart w:id="0" w:name="_Hlk164811062" w:displacedByCustomXml="next"/>
    <w:sdt>
      <w:sdtPr>
        <w:rPr>
          <w:rFonts w:asciiTheme="minorHAnsi" w:eastAsiaTheme="minorEastAsia" w:hAnsiTheme="minorHAnsi" w:cs="Times New Roman"/>
          <w:color w:val="auto"/>
          <w:sz w:val="22"/>
          <w:szCs w:val="22"/>
        </w:rPr>
        <w:id w:val="1181242877"/>
        <w:docPartObj>
          <w:docPartGallery w:val="Table of Contents"/>
          <w:docPartUnique/>
        </w:docPartObj>
      </w:sdtPr>
      <w:sdtEndPr>
        <w:rPr>
          <w:rFonts w:asciiTheme="majorHAnsi" w:eastAsiaTheme="majorEastAsia" w:hAnsiTheme="majorHAnsi" w:cstheme="majorBidi"/>
          <w:color w:val="0F4761" w:themeColor="accent1" w:themeShade="BF"/>
          <w:sz w:val="32"/>
          <w:szCs w:val="32"/>
        </w:rPr>
      </w:sdtEndPr>
      <w:sdtContent>
        <w:sdt>
          <w:sdtPr>
            <w:rPr>
              <w:rFonts w:asciiTheme="minorHAnsi" w:eastAsiaTheme="minorEastAsia" w:hAnsiTheme="minorHAnsi" w:cs="Times New Roman"/>
              <w:color w:val="auto"/>
              <w:sz w:val="22"/>
              <w:szCs w:val="22"/>
            </w:rPr>
            <w:id w:val="-721056997"/>
            <w:docPartObj>
              <w:docPartGallery w:val="Table of Contents"/>
              <w:docPartUnique/>
            </w:docPartObj>
          </w:sdtPr>
          <w:sdtEndPr/>
          <w:sdtContent>
            <w:p w14:paraId="77AE0258" w14:textId="77777777" w:rsidR="0095088B" w:rsidRDefault="0095088B" w:rsidP="0095088B">
              <w:pPr>
                <w:pStyle w:val="TOCHeading"/>
              </w:pPr>
              <w:r>
                <w:t>Table of Contents</w:t>
              </w:r>
            </w:p>
            <w:p w14:paraId="699CF123" w14:textId="77777777" w:rsidR="0095088B" w:rsidRDefault="0095088B" w:rsidP="0095088B">
              <w:r>
                <w:t>Introduction……………………………………………………………………………………………………………</w:t>
              </w:r>
              <w:proofErr w:type="gramStart"/>
              <w:r>
                <w:t>…..</w:t>
              </w:r>
              <w:proofErr w:type="gramEnd"/>
              <w:r>
                <w:t>2Company</w:t>
              </w:r>
              <w:r w:rsidRPr="00984BD3">
                <w:t xml:space="preserve"> </w:t>
              </w:r>
              <w:r>
                <w:t>Background.………………………………………………………………………………………………….2</w:t>
              </w:r>
            </w:p>
            <w:p w14:paraId="44DBBFA1" w14:textId="77777777" w:rsidR="0095088B" w:rsidRDefault="0095088B" w:rsidP="0095088B">
              <w:r>
                <w:t>Key business and corporate strategies…………………………………………………………………………....2</w:t>
              </w:r>
            </w:p>
            <w:p w14:paraId="3D535D41" w14:textId="77777777" w:rsidR="0095088B" w:rsidRPr="00A0416F" w:rsidRDefault="0095088B" w:rsidP="0095088B">
              <w:pPr>
                <w:pStyle w:val="ListParagraph"/>
                <w:numPr>
                  <w:ilvl w:val="1"/>
                  <w:numId w:val="13"/>
                </w:numPr>
                <w:rPr>
                  <w:rFonts w:asciiTheme="majorHAnsi" w:hAnsiTheme="majorHAnsi" w:cstheme="minorHAnsi"/>
                </w:rPr>
              </w:pPr>
              <w:r w:rsidRPr="00A0416F">
                <w:rPr>
                  <w:rFonts w:asciiTheme="majorHAnsi" w:hAnsiTheme="majorHAnsi" w:cstheme="minorHAnsi"/>
                </w:rPr>
                <w:t>Porter's Generic Strategies framework</w:t>
              </w:r>
              <w:r>
                <w:t>………………………………………………………………….</w:t>
              </w:r>
              <w:r w:rsidRPr="00A0416F">
                <w:rPr>
                  <w:rFonts w:asciiTheme="majorHAnsi" w:hAnsiTheme="majorHAnsi" w:cstheme="minorHAnsi"/>
                </w:rPr>
                <w:t>….2</w:t>
              </w:r>
            </w:p>
            <w:p w14:paraId="422D5151" w14:textId="77777777" w:rsidR="0095088B" w:rsidRDefault="0095088B" w:rsidP="0095088B">
              <w:pPr>
                <w:pStyle w:val="ListParagraph"/>
                <w:numPr>
                  <w:ilvl w:val="1"/>
                  <w:numId w:val="13"/>
                </w:numPr>
                <w:rPr>
                  <w:rFonts w:asciiTheme="majorHAnsi" w:hAnsiTheme="majorHAnsi" w:cstheme="minorHAnsi"/>
                </w:rPr>
              </w:pPr>
              <w:r w:rsidRPr="00984BD3">
                <w:rPr>
                  <w:rFonts w:asciiTheme="majorHAnsi" w:hAnsiTheme="majorHAnsi" w:cstheme="minorHAnsi"/>
                </w:rPr>
                <w:t>Ansoff Matrix</w:t>
              </w:r>
              <w:r>
                <w:t>………………………………………</w:t>
              </w:r>
              <w:proofErr w:type="gramStart"/>
              <w:r>
                <w:t>…..</w:t>
              </w:r>
              <w:proofErr w:type="gramEnd"/>
              <w:r>
                <w:t>…………………………………………………………</w:t>
              </w:r>
              <w:r w:rsidRPr="00984BD3">
                <w:rPr>
                  <w:rFonts w:asciiTheme="majorHAnsi" w:hAnsiTheme="majorHAnsi" w:cstheme="minorHAnsi"/>
                </w:rPr>
                <w:t>2</w:t>
              </w:r>
            </w:p>
            <w:p w14:paraId="5F956DEF" w14:textId="77777777" w:rsidR="0095088B" w:rsidRDefault="0095088B" w:rsidP="0095088B">
              <w:pPr>
                <w:pStyle w:val="ListParagraph"/>
                <w:rPr>
                  <w:rFonts w:asciiTheme="majorHAnsi" w:hAnsiTheme="majorHAnsi" w:cstheme="minorHAnsi"/>
                </w:rPr>
              </w:pPr>
              <w:r w:rsidRPr="00984BD3">
                <w:rPr>
                  <w:rFonts w:asciiTheme="majorHAnsi" w:hAnsiTheme="majorHAnsi" w:cstheme="minorHAnsi"/>
                </w:rPr>
                <w:t>Market Penetration</w:t>
              </w:r>
              <w:r>
                <w:t>………………………………………………….………………………………………</w:t>
              </w:r>
              <w:proofErr w:type="gramStart"/>
              <w:r>
                <w:t>…..</w:t>
              </w:r>
              <w:proofErr w:type="gramEnd"/>
              <w:r w:rsidRPr="00984BD3">
                <w:rPr>
                  <w:rFonts w:asciiTheme="majorHAnsi" w:hAnsiTheme="majorHAnsi" w:cstheme="minorHAnsi"/>
                </w:rPr>
                <w:t>3</w:t>
              </w:r>
            </w:p>
            <w:p w14:paraId="02A75E0B" w14:textId="77777777" w:rsidR="0095088B" w:rsidRDefault="0095088B" w:rsidP="0095088B">
              <w:pPr>
                <w:pStyle w:val="ListParagraph"/>
                <w:rPr>
                  <w:rFonts w:asciiTheme="majorHAnsi" w:hAnsiTheme="majorHAnsi" w:cstheme="minorHAnsi"/>
                </w:rPr>
              </w:pPr>
              <w:r>
                <w:rPr>
                  <w:rFonts w:asciiTheme="majorHAnsi" w:hAnsiTheme="majorHAnsi" w:cstheme="minorHAnsi"/>
                </w:rPr>
                <w:t>Market Development</w:t>
              </w:r>
              <w:r>
                <w:t>……………………………………………………………………………………………</w:t>
              </w:r>
              <w:r>
                <w:rPr>
                  <w:rFonts w:asciiTheme="majorHAnsi" w:hAnsiTheme="majorHAnsi" w:cstheme="minorHAnsi"/>
                </w:rPr>
                <w:t>3</w:t>
              </w:r>
            </w:p>
            <w:p w14:paraId="69CF74E8" w14:textId="77777777" w:rsidR="0095088B" w:rsidRDefault="0095088B" w:rsidP="0095088B">
              <w:pPr>
                <w:pStyle w:val="ListParagraph"/>
                <w:rPr>
                  <w:rFonts w:asciiTheme="majorHAnsi" w:hAnsiTheme="majorHAnsi" w:cstheme="minorHAnsi"/>
                </w:rPr>
              </w:pPr>
              <w:r w:rsidRPr="00A0416F">
                <w:rPr>
                  <w:rFonts w:asciiTheme="majorHAnsi" w:hAnsiTheme="majorHAnsi" w:cstheme="minorHAnsi"/>
                </w:rPr>
                <w:t>Product Development</w:t>
              </w:r>
              <w:r>
                <w:t>………………………………………………………………………………………</w:t>
              </w:r>
              <w:proofErr w:type="gramStart"/>
              <w:r>
                <w:t>…..</w:t>
              </w:r>
              <w:proofErr w:type="gramEnd"/>
              <w:r>
                <w:rPr>
                  <w:rFonts w:asciiTheme="majorHAnsi" w:hAnsiTheme="majorHAnsi" w:cstheme="minorHAnsi"/>
                </w:rPr>
                <w:t>3</w:t>
              </w:r>
            </w:p>
            <w:p w14:paraId="56C4C8DD" w14:textId="77777777" w:rsidR="0095088B" w:rsidRDefault="0095088B" w:rsidP="0095088B">
              <w:pPr>
                <w:pStyle w:val="ListParagraph"/>
                <w:rPr>
                  <w:rFonts w:asciiTheme="majorHAnsi" w:hAnsiTheme="majorHAnsi" w:cstheme="minorHAnsi"/>
                </w:rPr>
              </w:pPr>
              <w:r>
                <w:rPr>
                  <w:rFonts w:asciiTheme="majorHAnsi" w:hAnsiTheme="majorHAnsi" w:cstheme="minorHAnsi"/>
                </w:rPr>
                <w:t>Diversification</w:t>
              </w:r>
              <w:r>
                <w:t>…………………………………………………………………………………………………….</w:t>
              </w:r>
              <w:r>
                <w:rPr>
                  <w:rFonts w:asciiTheme="majorHAnsi" w:hAnsiTheme="majorHAnsi" w:cstheme="minorHAnsi"/>
                </w:rPr>
                <w:t>3</w:t>
              </w:r>
            </w:p>
            <w:p w14:paraId="565ABC4C" w14:textId="77777777" w:rsidR="0095088B" w:rsidRDefault="0095088B" w:rsidP="0095088B">
              <w:pPr>
                <w:pStyle w:val="ListParagraph"/>
                <w:numPr>
                  <w:ilvl w:val="0"/>
                  <w:numId w:val="13"/>
                </w:numPr>
                <w:rPr>
                  <w:rFonts w:asciiTheme="majorHAnsi" w:hAnsiTheme="majorHAnsi" w:cstheme="minorHAnsi"/>
                </w:rPr>
              </w:pPr>
              <w:r>
                <w:rPr>
                  <w:rFonts w:asciiTheme="majorHAnsi" w:hAnsiTheme="majorHAnsi" w:cstheme="minorHAnsi"/>
                </w:rPr>
                <w:t>Resources and Capabilities Alignment</w:t>
              </w:r>
              <w:r>
                <w:t>…………………………………………………………………</w:t>
              </w:r>
              <w:proofErr w:type="gramStart"/>
              <w:r>
                <w:t>…..</w:t>
              </w:r>
              <w:proofErr w:type="gramEnd"/>
              <w:r>
                <w:rPr>
                  <w:rFonts w:asciiTheme="majorHAnsi" w:hAnsiTheme="majorHAnsi" w:cstheme="minorHAnsi"/>
                </w:rPr>
                <w:t>3</w:t>
              </w:r>
            </w:p>
            <w:p w14:paraId="71F68CAB" w14:textId="77777777" w:rsidR="0095088B" w:rsidRDefault="0095088B" w:rsidP="0095088B">
              <w:pPr>
                <w:pStyle w:val="ListParagraph"/>
                <w:numPr>
                  <w:ilvl w:val="1"/>
                  <w:numId w:val="13"/>
                </w:numPr>
                <w:rPr>
                  <w:rFonts w:asciiTheme="majorHAnsi" w:hAnsiTheme="majorHAnsi" w:cstheme="minorHAnsi"/>
                </w:rPr>
              </w:pPr>
              <w:r>
                <w:rPr>
                  <w:rFonts w:asciiTheme="majorHAnsi" w:hAnsiTheme="majorHAnsi" w:cstheme="minorHAnsi"/>
                </w:rPr>
                <w:t>Value Chain</w:t>
              </w:r>
              <w:r>
                <w:t>……………………………………………………………………………………………………….</w:t>
              </w:r>
              <w:r>
                <w:rPr>
                  <w:rFonts w:asciiTheme="majorHAnsi" w:hAnsiTheme="majorHAnsi" w:cstheme="minorHAnsi"/>
                </w:rPr>
                <w:t>3</w:t>
              </w:r>
            </w:p>
            <w:p w14:paraId="1A7F6CE4" w14:textId="77777777" w:rsidR="0095088B" w:rsidRDefault="0095088B" w:rsidP="0095088B">
              <w:pPr>
                <w:pStyle w:val="ListParagraph"/>
                <w:rPr>
                  <w:rFonts w:asciiTheme="majorHAnsi" w:hAnsiTheme="majorHAnsi" w:cstheme="minorHAnsi"/>
                </w:rPr>
              </w:pPr>
              <w:r>
                <w:rPr>
                  <w:rFonts w:asciiTheme="majorHAnsi" w:hAnsiTheme="majorHAnsi" w:cstheme="minorHAnsi"/>
                </w:rPr>
                <w:t>Firm infrastructure</w:t>
              </w:r>
              <w:r>
                <w:t>……………………………………………………………………………………………….</w:t>
              </w:r>
              <w:r>
                <w:rPr>
                  <w:rFonts w:asciiTheme="majorHAnsi" w:hAnsiTheme="majorHAnsi" w:cstheme="minorHAnsi"/>
                </w:rPr>
                <w:t xml:space="preserve">4 </w:t>
              </w:r>
            </w:p>
            <w:p w14:paraId="2581288B" w14:textId="77777777" w:rsidR="0095088B" w:rsidRDefault="0095088B" w:rsidP="0095088B">
              <w:pPr>
                <w:pStyle w:val="ListParagraph"/>
                <w:rPr>
                  <w:rFonts w:asciiTheme="majorHAnsi" w:hAnsiTheme="majorHAnsi" w:cstheme="minorHAnsi"/>
                </w:rPr>
              </w:pPr>
              <w:r>
                <w:rPr>
                  <w:rFonts w:asciiTheme="majorHAnsi" w:hAnsiTheme="majorHAnsi" w:cstheme="minorHAnsi"/>
                </w:rPr>
                <w:t>Human Resources Management</w:t>
              </w:r>
              <w:r>
                <w:t>…………………………………………………………………………</w:t>
              </w:r>
              <w:proofErr w:type="gramStart"/>
              <w:r>
                <w:t>…..</w:t>
              </w:r>
              <w:proofErr w:type="gramEnd"/>
              <w:r>
                <w:rPr>
                  <w:rFonts w:asciiTheme="majorHAnsi" w:hAnsiTheme="majorHAnsi" w:cstheme="minorHAnsi"/>
                </w:rPr>
                <w:t>4</w:t>
              </w:r>
            </w:p>
            <w:p w14:paraId="66FD1B6F" w14:textId="77777777" w:rsidR="0095088B" w:rsidRDefault="0095088B" w:rsidP="0095088B">
              <w:pPr>
                <w:pStyle w:val="ListParagraph"/>
                <w:rPr>
                  <w:rFonts w:asciiTheme="majorHAnsi" w:hAnsiTheme="majorHAnsi" w:cstheme="minorHAnsi"/>
                </w:rPr>
              </w:pPr>
              <w:r>
                <w:rPr>
                  <w:rFonts w:asciiTheme="majorHAnsi" w:hAnsiTheme="majorHAnsi" w:cstheme="minorHAnsi"/>
                </w:rPr>
                <w:t>Procurement…………………………………………………………………………………………………………...4</w:t>
              </w:r>
            </w:p>
            <w:p w14:paraId="17126158" w14:textId="77777777" w:rsidR="0095088B" w:rsidRDefault="0095088B" w:rsidP="0095088B">
              <w:pPr>
                <w:pStyle w:val="ListParagraph"/>
                <w:numPr>
                  <w:ilvl w:val="1"/>
                  <w:numId w:val="13"/>
                </w:numPr>
                <w:rPr>
                  <w:rFonts w:asciiTheme="majorHAnsi" w:hAnsiTheme="majorHAnsi" w:cstheme="minorHAnsi"/>
                </w:rPr>
              </w:pPr>
              <w:r>
                <w:rPr>
                  <w:rFonts w:asciiTheme="majorHAnsi" w:hAnsiTheme="majorHAnsi" w:cstheme="minorHAnsi"/>
                </w:rPr>
                <w:t>VRIO Analysis</w:t>
              </w:r>
              <w:r>
                <w:t>…………………………………………………………………………………………………….</w:t>
              </w:r>
              <w:r>
                <w:rPr>
                  <w:rFonts w:asciiTheme="majorHAnsi" w:hAnsiTheme="majorHAnsi" w:cstheme="minorHAnsi"/>
                </w:rPr>
                <w:t>4</w:t>
              </w:r>
            </w:p>
            <w:p w14:paraId="372D35A6" w14:textId="77777777" w:rsidR="0095088B" w:rsidRDefault="0095088B" w:rsidP="0095088B">
              <w:pPr>
                <w:pStyle w:val="ListParagraph"/>
                <w:rPr>
                  <w:rFonts w:asciiTheme="majorHAnsi" w:hAnsiTheme="majorHAnsi" w:cstheme="minorHAnsi"/>
                </w:rPr>
              </w:pPr>
              <w:r>
                <w:rPr>
                  <w:rFonts w:asciiTheme="majorHAnsi" w:hAnsiTheme="majorHAnsi" w:cstheme="minorHAnsi"/>
                </w:rPr>
                <w:t>Valuable Competencies.</w:t>
              </w:r>
              <w:r>
                <w:t>……….………………………………………………………………………………</w:t>
              </w:r>
              <w:r>
                <w:rPr>
                  <w:rFonts w:asciiTheme="majorHAnsi" w:hAnsiTheme="majorHAnsi" w:cstheme="minorHAnsi"/>
                </w:rPr>
                <w:t>4</w:t>
              </w:r>
            </w:p>
            <w:p w14:paraId="5C70027C" w14:textId="77777777" w:rsidR="0095088B" w:rsidRDefault="0095088B" w:rsidP="0095088B">
              <w:pPr>
                <w:pStyle w:val="ListParagraph"/>
                <w:rPr>
                  <w:rFonts w:asciiTheme="majorHAnsi" w:hAnsiTheme="majorHAnsi" w:cstheme="minorHAnsi"/>
                </w:rPr>
              </w:pPr>
              <w:r>
                <w:rPr>
                  <w:rFonts w:asciiTheme="majorHAnsi" w:hAnsiTheme="majorHAnsi" w:cstheme="minorHAnsi"/>
                </w:rPr>
                <w:t>Rare Competencies………………………………………………………………………………………………….5</w:t>
              </w:r>
            </w:p>
            <w:p w14:paraId="501C3F70" w14:textId="77777777" w:rsidR="0095088B" w:rsidRPr="00984BD3" w:rsidRDefault="0095088B" w:rsidP="0095088B">
              <w:pPr>
                <w:pStyle w:val="ListParagraph"/>
                <w:rPr>
                  <w:rFonts w:asciiTheme="majorHAnsi" w:hAnsiTheme="majorHAnsi" w:cstheme="minorHAnsi"/>
                </w:rPr>
              </w:pPr>
              <w:r w:rsidRPr="00984BD3">
                <w:rPr>
                  <w:rFonts w:asciiTheme="majorHAnsi" w:hAnsiTheme="majorHAnsi" w:cstheme="minorHAnsi"/>
                </w:rPr>
                <w:t>Inimitable</w:t>
              </w:r>
              <w:r>
                <w:rPr>
                  <w:rFonts w:asciiTheme="majorHAnsi" w:hAnsiTheme="majorHAnsi" w:cstheme="minorHAnsi"/>
                </w:rPr>
                <w:t xml:space="preserve"> Advantage….…………………………………………………………………………………………</w:t>
              </w:r>
              <w:proofErr w:type="gramStart"/>
              <w:r>
                <w:rPr>
                  <w:rFonts w:asciiTheme="majorHAnsi" w:hAnsiTheme="majorHAnsi" w:cstheme="minorHAnsi"/>
                </w:rPr>
                <w:t>…..</w:t>
              </w:r>
              <w:proofErr w:type="gramEnd"/>
              <w:r w:rsidRPr="00984BD3">
                <w:rPr>
                  <w:rFonts w:asciiTheme="majorHAnsi" w:hAnsiTheme="majorHAnsi" w:cstheme="minorHAnsi"/>
                </w:rPr>
                <w:t>5</w:t>
              </w:r>
            </w:p>
            <w:p w14:paraId="66BA9735" w14:textId="77777777" w:rsidR="0095088B" w:rsidRPr="00984BD3" w:rsidRDefault="0095088B" w:rsidP="0095088B">
              <w:pPr>
                <w:pStyle w:val="ListParagraph"/>
                <w:rPr>
                  <w:rFonts w:asciiTheme="majorHAnsi" w:hAnsiTheme="majorHAnsi" w:cstheme="minorHAnsi"/>
                </w:rPr>
              </w:pPr>
              <w:r>
                <w:rPr>
                  <w:rFonts w:asciiTheme="majorHAnsi" w:hAnsiTheme="majorHAnsi" w:cstheme="minorHAnsi"/>
                </w:rPr>
                <w:t>Key Resources…………………………………………………………………………………………………………5</w:t>
              </w:r>
            </w:p>
            <w:p w14:paraId="1F47BF32" w14:textId="77777777" w:rsidR="0095088B" w:rsidRPr="00984BD3" w:rsidRDefault="0095088B" w:rsidP="0095088B">
              <w:pPr>
                <w:pStyle w:val="ListParagraph"/>
                <w:numPr>
                  <w:ilvl w:val="0"/>
                  <w:numId w:val="13"/>
                </w:numPr>
                <w:spacing w:after="0" w:line="240" w:lineRule="auto"/>
                <w:jc w:val="both"/>
                <w:rPr>
                  <w:rFonts w:asciiTheme="majorHAnsi" w:hAnsiTheme="majorHAnsi" w:cstheme="minorHAnsi"/>
                </w:rPr>
              </w:pPr>
              <w:r w:rsidRPr="00984BD3">
                <w:rPr>
                  <w:rFonts w:asciiTheme="majorHAnsi" w:hAnsiTheme="majorHAnsi" w:cstheme="minorHAnsi"/>
                </w:rPr>
                <w:t>Evaluation of Strategy Implementation and Competitive Advantage</w:t>
              </w:r>
              <w:r>
                <w:rPr>
                  <w:rFonts w:asciiTheme="majorHAnsi" w:hAnsiTheme="majorHAnsi" w:cstheme="minorHAnsi"/>
                </w:rPr>
                <w:t>……………………………………5</w:t>
              </w:r>
            </w:p>
            <w:p w14:paraId="1E7EAD12" w14:textId="77777777" w:rsidR="0095088B" w:rsidRPr="00984BD3" w:rsidRDefault="0095088B" w:rsidP="0095088B">
              <w:pPr>
                <w:pStyle w:val="ListParagraph"/>
                <w:numPr>
                  <w:ilvl w:val="0"/>
                  <w:numId w:val="13"/>
                </w:numPr>
                <w:spacing w:after="0" w:line="240" w:lineRule="auto"/>
                <w:jc w:val="both"/>
                <w:rPr>
                  <w:rFonts w:asciiTheme="majorHAnsi" w:hAnsiTheme="majorHAnsi" w:cstheme="minorHAnsi"/>
                </w:rPr>
              </w:pPr>
              <w:proofErr w:type="gramStart"/>
              <w:r w:rsidRPr="00984BD3">
                <w:rPr>
                  <w:rFonts w:asciiTheme="majorHAnsi" w:hAnsiTheme="majorHAnsi" w:cstheme="minorHAnsi"/>
                </w:rPr>
                <w:t>.Sustainability</w:t>
              </w:r>
              <w:proofErr w:type="gramEnd"/>
              <w:r w:rsidRPr="00984BD3">
                <w:rPr>
                  <w:rFonts w:asciiTheme="majorHAnsi" w:hAnsiTheme="majorHAnsi" w:cstheme="minorHAnsi"/>
                </w:rPr>
                <w:t xml:space="preserve"> and Environmental Considerations</w:t>
              </w:r>
              <w:r>
                <w:rPr>
                  <w:rFonts w:asciiTheme="majorHAnsi" w:hAnsiTheme="majorHAnsi" w:cstheme="minorHAnsi"/>
                </w:rPr>
                <w:t>…………………………………………………………..6</w:t>
              </w:r>
            </w:p>
            <w:p w14:paraId="7CC23F16" w14:textId="77777777" w:rsidR="0095088B" w:rsidRPr="00984BD3" w:rsidRDefault="0095088B" w:rsidP="0095088B">
              <w:pPr>
                <w:spacing w:after="0" w:line="240" w:lineRule="auto"/>
                <w:jc w:val="both"/>
                <w:rPr>
                  <w:rFonts w:asciiTheme="majorHAnsi" w:hAnsiTheme="majorHAnsi" w:cstheme="minorHAnsi"/>
                </w:rPr>
              </w:pPr>
              <w:r w:rsidRPr="00984BD3">
                <w:rPr>
                  <w:rFonts w:asciiTheme="majorHAnsi" w:hAnsiTheme="majorHAnsi" w:cstheme="minorHAnsi"/>
                </w:rPr>
                <w:t>Conclusion</w:t>
              </w:r>
              <w:r>
                <w:rPr>
                  <w:rFonts w:asciiTheme="majorHAnsi" w:hAnsiTheme="majorHAnsi" w:cstheme="minorHAnsi"/>
                </w:rPr>
                <w:t>…………………………………………………………………………………………………………………………6</w:t>
              </w:r>
            </w:p>
            <w:p w14:paraId="42FB2DFF" w14:textId="77777777" w:rsidR="0095088B" w:rsidRDefault="0095088B" w:rsidP="0095088B">
              <w:pPr>
                <w:spacing w:after="0" w:line="240" w:lineRule="auto"/>
                <w:jc w:val="both"/>
                <w:rPr>
                  <w:rFonts w:asciiTheme="majorHAnsi" w:hAnsiTheme="majorHAnsi" w:cstheme="minorHAnsi"/>
                </w:rPr>
              </w:pPr>
              <w:r w:rsidRPr="00984BD3">
                <w:rPr>
                  <w:rFonts w:asciiTheme="majorHAnsi" w:hAnsiTheme="majorHAnsi" w:cstheme="minorHAnsi"/>
                </w:rPr>
                <w:t>References…</w:t>
              </w:r>
              <w:r>
                <w:rPr>
                  <w:rFonts w:asciiTheme="majorHAnsi" w:hAnsiTheme="majorHAnsi" w:cstheme="minorHAnsi"/>
                </w:rPr>
                <w:t>……………………………………………………………………………………………</w:t>
              </w:r>
              <w:proofErr w:type="gramStart"/>
              <w:r>
                <w:rPr>
                  <w:rFonts w:asciiTheme="majorHAnsi" w:hAnsiTheme="majorHAnsi" w:cstheme="minorHAnsi"/>
                </w:rPr>
                <w:t>…..</w:t>
              </w:r>
              <w:proofErr w:type="gramEnd"/>
              <w:r w:rsidRPr="00984BD3">
                <w:rPr>
                  <w:rFonts w:asciiTheme="majorHAnsi" w:hAnsiTheme="majorHAnsi" w:cstheme="minorHAnsi"/>
                </w:rPr>
                <w:t>…</w:t>
              </w:r>
              <w:r>
                <w:rPr>
                  <w:rFonts w:asciiTheme="majorHAnsi" w:hAnsiTheme="majorHAnsi" w:cstheme="minorHAnsi"/>
                </w:rPr>
                <w:t>………………….7</w:t>
              </w:r>
            </w:p>
            <w:p w14:paraId="392064FB" w14:textId="77777777" w:rsidR="0095088B" w:rsidRPr="00984BD3" w:rsidRDefault="0095088B" w:rsidP="0095088B">
              <w:pPr>
                <w:spacing w:after="0" w:line="240" w:lineRule="auto"/>
                <w:jc w:val="both"/>
                <w:rPr>
                  <w:rFonts w:asciiTheme="majorHAnsi" w:hAnsiTheme="majorHAnsi" w:cstheme="minorHAnsi"/>
                </w:rPr>
              </w:pPr>
              <w:r>
                <w:rPr>
                  <w:rFonts w:asciiTheme="majorHAnsi" w:hAnsiTheme="majorHAnsi" w:cstheme="minorHAnsi"/>
                </w:rPr>
                <w:t>Appendix……………………………………………………………………………………………………………………………8</w:t>
              </w:r>
            </w:p>
            <w:p w14:paraId="2ACEC6C1" w14:textId="77777777" w:rsidR="0095088B" w:rsidRDefault="0048418E" w:rsidP="0095088B">
              <w:pPr>
                <w:pStyle w:val="TOC3"/>
                <w:ind w:left="446"/>
                <w:rPr>
                  <w:rFonts w:eastAsiaTheme="minorHAnsi" w:cstheme="minorBidi"/>
                  <w:kern w:val="2"/>
                  <w:lang w:eastAsia="en-US"/>
                  <w14:ligatures w14:val="standardContextual"/>
                </w:rPr>
              </w:pPr>
            </w:p>
          </w:sdtContent>
        </w:sdt>
        <w:p w14:paraId="7CB2CE10" w14:textId="59AB9E39" w:rsidR="0085616E" w:rsidRDefault="0048418E" w:rsidP="0095088B">
          <w:pPr>
            <w:pStyle w:val="TOCHeading"/>
          </w:pPr>
        </w:p>
      </w:sdtContent>
    </w:sdt>
    <w:bookmarkEnd w:id="0" w:displacedByCustomXml="prev"/>
    <w:p w14:paraId="5D0BD63F" w14:textId="77777777" w:rsidR="007E440A" w:rsidRDefault="007E440A" w:rsidP="00985241">
      <w:pPr>
        <w:pStyle w:val="Heading1"/>
        <w:rPr>
          <w:rFonts w:cstheme="minorHAnsi"/>
          <w:b/>
          <w:bCs/>
          <w:sz w:val="22"/>
          <w:szCs w:val="22"/>
        </w:rPr>
      </w:pPr>
    </w:p>
    <w:p w14:paraId="4DEEAD38" w14:textId="77777777" w:rsidR="007C4FE0" w:rsidRDefault="007C4FE0" w:rsidP="007C4FE0"/>
    <w:p w14:paraId="282BB043" w14:textId="77777777" w:rsidR="0095088B" w:rsidRDefault="0095088B" w:rsidP="007C4FE0"/>
    <w:p w14:paraId="191073CE" w14:textId="77777777" w:rsidR="0095088B" w:rsidRDefault="0095088B" w:rsidP="007C4FE0"/>
    <w:p w14:paraId="7FCBD6B0" w14:textId="77777777" w:rsidR="0095088B" w:rsidRDefault="0095088B" w:rsidP="007C4FE0"/>
    <w:p w14:paraId="142E90BE" w14:textId="77777777" w:rsidR="0095088B" w:rsidRDefault="0095088B" w:rsidP="007C4FE0"/>
    <w:p w14:paraId="17A7EC9A" w14:textId="77777777" w:rsidR="0095088B" w:rsidRDefault="0095088B" w:rsidP="007C4FE0"/>
    <w:p w14:paraId="152C15DA" w14:textId="77777777" w:rsidR="0095088B" w:rsidRDefault="0095088B" w:rsidP="007C4FE0"/>
    <w:p w14:paraId="41E64658" w14:textId="77777777" w:rsidR="0095088B" w:rsidRPr="007C4FE0" w:rsidRDefault="0095088B" w:rsidP="007C4FE0"/>
    <w:p w14:paraId="2F19362D" w14:textId="77777777" w:rsidR="0085616E" w:rsidRDefault="0085616E" w:rsidP="007E440A">
      <w:pPr>
        <w:spacing w:after="0" w:line="240" w:lineRule="auto"/>
        <w:jc w:val="both"/>
        <w:rPr>
          <w:rFonts w:asciiTheme="majorHAnsi" w:eastAsiaTheme="majorEastAsia" w:hAnsiTheme="majorHAnsi" w:cstheme="majorBidi"/>
          <w:color w:val="0F4761" w:themeColor="accent1" w:themeShade="BF"/>
          <w:kern w:val="0"/>
          <w:sz w:val="32"/>
          <w:szCs w:val="32"/>
          <w:lang w:eastAsia="en-GB"/>
          <w14:ligatures w14:val="none"/>
        </w:rPr>
      </w:pPr>
      <w:bookmarkStart w:id="1" w:name="_Hlk160961652"/>
    </w:p>
    <w:p w14:paraId="3818C764" w14:textId="77777777" w:rsidR="0085616E" w:rsidRDefault="0085616E" w:rsidP="007E440A">
      <w:pPr>
        <w:spacing w:after="0" w:line="240" w:lineRule="auto"/>
        <w:jc w:val="both"/>
        <w:rPr>
          <w:rFonts w:asciiTheme="majorHAnsi" w:eastAsiaTheme="majorEastAsia" w:hAnsiTheme="majorHAnsi" w:cstheme="majorBidi"/>
          <w:color w:val="0F4761" w:themeColor="accent1" w:themeShade="BF"/>
          <w:kern w:val="0"/>
          <w:sz w:val="32"/>
          <w:szCs w:val="32"/>
          <w:lang w:eastAsia="en-GB"/>
          <w14:ligatures w14:val="none"/>
        </w:rPr>
      </w:pPr>
    </w:p>
    <w:p w14:paraId="1F295431" w14:textId="77777777" w:rsidR="004F1F7E" w:rsidRDefault="004F1F7E" w:rsidP="007E440A">
      <w:pPr>
        <w:spacing w:after="0" w:line="240" w:lineRule="auto"/>
        <w:jc w:val="both"/>
        <w:rPr>
          <w:rFonts w:asciiTheme="majorHAnsi" w:eastAsiaTheme="majorEastAsia" w:hAnsiTheme="majorHAnsi" w:cstheme="majorBidi"/>
          <w:color w:val="0F4761" w:themeColor="accent1" w:themeShade="BF"/>
          <w:kern w:val="0"/>
          <w:sz w:val="32"/>
          <w:szCs w:val="32"/>
          <w:lang w:eastAsia="en-GB"/>
          <w14:ligatures w14:val="none"/>
        </w:rPr>
      </w:pPr>
    </w:p>
    <w:p w14:paraId="47F8A0C4" w14:textId="75402001" w:rsidR="00DC37E5" w:rsidRPr="0095088B" w:rsidRDefault="00DC37E5" w:rsidP="007E440A">
      <w:pPr>
        <w:spacing w:after="0" w:line="240" w:lineRule="auto"/>
        <w:jc w:val="both"/>
        <w:rPr>
          <w:rFonts w:cstheme="minorHAnsi"/>
          <w:b/>
          <w:bCs/>
        </w:rPr>
      </w:pPr>
      <w:r w:rsidRPr="0095088B">
        <w:rPr>
          <w:rFonts w:cstheme="minorHAnsi"/>
          <w:b/>
          <w:bCs/>
        </w:rPr>
        <w:lastRenderedPageBreak/>
        <w:t>Introduction</w:t>
      </w:r>
      <w:bookmarkEnd w:id="1"/>
      <w:r w:rsidRPr="0095088B">
        <w:rPr>
          <w:rFonts w:cstheme="minorHAnsi"/>
          <w:b/>
          <w:bCs/>
        </w:rPr>
        <w:t>:</w:t>
      </w:r>
    </w:p>
    <w:p w14:paraId="2C34FA6C" w14:textId="64963A79" w:rsidR="00A71C8A" w:rsidRPr="0095088B" w:rsidRDefault="00A71C8A" w:rsidP="00A71C8A">
      <w:pPr>
        <w:jc w:val="both"/>
        <w:rPr>
          <w:rFonts w:cstheme="minorHAnsi"/>
        </w:rPr>
      </w:pPr>
      <w:r w:rsidRPr="0095088B">
        <w:rPr>
          <w:rFonts w:cstheme="minorHAnsi"/>
        </w:rPr>
        <w:t xml:space="preserve">In today's dynamic energy landscape, companies must navigate a multitude of challenges while capitalizing on emerging opportunities to maintain a competitive edge. Centrica PLC, a leading </w:t>
      </w:r>
      <w:proofErr w:type="gramStart"/>
      <w:r w:rsidRPr="0095088B">
        <w:rPr>
          <w:rFonts w:cstheme="minorHAnsi"/>
        </w:rPr>
        <w:t>energy</w:t>
      </w:r>
      <w:proofErr w:type="gramEnd"/>
      <w:r w:rsidRPr="0095088B">
        <w:rPr>
          <w:rFonts w:cstheme="minorHAnsi"/>
        </w:rPr>
        <w:t xml:space="preserve"> and home services provider, exemplifies this strategic agility through its adoption of key business and corporate strategies. By leveraging various strategic frameworks such as Porter's Generic Strategies and the Ansoff Matrix, Centrica has carved out a distinct position in the market while aligning its resources and capabilities to strategic </w:t>
      </w:r>
      <w:proofErr w:type="spellStart"/>
      <w:proofErr w:type="gramStart"/>
      <w:r w:rsidRPr="0095088B">
        <w:rPr>
          <w:rFonts w:cstheme="minorHAnsi"/>
        </w:rPr>
        <w:t>priorities.By</w:t>
      </w:r>
      <w:proofErr w:type="spellEnd"/>
      <w:proofErr w:type="gramEnd"/>
      <w:r w:rsidRPr="0095088B">
        <w:rPr>
          <w:rFonts w:cstheme="minorHAnsi"/>
        </w:rPr>
        <w:t xml:space="preserve"> diving into an analysis of Centrica's strategic management practices this assignment aims to highlight the company's adeptness in strategic decision-making, resource utilization, and commitment to long-term sustainability. Through a comprehensive review of Centrica's chosen strategies, resource alignment, evaluation of strategy implementation, and sustainability considerations we can appreciate its resilience, adaptability, and vision for sustained success in an ever-evolving industry.</w:t>
      </w:r>
    </w:p>
    <w:p w14:paraId="0C09A942" w14:textId="4D520FDC" w:rsidR="00206945" w:rsidRPr="0095088B" w:rsidRDefault="00206945" w:rsidP="007E440A">
      <w:pPr>
        <w:spacing w:after="0" w:line="240" w:lineRule="auto"/>
        <w:jc w:val="both"/>
        <w:rPr>
          <w:rFonts w:cstheme="minorHAnsi"/>
          <w:b/>
          <w:bCs/>
        </w:rPr>
      </w:pPr>
      <w:r w:rsidRPr="0095088B">
        <w:rPr>
          <w:rFonts w:cstheme="minorHAnsi"/>
          <w:b/>
          <w:bCs/>
        </w:rPr>
        <w:t>Company Background</w:t>
      </w:r>
    </w:p>
    <w:p w14:paraId="78A32445" w14:textId="37F21E91" w:rsidR="00985241" w:rsidRPr="0095088B" w:rsidRDefault="00206945" w:rsidP="007E440A">
      <w:pPr>
        <w:spacing w:after="0" w:line="240" w:lineRule="auto"/>
        <w:jc w:val="both"/>
        <w:rPr>
          <w:rFonts w:cstheme="minorHAnsi"/>
        </w:rPr>
      </w:pPr>
      <w:r w:rsidRPr="0095088B">
        <w:rPr>
          <w:rFonts w:cstheme="minorHAnsi"/>
        </w:rPr>
        <w:t>Centrica plc, originating from the Gas Light and Coke Company in 1812, has become a major provider of electricity, natural gas, and home services. After privati</w:t>
      </w:r>
      <w:r w:rsidR="00A71C8A" w:rsidRPr="0095088B">
        <w:rPr>
          <w:rFonts w:cstheme="minorHAnsi"/>
        </w:rPr>
        <w:t>z</w:t>
      </w:r>
      <w:r w:rsidRPr="0095088B">
        <w:rPr>
          <w:rFonts w:cstheme="minorHAnsi"/>
        </w:rPr>
        <w:t xml:space="preserve">ation in 1986, it expanded through acquisitions. Notably, in 2019, Centrica acquired Vista Solar, venturing into renewable energy. In 2021, it sold Direct Energy to NRG Energy Inc. for 3.625 billion, streamlining its focus for future </w:t>
      </w:r>
      <w:proofErr w:type="gramStart"/>
      <w:r w:rsidRPr="0095088B">
        <w:rPr>
          <w:rFonts w:cstheme="minorHAnsi"/>
        </w:rPr>
        <w:t>growth.</w:t>
      </w:r>
      <w:r w:rsidR="00F07F6D" w:rsidRPr="0095088B">
        <w:rPr>
          <w:rFonts w:cstheme="minorHAnsi"/>
        </w:rPr>
        <w:t>(</w:t>
      </w:r>
      <w:proofErr w:type="gramEnd"/>
      <w:r w:rsidR="00F07F6D" w:rsidRPr="0095088B">
        <w:rPr>
          <w:rFonts w:cstheme="minorHAnsi"/>
        </w:rPr>
        <w:t>Centrica announcement,2020)</w:t>
      </w:r>
    </w:p>
    <w:p w14:paraId="703344AF" w14:textId="406EBAC5" w:rsidR="00DC37E5" w:rsidRPr="0095088B" w:rsidRDefault="00FF037E" w:rsidP="007E440A">
      <w:pPr>
        <w:spacing w:after="0" w:line="240" w:lineRule="auto"/>
        <w:jc w:val="both"/>
        <w:rPr>
          <w:rFonts w:cstheme="minorHAnsi"/>
          <w:b/>
          <w:bCs/>
        </w:rPr>
      </w:pPr>
      <w:bookmarkStart w:id="2" w:name="_Hlk160961659"/>
      <w:r w:rsidRPr="0095088B">
        <w:rPr>
          <w:rFonts w:cstheme="minorHAnsi"/>
          <w:b/>
          <w:bCs/>
        </w:rPr>
        <w:t>1</w:t>
      </w:r>
      <w:r w:rsidR="00BB428E" w:rsidRPr="0095088B">
        <w:rPr>
          <w:rFonts w:cstheme="minorHAnsi"/>
          <w:b/>
          <w:bCs/>
        </w:rPr>
        <w:t>.</w:t>
      </w:r>
      <w:r w:rsidR="006C3170" w:rsidRPr="0095088B">
        <w:rPr>
          <w:rFonts w:cstheme="minorHAnsi"/>
          <w:b/>
          <w:bCs/>
        </w:rPr>
        <w:t xml:space="preserve"> </w:t>
      </w:r>
      <w:r w:rsidR="00DC37E5" w:rsidRPr="0095088B">
        <w:rPr>
          <w:rFonts w:cstheme="minorHAnsi"/>
          <w:b/>
          <w:bCs/>
        </w:rPr>
        <w:t xml:space="preserve">Key Business and Corporate Strategies </w:t>
      </w:r>
      <w:bookmarkEnd w:id="2"/>
    </w:p>
    <w:p w14:paraId="0C1C4996" w14:textId="2294D002" w:rsidR="008328E6" w:rsidRPr="0095088B" w:rsidRDefault="00DC37E5" w:rsidP="00CE5B42">
      <w:pPr>
        <w:spacing w:after="0" w:line="240" w:lineRule="auto"/>
        <w:jc w:val="both"/>
        <w:rPr>
          <w:rFonts w:cstheme="minorHAnsi"/>
        </w:rPr>
      </w:pPr>
      <w:r w:rsidRPr="0095088B">
        <w:rPr>
          <w:rFonts w:cstheme="minorHAnsi"/>
        </w:rPr>
        <w:t>Centrica PLC has adopted various strategies to navigate the complexities of the energy industry and its related services like Diversification, Customer-Centric Approach, International Expansion, and Digital Transformation (</w:t>
      </w:r>
      <w:r w:rsidR="00F07F6D" w:rsidRPr="0095088B">
        <w:rPr>
          <w:rFonts w:cstheme="minorHAnsi"/>
        </w:rPr>
        <w:t>Centrica</w:t>
      </w:r>
      <w:r w:rsidRPr="0095088B">
        <w:rPr>
          <w:rFonts w:cstheme="minorHAnsi"/>
        </w:rPr>
        <w:t>, 2022</w:t>
      </w:r>
      <w:r w:rsidR="00F07F6D" w:rsidRPr="0095088B">
        <w:rPr>
          <w:rFonts w:cstheme="minorHAnsi"/>
        </w:rPr>
        <w:t>a</w:t>
      </w:r>
      <w:r w:rsidRPr="0095088B">
        <w:rPr>
          <w:rFonts w:cstheme="minorHAnsi"/>
        </w:rPr>
        <w:t>)</w:t>
      </w:r>
      <w:r w:rsidR="008328E6" w:rsidRPr="0095088B">
        <w:rPr>
          <w:rFonts w:cstheme="minorHAnsi"/>
        </w:rPr>
        <w:t>. To analyse further one of Centrica’s methods is Porter’s Generic Strategies</w:t>
      </w:r>
      <w:r w:rsidR="00E04D45" w:rsidRPr="0095088B">
        <w:rPr>
          <w:rFonts w:cstheme="minorHAnsi"/>
        </w:rPr>
        <w:t>.</w:t>
      </w:r>
    </w:p>
    <w:p w14:paraId="1C465621" w14:textId="77777777" w:rsidR="00763BAA" w:rsidRPr="0095088B" w:rsidRDefault="00C607BB" w:rsidP="00763BAA">
      <w:pPr>
        <w:pStyle w:val="ListParagraph"/>
        <w:numPr>
          <w:ilvl w:val="1"/>
          <w:numId w:val="14"/>
        </w:numPr>
        <w:tabs>
          <w:tab w:val="left" w:pos="426"/>
        </w:tabs>
        <w:spacing w:after="0" w:line="240" w:lineRule="auto"/>
        <w:ind w:left="0" w:firstLine="0"/>
        <w:jc w:val="both"/>
        <w:rPr>
          <w:rFonts w:cstheme="minorHAnsi"/>
        </w:rPr>
      </w:pPr>
      <w:bookmarkStart w:id="3" w:name="_Hlk164282670"/>
      <w:r w:rsidRPr="0095088B">
        <w:rPr>
          <w:rFonts w:cstheme="minorHAnsi"/>
        </w:rPr>
        <w:t>Porter's generic strategies outline fundamental approaches for competitive advantage: cost</w:t>
      </w:r>
      <w:r w:rsidR="00CE5B42" w:rsidRPr="0095088B">
        <w:rPr>
          <w:rFonts w:cstheme="minorHAnsi"/>
        </w:rPr>
        <w:t xml:space="preserve"> </w:t>
      </w:r>
      <w:r w:rsidRPr="0095088B">
        <w:rPr>
          <w:rFonts w:cstheme="minorHAnsi"/>
        </w:rPr>
        <w:t>leadership, achieved by being the lowest-cost producer; differentiation, offering unique products or services; and focus, targeting a specific market segment</w:t>
      </w:r>
      <w:bookmarkEnd w:id="3"/>
      <w:r w:rsidR="00E04D45" w:rsidRPr="0095088B">
        <w:rPr>
          <w:rFonts w:cstheme="minorHAnsi"/>
        </w:rPr>
        <w:t xml:space="preserve">. </w:t>
      </w:r>
      <w:sdt>
        <w:sdtPr>
          <w:rPr>
            <w:rFonts w:cstheme="minorHAnsi"/>
          </w:rPr>
          <w:id w:val="1373495506"/>
          <w:citation/>
        </w:sdtPr>
        <w:sdtEndPr/>
        <w:sdtContent>
          <w:r w:rsidR="006D6118" w:rsidRPr="0095088B">
            <w:rPr>
              <w:rFonts w:cstheme="minorHAnsi"/>
            </w:rPr>
            <w:fldChar w:fldCharType="begin"/>
          </w:r>
          <w:r w:rsidR="006D6118" w:rsidRPr="0095088B">
            <w:rPr>
              <w:rFonts w:cstheme="minorHAnsi"/>
            </w:rPr>
            <w:instrText xml:space="preserve"> CITATION Whi21 \l 2057 </w:instrText>
          </w:r>
          <w:r w:rsidR="006D6118" w:rsidRPr="0095088B">
            <w:rPr>
              <w:rFonts w:cstheme="minorHAnsi"/>
            </w:rPr>
            <w:fldChar w:fldCharType="separate"/>
          </w:r>
          <w:r w:rsidR="006D6118" w:rsidRPr="0095088B">
            <w:rPr>
              <w:rFonts w:cstheme="minorHAnsi"/>
              <w:noProof/>
            </w:rPr>
            <w:t>(Whittington, et al., 2021)</w:t>
          </w:r>
          <w:r w:rsidR="006D6118" w:rsidRPr="0095088B">
            <w:rPr>
              <w:rFonts w:cstheme="minorHAnsi"/>
            </w:rPr>
            <w:fldChar w:fldCharType="end"/>
          </w:r>
        </w:sdtContent>
      </w:sdt>
    </w:p>
    <w:p w14:paraId="28A5F79E" w14:textId="1E22132D" w:rsidR="00E04D45" w:rsidRPr="0095088B" w:rsidRDefault="00E04D45" w:rsidP="00763BAA">
      <w:pPr>
        <w:pStyle w:val="ListParagraph"/>
        <w:tabs>
          <w:tab w:val="left" w:pos="426"/>
        </w:tabs>
        <w:spacing w:after="0" w:line="240" w:lineRule="auto"/>
        <w:ind w:left="0"/>
        <w:jc w:val="both"/>
        <w:rPr>
          <w:rFonts w:cstheme="minorHAnsi"/>
        </w:rPr>
      </w:pPr>
      <w:r w:rsidRPr="0095088B">
        <w:rPr>
          <w:rFonts w:cstheme="minorHAnsi"/>
        </w:rPr>
        <w:t xml:space="preserve">Let's </w:t>
      </w:r>
      <w:proofErr w:type="spellStart"/>
      <w:r w:rsidRPr="0095088B">
        <w:rPr>
          <w:rFonts w:cstheme="minorHAnsi"/>
        </w:rPr>
        <w:t>analyze</w:t>
      </w:r>
      <w:proofErr w:type="spellEnd"/>
      <w:r w:rsidRPr="0095088B">
        <w:rPr>
          <w:rFonts w:cstheme="minorHAnsi"/>
        </w:rPr>
        <w:t xml:space="preserve"> how Centrica plc might utilize each of these strategies:</w:t>
      </w:r>
    </w:p>
    <w:p w14:paraId="5B56673C" w14:textId="05235F55" w:rsidR="00763BAA" w:rsidRPr="0095088B" w:rsidRDefault="009977AB" w:rsidP="00763BAA">
      <w:pPr>
        <w:spacing w:after="0" w:line="240" w:lineRule="auto"/>
        <w:jc w:val="both"/>
        <w:rPr>
          <w:rFonts w:cstheme="minorHAnsi"/>
        </w:rPr>
      </w:pPr>
      <w:r w:rsidRPr="0095088B">
        <w:rPr>
          <w:rFonts w:cstheme="minorHAnsi"/>
        </w:rPr>
        <w:t xml:space="preserve">Centrica employs differentiation strategies within Porter's Generic Strategies framework to stand out in the market. By focusing on innovation and offering a diverse range of home services beyond energy supply, it creates unique value for customers. Centrica's strong brand reputation, commitment to sustainability, and integration of advanced technologies further differentiate it from competitors. Additionally, its customer-centric approach, personalized services, and collaborations with tech firms contribute to its distinctiveness in the industry. These combined efforts enable Centrica to maintain a competitive advantage and sustain its position as a leading energy and home services </w:t>
      </w:r>
      <w:proofErr w:type="gramStart"/>
      <w:r w:rsidRPr="0095088B">
        <w:rPr>
          <w:rFonts w:cstheme="minorHAnsi"/>
        </w:rPr>
        <w:t>provider.</w:t>
      </w:r>
      <w:r w:rsidR="00763BAA" w:rsidRPr="0095088B">
        <w:rPr>
          <w:rFonts w:cstheme="minorHAnsi"/>
        </w:rPr>
        <w:t>(</w:t>
      </w:r>
      <w:proofErr w:type="gramEnd"/>
      <w:r w:rsidR="00763BAA" w:rsidRPr="0095088B">
        <w:rPr>
          <w:rFonts w:cstheme="minorHAnsi"/>
        </w:rPr>
        <w:t>Centrica, 2023a)</w:t>
      </w:r>
    </w:p>
    <w:p w14:paraId="222DD6F5" w14:textId="23F45BA4" w:rsidR="006D6118" w:rsidRPr="0095088B" w:rsidRDefault="00763BAA" w:rsidP="00763BAA">
      <w:pPr>
        <w:spacing w:after="0" w:line="240" w:lineRule="auto"/>
        <w:jc w:val="both"/>
        <w:rPr>
          <w:rFonts w:cstheme="minorHAnsi"/>
        </w:rPr>
      </w:pPr>
      <w:r w:rsidRPr="0095088B">
        <w:rPr>
          <w:rFonts w:cstheme="minorHAnsi"/>
        </w:rPr>
        <w:t xml:space="preserve">1.2 </w:t>
      </w:r>
      <w:r w:rsidR="00062585" w:rsidRPr="0095088B">
        <w:rPr>
          <w:rFonts w:cstheme="minorHAnsi"/>
        </w:rPr>
        <w:t xml:space="preserve">Another strategic management tool is </w:t>
      </w:r>
      <w:bookmarkStart w:id="4" w:name="_Hlk164282682"/>
      <w:r w:rsidR="00062585" w:rsidRPr="0095088B">
        <w:rPr>
          <w:rFonts w:cstheme="minorHAnsi"/>
        </w:rPr>
        <w:t xml:space="preserve">Ansoff </w:t>
      </w:r>
      <w:bookmarkEnd w:id="4"/>
      <w:r w:rsidR="00062585" w:rsidRPr="0095088B">
        <w:rPr>
          <w:rFonts w:cstheme="minorHAnsi"/>
        </w:rPr>
        <w:t xml:space="preserve">Matrix. </w:t>
      </w:r>
      <w:r w:rsidR="00C607BB" w:rsidRPr="0095088B">
        <w:rPr>
          <w:rFonts w:cstheme="minorHAnsi"/>
        </w:rPr>
        <w:t xml:space="preserve">An essential decision in corporate strategy is determining the trajectory of a company's growth. Ansoff's renowned corporate strategy matrix presents four fundamental paths for organizational expansion-market </w:t>
      </w:r>
      <w:proofErr w:type="spellStart"/>
      <w:proofErr w:type="gramStart"/>
      <w:r w:rsidR="00C607BB" w:rsidRPr="0095088B">
        <w:rPr>
          <w:rFonts w:cstheme="minorHAnsi"/>
        </w:rPr>
        <w:t>penetration,market</w:t>
      </w:r>
      <w:proofErr w:type="spellEnd"/>
      <w:proofErr w:type="gramEnd"/>
      <w:r w:rsidR="00C607BB" w:rsidRPr="0095088B">
        <w:rPr>
          <w:rFonts w:cstheme="minorHAnsi"/>
        </w:rPr>
        <w:t xml:space="preserve"> </w:t>
      </w:r>
      <w:proofErr w:type="spellStart"/>
      <w:r w:rsidR="00C607BB" w:rsidRPr="0095088B">
        <w:rPr>
          <w:rFonts w:cstheme="minorHAnsi"/>
        </w:rPr>
        <w:t>development,product</w:t>
      </w:r>
      <w:proofErr w:type="spellEnd"/>
      <w:r w:rsidR="00C607BB" w:rsidRPr="0095088B">
        <w:rPr>
          <w:rFonts w:cstheme="minorHAnsi"/>
        </w:rPr>
        <w:t xml:space="preserve"> development and </w:t>
      </w:r>
      <w:proofErr w:type="spellStart"/>
      <w:r w:rsidR="00C607BB" w:rsidRPr="0095088B">
        <w:rPr>
          <w:rFonts w:cstheme="minorHAnsi"/>
        </w:rPr>
        <w:t>devercification</w:t>
      </w:r>
      <w:proofErr w:type="spellEnd"/>
      <w:r w:rsidR="00C607BB" w:rsidRPr="0095088B">
        <w:rPr>
          <w:rFonts w:cstheme="minorHAnsi"/>
        </w:rPr>
        <w:t>. Typically, a company may opt to focus on either penetrating existing markets or diversifying its offerings along two dimensions: expanding into new markets or introducing new products</w:t>
      </w:r>
      <w:r w:rsidR="00C607BB" w:rsidRPr="0095088B">
        <w:rPr>
          <w:rFonts w:cstheme="minorHAnsi"/>
          <w:b/>
          <w:bCs/>
        </w:rPr>
        <w:t>.</w:t>
      </w:r>
      <w:sdt>
        <w:sdtPr>
          <w:rPr>
            <w:rFonts w:cstheme="minorHAnsi"/>
          </w:rPr>
          <w:id w:val="-911004479"/>
          <w:citation/>
        </w:sdtPr>
        <w:sdtEndPr/>
        <w:sdtContent>
          <w:r w:rsidR="006D6118" w:rsidRPr="0095088B">
            <w:rPr>
              <w:rFonts w:cstheme="minorHAnsi"/>
            </w:rPr>
            <w:fldChar w:fldCharType="begin"/>
          </w:r>
          <w:r w:rsidR="006D6118" w:rsidRPr="0095088B">
            <w:rPr>
              <w:rFonts w:cstheme="minorHAnsi"/>
            </w:rPr>
            <w:instrText xml:space="preserve"> CITATION Ric18 \l 2057 </w:instrText>
          </w:r>
          <w:r w:rsidR="006D6118" w:rsidRPr="0095088B">
            <w:rPr>
              <w:rFonts w:cstheme="minorHAnsi"/>
            </w:rPr>
            <w:fldChar w:fldCharType="separate"/>
          </w:r>
          <w:r w:rsidR="006D6118" w:rsidRPr="0095088B">
            <w:rPr>
              <w:rFonts w:cstheme="minorHAnsi"/>
              <w:noProof/>
            </w:rPr>
            <w:t xml:space="preserve"> (Richard, 2018)</w:t>
          </w:r>
          <w:r w:rsidR="006D6118" w:rsidRPr="0095088B">
            <w:rPr>
              <w:rFonts w:cstheme="minorHAnsi"/>
            </w:rPr>
            <w:fldChar w:fldCharType="end"/>
          </w:r>
        </w:sdtContent>
      </w:sdt>
    </w:p>
    <w:p w14:paraId="0D3C6DB9" w14:textId="260B7FAD" w:rsidR="00985241" w:rsidRPr="0095088B" w:rsidRDefault="006E5D92" w:rsidP="006D6118">
      <w:pPr>
        <w:pStyle w:val="ListParagraph"/>
        <w:spacing w:after="0" w:line="240" w:lineRule="auto"/>
        <w:ind w:left="0"/>
        <w:jc w:val="both"/>
        <w:rPr>
          <w:rFonts w:cstheme="minorHAnsi"/>
        </w:rPr>
      </w:pPr>
      <w:r w:rsidRPr="0095088B">
        <w:rPr>
          <w:rFonts w:cstheme="minorHAnsi"/>
        </w:rPr>
        <w:t xml:space="preserve">Centrica Plc has achieved notable success in its global operations and business through strategic growth decisions tailored to different regions and time frames, influenced by various internal and external factors. The company has effectively utilized the Ansoff Matrix to guide its expansion efforts, thereby establishing itself as a prominent player in the energy sector. Below are some strategies that Centrica Plc has effectively employed within the </w:t>
      </w:r>
      <w:proofErr w:type="gramStart"/>
      <w:r w:rsidRPr="0095088B">
        <w:rPr>
          <w:rFonts w:cstheme="minorHAnsi"/>
        </w:rPr>
        <w:t>Ansoff</w:t>
      </w:r>
      <w:proofErr w:type="gramEnd"/>
      <w:r w:rsidRPr="0095088B">
        <w:rPr>
          <w:rFonts w:cstheme="minorHAnsi"/>
        </w:rPr>
        <w:t xml:space="preserve"> </w:t>
      </w:r>
    </w:p>
    <w:p w14:paraId="584B78AF" w14:textId="402EC742" w:rsidR="007E440A" w:rsidRPr="0095088B" w:rsidRDefault="006E5D92" w:rsidP="00456EB9">
      <w:pPr>
        <w:pStyle w:val="ListParagraph"/>
        <w:spacing w:after="0" w:line="240" w:lineRule="auto"/>
        <w:ind w:left="0"/>
        <w:jc w:val="both"/>
        <w:rPr>
          <w:noProof/>
        </w:rPr>
      </w:pPr>
      <w:r w:rsidRPr="0095088B">
        <w:rPr>
          <w:rFonts w:cstheme="minorHAnsi"/>
        </w:rPr>
        <w:t>Matrix categories:</w:t>
      </w:r>
      <w:r w:rsidR="007E440A" w:rsidRPr="0095088B">
        <w:rPr>
          <w:noProof/>
        </w:rPr>
        <w:t xml:space="preserve"> </w:t>
      </w:r>
      <w:r w:rsidR="00456EB9" w:rsidRPr="0048418E">
        <w:rPr>
          <w:b/>
          <w:bCs/>
          <w:noProof/>
        </w:rPr>
        <w:t>(Table 1)</w:t>
      </w:r>
    </w:p>
    <w:p w14:paraId="30CF5972" w14:textId="77777777" w:rsidR="001B62D8" w:rsidRPr="0095088B" w:rsidRDefault="001B62D8" w:rsidP="00456EB9">
      <w:pPr>
        <w:pStyle w:val="ListParagraph"/>
        <w:spacing w:after="0" w:line="240" w:lineRule="auto"/>
        <w:ind w:left="0"/>
        <w:jc w:val="both"/>
        <w:rPr>
          <w:rFonts w:asciiTheme="majorHAnsi" w:hAnsiTheme="majorHAnsi"/>
          <w:noProof/>
        </w:rPr>
      </w:pPr>
    </w:p>
    <w:p w14:paraId="415A438C" w14:textId="77777777" w:rsidR="0095088B" w:rsidRPr="0095088B" w:rsidRDefault="0095088B" w:rsidP="00456EB9">
      <w:pPr>
        <w:pStyle w:val="ListParagraph"/>
        <w:spacing w:after="0" w:line="240" w:lineRule="auto"/>
        <w:ind w:left="0"/>
        <w:jc w:val="both"/>
        <w:rPr>
          <w:rFonts w:asciiTheme="majorHAnsi" w:hAnsiTheme="majorHAnsi"/>
          <w:noProof/>
        </w:rPr>
      </w:pPr>
    </w:p>
    <w:p w14:paraId="30BC53C9" w14:textId="77777777" w:rsidR="001B62D8" w:rsidRPr="0095088B" w:rsidRDefault="001B62D8" w:rsidP="00456EB9">
      <w:pPr>
        <w:pStyle w:val="ListParagraph"/>
        <w:spacing w:after="0" w:line="240" w:lineRule="auto"/>
        <w:ind w:left="0"/>
        <w:jc w:val="both"/>
        <w:rPr>
          <w:rFonts w:asciiTheme="majorHAnsi" w:hAnsiTheme="majorHAnsi" w:cstheme="minorHAnsi"/>
        </w:rPr>
      </w:pPr>
    </w:p>
    <w:p w14:paraId="6B742784" w14:textId="0921C07D" w:rsidR="00985241" w:rsidRPr="0095088B" w:rsidRDefault="00985241" w:rsidP="002646AC">
      <w:pPr>
        <w:spacing w:after="0" w:line="240" w:lineRule="auto"/>
        <w:rPr>
          <w:rFonts w:cstheme="minorHAnsi"/>
          <w:i/>
          <w:iCs/>
        </w:rPr>
      </w:pPr>
      <w:r w:rsidRPr="0095088B">
        <w:rPr>
          <w:rFonts w:cstheme="minorHAnsi"/>
          <w:b/>
          <w:bCs/>
          <w:u w:val="single"/>
        </w:rPr>
        <w:lastRenderedPageBreak/>
        <w:t>Market Penetration:</w:t>
      </w:r>
    </w:p>
    <w:p w14:paraId="163C2933" w14:textId="77777777" w:rsidR="00D202C1" w:rsidRPr="0095088B" w:rsidRDefault="00985241" w:rsidP="007E440A">
      <w:pPr>
        <w:pStyle w:val="ListParagraph"/>
        <w:numPr>
          <w:ilvl w:val="0"/>
          <w:numId w:val="9"/>
        </w:numPr>
        <w:spacing w:after="0" w:line="240" w:lineRule="auto"/>
        <w:jc w:val="both"/>
        <w:rPr>
          <w:rFonts w:cstheme="minorHAnsi"/>
        </w:rPr>
      </w:pPr>
      <w:r w:rsidRPr="0095088B">
        <w:rPr>
          <w:rFonts w:cstheme="minorHAnsi"/>
        </w:rPr>
        <w:t>Increase Production Capacity: Expanding production capacity allows Centrica Plc to serve more customers, improving efficiency and cost control for competitive pricing and market appeal.</w:t>
      </w:r>
    </w:p>
    <w:p w14:paraId="5D93C7C8" w14:textId="77777777" w:rsidR="00D202C1" w:rsidRPr="0095088B" w:rsidRDefault="00985241" w:rsidP="007E440A">
      <w:pPr>
        <w:pStyle w:val="ListParagraph"/>
        <w:numPr>
          <w:ilvl w:val="0"/>
          <w:numId w:val="9"/>
        </w:numPr>
        <w:spacing w:after="0" w:line="240" w:lineRule="auto"/>
        <w:jc w:val="both"/>
        <w:rPr>
          <w:rFonts w:cstheme="minorHAnsi"/>
        </w:rPr>
      </w:pPr>
      <w:r w:rsidRPr="0095088B">
        <w:rPr>
          <w:rFonts w:cstheme="minorHAnsi"/>
        </w:rPr>
        <w:t>Increased Marketing Investment: Additional resources allocated to marketing and advertising help Centrica reach a wider audience within existing markets, boosting penetration.</w:t>
      </w:r>
    </w:p>
    <w:p w14:paraId="33626E99" w14:textId="77777777" w:rsidR="00D202C1" w:rsidRPr="0095088B" w:rsidRDefault="00985241" w:rsidP="007E440A">
      <w:pPr>
        <w:pStyle w:val="ListParagraph"/>
        <w:numPr>
          <w:ilvl w:val="0"/>
          <w:numId w:val="9"/>
        </w:numPr>
        <w:spacing w:after="0" w:line="240" w:lineRule="auto"/>
        <w:jc w:val="both"/>
        <w:rPr>
          <w:rFonts w:cstheme="minorHAnsi"/>
        </w:rPr>
      </w:pPr>
      <w:r w:rsidRPr="0095088B">
        <w:rPr>
          <w:rFonts w:cstheme="minorHAnsi"/>
        </w:rPr>
        <w:t>Enhanced Distribution: Innovative distribution methods enable Centrica to access untapped consumer segments, improving accessibility and penetration.</w:t>
      </w:r>
    </w:p>
    <w:p w14:paraId="758AA180" w14:textId="77777777" w:rsidR="00D202C1" w:rsidRPr="0095088B" w:rsidRDefault="00985241" w:rsidP="007E440A">
      <w:pPr>
        <w:pStyle w:val="ListParagraph"/>
        <w:numPr>
          <w:ilvl w:val="0"/>
          <w:numId w:val="9"/>
        </w:numPr>
        <w:spacing w:after="0" w:line="240" w:lineRule="auto"/>
        <w:jc w:val="both"/>
        <w:rPr>
          <w:rFonts w:cstheme="minorHAnsi"/>
        </w:rPr>
      </w:pPr>
      <w:r w:rsidRPr="0095088B">
        <w:rPr>
          <w:rFonts w:cstheme="minorHAnsi"/>
        </w:rPr>
        <w:t>Competitive Pricing: Introducing competitive pricing strategies drives consumer engagement, sales volume, and market penetration.</w:t>
      </w:r>
    </w:p>
    <w:p w14:paraId="32DB37EB" w14:textId="77777777" w:rsidR="00D202C1" w:rsidRPr="0095088B" w:rsidRDefault="00985241" w:rsidP="007E440A">
      <w:pPr>
        <w:pStyle w:val="ListParagraph"/>
        <w:numPr>
          <w:ilvl w:val="0"/>
          <w:numId w:val="9"/>
        </w:numPr>
        <w:spacing w:after="0" w:line="240" w:lineRule="auto"/>
        <w:jc w:val="both"/>
        <w:rPr>
          <w:rFonts w:cstheme="minorHAnsi"/>
        </w:rPr>
      </w:pPr>
      <w:r w:rsidRPr="0095088B">
        <w:rPr>
          <w:rFonts w:cstheme="minorHAnsi"/>
        </w:rPr>
        <w:t>Reduce Operational Costs: Implementing cost reduction measures ensures competitive pricing without compromising profitability, increasing affordability and penetration.</w:t>
      </w:r>
    </w:p>
    <w:p w14:paraId="125BE375" w14:textId="06C210CC" w:rsidR="00985241" w:rsidRPr="0095088B" w:rsidRDefault="00985241" w:rsidP="007E440A">
      <w:pPr>
        <w:pStyle w:val="ListParagraph"/>
        <w:numPr>
          <w:ilvl w:val="0"/>
          <w:numId w:val="9"/>
        </w:numPr>
        <w:spacing w:after="0" w:line="240" w:lineRule="auto"/>
        <w:jc w:val="both"/>
        <w:rPr>
          <w:rFonts w:cstheme="minorHAnsi"/>
        </w:rPr>
      </w:pPr>
      <w:r w:rsidRPr="0095088B">
        <w:rPr>
          <w:rFonts w:cstheme="minorHAnsi"/>
        </w:rPr>
        <w:t xml:space="preserve">Acquiring Competitors: Strategic acquisitions expand market reach through diversified supply chains and distribution </w:t>
      </w:r>
      <w:proofErr w:type="gramStart"/>
      <w:r w:rsidRPr="0095088B">
        <w:rPr>
          <w:rFonts w:cstheme="minorHAnsi"/>
        </w:rPr>
        <w:t>channels.</w:t>
      </w:r>
      <w:r w:rsidR="00EE700A" w:rsidRPr="0095088B">
        <w:rPr>
          <w:rFonts w:cstheme="minorHAnsi"/>
        </w:rPr>
        <w:t>(</w:t>
      </w:r>
      <w:proofErr w:type="gramEnd"/>
      <w:r w:rsidR="00EE700A" w:rsidRPr="0095088B">
        <w:rPr>
          <w:rFonts w:cstheme="minorHAnsi"/>
        </w:rPr>
        <w:t>Centrica, 2023a)</w:t>
      </w:r>
    </w:p>
    <w:p w14:paraId="10B48CF6" w14:textId="62419CCE" w:rsidR="00985241" w:rsidRPr="0095088B" w:rsidRDefault="00985241" w:rsidP="007E440A">
      <w:pPr>
        <w:spacing w:after="0" w:line="240" w:lineRule="auto"/>
        <w:jc w:val="both"/>
        <w:rPr>
          <w:rFonts w:cstheme="minorHAnsi"/>
        </w:rPr>
      </w:pPr>
      <w:r w:rsidRPr="0095088B">
        <w:rPr>
          <w:rFonts w:cstheme="minorHAnsi"/>
          <w:b/>
          <w:bCs/>
          <w:u w:val="single"/>
        </w:rPr>
        <w:t>Market Development:</w:t>
      </w:r>
    </w:p>
    <w:p w14:paraId="2F863C7C" w14:textId="77777777" w:rsidR="00D202C1" w:rsidRPr="0095088B" w:rsidRDefault="00985241" w:rsidP="007E440A">
      <w:pPr>
        <w:pStyle w:val="ListParagraph"/>
        <w:numPr>
          <w:ilvl w:val="0"/>
          <w:numId w:val="10"/>
        </w:numPr>
        <w:spacing w:after="0" w:line="240" w:lineRule="auto"/>
        <w:jc w:val="both"/>
        <w:rPr>
          <w:rFonts w:cstheme="minorHAnsi"/>
        </w:rPr>
      </w:pPr>
      <w:r w:rsidRPr="0095088B">
        <w:rPr>
          <w:rFonts w:cstheme="minorHAnsi"/>
        </w:rPr>
        <w:t>Research and Development: Investing in R&amp;D allows Centrica to identify and enter new markets by tailoring products and services to consumer preferences.</w:t>
      </w:r>
    </w:p>
    <w:p w14:paraId="51656205" w14:textId="77777777" w:rsidR="00D202C1" w:rsidRPr="0095088B" w:rsidRDefault="00985241" w:rsidP="007E440A">
      <w:pPr>
        <w:pStyle w:val="ListParagraph"/>
        <w:numPr>
          <w:ilvl w:val="0"/>
          <w:numId w:val="10"/>
        </w:numPr>
        <w:spacing w:after="0" w:line="240" w:lineRule="auto"/>
        <w:jc w:val="both"/>
        <w:rPr>
          <w:rFonts w:cstheme="minorHAnsi"/>
        </w:rPr>
      </w:pPr>
      <w:r w:rsidRPr="0095088B">
        <w:rPr>
          <w:rFonts w:cstheme="minorHAnsi"/>
        </w:rPr>
        <w:t>Regional and International Expansion: Expanding regionally and internationally taps into new consumer segments and geographic markets.</w:t>
      </w:r>
    </w:p>
    <w:p w14:paraId="5921969C" w14:textId="77777777" w:rsidR="00D202C1" w:rsidRPr="0095088B" w:rsidRDefault="00985241" w:rsidP="007E440A">
      <w:pPr>
        <w:pStyle w:val="ListParagraph"/>
        <w:numPr>
          <w:ilvl w:val="0"/>
          <w:numId w:val="10"/>
        </w:numPr>
        <w:spacing w:after="0" w:line="240" w:lineRule="auto"/>
        <w:jc w:val="both"/>
        <w:rPr>
          <w:rFonts w:cstheme="minorHAnsi"/>
        </w:rPr>
      </w:pPr>
      <w:r w:rsidRPr="0095088B">
        <w:rPr>
          <w:rFonts w:cstheme="minorHAnsi"/>
        </w:rPr>
        <w:t>New Customer Segments: Identifying and targeting new customer segments diversifies the consumer base and drives growth.</w:t>
      </w:r>
    </w:p>
    <w:p w14:paraId="132906C5" w14:textId="212D123E" w:rsidR="00985241" w:rsidRPr="0095088B" w:rsidRDefault="00985241" w:rsidP="007E440A">
      <w:pPr>
        <w:pStyle w:val="ListParagraph"/>
        <w:numPr>
          <w:ilvl w:val="0"/>
          <w:numId w:val="10"/>
        </w:numPr>
        <w:spacing w:after="0" w:line="240" w:lineRule="auto"/>
        <w:jc w:val="both"/>
        <w:rPr>
          <w:rFonts w:cstheme="minorHAnsi"/>
        </w:rPr>
      </w:pPr>
      <w:r w:rsidRPr="0095088B">
        <w:rPr>
          <w:rFonts w:cstheme="minorHAnsi"/>
        </w:rPr>
        <w:t>Brand Awareness and Customer Education: Investing in brand-building activities and consumer education initiatives drives growth in new markets.</w:t>
      </w:r>
    </w:p>
    <w:p w14:paraId="106175ED" w14:textId="2823A9B6" w:rsidR="00985241" w:rsidRPr="0095088B" w:rsidRDefault="00985241" w:rsidP="007E440A">
      <w:pPr>
        <w:spacing w:after="0" w:line="240" w:lineRule="auto"/>
        <w:jc w:val="both"/>
        <w:rPr>
          <w:rFonts w:cstheme="minorHAnsi"/>
          <w:b/>
          <w:bCs/>
          <w:u w:val="single"/>
        </w:rPr>
      </w:pPr>
      <w:bookmarkStart w:id="5" w:name="_Hlk164282849"/>
      <w:r w:rsidRPr="0095088B">
        <w:rPr>
          <w:rFonts w:cstheme="minorHAnsi"/>
          <w:b/>
          <w:bCs/>
          <w:u w:val="single"/>
        </w:rPr>
        <w:t>Product Development:</w:t>
      </w:r>
    </w:p>
    <w:bookmarkEnd w:id="5"/>
    <w:p w14:paraId="67E57A8C" w14:textId="77777777" w:rsidR="00D202C1" w:rsidRPr="0095088B" w:rsidRDefault="00985241" w:rsidP="007E440A">
      <w:pPr>
        <w:pStyle w:val="ListParagraph"/>
        <w:numPr>
          <w:ilvl w:val="0"/>
          <w:numId w:val="11"/>
        </w:numPr>
        <w:spacing w:after="0" w:line="240" w:lineRule="auto"/>
        <w:jc w:val="both"/>
        <w:rPr>
          <w:rFonts w:cstheme="minorHAnsi"/>
        </w:rPr>
      </w:pPr>
      <w:r w:rsidRPr="0095088B">
        <w:rPr>
          <w:rFonts w:cstheme="minorHAnsi"/>
        </w:rPr>
        <w:t>Modifications to Existing Products: Introducing product enhancements caters to evolving consumer needs within existing markets.</w:t>
      </w:r>
    </w:p>
    <w:p w14:paraId="6302011E" w14:textId="77777777" w:rsidR="00D202C1" w:rsidRPr="0095088B" w:rsidRDefault="00985241" w:rsidP="007E440A">
      <w:pPr>
        <w:pStyle w:val="ListParagraph"/>
        <w:numPr>
          <w:ilvl w:val="0"/>
          <w:numId w:val="11"/>
        </w:numPr>
        <w:spacing w:after="0" w:line="240" w:lineRule="auto"/>
        <w:jc w:val="both"/>
        <w:rPr>
          <w:rFonts w:cstheme="minorHAnsi"/>
        </w:rPr>
      </w:pPr>
      <w:r w:rsidRPr="0095088B">
        <w:rPr>
          <w:rFonts w:cstheme="minorHAnsi"/>
        </w:rPr>
        <w:t>Launch New Products: Investing in new product development diversifies the portfolio and penetrates new market segments.</w:t>
      </w:r>
    </w:p>
    <w:p w14:paraId="6065F159" w14:textId="036C0B81" w:rsidR="00985241" w:rsidRPr="0095088B" w:rsidRDefault="00985241" w:rsidP="007E440A">
      <w:pPr>
        <w:pStyle w:val="ListParagraph"/>
        <w:numPr>
          <w:ilvl w:val="0"/>
          <w:numId w:val="11"/>
        </w:numPr>
        <w:spacing w:after="0" w:line="240" w:lineRule="auto"/>
        <w:jc w:val="both"/>
        <w:rPr>
          <w:rFonts w:cstheme="minorHAnsi"/>
        </w:rPr>
      </w:pPr>
      <w:r w:rsidRPr="0095088B">
        <w:rPr>
          <w:rFonts w:cstheme="minorHAnsi"/>
        </w:rPr>
        <w:t>Strategic Partnerships: Collaborating with partners facilitates access to new developments and market insights.</w:t>
      </w:r>
    </w:p>
    <w:p w14:paraId="1D45BDC4" w14:textId="5699AFB8" w:rsidR="00985241" w:rsidRPr="0095088B" w:rsidRDefault="00985241" w:rsidP="007E440A">
      <w:pPr>
        <w:spacing w:after="0" w:line="240" w:lineRule="auto"/>
        <w:jc w:val="both"/>
        <w:rPr>
          <w:rFonts w:cstheme="minorHAnsi"/>
          <w:b/>
          <w:bCs/>
          <w:u w:val="single"/>
        </w:rPr>
      </w:pPr>
      <w:r w:rsidRPr="0095088B">
        <w:rPr>
          <w:rFonts w:cstheme="minorHAnsi"/>
          <w:b/>
          <w:bCs/>
          <w:u w:val="single"/>
        </w:rPr>
        <w:t>Diversification</w:t>
      </w:r>
    </w:p>
    <w:p w14:paraId="724344C7" w14:textId="77777777" w:rsidR="00D202C1" w:rsidRPr="0095088B" w:rsidRDefault="00985241" w:rsidP="007E440A">
      <w:pPr>
        <w:pStyle w:val="ListParagraph"/>
        <w:numPr>
          <w:ilvl w:val="0"/>
          <w:numId w:val="12"/>
        </w:numPr>
        <w:spacing w:after="0" w:line="240" w:lineRule="auto"/>
        <w:jc w:val="both"/>
        <w:rPr>
          <w:rFonts w:cstheme="minorHAnsi"/>
        </w:rPr>
      </w:pPr>
      <w:r w:rsidRPr="0095088B">
        <w:rPr>
          <w:rFonts w:cstheme="minorHAnsi"/>
        </w:rPr>
        <w:t>Vertical Diversification: Introducing new products within existing lines capitalizes on market presence and customer relationships.</w:t>
      </w:r>
    </w:p>
    <w:p w14:paraId="4AA6B157" w14:textId="77777777" w:rsidR="00D202C1" w:rsidRPr="0095088B" w:rsidRDefault="00985241" w:rsidP="007E440A">
      <w:pPr>
        <w:pStyle w:val="ListParagraph"/>
        <w:numPr>
          <w:ilvl w:val="0"/>
          <w:numId w:val="12"/>
        </w:numPr>
        <w:spacing w:after="0" w:line="240" w:lineRule="auto"/>
        <w:jc w:val="both"/>
        <w:rPr>
          <w:rFonts w:cstheme="minorHAnsi"/>
        </w:rPr>
      </w:pPr>
      <w:r w:rsidRPr="0095088B">
        <w:rPr>
          <w:rFonts w:cstheme="minorHAnsi"/>
        </w:rPr>
        <w:t>Horizontal Diversification: Exploring new product categories expands business into new markets and consumer segments.</w:t>
      </w:r>
    </w:p>
    <w:p w14:paraId="4BB0A3C0" w14:textId="77777777" w:rsidR="00D202C1" w:rsidRPr="0095088B" w:rsidRDefault="00985241" w:rsidP="007E440A">
      <w:pPr>
        <w:pStyle w:val="ListParagraph"/>
        <w:numPr>
          <w:ilvl w:val="0"/>
          <w:numId w:val="12"/>
        </w:numPr>
        <w:spacing w:after="0" w:line="240" w:lineRule="auto"/>
        <w:jc w:val="both"/>
        <w:rPr>
          <w:rFonts w:cstheme="minorHAnsi"/>
        </w:rPr>
      </w:pPr>
      <w:r w:rsidRPr="0095088B">
        <w:rPr>
          <w:rFonts w:cstheme="minorHAnsi"/>
        </w:rPr>
        <w:t>Diversification towards a New Business: Venturing into new sectors diversifies the portfolio and enters new markets.</w:t>
      </w:r>
    </w:p>
    <w:p w14:paraId="52779504" w14:textId="27D713E3" w:rsidR="00985241" w:rsidRPr="0095088B" w:rsidRDefault="00985241" w:rsidP="00F27264">
      <w:pPr>
        <w:pStyle w:val="ListParagraph"/>
        <w:numPr>
          <w:ilvl w:val="0"/>
          <w:numId w:val="12"/>
        </w:numPr>
        <w:spacing w:after="0" w:line="240" w:lineRule="auto"/>
        <w:jc w:val="both"/>
        <w:rPr>
          <w:rFonts w:cstheme="minorHAnsi"/>
        </w:rPr>
      </w:pPr>
      <w:r w:rsidRPr="0095088B">
        <w:rPr>
          <w:rFonts w:cstheme="minorHAnsi"/>
        </w:rPr>
        <w:t>Centrica Plc's strategic utilization of the Ansoff Matrix across growth strategies underscores its commitment to innovation, expansion, and sustainable growth in the energy sector.</w:t>
      </w:r>
    </w:p>
    <w:p w14:paraId="7191D215" w14:textId="7AC55A17" w:rsidR="006248B8" w:rsidRPr="0095088B" w:rsidRDefault="001B62D8" w:rsidP="001B62D8">
      <w:pPr>
        <w:pStyle w:val="ListParagraph"/>
        <w:spacing w:after="0" w:line="240" w:lineRule="auto"/>
        <w:ind w:left="0"/>
        <w:jc w:val="both"/>
        <w:rPr>
          <w:rFonts w:cstheme="minorHAnsi"/>
          <w:b/>
          <w:bCs/>
        </w:rPr>
      </w:pPr>
      <w:bookmarkStart w:id="6" w:name="_Hlk160961711"/>
      <w:r w:rsidRPr="0095088B">
        <w:rPr>
          <w:rFonts w:cstheme="minorHAnsi"/>
          <w:b/>
          <w:bCs/>
        </w:rPr>
        <w:t>2.</w:t>
      </w:r>
      <w:r w:rsidR="00DC37E5" w:rsidRPr="0095088B">
        <w:rPr>
          <w:rFonts w:cstheme="minorHAnsi"/>
          <w:b/>
          <w:bCs/>
        </w:rPr>
        <w:t>Resources and Capabilities Alignment:</w:t>
      </w:r>
      <w:bookmarkEnd w:id="6"/>
    </w:p>
    <w:p w14:paraId="3B898D70" w14:textId="074527BA" w:rsidR="00EE3D4B" w:rsidRPr="0095088B" w:rsidRDefault="00DC37E5" w:rsidP="007E440A">
      <w:pPr>
        <w:spacing w:after="0" w:line="240" w:lineRule="auto"/>
        <w:jc w:val="both"/>
        <w:rPr>
          <w:rFonts w:cstheme="minorHAnsi"/>
        </w:rPr>
      </w:pPr>
      <w:r w:rsidRPr="0095088B">
        <w:rPr>
          <w:rFonts w:cstheme="minorHAnsi"/>
        </w:rPr>
        <w:t xml:space="preserve">Centrica PLC possesses diverse resources and capabilities including infrastructure, technological expertise, human capital, and brand reputation. Based on the published annual </w:t>
      </w:r>
      <w:proofErr w:type="gramStart"/>
      <w:r w:rsidRPr="0095088B">
        <w:rPr>
          <w:rFonts w:cstheme="minorHAnsi"/>
        </w:rPr>
        <w:t>report</w:t>
      </w:r>
      <w:r w:rsidR="00EE700A" w:rsidRPr="0095088B">
        <w:rPr>
          <w:rFonts w:cstheme="minorHAnsi"/>
        </w:rPr>
        <w:t xml:space="preserve"> </w:t>
      </w:r>
      <w:r w:rsidRPr="0095088B">
        <w:rPr>
          <w:rFonts w:cstheme="minorHAnsi"/>
        </w:rPr>
        <w:t xml:space="preserve"> and</w:t>
      </w:r>
      <w:proofErr w:type="gramEnd"/>
      <w:r w:rsidRPr="0095088B">
        <w:rPr>
          <w:rFonts w:cstheme="minorHAnsi"/>
        </w:rPr>
        <w:t xml:space="preserve"> accounts for 2022, </w:t>
      </w:r>
      <w:r w:rsidR="00456EB9" w:rsidRPr="0095088B">
        <w:rPr>
          <w:rFonts w:cstheme="minorHAnsi"/>
        </w:rPr>
        <w:t xml:space="preserve">2023 </w:t>
      </w:r>
      <w:r w:rsidRPr="0095088B">
        <w:rPr>
          <w:rFonts w:cstheme="minorHAnsi"/>
        </w:rPr>
        <w:t xml:space="preserve">Centrica plc appears to have a strong alignment of its resources and capabilities </w:t>
      </w:r>
      <w:r w:rsidR="00456EB9" w:rsidRPr="0048418E">
        <w:rPr>
          <w:rFonts w:cstheme="minorHAnsi"/>
          <w:b/>
          <w:bCs/>
        </w:rPr>
        <w:t xml:space="preserve">(table </w:t>
      </w:r>
      <w:r w:rsidR="0048418E" w:rsidRPr="0048418E">
        <w:rPr>
          <w:rFonts w:cstheme="minorHAnsi"/>
          <w:b/>
          <w:bCs/>
        </w:rPr>
        <w:t>2</w:t>
      </w:r>
      <w:r w:rsidR="00456EB9" w:rsidRPr="0048418E">
        <w:rPr>
          <w:rFonts w:cstheme="minorHAnsi"/>
          <w:b/>
          <w:bCs/>
        </w:rPr>
        <w:t>)</w:t>
      </w:r>
      <w:r w:rsidR="00456EB9" w:rsidRPr="0095088B">
        <w:rPr>
          <w:rFonts w:cstheme="minorHAnsi"/>
        </w:rPr>
        <w:t xml:space="preserve"> </w:t>
      </w:r>
      <w:r w:rsidRPr="0095088B">
        <w:rPr>
          <w:rFonts w:cstheme="minorHAnsi"/>
        </w:rPr>
        <w:t>with its strategic priorities, macro trends, financial performance, and risk management strategies</w:t>
      </w:r>
      <w:r w:rsidR="006248B8" w:rsidRPr="0095088B">
        <w:rPr>
          <w:rFonts w:cstheme="minorHAnsi"/>
        </w:rPr>
        <w:t xml:space="preserve"> like Value Chain Analysis.</w:t>
      </w:r>
      <w:r w:rsidRPr="0095088B">
        <w:rPr>
          <w:rFonts w:cstheme="minorHAnsi"/>
        </w:rPr>
        <w:t xml:space="preserve"> Here is a summary of the key points:</w:t>
      </w:r>
    </w:p>
    <w:p w14:paraId="2703DE3A" w14:textId="2B7913B9" w:rsidR="00EE3D4B" w:rsidRPr="0095088B" w:rsidRDefault="00F36250" w:rsidP="001E0A89">
      <w:pPr>
        <w:pStyle w:val="ListParagraph"/>
        <w:spacing w:after="0" w:line="240" w:lineRule="auto"/>
        <w:ind w:left="0"/>
        <w:jc w:val="both"/>
      </w:pPr>
      <w:r w:rsidRPr="0095088B">
        <w:t>2.1</w:t>
      </w:r>
      <w:r w:rsidR="00EE3D4B" w:rsidRPr="0095088B">
        <w:t>The primary value chain activities of Centrica Plc are directly involved in producing and delivering products to targeted customers. Analyzing these activities can enhance the company's performance, as detailed below:</w:t>
      </w:r>
    </w:p>
    <w:p w14:paraId="2526D563" w14:textId="77777777" w:rsidR="008E616E" w:rsidRPr="0095088B" w:rsidRDefault="008E616E" w:rsidP="007E440A">
      <w:pPr>
        <w:spacing w:after="0" w:line="240" w:lineRule="auto"/>
        <w:jc w:val="both"/>
      </w:pPr>
      <w:r w:rsidRPr="0095088B">
        <w:lastRenderedPageBreak/>
        <w:t xml:space="preserve">Inbound logistics at Centrica encompasses the sourcing, storage, and internal distribution of raw materials for energy production, with a growing emphasis on renewable sources. Operational activities center on refining </w:t>
      </w:r>
      <w:bookmarkStart w:id="7" w:name="_Hlk164807168"/>
      <w:r w:rsidRPr="0095088B">
        <w:t xml:space="preserve">crude oil and gas into usable products, </w:t>
      </w:r>
      <w:bookmarkEnd w:id="7"/>
      <w:r w:rsidRPr="0095088B">
        <w:t>while outbound logistics adapt to changes such as facility closures and increased reliance on LNG imports. These shifts may heighten market volatility and exposure to global supply fluctuations and trade barriers.</w:t>
      </w:r>
    </w:p>
    <w:p w14:paraId="5DD50EC8" w14:textId="77777777" w:rsidR="008E616E" w:rsidRPr="0095088B" w:rsidRDefault="008E616E" w:rsidP="007E440A">
      <w:pPr>
        <w:spacing w:after="0" w:line="240" w:lineRule="auto"/>
        <w:jc w:val="both"/>
      </w:pPr>
      <w:r w:rsidRPr="0095088B">
        <w:t>Marketing efforts aim to position Centrica as a holistic home care provider, leveraging its established brand presence while adapting to intensified competition. Past challenges in sales tactics have prompted a strategic shift towards portraying the company as more than just an energy supplier, emphasizing a broader range of services to appeal to evolving consumer needs and preferences.</w:t>
      </w:r>
    </w:p>
    <w:p w14:paraId="51A4E400" w14:textId="77777777" w:rsidR="008E616E" w:rsidRPr="0095088B" w:rsidRDefault="008E616E" w:rsidP="007E440A">
      <w:pPr>
        <w:spacing w:after="0" w:line="240" w:lineRule="auto"/>
        <w:jc w:val="both"/>
      </w:pPr>
      <w:r w:rsidRPr="0095088B">
        <w:t>Services offered by Centrica are evolving to provide comprehensive solutions beyond energy supply, including protection products and on-demand services such as repairs and home improvements. This expansion aligns with the company's strategy to increase customer value and loyalty in a market constrained by regulatory price controls.</w:t>
      </w:r>
    </w:p>
    <w:p w14:paraId="1564F129" w14:textId="4C2DA77F" w:rsidR="009E35A9" w:rsidRPr="0095088B" w:rsidRDefault="008E616E" w:rsidP="007E440A">
      <w:pPr>
        <w:spacing w:after="0" w:line="240" w:lineRule="auto"/>
        <w:jc w:val="both"/>
      </w:pPr>
      <w:r w:rsidRPr="0095088B">
        <w:t xml:space="preserve">Overall, Centrica is navigating a dynamic landscape characterized by changing energy sources, market competition, and regulatory constraints. By embracing renewable energy, refining operational processes, and expanding service offerings, Centrica aims to maintain its position as a leading energy provider while meeting evolving consumer demands and sustainability </w:t>
      </w:r>
      <w:proofErr w:type="gramStart"/>
      <w:r w:rsidRPr="0095088B">
        <w:t>goals.</w:t>
      </w:r>
      <w:r w:rsidR="00EE700A" w:rsidRPr="0095088B">
        <w:t>(</w:t>
      </w:r>
      <w:proofErr w:type="gramEnd"/>
      <w:r w:rsidR="00EE700A" w:rsidRPr="0095088B">
        <w:t>Centrica, 2023a)</w:t>
      </w:r>
    </w:p>
    <w:p w14:paraId="2AA071DF" w14:textId="46F2E361" w:rsidR="00EE3D4B" w:rsidRPr="0095088B" w:rsidRDefault="00EE3D4B" w:rsidP="007E440A">
      <w:pPr>
        <w:spacing w:after="0" w:line="240" w:lineRule="auto"/>
        <w:jc w:val="both"/>
        <w:rPr>
          <w:b/>
          <w:bCs/>
          <w:u w:val="single"/>
        </w:rPr>
      </w:pPr>
      <w:r w:rsidRPr="0095088B">
        <w:rPr>
          <w:b/>
          <w:bCs/>
          <w:u w:val="single"/>
        </w:rPr>
        <w:t>Firm Infrastructure</w:t>
      </w:r>
    </w:p>
    <w:p w14:paraId="683D51C6" w14:textId="77777777" w:rsidR="00EE3D4B" w:rsidRPr="0095088B" w:rsidRDefault="00EE3D4B" w:rsidP="007E440A">
      <w:pPr>
        <w:spacing w:after="0" w:line="240" w:lineRule="auto"/>
        <w:jc w:val="both"/>
      </w:pPr>
      <w:r w:rsidRPr="0095088B">
        <w:t>Managing quality, legal matters, accounting, finance, planning, and strategic management strengthens Centrica Plc's competitive positioning. Controlling overhead costs enhances overall value chain efficiency.</w:t>
      </w:r>
    </w:p>
    <w:p w14:paraId="13770A00" w14:textId="1A3FDF30" w:rsidR="00EE3D4B" w:rsidRPr="0095088B" w:rsidRDefault="00EE3D4B" w:rsidP="007E440A">
      <w:pPr>
        <w:spacing w:after="0" w:line="240" w:lineRule="auto"/>
        <w:jc w:val="both"/>
        <w:rPr>
          <w:b/>
          <w:bCs/>
          <w:u w:val="single"/>
        </w:rPr>
      </w:pPr>
      <w:r w:rsidRPr="0095088B">
        <w:rPr>
          <w:b/>
          <w:bCs/>
          <w:u w:val="single"/>
        </w:rPr>
        <w:t xml:space="preserve"> </w:t>
      </w:r>
      <w:proofErr w:type="gramStart"/>
      <w:r w:rsidRPr="0095088B">
        <w:rPr>
          <w:b/>
          <w:bCs/>
          <w:u w:val="single"/>
        </w:rPr>
        <w:t>Human</w:t>
      </w:r>
      <w:r w:rsidR="00111D9F" w:rsidRPr="0095088B">
        <w:rPr>
          <w:b/>
          <w:bCs/>
          <w:u w:val="single"/>
        </w:rPr>
        <w:t xml:space="preserve"> </w:t>
      </w:r>
      <w:r w:rsidRPr="0095088B">
        <w:rPr>
          <w:b/>
          <w:bCs/>
          <w:u w:val="single"/>
        </w:rPr>
        <w:t xml:space="preserve"> Resource</w:t>
      </w:r>
      <w:proofErr w:type="gramEnd"/>
      <w:r w:rsidRPr="0095088B">
        <w:rPr>
          <w:b/>
          <w:bCs/>
          <w:u w:val="single"/>
        </w:rPr>
        <w:t xml:space="preserve"> Management</w:t>
      </w:r>
    </w:p>
    <w:p w14:paraId="58C75925" w14:textId="77777777" w:rsidR="00EE3D4B" w:rsidRPr="0095088B" w:rsidRDefault="00EE3D4B" w:rsidP="007E440A">
      <w:pPr>
        <w:spacing w:after="0" w:line="240" w:lineRule="auto"/>
        <w:jc w:val="both"/>
      </w:pPr>
      <w:r w:rsidRPr="0095088B">
        <w:t>Effective HR practices, including recruitment, training, performance management, and talent retention, reduce competitive pressure and improve workforce motivation and commitment. Cost optimization through efficient hiring and training is crucial given the company's reliance on skilled employees.</w:t>
      </w:r>
    </w:p>
    <w:p w14:paraId="72B3D4A7" w14:textId="359CB0A4" w:rsidR="00EE3D4B" w:rsidRPr="0095088B" w:rsidRDefault="00EE3D4B" w:rsidP="007E440A">
      <w:pPr>
        <w:spacing w:after="0" w:line="240" w:lineRule="auto"/>
        <w:jc w:val="both"/>
      </w:pPr>
      <w:r w:rsidRPr="0095088B">
        <w:t xml:space="preserve"> Technology Development</w:t>
      </w:r>
    </w:p>
    <w:p w14:paraId="77F2004D" w14:textId="77777777" w:rsidR="00EE3D4B" w:rsidRPr="0095088B" w:rsidRDefault="00EE3D4B" w:rsidP="007E440A">
      <w:pPr>
        <w:spacing w:after="0" w:line="240" w:lineRule="auto"/>
        <w:jc w:val="both"/>
      </w:pPr>
      <w:r w:rsidRPr="0095088B">
        <w:t>Incorporating technology into production, distribution, marketing, and HR activities is essential in the modern era. Investing in product and process technological development, such as automation, customer service software, and data analytics, improves efficiency and competitiveness.</w:t>
      </w:r>
    </w:p>
    <w:p w14:paraId="1A029112" w14:textId="7BFF8227" w:rsidR="00EE3D4B" w:rsidRPr="0095088B" w:rsidRDefault="00EE3D4B" w:rsidP="007E440A">
      <w:pPr>
        <w:spacing w:after="0" w:line="240" w:lineRule="auto"/>
        <w:jc w:val="both"/>
        <w:rPr>
          <w:b/>
          <w:bCs/>
          <w:u w:val="single"/>
        </w:rPr>
      </w:pPr>
      <w:r w:rsidRPr="0095088B">
        <w:rPr>
          <w:b/>
          <w:bCs/>
          <w:u w:val="single"/>
        </w:rPr>
        <w:t xml:space="preserve"> Procurement</w:t>
      </w:r>
    </w:p>
    <w:p w14:paraId="6F842632" w14:textId="77777777" w:rsidR="00EE3D4B" w:rsidRPr="0095088B" w:rsidRDefault="00EE3D4B" w:rsidP="007E440A">
      <w:pPr>
        <w:spacing w:after="0" w:line="240" w:lineRule="auto"/>
        <w:jc w:val="both"/>
      </w:pPr>
      <w:r w:rsidRPr="0095088B">
        <w:t>Optimizing procurement processes for purchasing inputs like equipment, raw materials, and supplies is critical. Careful consideration of procurement activities enhances overall value chain efficiency and effectiveness.</w:t>
      </w:r>
    </w:p>
    <w:p w14:paraId="72FCDD62" w14:textId="660BD4C7" w:rsidR="00CE6FAA" w:rsidRPr="0095088B" w:rsidRDefault="00EE3D4B" w:rsidP="007F4619">
      <w:pPr>
        <w:spacing w:after="0" w:line="240" w:lineRule="auto"/>
        <w:jc w:val="both"/>
      </w:pPr>
      <w:r w:rsidRPr="0095088B">
        <w:t xml:space="preserve">Understanding the importance of each value chain activity allows Centrica Plc to identify areas for value addition, cost efficiency, differentiation, and process </w:t>
      </w:r>
      <w:proofErr w:type="gramStart"/>
      <w:r w:rsidRPr="0095088B">
        <w:t>optimization</w:t>
      </w:r>
      <w:r w:rsidR="00FC4157" w:rsidRPr="0095088B">
        <w:t>.</w:t>
      </w:r>
      <w:r w:rsidR="00B01940" w:rsidRPr="0095088B">
        <w:t>(</w:t>
      </w:r>
      <w:proofErr w:type="gramEnd"/>
      <w:r w:rsidR="00B01940" w:rsidRPr="0095088B">
        <w:t>Marketline,2024)</w:t>
      </w:r>
    </w:p>
    <w:p w14:paraId="16621C57" w14:textId="3DFA0B9D" w:rsidR="00BB428E" w:rsidRPr="0095088B" w:rsidRDefault="001B62D8" w:rsidP="00F9150C">
      <w:pPr>
        <w:pStyle w:val="ListParagraph"/>
        <w:spacing w:after="0" w:line="240" w:lineRule="auto"/>
        <w:ind w:left="0"/>
        <w:jc w:val="both"/>
      </w:pPr>
      <w:r w:rsidRPr="0095088B">
        <w:t>2.</w:t>
      </w:r>
      <w:proofErr w:type="gramStart"/>
      <w:r w:rsidRPr="0095088B">
        <w:t>2.</w:t>
      </w:r>
      <w:r w:rsidR="00BB428E" w:rsidRPr="0095088B">
        <w:t>Other</w:t>
      </w:r>
      <w:proofErr w:type="gramEnd"/>
      <w:r w:rsidR="00BB428E" w:rsidRPr="0095088B">
        <w:t xml:space="preserve"> strategy that the company use is </w:t>
      </w:r>
      <w:r w:rsidR="00465DB4" w:rsidRPr="0095088B">
        <w:rPr>
          <w:b/>
          <w:bCs/>
        </w:rPr>
        <w:t>VRIO Analysis</w:t>
      </w:r>
      <w:r w:rsidR="00B01940" w:rsidRPr="0095088B">
        <w:t>.</w:t>
      </w:r>
    </w:p>
    <w:p w14:paraId="5C5CDD48" w14:textId="5B781B3C" w:rsidR="00465DB4" w:rsidRPr="0095088B" w:rsidRDefault="00465DB4" w:rsidP="007E440A">
      <w:pPr>
        <w:spacing w:after="0" w:line="240" w:lineRule="auto"/>
        <w:jc w:val="both"/>
      </w:pPr>
      <w:r w:rsidRPr="0095088B">
        <w:t>The VRIO analysis is a strategic tool utilized to assess and evaluate a company's resources, determining its strategic advantage and competitiveness. By evaluating internal resources and capabilities, this tool aids in identifying long-term competitive advantages, core competencies, and sustainable growth strategies. VRIO analysis evaluates resources and competencies based on characteristics</w:t>
      </w:r>
      <w:r w:rsidR="00664684" w:rsidRPr="0095088B">
        <w:rPr>
          <w:lang w:val="bg-BG"/>
        </w:rPr>
        <w:t xml:space="preserve"> </w:t>
      </w:r>
      <w:r w:rsidR="00664684" w:rsidRPr="0095088B">
        <w:t xml:space="preserve">that are </w:t>
      </w:r>
      <w:proofErr w:type="spellStart"/>
      <w:proofErr w:type="gramStart"/>
      <w:r w:rsidR="00664684" w:rsidRPr="0095088B">
        <w:t>valuable,rear</w:t>
      </w:r>
      <w:proofErr w:type="gramEnd"/>
      <w:r w:rsidR="00664684" w:rsidRPr="0095088B">
        <w:t>,inimitable</w:t>
      </w:r>
      <w:proofErr w:type="spellEnd"/>
      <w:r w:rsidR="00664684" w:rsidRPr="0095088B">
        <w:t xml:space="preserve"> and supported by the organization</w:t>
      </w:r>
      <w:r w:rsidR="00F616DF" w:rsidRPr="0095088B">
        <w:t xml:space="preserve"> </w:t>
      </w:r>
      <w:r w:rsidR="00F616DF" w:rsidRPr="0048418E">
        <w:rPr>
          <w:b/>
          <w:bCs/>
        </w:rPr>
        <w:t xml:space="preserve">(table </w:t>
      </w:r>
      <w:r w:rsidR="0048418E" w:rsidRPr="0048418E">
        <w:rPr>
          <w:b/>
          <w:bCs/>
        </w:rPr>
        <w:t>3</w:t>
      </w:r>
      <w:r w:rsidR="00F616DF" w:rsidRPr="0048418E">
        <w:rPr>
          <w:b/>
          <w:bCs/>
        </w:rPr>
        <w:t>)</w:t>
      </w:r>
      <w:r w:rsidR="00664684" w:rsidRPr="0095088B">
        <w:t>.</w:t>
      </w:r>
      <w:sdt>
        <w:sdtPr>
          <w:id w:val="1562439979"/>
          <w:citation/>
        </w:sdtPr>
        <w:sdtEndPr/>
        <w:sdtContent>
          <w:r w:rsidR="00B01940" w:rsidRPr="0095088B">
            <w:fldChar w:fldCharType="begin"/>
          </w:r>
          <w:r w:rsidR="00B01940" w:rsidRPr="0095088B">
            <w:instrText xml:space="preserve"> CITATION Whi21 \l 2057 </w:instrText>
          </w:r>
          <w:r w:rsidR="00B01940" w:rsidRPr="0095088B">
            <w:fldChar w:fldCharType="separate"/>
          </w:r>
          <w:r w:rsidR="00B01940" w:rsidRPr="0095088B">
            <w:rPr>
              <w:noProof/>
            </w:rPr>
            <w:t xml:space="preserve"> (Whittington, et al., 2021)</w:t>
          </w:r>
          <w:r w:rsidR="00B01940" w:rsidRPr="0095088B">
            <w:fldChar w:fldCharType="end"/>
          </w:r>
        </w:sdtContent>
      </w:sdt>
    </w:p>
    <w:p w14:paraId="142C6C7D" w14:textId="77777777" w:rsidR="0054198F" w:rsidRPr="0095088B" w:rsidRDefault="0054198F" w:rsidP="0054198F">
      <w:pPr>
        <w:spacing w:after="0" w:line="240" w:lineRule="auto"/>
        <w:jc w:val="both"/>
        <w:rPr>
          <w:b/>
          <w:bCs/>
        </w:rPr>
      </w:pPr>
      <w:bookmarkStart w:id="8" w:name="_Hlk160961784"/>
      <w:r w:rsidRPr="0095088B">
        <w:rPr>
          <w:b/>
          <w:bCs/>
        </w:rPr>
        <w:t>Valuable Competencies:</w:t>
      </w:r>
    </w:p>
    <w:p w14:paraId="074AC078" w14:textId="77777777" w:rsidR="0054198F" w:rsidRPr="0095088B" w:rsidRDefault="0054198F" w:rsidP="0054198F">
      <w:pPr>
        <w:spacing w:after="0" w:line="240" w:lineRule="auto"/>
        <w:jc w:val="both"/>
      </w:pPr>
      <w:r w:rsidRPr="0095088B">
        <w:t>Centrica Plc's social responsibility initiatives, transparently communicated through official channels, align with broader business objectives, fostering growth and development.</w:t>
      </w:r>
    </w:p>
    <w:p w14:paraId="59C672E4" w14:textId="77777777" w:rsidR="0054198F" w:rsidRPr="0095088B" w:rsidRDefault="0054198F" w:rsidP="0054198F">
      <w:pPr>
        <w:spacing w:after="0" w:line="240" w:lineRule="auto"/>
        <w:jc w:val="both"/>
      </w:pPr>
      <w:r w:rsidRPr="0095088B">
        <w:t>Unique Brand Image:</w:t>
      </w:r>
    </w:p>
    <w:p w14:paraId="2D32709E" w14:textId="77777777" w:rsidR="0054198F" w:rsidRPr="0095088B" w:rsidRDefault="0054198F" w:rsidP="0054198F">
      <w:pPr>
        <w:spacing w:after="0" w:line="240" w:lineRule="auto"/>
        <w:jc w:val="both"/>
      </w:pPr>
      <w:r w:rsidRPr="0095088B">
        <w:t>Centrica Plc has cultivated a distinct brand image built on integrity and trust, making it difficult for competitors to replicate.</w:t>
      </w:r>
    </w:p>
    <w:p w14:paraId="0317246F" w14:textId="77777777" w:rsidR="0054198F" w:rsidRPr="0095088B" w:rsidRDefault="0054198F" w:rsidP="0054198F">
      <w:pPr>
        <w:spacing w:after="0" w:line="240" w:lineRule="auto"/>
        <w:jc w:val="both"/>
      </w:pPr>
      <w:r w:rsidRPr="0095088B">
        <w:lastRenderedPageBreak/>
        <w:t>Strong Supplier Relationships:</w:t>
      </w:r>
    </w:p>
    <w:p w14:paraId="29DD714B" w14:textId="77777777" w:rsidR="0054198F" w:rsidRPr="0095088B" w:rsidRDefault="0054198F" w:rsidP="0054198F">
      <w:pPr>
        <w:spacing w:after="0" w:line="240" w:lineRule="auto"/>
        <w:jc w:val="both"/>
      </w:pPr>
      <w:r w:rsidRPr="0095088B">
        <w:t>Globally valued for its distribution system, Centrica Plc maintains robust relationships with suppliers, facilitating product accessibility and opening doors to global opportunities.</w:t>
      </w:r>
    </w:p>
    <w:p w14:paraId="2F502237" w14:textId="77777777" w:rsidR="0054198F" w:rsidRPr="0095088B" w:rsidRDefault="0054198F" w:rsidP="0054198F">
      <w:pPr>
        <w:spacing w:after="0" w:line="240" w:lineRule="auto"/>
        <w:jc w:val="both"/>
      </w:pPr>
      <w:r w:rsidRPr="0095088B">
        <w:t xml:space="preserve">Innovative </w:t>
      </w:r>
      <w:proofErr w:type="spellStart"/>
      <w:proofErr w:type="gramStart"/>
      <w:r w:rsidRPr="0095088B">
        <w:t>Capabilities:Centrica</w:t>
      </w:r>
      <w:proofErr w:type="spellEnd"/>
      <w:proofErr w:type="gramEnd"/>
      <w:r w:rsidRPr="0095088B">
        <w:t xml:space="preserve"> Plc demonstrates a propensity for innovation across various functions, driving process efficiency, cost reduction, and market expansion.</w:t>
      </w:r>
    </w:p>
    <w:p w14:paraId="303D6BE7" w14:textId="77777777" w:rsidR="0054198F" w:rsidRPr="0095088B" w:rsidRDefault="0054198F" w:rsidP="0054198F">
      <w:pPr>
        <w:spacing w:after="0" w:line="240" w:lineRule="auto"/>
        <w:jc w:val="both"/>
      </w:pPr>
      <w:r w:rsidRPr="0095088B">
        <w:t>Capital Mobilization:</w:t>
      </w:r>
    </w:p>
    <w:p w14:paraId="3F61412E" w14:textId="77777777" w:rsidR="0054198F" w:rsidRPr="0095088B" w:rsidRDefault="0054198F" w:rsidP="0054198F">
      <w:pPr>
        <w:spacing w:after="0" w:line="240" w:lineRule="auto"/>
        <w:jc w:val="both"/>
      </w:pPr>
      <w:r w:rsidRPr="0095088B">
        <w:t xml:space="preserve">Leveraging its size and market position, Centrica Plc </w:t>
      </w:r>
      <w:proofErr w:type="gramStart"/>
      <w:r w:rsidRPr="0095088B">
        <w:t>has the ability to</w:t>
      </w:r>
      <w:proofErr w:type="gramEnd"/>
      <w:r w:rsidRPr="0095088B">
        <w:t xml:space="preserve"> internally raise equity, supporting expansion, diversification, and acquisitions while reducing market competition.</w:t>
      </w:r>
    </w:p>
    <w:p w14:paraId="7D01E6CE" w14:textId="77777777" w:rsidR="0054198F" w:rsidRPr="0095088B" w:rsidRDefault="0054198F" w:rsidP="0054198F">
      <w:pPr>
        <w:spacing w:after="0" w:line="240" w:lineRule="auto"/>
        <w:jc w:val="both"/>
        <w:rPr>
          <w:b/>
          <w:bCs/>
        </w:rPr>
      </w:pPr>
      <w:r w:rsidRPr="0095088B">
        <w:rPr>
          <w:b/>
          <w:bCs/>
        </w:rPr>
        <w:t>Rare Competencies:</w:t>
      </w:r>
    </w:p>
    <w:p w14:paraId="4D00798E" w14:textId="77777777" w:rsidR="0054198F" w:rsidRPr="0095088B" w:rsidRDefault="0054198F" w:rsidP="0054198F">
      <w:pPr>
        <w:spacing w:after="0" w:line="240" w:lineRule="auto"/>
        <w:jc w:val="both"/>
      </w:pPr>
      <w:r w:rsidRPr="0095088B">
        <w:t>Centrica Plc stands out in the industry due to its global presence, bolstered by extensive experience in diverse markets. This international footprint not only expands its consumer base but also provides invaluable insights into different market dynamics and cultural nuances. Furthermore, Centrica's organizational culture, fostering a problem-solving mindset among employees, sets it apart from competitors. This culture encourages collaboration, creativity, and innovation, leading to unique solutions and a competitive edge. Additionally, Centrica's willingness to take calculated risks demonstrates its agility and adaptability in navigating complex business environments, further enhancing its rarity in the industry.</w:t>
      </w:r>
    </w:p>
    <w:p w14:paraId="1B84F7A3" w14:textId="77777777" w:rsidR="0054198F" w:rsidRPr="0095088B" w:rsidRDefault="0054198F" w:rsidP="0054198F">
      <w:pPr>
        <w:spacing w:after="0" w:line="240" w:lineRule="auto"/>
        <w:jc w:val="both"/>
        <w:rPr>
          <w:b/>
          <w:bCs/>
        </w:rPr>
      </w:pPr>
      <w:r w:rsidRPr="0095088B">
        <w:rPr>
          <w:b/>
          <w:bCs/>
        </w:rPr>
        <w:t>Inimitable Advantages:</w:t>
      </w:r>
    </w:p>
    <w:p w14:paraId="571CE4FB" w14:textId="77777777" w:rsidR="0054198F" w:rsidRPr="0095088B" w:rsidRDefault="0054198F" w:rsidP="0054198F">
      <w:pPr>
        <w:spacing w:after="0" w:line="240" w:lineRule="auto"/>
        <w:jc w:val="both"/>
      </w:pPr>
      <w:r w:rsidRPr="0095088B">
        <w:t>Centrica's dedication to delivering high-quality products and services has solidified its reputation as a trusted brand with a distinct identity. This reputation is reinforced by strategic store placement, ensuring maximum visibility and accessibility for consumers. Moreover, Centrica's marketing communications strategy is carefully crafted to resonate with its target audience, making it challenging for competitors to replicate the emotional connection it establishes with customers. Combined with competitive pricing strategies and an unwavering commitment to delivering exceptional customer experiences, Centrica's brand equity becomes increasingly difficult for rivals to emulate.</w:t>
      </w:r>
    </w:p>
    <w:p w14:paraId="51D9024A" w14:textId="77777777" w:rsidR="0054198F" w:rsidRPr="0095088B" w:rsidRDefault="0054198F" w:rsidP="0054198F">
      <w:pPr>
        <w:spacing w:after="0" w:line="240" w:lineRule="auto"/>
        <w:jc w:val="both"/>
        <w:rPr>
          <w:b/>
          <w:bCs/>
        </w:rPr>
      </w:pPr>
      <w:r w:rsidRPr="0095088B">
        <w:rPr>
          <w:b/>
          <w:bCs/>
        </w:rPr>
        <w:t>Key Resources:</w:t>
      </w:r>
    </w:p>
    <w:p w14:paraId="43215B21" w14:textId="38EE7528" w:rsidR="00F9150C" w:rsidRPr="0095088B" w:rsidRDefault="0054198F" w:rsidP="007E440A">
      <w:pPr>
        <w:spacing w:after="0" w:line="240" w:lineRule="auto"/>
        <w:jc w:val="both"/>
      </w:pPr>
      <w:r w:rsidRPr="0095088B">
        <w:t>Centrica's financial strength provides a solid foundation for strategic initiatives, including investments in technology, research and development, and human capital. These investments contribute to Centrica's technological integration, enabling it to streamline operations, optimize efficiency, and stay ahead of industry trends. Furthermore, Centrica's focus on employee training fosters a skilled and motivated workforce, driving innovation and organizational growth. This, coupled with its robust distribution channels and strong leadership vision, positions Centrica as a formidable player in the market, capable of seizing opportunities and overcoming challenges with agility and resilience.</w:t>
      </w:r>
      <w:bookmarkStart w:id="9" w:name="_Hlk164283538"/>
    </w:p>
    <w:p w14:paraId="299E5896" w14:textId="37975194" w:rsidR="00DC37E5" w:rsidRPr="0095088B" w:rsidRDefault="005510D5" w:rsidP="007E440A">
      <w:pPr>
        <w:spacing w:after="0" w:line="240" w:lineRule="auto"/>
        <w:jc w:val="both"/>
        <w:rPr>
          <w:rFonts w:cstheme="minorHAnsi"/>
          <w:b/>
          <w:bCs/>
        </w:rPr>
      </w:pPr>
      <w:r w:rsidRPr="0095088B">
        <w:rPr>
          <w:rFonts w:cstheme="minorHAnsi"/>
          <w:b/>
          <w:bCs/>
        </w:rPr>
        <w:t>3</w:t>
      </w:r>
      <w:r w:rsidR="00BB428E" w:rsidRPr="0095088B">
        <w:rPr>
          <w:rFonts w:cstheme="minorHAnsi"/>
          <w:b/>
          <w:bCs/>
        </w:rPr>
        <w:t>.</w:t>
      </w:r>
      <w:r w:rsidR="00DC37E5" w:rsidRPr="0095088B">
        <w:rPr>
          <w:rFonts w:cstheme="minorHAnsi"/>
          <w:b/>
          <w:bCs/>
        </w:rPr>
        <w:t>Evaluation of Strategy Implementation and Competitive Advantage:</w:t>
      </w:r>
    </w:p>
    <w:bookmarkEnd w:id="8"/>
    <w:bookmarkEnd w:id="9"/>
    <w:p w14:paraId="3AB94729" w14:textId="77777777" w:rsidR="00DC37E5" w:rsidRPr="0095088B" w:rsidRDefault="00DC37E5" w:rsidP="007E440A">
      <w:pPr>
        <w:spacing w:after="0" w:line="240" w:lineRule="auto"/>
        <w:jc w:val="both"/>
        <w:rPr>
          <w:rFonts w:cstheme="minorHAnsi"/>
        </w:rPr>
      </w:pPr>
      <w:r w:rsidRPr="0095088B">
        <w:rPr>
          <w:rFonts w:cstheme="minorHAnsi"/>
        </w:rPr>
        <w:t>Centrica's strategy implementation has mixed results. While the company has made significant progress in diversifying its revenue streams and expanding its service offerings, it has faced challenges in optimizing operational efficiency and reducing costs. Despite these challenges, the company maintains several key elements that contribute to its competitive advantage.</w:t>
      </w:r>
    </w:p>
    <w:p w14:paraId="70EBD379" w14:textId="77777777" w:rsidR="00DC37E5" w:rsidRPr="0095088B" w:rsidRDefault="00DC37E5" w:rsidP="007E440A">
      <w:pPr>
        <w:spacing w:after="0" w:line="240" w:lineRule="auto"/>
        <w:jc w:val="both"/>
        <w:rPr>
          <w:rFonts w:cstheme="minorHAnsi"/>
        </w:rPr>
      </w:pPr>
      <w:r w:rsidRPr="0095088B">
        <w:rPr>
          <w:rFonts w:cstheme="minorHAnsi"/>
        </w:rPr>
        <w:t>One of Centrica's notable strengths lies in its robust brand reputation, cultivated through a dedicated focus on customer satisfaction and responsible business practices. By prioritizing the well-being of both colleagues and customers, Centrica has positioned itself as a reliable supplier of energy and service solutions, creating a sense of loyalty and setting itself apart in the market.</w:t>
      </w:r>
    </w:p>
    <w:p w14:paraId="221CB229" w14:textId="77777777" w:rsidR="00DC37E5" w:rsidRPr="0095088B" w:rsidRDefault="00DC37E5" w:rsidP="007E440A">
      <w:pPr>
        <w:spacing w:after="0" w:line="240" w:lineRule="auto"/>
        <w:jc w:val="both"/>
        <w:rPr>
          <w:rFonts w:cstheme="minorHAnsi"/>
        </w:rPr>
      </w:pPr>
      <w:r w:rsidRPr="0095088B">
        <w:rPr>
          <w:rFonts w:cstheme="minorHAnsi"/>
        </w:rPr>
        <w:t>Moreover, Centrica benefits from an extensive and diversified customer base, allowing it to cater to a wide range of energy needs across various demographics and sectors. This broad reach not only provides a solid revenue foundation but also affords Centrica the flexibility to adapt to changing market dynamics and consumer preferences.</w:t>
      </w:r>
    </w:p>
    <w:p w14:paraId="41EB8345" w14:textId="77777777" w:rsidR="00DC37E5" w:rsidRPr="0095088B" w:rsidRDefault="00DC37E5" w:rsidP="007E440A">
      <w:pPr>
        <w:spacing w:after="0" w:line="240" w:lineRule="auto"/>
        <w:jc w:val="both"/>
        <w:rPr>
          <w:rFonts w:asciiTheme="majorHAnsi" w:hAnsiTheme="majorHAnsi" w:cstheme="minorHAnsi"/>
        </w:rPr>
      </w:pPr>
      <w:r w:rsidRPr="0095088B">
        <w:rPr>
          <w:rFonts w:cstheme="minorHAnsi"/>
        </w:rPr>
        <w:t xml:space="preserve">A significant aspect of Centrica's competitive advantage stems from its integrated energy business model, which includes multiple segments of the energy value chain. By engaging in activities ranging from production and storage to trading and retail services, Centrica diversifies its revenue streams and mitigates risks associated with sector-specific fluctuations. This </w:t>
      </w:r>
      <w:r w:rsidRPr="0095088B">
        <w:rPr>
          <w:rFonts w:cstheme="minorHAnsi"/>
        </w:rPr>
        <w:lastRenderedPageBreak/>
        <w:t>diversification not only enhances Centrica's resilience but also positions it to capture emerging opportunities in different areas of the energy market.</w:t>
      </w:r>
    </w:p>
    <w:p w14:paraId="0317C6A3" w14:textId="77777777" w:rsidR="00DC37E5" w:rsidRPr="0095088B" w:rsidRDefault="00DC37E5" w:rsidP="007E440A">
      <w:pPr>
        <w:spacing w:after="0" w:line="240" w:lineRule="auto"/>
        <w:jc w:val="both"/>
        <w:rPr>
          <w:rFonts w:cstheme="minorHAnsi"/>
        </w:rPr>
      </w:pPr>
      <w:r w:rsidRPr="0095088B">
        <w:rPr>
          <w:rFonts w:cstheme="minorHAnsi"/>
        </w:rPr>
        <w:t>Furthermore, Centrica's commitment to innovation and sustainability serves as a key differentiator in the competitive landscape. By investing in technologies and solutions aimed at achieving net-zero emissions, such as electric vehicle charging points and renewable energy infrastructure, Centrica aligns itself with evolving environmental priorities while appealing to environmentally conscious consumers.</w:t>
      </w:r>
    </w:p>
    <w:p w14:paraId="422C0327" w14:textId="5F607619" w:rsidR="00DC37E5" w:rsidRPr="0095088B" w:rsidRDefault="00DC37E5" w:rsidP="007E440A">
      <w:pPr>
        <w:spacing w:after="0" w:line="240" w:lineRule="auto"/>
        <w:jc w:val="both"/>
        <w:rPr>
          <w:rFonts w:cstheme="minorHAnsi"/>
        </w:rPr>
      </w:pPr>
      <w:r w:rsidRPr="0095088B">
        <w:rPr>
          <w:rFonts w:cstheme="minorHAnsi"/>
        </w:rPr>
        <w:t xml:space="preserve">Despite facing challenges such as heightened competition and regulatory pressures, Centrica has demonstrated resilience and adaptability in navigating market disruptions. Through proactive risk management and strategic decision-making, Centrica maintains its competitive position while seizing opportunities for growth in the rapidly evolving energy </w:t>
      </w:r>
      <w:proofErr w:type="gramStart"/>
      <w:r w:rsidRPr="0095088B">
        <w:rPr>
          <w:rFonts w:cstheme="minorHAnsi"/>
        </w:rPr>
        <w:t>sector.</w:t>
      </w:r>
      <w:r w:rsidR="001B62D8" w:rsidRPr="0095088B">
        <w:rPr>
          <w:rFonts w:cstheme="minorHAnsi"/>
        </w:rPr>
        <w:t>(</w:t>
      </w:r>
      <w:proofErr w:type="gramEnd"/>
      <w:r w:rsidR="001B62D8" w:rsidRPr="0095088B">
        <w:rPr>
          <w:rFonts w:cstheme="minorHAnsi"/>
        </w:rPr>
        <w:t>Centrica, 2023b)</w:t>
      </w:r>
    </w:p>
    <w:p w14:paraId="59F90F4D" w14:textId="33CD905C" w:rsidR="00462BC6" w:rsidRPr="0095088B" w:rsidRDefault="00DC37E5" w:rsidP="007E440A">
      <w:pPr>
        <w:spacing w:after="0" w:line="240" w:lineRule="auto"/>
        <w:jc w:val="both"/>
        <w:rPr>
          <w:rFonts w:cstheme="minorHAnsi"/>
        </w:rPr>
      </w:pPr>
      <w:r w:rsidRPr="0095088B">
        <w:rPr>
          <w:rFonts w:cstheme="minorHAnsi"/>
        </w:rPr>
        <w:t xml:space="preserve">Overall, while Centrica's strategic implementation may encounter obstacles along the way, its focus on customer satisfaction, diversified business portfolio, commitment to innovation, and adaptive response to market dynamics position it favourably for sustained success and growth in the competitive energy landscape. Continued efforts to address operational challenges and capitalize on emerging opportunities will be crucial in maintaining and enhancing Centrica's competitive advantage in the long </w:t>
      </w:r>
      <w:proofErr w:type="gramStart"/>
      <w:r w:rsidRPr="0095088B">
        <w:rPr>
          <w:rFonts w:cstheme="minorHAnsi"/>
        </w:rPr>
        <w:t>term.</w:t>
      </w:r>
      <w:r w:rsidR="00EB6CE0" w:rsidRPr="0095088B">
        <w:rPr>
          <w:rFonts w:cstheme="minorHAnsi"/>
        </w:rPr>
        <w:t>(</w:t>
      </w:r>
      <w:proofErr w:type="gramEnd"/>
      <w:r w:rsidR="00EB6CE0" w:rsidRPr="0095088B">
        <w:t xml:space="preserve"> </w:t>
      </w:r>
      <w:proofErr w:type="spellStart"/>
      <w:r w:rsidR="00EB6CE0" w:rsidRPr="0095088B">
        <w:t>Lewiner,Coquet</w:t>
      </w:r>
      <w:proofErr w:type="spellEnd"/>
      <w:r w:rsidR="00EB6CE0" w:rsidRPr="0095088B">
        <w:t>, 2002)</w:t>
      </w:r>
    </w:p>
    <w:p w14:paraId="65F826AF" w14:textId="67A4D3F8" w:rsidR="00DC37E5" w:rsidRPr="0095088B" w:rsidRDefault="005510D5" w:rsidP="007E440A">
      <w:pPr>
        <w:spacing w:after="0" w:line="240" w:lineRule="auto"/>
        <w:jc w:val="both"/>
        <w:rPr>
          <w:rFonts w:cstheme="minorHAnsi"/>
          <w:b/>
          <w:bCs/>
        </w:rPr>
      </w:pPr>
      <w:bookmarkStart w:id="10" w:name="_Hlk160961799"/>
      <w:r w:rsidRPr="0095088B">
        <w:rPr>
          <w:rFonts w:cstheme="minorHAnsi"/>
          <w:b/>
          <w:bCs/>
        </w:rPr>
        <w:t>4</w:t>
      </w:r>
      <w:bookmarkStart w:id="11" w:name="_Hlk164283568"/>
      <w:r w:rsidR="00BB428E" w:rsidRPr="0095088B">
        <w:rPr>
          <w:rFonts w:cstheme="minorHAnsi"/>
          <w:b/>
          <w:bCs/>
        </w:rPr>
        <w:t>.</w:t>
      </w:r>
      <w:r w:rsidR="00DC37E5" w:rsidRPr="0095088B">
        <w:rPr>
          <w:rFonts w:cstheme="minorHAnsi"/>
          <w:b/>
          <w:bCs/>
        </w:rPr>
        <w:t>Sustainability and Environmental Considerations:</w:t>
      </w:r>
      <w:bookmarkEnd w:id="11"/>
    </w:p>
    <w:bookmarkEnd w:id="10"/>
    <w:p w14:paraId="7BF10620" w14:textId="77777777" w:rsidR="00DC37E5" w:rsidRPr="0095088B" w:rsidRDefault="00DC37E5" w:rsidP="007E440A">
      <w:pPr>
        <w:spacing w:after="0" w:line="240" w:lineRule="auto"/>
        <w:jc w:val="both"/>
        <w:rPr>
          <w:rFonts w:cstheme="minorHAnsi"/>
        </w:rPr>
      </w:pPr>
      <w:r w:rsidRPr="0095088B">
        <w:rPr>
          <w:rFonts w:cstheme="minorHAnsi"/>
        </w:rPr>
        <w:t>Centrica plc embeds sustainability deeply within its Purpose, Values, and Strategy. Committed to helping customers live sustainably, affordably, and simply, Centrica leverages technology and collaboration to address present challenges while preparing for a net-zero future by 2045.</w:t>
      </w:r>
    </w:p>
    <w:p w14:paraId="6884F1CF" w14:textId="6E7CEE4E" w:rsidR="00DC37E5" w:rsidRPr="0095088B" w:rsidRDefault="00DC37E5" w:rsidP="007E440A">
      <w:pPr>
        <w:spacing w:after="0" w:line="240" w:lineRule="auto"/>
        <w:jc w:val="both"/>
        <w:rPr>
          <w:rFonts w:cstheme="minorHAnsi"/>
        </w:rPr>
      </w:pPr>
      <w:r w:rsidRPr="0095088B">
        <w:rPr>
          <w:rFonts w:cstheme="minorHAnsi"/>
        </w:rPr>
        <w:t xml:space="preserve">Recognizing the significant impact on stakeholders, Centrica prioritizes collaboration to evolve its strategy in alignment with expectations. Led by senior leadership, decisions maximize positive societal </w:t>
      </w:r>
      <w:proofErr w:type="gramStart"/>
      <w:r w:rsidRPr="0095088B">
        <w:rPr>
          <w:rFonts w:cstheme="minorHAnsi"/>
        </w:rPr>
        <w:t>contributions.</w:t>
      </w:r>
      <w:r w:rsidR="00052A46" w:rsidRPr="0095088B">
        <w:rPr>
          <w:rFonts w:cstheme="minorHAnsi"/>
        </w:rPr>
        <w:t>(</w:t>
      </w:r>
      <w:proofErr w:type="gramEnd"/>
      <w:r w:rsidR="00052A46" w:rsidRPr="0095088B">
        <w:rPr>
          <w:rFonts w:cstheme="minorHAnsi"/>
        </w:rPr>
        <w:t>Centrica, 2023b)</w:t>
      </w:r>
    </w:p>
    <w:p w14:paraId="4F3D7986" w14:textId="77777777" w:rsidR="00DC37E5" w:rsidRPr="0095088B" w:rsidRDefault="00DC37E5" w:rsidP="007E440A">
      <w:pPr>
        <w:spacing w:after="0" w:line="240" w:lineRule="auto"/>
        <w:jc w:val="both"/>
        <w:rPr>
          <w:rFonts w:cstheme="minorHAnsi"/>
        </w:rPr>
      </w:pPr>
      <w:r w:rsidRPr="0095088B">
        <w:rPr>
          <w:rFonts w:cstheme="minorHAnsi"/>
        </w:rPr>
        <w:t xml:space="preserve">Centrica's strategic objectives revolve around enabling sustainable living and contributing to UN Sustainable Development Goals. Initiatives targeting reduced carbon intensity and achieving net-zero targets support customer sustainability journeys and environmental goals. </w:t>
      </w:r>
    </w:p>
    <w:p w14:paraId="046BF608" w14:textId="77777777" w:rsidR="00DC37E5" w:rsidRPr="0095088B" w:rsidRDefault="00DC37E5" w:rsidP="007E440A">
      <w:pPr>
        <w:spacing w:after="0" w:line="240" w:lineRule="auto"/>
        <w:jc w:val="both"/>
        <w:rPr>
          <w:rFonts w:cstheme="minorHAnsi"/>
        </w:rPr>
      </w:pPr>
      <w:r w:rsidRPr="0095088B">
        <w:rPr>
          <w:rFonts w:cstheme="minorHAnsi"/>
        </w:rPr>
        <w:t>Centrica supports customers in reducing their carbon footprint by providing sustainable energy solutions. Assessing strategic resilience to climate change, the company invests in renewable and low-carbon assets and develops solutions like heat pumps and EV charging.</w:t>
      </w:r>
    </w:p>
    <w:p w14:paraId="3CCA370C" w14:textId="60018E85" w:rsidR="00DC37E5" w:rsidRPr="0095088B" w:rsidRDefault="00DC37E5" w:rsidP="007E440A">
      <w:pPr>
        <w:spacing w:after="0" w:line="240" w:lineRule="auto"/>
        <w:jc w:val="both"/>
        <w:rPr>
          <w:rFonts w:cstheme="minorHAnsi"/>
        </w:rPr>
      </w:pPr>
      <w:r w:rsidRPr="0095088B">
        <w:rPr>
          <w:rFonts w:cstheme="minorHAnsi"/>
        </w:rPr>
        <w:t xml:space="preserve">Executive compensation at Centrica aligns with sustainability goals, focusing on long-term incentives tied to achieving net-zero objectives. This reinforces the company's commitment to environmental </w:t>
      </w:r>
      <w:proofErr w:type="gramStart"/>
      <w:r w:rsidRPr="0095088B">
        <w:rPr>
          <w:rFonts w:cstheme="minorHAnsi"/>
        </w:rPr>
        <w:t>stewardship.</w:t>
      </w:r>
      <w:r w:rsidR="00052A46" w:rsidRPr="0095088B">
        <w:rPr>
          <w:rFonts w:cstheme="minorHAnsi"/>
        </w:rPr>
        <w:t>(</w:t>
      </w:r>
      <w:proofErr w:type="gramEnd"/>
      <w:r w:rsidR="00052A46" w:rsidRPr="0095088B">
        <w:rPr>
          <w:rFonts w:cstheme="minorHAnsi"/>
        </w:rPr>
        <w:t>Young, 2013)</w:t>
      </w:r>
    </w:p>
    <w:p w14:paraId="17142E13" w14:textId="291F2D15" w:rsidR="00C61EE7" w:rsidRPr="0095088B" w:rsidRDefault="00DC37E5" w:rsidP="007E440A">
      <w:pPr>
        <w:spacing w:after="0" w:line="240" w:lineRule="auto"/>
        <w:jc w:val="both"/>
        <w:rPr>
          <w:rFonts w:cstheme="minorHAnsi"/>
        </w:rPr>
      </w:pPr>
      <w:r w:rsidRPr="0095088B">
        <w:rPr>
          <w:rFonts w:cstheme="minorHAnsi"/>
        </w:rPr>
        <w:t>In summary, Centrica's sustainability considerations are integral to its corporate strategy, guiding actions toward a sustainable future while delivering value to stakeholders.</w:t>
      </w:r>
    </w:p>
    <w:p w14:paraId="190B5DE2" w14:textId="77777777" w:rsidR="007E440A" w:rsidRPr="0095088B" w:rsidRDefault="007E440A" w:rsidP="007E440A">
      <w:pPr>
        <w:spacing w:after="0" w:line="240" w:lineRule="auto"/>
        <w:jc w:val="both"/>
        <w:rPr>
          <w:rFonts w:cstheme="minorHAnsi"/>
          <w:b/>
          <w:bCs/>
          <w:u w:val="single"/>
        </w:rPr>
      </w:pPr>
    </w:p>
    <w:p w14:paraId="6B32E97F" w14:textId="3742CEFC" w:rsidR="009E35A9" w:rsidRPr="0095088B" w:rsidRDefault="009E35A9" w:rsidP="007E440A">
      <w:pPr>
        <w:spacing w:after="0" w:line="240" w:lineRule="auto"/>
        <w:jc w:val="both"/>
        <w:rPr>
          <w:rFonts w:cstheme="minorHAnsi"/>
        </w:rPr>
      </w:pPr>
      <w:r w:rsidRPr="0095088B">
        <w:rPr>
          <w:rFonts w:cstheme="minorHAnsi"/>
          <w:b/>
          <w:bCs/>
          <w:u w:val="single"/>
        </w:rPr>
        <w:t>Conclusion</w:t>
      </w:r>
      <w:r w:rsidRPr="0095088B">
        <w:rPr>
          <w:rFonts w:cstheme="minorHAnsi"/>
        </w:rPr>
        <w:t xml:space="preserve">: </w:t>
      </w:r>
    </w:p>
    <w:p w14:paraId="207B39DB" w14:textId="5F73019D" w:rsidR="007E440A" w:rsidRPr="0095088B" w:rsidRDefault="007E440A" w:rsidP="007E440A">
      <w:pPr>
        <w:spacing w:after="0" w:line="240" w:lineRule="auto"/>
        <w:jc w:val="both"/>
        <w:rPr>
          <w:rFonts w:cs="Calibri"/>
        </w:rPr>
      </w:pPr>
      <w:r w:rsidRPr="0095088B">
        <w:rPr>
          <w:rFonts w:cs="Calibri"/>
        </w:rPr>
        <w:t>In summary, Centrica's strategic management practices are marked by a comprehensive approach that encompasses strategic choices, implementation, and effectiveness in the market. The company has demonstrated adeptness in identifying and pursuing key business and corporate strategies.</w:t>
      </w:r>
    </w:p>
    <w:p w14:paraId="40E49201" w14:textId="3F9BAB08" w:rsidR="007E440A" w:rsidRPr="0095088B" w:rsidRDefault="007E440A" w:rsidP="007E440A">
      <w:pPr>
        <w:spacing w:after="0" w:line="240" w:lineRule="auto"/>
        <w:jc w:val="both"/>
        <w:rPr>
          <w:rFonts w:cs="Calibri"/>
        </w:rPr>
      </w:pPr>
      <w:r w:rsidRPr="0095088B">
        <w:rPr>
          <w:rFonts w:cs="Calibri"/>
        </w:rPr>
        <w:t xml:space="preserve">Through resource allocation and analysis, Centrica has strategically leveraged its resources and capabilities to attain sustainable competitive advantages. This strategic allocation is underscored by the successful implementation of chosen strategies, as evidenced by the company's ability to compete </w:t>
      </w:r>
      <w:proofErr w:type="gramStart"/>
      <w:r w:rsidRPr="0095088B">
        <w:rPr>
          <w:rFonts w:cs="Calibri"/>
        </w:rPr>
        <w:t>effectively</w:t>
      </w:r>
      <w:proofErr w:type="gramEnd"/>
      <w:r w:rsidRPr="0095088B">
        <w:rPr>
          <w:rFonts w:cs="Calibri"/>
        </w:rPr>
        <w:t xml:space="preserve"> and create advantages over rivals.</w:t>
      </w:r>
    </w:p>
    <w:p w14:paraId="7FEB6917" w14:textId="77777777" w:rsidR="007E440A" w:rsidRPr="0095088B" w:rsidRDefault="007E440A" w:rsidP="007E440A">
      <w:pPr>
        <w:spacing w:after="0" w:line="240" w:lineRule="auto"/>
        <w:jc w:val="both"/>
        <w:rPr>
          <w:rFonts w:cs="Calibri"/>
        </w:rPr>
      </w:pPr>
      <w:r w:rsidRPr="0095088B">
        <w:rPr>
          <w:rFonts w:cs="Calibri"/>
        </w:rPr>
        <w:t>Furthermore, Centrica's commitment to sustainability is evident in its alignment of sustainability goals with its corporate strategy, reflecting a proactive approach to addressing environmental and social concerns while maintaining strategic objectives.</w:t>
      </w:r>
    </w:p>
    <w:p w14:paraId="75481059" w14:textId="6C7750E6" w:rsidR="007E440A" w:rsidRPr="0095088B" w:rsidRDefault="007E440A" w:rsidP="007E440A">
      <w:pPr>
        <w:spacing w:after="0" w:line="240" w:lineRule="auto"/>
        <w:jc w:val="both"/>
        <w:rPr>
          <w:rFonts w:cs="Calibri"/>
        </w:rPr>
      </w:pPr>
      <w:r w:rsidRPr="0095088B">
        <w:rPr>
          <w:rFonts w:cs="Calibri"/>
        </w:rPr>
        <w:t xml:space="preserve">Overall, Centrica's strategic choices, implementation efforts, and their effectiveness in the market underscore the company's adeptness in navigating competitive landscapes and achieving long-term </w:t>
      </w:r>
      <w:proofErr w:type="gramStart"/>
      <w:r w:rsidRPr="0095088B">
        <w:rPr>
          <w:rFonts w:cs="Calibri"/>
        </w:rPr>
        <w:t>success.</w:t>
      </w:r>
      <w:r w:rsidR="00052A46" w:rsidRPr="0095088B">
        <w:rPr>
          <w:rFonts w:cs="Calibri"/>
        </w:rPr>
        <w:t>(</w:t>
      </w:r>
      <w:proofErr w:type="gramEnd"/>
      <w:r w:rsidR="00052A46" w:rsidRPr="0095088B">
        <w:rPr>
          <w:rFonts w:cstheme="minorHAnsi"/>
        </w:rPr>
        <w:t>Lynch,2018)</w:t>
      </w:r>
    </w:p>
    <w:p w14:paraId="69639A5C" w14:textId="77777777" w:rsidR="0095088B" w:rsidRDefault="0095088B" w:rsidP="00985241">
      <w:pPr>
        <w:spacing w:after="120" w:line="360" w:lineRule="auto"/>
        <w:jc w:val="both"/>
        <w:rPr>
          <w:rFonts w:asciiTheme="majorHAnsi" w:hAnsiTheme="majorHAnsi" w:cstheme="minorHAnsi"/>
          <w:b/>
          <w:bCs/>
          <w:u w:val="single"/>
        </w:rPr>
      </w:pPr>
    </w:p>
    <w:p w14:paraId="0BA0638A" w14:textId="4D0C3BEC" w:rsidR="004E58CA" w:rsidRPr="00B11EE2" w:rsidRDefault="00FE5466" w:rsidP="00985241">
      <w:pPr>
        <w:spacing w:after="120" w:line="360" w:lineRule="auto"/>
        <w:jc w:val="both"/>
        <w:rPr>
          <w:rFonts w:cstheme="minorHAnsi"/>
        </w:rPr>
      </w:pPr>
      <w:r w:rsidRPr="00B11EE2">
        <w:rPr>
          <w:rFonts w:cstheme="minorHAnsi"/>
          <w:b/>
          <w:bCs/>
          <w:u w:val="single"/>
        </w:rPr>
        <w:lastRenderedPageBreak/>
        <w:t>References</w:t>
      </w:r>
      <w:r w:rsidRPr="00B11EE2">
        <w:rPr>
          <w:rFonts w:cstheme="minorHAnsi"/>
        </w:rPr>
        <w:t>:</w:t>
      </w:r>
    </w:p>
    <w:p w14:paraId="5E799F97" w14:textId="1A567184" w:rsidR="007F4619" w:rsidRPr="00B11EE2" w:rsidRDefault="007F4619" w:rsidP="0004395A">
      <w:pPr>
        <w:spacing w:after="120" w:line="360" w:lineRule="auto"/>
        <w:jc w:val="both"/>
        <w:rPr>
          <w:rFonts w:cstheme="minorHAnsi"/>
        </w:rPr>
      </w:pPr>
      <w:r w:rsidRPr="00B11EE2">
        <w:rPr>
          <w:rFonts w:cstheme="minorHAnsi"/>
        </w:rPr>
        <w:t>Aras, G. and Crowther, D. (2012) Business Strategy and sustainability. Emerald Group Publishing.</w:t>
      </w:r>
    </w:p>
    <w:p w14:paraId="427C3018" w14:textId="4A5463A3" w:rsidR="007F4619" w:rsidRPr="00B11EE2" w:rsidRDefault="007F4619" w:rsidP="0004395A">
      <w:pPr>
        <w:spacing w:after="120" w:line="360" w:lineRule="auto"/>
        <w:jc w:val="both"/>
        <w:rPr>
          <w:rFonts w:cstheme="minorHAnsi"/>
        </w:rPr>
      </w:pPr>
      <w:r w:rsidRPr="00B11EE2">
        <w:rPr>
          <w:rFonts w:cstheme="minorHAnsi"/>
        </w:rPr>
        <w:t>Bansal P., Hoffman A. J. (2012). The Oxford handbook of business and the natural environment. Oxford University Press.</w:t>
      </w:r>
    </w:p>
    <w:p w14:paraId="25E73125" w14:textId="77777777" w:rsidR="00F17190" w:rsidRPr="00B11EE2" w:rsidRDefault="00F17190" w:rsidP="00F17190">
      <w:pPr>
        <w:rPr>
          <w:rFonts w:cstheme="minorHAnsi"/>
        </w:rPr>
      </w:pPr>
      <w:r w:rsidRPr="00B11EE2">
        <w:rPr>
          <w:rFonts w:cstheme="minorHAnsi"/>
        </w:rPr>
        <w:t xml:space="preserve">Barney, J.B. (2019) Strategic management and competitive </w:t>
      </w:r>
      <w:proofErr w:type="gramStart"/>
      <w:r w:rsidRPr="00B11EE2">
        <w:rPr>
          <w:rFonts w:cstheme="minorHAnsi"/>
        </w:rPr>
        <w:t>advantage</w:t>
      </w:r>
      <w:r w:rsidRPr="00B11EE2">
        <w:rPr>
          <w:rFonts w:ascii="Arial" w:hAnsi="Arial" w:cs="Arial"/>
        </w:rPr>
        <w:t> </w:t>
      </w:r>
      <w:r w:rsidRPr="00B11EE2">
        <w:rPr>
          <w:rFonts w:cstheme="minorHAnsi"/>
        </w:rPr>
        <w:t>:</w:t>
      </w:r>
      <w:proofErr w:type="gramEnd"/>
      <w:r w:rsidRPr="00B11EE2">
        <w:rPr>
          <w:rFonts w:cstheme="minorHAnsi"/>
        </w:rPr>
        <w:t xml:space="preserve"> concepts and cases . Sixth edition, global edition. Harlow, </w:t>
      </w:r>
      <w:proofErr w:type="gramStart"/>
      <w:r w:rsidRPr="00B11EE2">
        <w:rPr>
          <w:rFonts w:cstheme="minorHAnsi"/>
        </w:rPr>
        <w:t>England</w:t>
      </w:r>
      <w:r w:rsidRPr="00B11EE2">
        <w:rPr>
          <w:rFonts w:ascii="Arial" w:hAnsi="Arial" w:cs="Arial"/>
        </w:rPr>
        <w:t> </w:t>
      </w:r>
      <w:r w:rsidRPr="00B11EE2">
        <w:rPr>
          <w:rFonts w:cstheme="minorHAnsi"/>
        </w:rPr>
        <w:t>:</w:t>
      </w:r>
      <w:proofErr w:type="gramEnd"/>
      <w:r w:rsidRPr="00B11EE2">
        <w:rPr>
          <w:rFonts w:cstheme="minorHAnsi"/>
        </w:rPr>
        <w:t>, Pearson.</w:t>
      </w:r>
    </w:p>
    <w:p w14:paraId="28CB0169" w14:textId="676D0712" w:rsidR="00F07F6D" w:rsidRPr="00B11EE2" w:rsidRDefault="00F07F6D" w:rsidP="00F17190">
      <w:r w:rsidRPr="00B11EE2">
        <w:rPr>
          <w:rFonts w:cstheme="minorHAnsi"/>
        </w:rPr>
        <w:t>Centrica</w:t>
      </w:r>
      <w:r w:rsidR="00763BAA" w:rsidRPr="00B11EE2">
        <w:rPr>
          <w:rFonts w:cstheme="minorHAnsi"/>
        </w:rPr>
        <w:t xml:space="preserve"> PLC,</w:t>
      </w:r>
      <w:r w:rsidRPr="00B11EE2">
        <w:rPr>
          <w:rFonts w:cstheme="minorHAnsi"/>
        </w:rPr>
        <w:t xml:space="preserve"> </w:t>
      </w:r>
      <w:r w:rsidRPr="00B11EE2">
        <w:t xml:space="preserve">Proposed sale of Direct Energy, 2020- </w:t>
      </w:r>
      <w:hyperlink r:id="rId10" w:history="1">
        <w:r w:rsidR="00763BAA" w:rsidRPr="00B11EE2">
          <w:rPr>
            <w:rStyle w:val="Hyperlink"/>
          </w:rPr>
          <w:t>https://www.centrica.com/media/4462/centrica-proposed-sale-of-direct-energy.pdf</w:t>
        </w:r>
      </w:hyperlink>
    </w:p>
    <w:p w14:paraId="41D7F09C" w14:textId="6CCBC779" w:rsidR="00763BAA" w:rsidRPr="00B11EE2" w:rsidRDefault="00763BAA" w:rsidP="00F17190">
      <w:pPr>
        <w:rPr>
          <w:rFonts w:cstheme="minorHAnsi"/>
        </w:rPr>
      </w:pPr>
      <w:r w:rsidRPr="00B11EE2">
        <w:rPr>
          <w:rFonts w:cstheme="minorHAnsi"/>
        </w:rPr>
        <w:t xml:space="preserve">Centrica PLC, (2023a) Annual report- </w:t>
      </w:r>
      <w:hyperlink r:id="rId11" w:history="1">
        <w:r w:rsidR="00B01940" w:rsidRPr="00B11EE2">
          <w:rPr>
            <w:rStyle w:val="Hyperlink"/>
            <w:rFonts w:cstheme="minorHAnsi"/>
          </w:rPr>
          <w:t>https://www.centrica.com/media/op3lyz33/centrica-annual-report-2023.pdf</w:t>
        </w:r>
      </w:hyperlink>
    </w:p>
    <w:p w14:paraId="265A83AE" w14:textId="16F60325" w:rsidR="00052A46" w:rsidRPr="00B11EE2" w:rsidRDefault="00052A46" w:rsidP="00F17190">
      <w:pPr>
        <w:rPr>
          <w:rFonts w:cstheme="minorHAnsi"/>
        </w:rPr>
      </w:pPr>
      <w:r w:rsidRPr="00B11EE2">
        <w:rPr>
          <w:rFonts w:cstheme="minorHAnsi"/>
        </w:rPr>
        <w:t>Centrica PLC, (2023b) Climate policy position - https://www.centrica.com/media/bgkkkb40/centricas-climate-policy-positions.pdf</w:t>
      </w:r>
    </w:p>
    <w:p w14:paraId="1E2C0BC3" w14:textId="1A0A17C4" w:rsidR="00B01940" w:rsidRPr="00B11EE2" w:rsidRDefault="00B01940" w:rsidP="00F17190">
      <w:pPr>
        <w:rPr>
          <w:rFonts w:cstheme="minorHAnsi"/>
        </w:rPr>
      </w:pPr>
      <w:r w:rsidRPr="00B11EE2">
        <w:rPr>
          <w:rFonts w:cstheme="minorHAnsi"/>
        </w:rPr>
        <w:t>Centrica plc: Value Chain Analysis, 2024. https://advantage-marketline-com.ezproxy.uwtsd.ac.uk/Analysis/details/centrica-plc-value-chain-analysis-148370</w:t>
      </w:r>
    </w:p>
    <w:p w14:paraId="790B79F1" w14:textId="38B90F82" w:rsidR="007F4619" w:rsidRPr="00B11EE2" w:rsidRDefault="007F4619" w:rsidP="007F4619">
      <w:pPr>
        <w:spacing w:after="120" w:line="360" w:lineRule="auto"/>
        <w:jc w:val="both"/>
        <w:rPr>
          <w:rFonts w:cstheme="minorHAnsi"/>
        </w:rPr>
      </w:pPr>
      <w:r w:rsidRPr="00B11EE2">
        <w:rPr>
          <w:rFonts w:cstheme="minorHAnsi"/>
        </w:rPr>
        <w:t>Daft, R., 2016. Contemporary Strategy Analyses. New York: John Wiley &amp; Sons.</w:t>
      </w:r>
    </w:p>
    <w:p w14:paraId="3155180F" w14:textId="77777777" w:rsidR="00F17190" w:rsidRPr="00B11EE2" w:rsidRDefault="00F17190" w:rsidP="00F17190">
      <w:r w:rsidRPr="00B11EE2">
        <w:rPr>
          <w:rFonts w:cstheme="minorHAnsi"/>
        </w:rPr>
        <w:t xml:space="preserve">Johnson, G. (2017) Exploring </w:t>
      </w:r>
      <w:proofErr w:type="gramStart"/>
      <w:r w:rsidRPr="00B11EE2">
        <w:rPr>
          <w:rFonts w:cstheme="minorHAnsi"/>
        </w:rPr>
        <w:t>strategy</w:t>
      </w:r>
      <w:r w:rsidRPr="00B11EE2">
        <w:rPr>
          <w:rFonts w:ascii="Arial" w:hAnsi="Arial" w:cs="Arial"/>
        </w:rPr>
        <w:t> </w:t>
      </w:r>
      <w:r w:rsidRPr="00B11EE2">
        <w:rPr>
          <w:rFonts w:cstheme="minorHAnsi"/>
        </w:rPr>
        <w:t>:</w:t>
      </w:r>
      <w:proofErr w:type="gramEnd"/>
      <w:r w:rsidRPr="00B11EE2">
        <w:rPr>
          <w:rFonts w:cstheme="minorHAnsi"/>
        </w:rPr>
        <w:t xml:space="preserve"> text and cases . Eleventh edition. Harlow, </w:t>
      </w:r>
      <w:proofErr w:type="gramStart"/>
      <w:r w:rsidRPr="00B11EE2">
        <w:rPr>
          <w:rFonts w:cstheme="minorHAnsi"/>
        </w:rPr>
        <w:t>England</w:t>
      </w:r>
      <w:r w:rsidRPr="00B11EE2">
        <w:rPr>
          <w:rFonts w:ascii="Arial" w:hAnsi="Arial" w:cs="Arial"/>
        </w:rPr>
        <w:t> </w:t>
      </w:r>
      <w:r w:rsidRPr="00B11EE2">
        <w:rPr>
          <w:rFonts w:cstheme="minorHAnsi"/>
        </w:rPr>
        <w:t>:</w:t>
      </w:r>
      <w:proofErr w:type="gramEnd"/>
      <w:r w:rsidRPr="00B11EE2">
        <w:rPr>
          <w:rFonts w:cstheme="minorHAnsi"/>
        </w:rPr>
        <w:t>,</w:t>
      </w:r>
      <w:r w:rsidRPr="00B11EE2">
        <w:t xml:space="preserve"> Pearson.</w:t>
      </w:r>
    </w:p>
    <w:p w14:paraId="0D469F53" w14:textId="372996A0" w:rsidR="007F4619" w:rsidRPr="00B11EE2" w:rsidRDefault="007F4619" w:rsidP="007F4619">
      <w:pPr>
        <w:spacing w:after="120" w:line="360" w:lineRule="auto"/>
        <w:jc w:val="both"/>
        <w:rPr>
          <w:rFonts w:cstheme="minorHAnsi"/>
        </w:rPr>
      </w:pPr>
      <w:r w:rsidRPr="00B11EE2">
        <w:rPr>
          <w:rFonts w:cstheme="minorHAnsi"/>
        </w:rPr>
        <w:t>Kipley, D. &amp; Lewis, A., 2011. Strategic Management: Incorporating Ansoff. New York: Pearson.</w:t>
      </w:r>
    </w:p>
    <w:p w14:paraId="438492DD" w14:textId="41F018C1" w:rsidR="00EB6CE0" w:rsidRPr="00B11EE2" w:rsidRDefault="00EB6CE0" w:rsidP="007F4619">
      <w:pPr>
        <w:spacing w:after="120" w:line="360" w:lineRule="auto"/>
        <w:jc w:val="both"/>
        <w:rPr>
          <w:rFonts w:cstheme="minorHAnsi"/>
        </w:rPr>
      </w:pPr>
      <w:proofErr w:type="spellStart"/>
      <w:r w:rsidRPr="00B11EE2">
        <w:rPr>
          <w:rFonts w:cstheme="minorHAnsi"/>
        </w:rPr>
        <w:t>Lewiner</w:t>
      </w:r>
      <w:proofErr w:type="spellEnd"/>
      <w:r w:rsidRPr="00B11EE2">
        <w:rPr>
          <w:rFonts w:cstheme="minorHAnsi"/>
        </w:rPr>
        <w:t>, C. and Coquet, P., 2002. European gas deregulation. Energy Markets, 7(1), pp. 56.</w:t>
      </w:r>
    </w:p>
    <w:p w14:paraId="2888B318" w14:textId="77777777" w:rsidR="00F17190" w:rsidRPr="00B11EE2" w:rsidRDefault="00F17190" w:rsidP="007F4619">
      <w:pPr>
        <w:spacing w:after="120" w:line="360" w:lineRule="auto"/>
        <w:jc w:val="both"/>
        <w:rPr>
          <w:rFonts w:cstheme="minorHAnsi"/>
        </w:rPr>
      </w:pPr>
      <w:r w:rsidRPr="00B11EE2">
        <w:rPr>
          <w:rFonts w:cstheme="minorHAnsi"/>
        </w:rPr>
        <w:t xml:space="preserve">Lynch, R.L. (2018) Strategic </w:t>
      </w:r>
      <w:proofErr w:type="gramStart"/>
      <w:r w:rsidRPr="00B11EE2">
        <w:rPr>
          <w:rFonts w:cstheme="minorHAnsi"/>
        </w:rPr>
        <w:t>management .</w:t>
      </w:r>
      <w:proofErr w:type="gramEnd"/>
      <w:r w:rsidRPr="00B11EE2">
        <w:rPr>
          <w:rFonts w:cstheme="minorHAnsi"/>
        </w:rPr>
        <w:t xml:space="preserve"> Eighth edition. Harlow, </w:t>
      </w:r>
      <w:proofErr w:type="gramStart"/>
      <w:r w:rsidRPr="00B11EE2">
        <w:rPr>
          <w:rFonts w:cstheme="minorHAnsi"/>
        </w:rPr>
        <w:t>England</w:t>
      </w:r>
      <w:r w:rsidRPr="00B11EE2">
        <w:rPr>
          <w:rFonts w:ascii="Arial" w:hAnsi="Arial" w:cs="Arial"/>
        </w:rPr>
        <w:t> </w:t>
      </w:r>
      <w:r w:rsidRPr="00B11EE2">
        <w:rPr>
          <w:rFonts w:cstheme="minorHAnsi"/>
        </w:rPr>
        <w:t>:</w:t>
      </w:r>
      <w:proofErr w:type="gramEnd"/>
      <w:r w:rsidRPr="00B11EE2">
        <w:rPr>
          <w:rFonts w:cstheme="minorHAnsi"/>
        </w:rPr>
        <w:t>, Pearson.</w:t>
      </w:r>
    </w:p>
    <w:p w14:paraId="1854A4D8" w14:textId="75F8C8AE" w:rsidR="00B01940" w:rsidRPr="00B11EE2" w:rsidRDefault="00F17190" w:rsidP="007F4619">
      <w:pPr>
        <w:spacing w:after="120" w:line="360" w:lineRule="auto"/>
        <w:jc w:val="both"/>
        <w:rPr>
          <w:rFonts w:cstheme="minorHAnsi"/>
        </w:rPr>
      </w:pPr>
      <w:r w:rsidRPr="00B11EE2">
        <w:rPr>
          <w:rFonts w:cstheme="minorHAnsi"/>
        </w:rPr>
        <w:t xml:space="preserve">Morden, T. (2016) Principles of strategic </w:t>
      </w:r>
      <w:proofErr w:type="gramStart"/>
      <w:r w:rsidRPr="00B11EE2">
        <w:rPr>
          <w:rFonts w:cstheme="minorHAnsi"/>
        </w:rPr>
        <w:t>management .</w:t>
      </w:r>
      <w:proofErr w:type="gramEnd"/>
      <w:r w:rsidRPr="00B11EE2">
        <w:rPr>
          <w:rFonts w:cstheme="minorHAnsi"/>
        </w:rPr>
        <w:t xml:space="preserve"> 3rd ed. London, [England</w:t>
      </w:r>
      <w:proofErr w:type="gramStart"/>
      <w:r w:rsidRPr="00B11EE2">
        <w:rPr>
          <w:rFonts w:cstheme="minorHAnsi"/>
        </w:rPr>
        <w:t>]</w:t>
      </w:r>
      <w:r w:rsidRPr="00B11EE2">
        <w:rPr>
          <w:rFonts w:ascii="Arial" w:hAnsi="Arial" w:cs="Arial"/>
        </w:rPr>
        <w:t> </w:t>
      </w:r>
      <w:r w:rsidRPr="00B11EE2">
        <w:rPr>
          <w:rFonts w:cstheme="minorHAnsi"/>
        </w:rPr>
        <w:t>;</w:t>
      </w:r>
      <w:proofErr w:type="gramEnd"/>
      <w:r w:rsidRPr="00B11EE2">
        <w:rPr>
          <w:rFonts w:cstheme="minorHAnsi"/>
        </w:rPr>
        <w:t xml:space="preserve"> New York, [New York]</w:t>
      </w:r>
      <w:r w:rsidRPr="00B11EE2">
        <w:rPr>
          <w:rFonts w:ascii="Arial" w:hAnsi="Arial" w:cs="Arial"/>
        </w:rPr>
        <w:t> </w:t>
      </w:r>
      <w:r w:rsidRPr="00B11EE2">
        <w:rPr>
          <w:rFonts w:cstheme="minorHAnsi"/>
        </w:rPr>
        <w:t>:, Routledge.</w:t>
      </w:r>
    </w:p>
    <w:p w14:paraId="01E43D19" w14:textId="4EDEDC9A" w:rsidR="007F4619" w:rsidRPr="00B11EE2" w:rsidRDefault="007F4619" w:rsidP="007F4619">
      <w:pPr>
        <w:spacing w:after="120" w:line="360" w:lineRule="auto"/>
        <w:jc w:val="both"/>
        <w:rPr>
          <w:rFonts w:cstheme="minorHAnsi"/>
        </w:rPr>
      </w:pPr>
      <w:r w:rsidRPr="00B11EE2">
        <w:rPr>
          <w:rFonts w:cstheme="minorHAnsi"/>
        </w:rPr>
        <w:t>Moreira, A.C., Ferreira, L.M.D.F. and Zimmermann, R.A. (2018) Innovation and supply chain management: Relationship, Collaboration and Strategies. Springer.</w:t>
      </w:r>
    </w:p>
    <w:p w14:paraId="23501FEF" w14:textId="4FD896B9" w:rsidR="007F4619" w:rsidRPr="00B11EE2" w:rsidRDefault="007F4619" w:rsidP="007F4619">
      <w:pPr>
        <w:spacing w:after="120" w:line="360" w:lineRule="auto"/>
        <w:jc w:val="both"/>
        <w:rPr>
          <w:rFonts w:cstheme="minorHAnsi"/>
        </w:rPr>
      </w:pPr>
      <w:r w:rsidRPr="00B11EE2">
        <w:rPr>
          <w:rFonts w:cstheme="minorHAnsi"/>
        </w:rPr>
        <w:t>Porter, M.E. (2008) Competitive advantage: Creating and Sustaining Superior Performance. Simon and Schuster.</w:t>
      </w:r>
    </w:p>
    <w:p w14:paraId="2B21D00A" w14:textId="77777777" w:rsidR="00F17190" w:rsidRPr="00B11EE2" w:rsidRDefault="00F17190" w:rsidP="007F4619">
      <w:pPr>
        <w:spacing w:after="120" w:line="360" w:lineRule="auto"/>
        <w:jc w:val="both"/>
        <w:rPr>
          <w:rFonts w:cstheme="minorHAnsi"/>
        </w:rPr>
      </w:pPr>
      <w:r w:rsidRPr="00B11EE2">
        <w:rPr>
          <w:rFonts w:cstheme="minorHAnsi"/>
        </w:rPr>
        <w:t xml:space="preserve">Stacey, R.D. (2011) Strategic management and organisational </w:t>
      </w:r>
      <w:proofErr w:type="gramStart"/>
      <w:r w:rsidRPr="00B11EE2">
        <w:rPr>
          <w:rFonts w:cstheme="minorHAnsi"/>
        </w:rPr>
        <w:t>dynamics</w:t>
      </w:r>
      <w:r w:rsidRPr="00B11EE2">
        <w:rPr>
          <w:rFonts w:ascii="Arial" w:hAnsi="Arial" w:cs="Arial"/>
        </w:rPr>
        <w:t> </w:t>
      </w:r>
      <w:r w:rsidRPr="00B11EE2">
        <w:rPr>
          <w:rFonts w:cstheme="minorHAnsi"/>
        </w:rPr>
        <w:t>:</w:t>
      </w:r>
      <w:proofErr w:type="gramEnd"/>
      <w:r w:rsidRPr="00B11EE2">
        <w:rPr>
          <w:rFonts w:cstheme="minorHAnsi"/>
        </w:rPr>
        <w:t xml:space="preserve"> the challenge of complexity to ways of thinking about organisations. [Place of publication not identified], Financial Times Prentice Hall.</w:t>
      </w:r>
    </w:p>
    <w:p w14:paraId="4B36E055" w14:textId="77777777" w:rsidR="00F17190" w:rsidRPr="00B11EE2" w:rsidRDefault="00F17190" w:rsidP="007F4619">
      <w:pPr>
        <w:spacing w:after="120" w:line="360" w:lineRule="auto"/>
        <w:jc w:val="both"/>
        <w:rPr>
          <w:rFonts w:cstheme="minorHAnsi"/>
        </w:rPr>
      </w:pPr>
      <w:r w:rsidRPr="00B11EE2">
        <w:rPr>
          <w:rFonts w:cstheme="minorHAnsi"/>
        </w:rPr>
        <w:t xml:space="preserve">Whittington, R. (2020) Exploring </w:t>
      </w:r>
      <w:proofErr w:type="gramStart"/>
      <w:r w:rsidRPr="00B11EE2">
        <w:rPr>
          <w:rFonts w:cstheme="minorHAnsi"/>
        </w:rPr>
        <w:t>strategy</w:t>
      </w:r>
      <w:r w:rsidRPr="00B11EE2">
        <w:rPr>
          <w:rFonts w:ascii="Arial" w:hAnsi="Arial" w:cs="Arial"/>
        </w:rPr>
        <w:t> </w:t>
      </w:r>
      <w:r w:rsidRPr="00B11EE2">
        <w:rPr>
          <w:rFonts w:cstheme="minorHAnsi"/>
        </w:rPr>
        <w:t>:</w:t>
      </w:r>
      <w:proofErr w:type="gramEnd"/>
      <w:r w:rsidRPr="00B11EE2">
        <w:rPr>
          <w:rFonts w:cstheme="minorHAnsi"/>
        </w:rPr>
        <w:t xml:space="preserve"> text and cases /. 12th ed. </w:t>
      </w:r>
      <w:proofErr w:type="gramStart"/>
      <w:r w:rsidRPr="00B11EE2">
        <w:rPr>
          <w:rFonts w:cstheme="minorHAnsi"/>
        </w:rPr>
        <w:t>Harlow</w:t>
      </w:r>
      <w:r w:rsidRPr="00B11EE2">
        <w:rPr>
          <w:rFonts w:ascii="Arial" w:hAnsi="Arial" w:cs="Arial"/>
        </w:rPr>
        <w:t> </w:t>
      </w:r>
      <w:r w:rsidRPr="00B11EE2">
        <w:rPr>
          <w:rFonts w:cstheme="minorHAnsi"/>
        </w:rPr>
        <w:t>:</w:t>
      </w:r>
      <w:proofErr w:type="gramEnd"/>
      <w:r w:rsidRPr="00B11EE2">
        <w:rPr>
          <w:rFonts w:cstheme="minorHAnsi"/>
        </w:rPr>
        <w:t>, Pearson,.</w:t>
      </w:r>
    </w:p>
    <w:p w14:paraId="1E85BA59" w14:textId="4877D6F3" w:rsidR="0095088B" w:rsidRDefault="00F17190" w:rsidP="00985241">
      <w:pPr>
        <w:spacing w:after="120" w:line="360" w:lineRule="auto"/>
        <w:jc w:val="both"/>
        <w:rPr>
          <w:rFonts w:cstheme="minorHAnsi"/>
        </w:rPr>
      </w:pPr>
      <w:r w:rsidRPr="00B11EE2">
        <w:rPr>
          <w:rFonts w:cstheme="minorHAnsi"/>
        </w:rPr>
        <w:t xml:space="preserve">Young, S.T. (2013) </w:t>
      </w:r>
      <w:proofErr w:type="gramStart"/>
      <w:r w:rsidRPr="00B11EE2">
        <w:rPr>
          <w:rFonts w:cstheme="minorHAnsi"/>
        </w:rPr>
        <w:t>Sustainability</w:t>
      </w:r>
      <w:r w:rsidRPr="00B11EE2">
        <w:rPr>
          <w:rFonts w:ascii="Arial" w:hAnsi="Arial" w:cs="Arial"/>
        </w:rPr>
        <w:t> </w:t>
      </w:r>
      <w:r w:rsidRPr="00B11EE2">
        <w:rPr>
          <w:rFonts w:cstheme="minorHAnsi"/>
        </w:rPr>
        <w:t>:</w:t>
      </w:r>
      <w:proofErr w:type="gramEnd"/>
      <w:r w:rsidRPr="00B11EE2">
        <w:rPr>
          <w:rFonts w:cstheme="minorHAnsi"/>
        </w:rPr>
        <w:t xml:space="preserve"> essentials for business . Los </w:t>
      </w:r>
      <w:proofErr w:type="gramStart"/>
      <w:r w:rsidRPr="00B11EE2">
        <w:rPr>
          <w:rFonts w:cstheme="minorHAnsi"/>
        </w:rPr>
        <w:t>Angeles</w:t>
      </w:r>
      <w:r w:rsidRPr="00B11EE2">
        <w:rPr>
          <w:rFonts w:ascii="Arial" w:hAnsi="Arial" w:cs="Arial"/>
        </w:rPr>
        <w:t> </w:t>
      </w:r>
      <w:r w:rsidRPr="00B11EE2">
        <w:rPr>
          <w:rFonts w:cstheme="minorHAnsi"/>
        </w:rPr>
        <w:t>:</w:t>
      </w:r>
      <w:proofErr w:type="gramEnd"/>
      <w:r w:rsidRPr="00B11EE2">
        <w:rPr>
          <w:rFonts w:cstheme="minorHAnsi"/>
        </w:rPr>
        <w:t>, SAGE.</w:t>
      </w:r>
    </w:p>
    <w:p w14:paraId="5529CA50" w14:textId="77777777" w:rsidR="00B11EE2" w:rsidRPr="00B11EE2" w:rsidRDefault="00B11EE2" w:rsidP="00985241">
      <w:pPr>
        <w:spacing w:after="120" w:line="360" w:lineRule="auto"/>
        <w:jc w:val="both"/>
        <w:rPr>
          <w:rFonts w:cstheme="minorHAnsi"/>
        </w:rPr>
      </w:pPr>
    </w:p>
    <w:p w14:paraId="3CE474CB" w14:textId="6A1764DF" w:rsidR="00456EB9" w:rsidRPr="00B11EE2" w:rsidRDefault="001B62D8" w:rsidP="00985241">
      <w:pPr>
        <w:spacing w:after="120" w:line="360" w:lineRule="auto"/>
        <w:jc w:val="both"/>
        <w:rPr>
          <w:rFonts w:cs="Calibri"/>
          <w:b/>
          <w:bCs/>
        </w:rPr>
      </w:pPr>
      <w:r w:rsidRPr="00B11EE2">
        <w:rPr>
          <w:rFonts w:cs="Calibri"/>
          <w:b/>
          <w:bCs/>
        </w:rPr>
        <w:lastRenderedPageBreak/>
        <w:t>Appendix</w:t>
      </w:r>
    </w:p>
    <w:p w14:paraId="38A95108" w14:textId="62375B90" w:rsidR="00456EB9" w:rsidRPr="00B11EE2" w:rsidRDefault="00456EB9" w:rsidP="00456EB9">
      <w:pPr>
        <w:spacing w:after="120" w:line="360" w:lineRule="auto"/>
        <w:ind w:firstLine="720"/>
        <w:rPr>
          <w:rFonts w:cs="Calibri"/>
          <w:u w:val="single"/>
        </w:rPr>
      </w:pPr>
      <w:r w:rsidRPr="00B11EE2">
        <w:rPr>
          <w:rFonts w:cs="Calibri"/>
          <w:u w:val="single"/>
        </w:rPr>
        <w:t>Table 1</w:t>
      </w:r>
    </w:p>
    <w:p w14:paraId="758019EA" w14:textId="4E6F1FC4" w:rsidR="00456EB9" w:rsidRDefault="00456EB9" w:rsidP="00985241">
      <w:pPr>
        <w:spacing w:after="120" w:line="360" w:lineRule="auto"/>
        <w:jc w:val="both"/>
        <w:rPr>
          <w:rFonts w:asciiTheme="majorHAnsi" w:hAnsiTheme="majorHAnsi" w:cs="Calibri"/>
          <w:color w:val="0B769F" w:themeColor="accent4" w:themeShade="BF"/>
        </w:rPr>
      </w:pPr>
      <w:r w:rsidRPr="00483314">
        <w:rPr>
          <w:noProof/>
        </w:rPr>
        <w:drawing>
          <wp:inline distT="0" distB="0" distL="0" distR="0" wp14:anchorId="1822827D" wp14:editId="53A422D4">
            <wp:extent cx="5731510" cy="2612390"/>
            <wp:effectExtent l="0" t="0" r="2540" b="0"/>
            <wp:docPr id="1943401875" name="Picture 1" descr="A diagram of products and servi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01903" name="Picture 1" descr="A diagram of products and services&#10;&#10;Description automatically generated"/>
                    <pic:cNvPicPr/>
                  </pic:nvPicPr>
                  <pic:blipFill>
                    <a:blip r:embed="rId12"/>
                    <a:stretch>
                      <a:fillRect/>
                    </a:stretch>
                  </pic:blipFill>
                  <pic:spPr>
                    <a:xfrm>
                      <a:off x="0" y="0"/>
                      <a:ext cx="5731510" cy="2612390"/>
                    </a:xfrm>
                    <a:prstGeom prst="rect">
                      <a:avLst/>
                    </a:prstGeom>
                  </pic:spPr>
                </pic:pic>
              </a:graphicData>
            </a:graphic>
          </wp:inline>
        </w:drawing>
      </w:r>
    </w:p>
    <w:p w14:paraId="1B59DCC6" w14:textId="77777777" w:rsidR="00456EB9" w:rsidRDefault="00456EB9" w:rsidP="00456EB9">
      <w:pPr>
        <w:spacing w:after="0" w:line="240" w:lineRule="auto"/>
        <w:jc w:val="center"/>
        <w:rPr>
          <w:rFonts w:asciiTheme="majorHAnsi" w:hAnsiTheme="majorHAnsi" w:cstheme="minorHAnsi"/>
          <w:i/>
          <w:iCs/>
        </w:rPr>
      </w:pPr>
      <w:r>
        <w:rPr>
          <w:rFonts w:asciiTheme="majorHAnsi" w:hAnsiTheme="majorHAnsi" w:cstheme="minorHAnsi"/>
          <w:i/>
          <w:iCs/>
        </w:rPr>
        <w:t xml:space="preserve">Source: Whittington </w:t>
      </w:r>
      <w:proofErr w:type="spellStart"/>
      <w:proofErr w:type="gramStart"/>
      <w:r>
        <w:rPr>
          <w:rFonts w:asciiTheme="majorHAnsi" w:hAnsiTheme="majorHAnsi" w:cstheme="minorHAnsi"/>
          <w:i/>
          <w:iCs/>
        </w:rPr>
        <w:t>et,al</w:t>
      </w:r>
      <w:proofErr w:type="spellEnd"/>
      <w:r>
        <w:rPr>
          <w:rFonts w:asciiTheme="majorHAnsi" w:hAnsiTheme="majorHAnsi" w:cstheme="minorHAnsi"/>
          <w:i/>
          <w:iCs/>
        </w:rPr>
        <w:t>.</w:t>
      </w:r>
      <w:proofErr w:type="gramEnd"/>
      <w:r>
        <w:rPr>
          <w:rFonts w:asciiTheme="majorHAnsi" w:hAnsiTheme="majorHAnsi" w:cstheme="minorHAnsi"/>
          <w:i/>
          <w:iCs/>
        </w:rPr>
        <w:t xml:space="preserve"> </w:t>
      </w:r>
      <w:proofErr w:type="spellStart"/>
      <w:r>
        <w:rPr>
          <w:rFonts w:asciiTheme="majorHAnsi" w:hAnsiTheme="majorHAnsi" w:cstheme="minorHAnsi"/>
          <w:i/>
          <w:iCs/>
        </w:rPr>
        <w:t>Exploaring</w:t>
      </w:r>
      <w:proofErr w:type="spellEnd"/>
      <w:r>
        <w:rPr>
          <w:rFonts w:asciiTheme="majorHAnsi" w:hAnsiTheme="majorHAnsi" w:cstheme="minorHAnsi"/>
          <w:i/>
          <w:iCs/>
        </w:rPr>
        <w:t xml:space="preserve"> strategy 12</w:t>
      </w:r>
      <w:r w:rsidRPr="002646AC">
        <w:rPr>
          <w:rFonts w:asciiTheme="majorHAnsi" w:hAnsiTheme="majorHAnsi" w:cstheme="minorHAnsi"/>
          <w:i/>
          <w:iCs/>
          <w:vertAlign w:val="superscript"/>
        </w:rPr>
        <w:t>th</w:t>
      </w:r>
      <w:r>
        <w:rPr>
          <w:rFonts w:asciiTheme="majorHAnsi" w:hAnsiTheme="majorHAnsi" w:cstheme="minorHAnsi"/>
          <w:i/>
          <w:iCs/>
        </w:rPr>
        <w:t xml:space="preserve"> ed.</w:t>
      </w:r>
    </w:p>
    <w:p w14:paraId="73DA5E20" w14:textId="77777777" w:rsidR="00456EB9" w:rsidRDefault="00456EB9" w:rsidP="00985241">
      <w:pPr>
        <w:spacing w:after="120" w:line="360" w:lineRule="auto"/>
        <w:jc w:val="both"/>
        <w:rPr>
          <w:rFonts w:asciiTheme="majorHAnsi" w:hAnsiTheme="majorHAnsi" w:cs="Calibri"/>
          <w:color w:val="0B769F" w:themeColor="accent4" w:themeShade="BF"/>
        </w:rPr>
      </w:pPr>
    </w:p>
    <w:p w14:paraId="0479135E" w14:textId="77777777" w:rsidR="001B62D8" w:rsidRDefault="001B62D8" w:rsidP="00985241">
      <w:pPr>
        <w:spacing w:after="120" w:line="360" w:lineRule="auto"/>
        <w:jc w:val="both"/>
        <w:rPr>
          <w:rFonts w:asciiTheme="majorHAnsi" w:hAnsiTheme="majorHAnsi" w:cs="Calibri"/>
          <w:color w:val="0B769F" w:themeColor="accent4" w:themeShade="BF"/>
        </w:rPr>
      </w:pPr>
    </w:p>
    <w:p w14:paraId="006B0033" w14:textId="77777777" w:rsidR="001B62D8" w:rsidRDefault="001B62D8" w:rsidP="00985241">
      <w:pPr>
        <w:spacing w:after="120" w:line="360" w:lineRule="auto"/>
        <w:jc w:val="both"/>
        <w:rPr>
          <w:rFonts w:asciiTheme="majorHAnsi" w:hAnsiTheme="majorHAnsi" w:cs="Calibri"/>
          <w:color w:val="0B769F" w:themeColor="accent4" w:themeShade="BF"/>
        </w:rPr>
      </w:pPr>
    </w:p>
    <w:p w14:paraId="477307D5" w14:textId="77777777" w:rsidR="001B62D8" w:rsidRDefault="001B62D8" w:rsidP="00985241">
      <w:pPr>
        <w:spacing w:after="120" w:line="360" w:lineRule="auto"/>
        <w:jc w:val="both"/>
        <w:rPr>
          <w:rFonts w:asciiTheme="majorHAnsi" w:hAnsiTheme="majorHAnsi" w:cs="Calibri"/>
          <w:color w:val="0B769F" w:themeColor="accent4" w:themeShade="BF"/>
        </w:rPr>
      </w:pPr>
    </w:p>
    <w:p w14:paraId="5E61527F" w14:textId="77777777" w:rsidR="001B62D8" w:rsidRDefault="001B62D8" w:rsidP="00985241">
      <w:pPr>
        <w:spacing w:after="120" w:line="360" w:lineRule="auto"/>
        <w:jc w:val="both"/>
        <w:rPr>
          <w:rFonts w:asciiTheme="majorHAnsi" w:hAnsiTheme="majorHAnsi" w:cs="Calibri"/>
          <w:color w:val="0B769F" w:themeColor="accent4" w:themeShade="BF"/>
        </w:rPr>
      </w:pPr>
    </w:p>
    <w:p w14:paraId="53D85F37" w14:textId="77777777" w:rsidR="001B62D8" w:rsidRDefault="001B62D8" w:rsidP="00985241">
      <w:pPr>
        <w:spacing w:after="120" w:line="360" w:lineRule="auto"/>
        <w:jc w:val="both"/>
        <w:rPr>
          <w:rFonts w:asciiTheme="majorHAnsi" w:hAnsiTheme="majorHAnsi" w:cs="Calibri"/>
          <w:color w:val="0B769F" w:themeColor="accent4" w:themeShade="BF"/>
        </w:rPr>
      </w:pPr>
    </w:p>
    <w:p w14:paraId="482B672A" w14:textId="77777777" w:rsidR="0095088B" w:rsidRDefault="0095088B" w:rsidP="00985241">
      <w:pPr>
        <w:spacing w:after="120" w:line="360" w:lineRule="auto"/>
        <w:jc w:val="both"/>
        <w:rPr>
          <w:rFonts w:asciiTheme="majorHAnsi" w:hAnsiTheme="majorHAnsi" w:cs="Calibri"/>
          <w:color w:val="0B769F" w:themeColor="accent4" w:themeShade="BF"/>
        </w:rPr>
      </w:pPr>
    </w:p>
    <w:p w14:paraId="56FDDC9D" w14:textId="77777777" w:rsidR="0095088B" w:rsidRDefault="0095088B" w:rsidP="00985241">
      <w:pPr>
        <w:spacing w:after="120" w:line="360" w:lineRule="auto"/>
        <w:jc w:val="both"/>
        <w:rPr>
          <w:rFonts w:asciiTheme="majorHAnsi" w:hAnsiTheme="majorHAnsi" w:cs="Calibri"/>
          <w:color w:val="0B769F" w:themeColor="accent4" w:themeShade="BF"/>
        </w:rPr>
      </w:pPr>
    </w:p>
    <w:p w14:paraId="3D8D9A94" w14:textId="77777777" w:rsidR="0095088B" w:rsidRDefault="0095088B" w:rsidP="00985241">
      <w:pPr>
        <w:spacing w:after="120" w:line="360" w:lineRule="auto"/>
        <w:jc w:val="both"/>
        <w:rPr>
          <w:rFonts w:asciiTheme="majorHAnsi" w:hAnsiTheme="majorHAnsi" w:cs="Calibri"/>
          <w:color w:val="0B769F" w:themeColor="accent4" w:themeShade="BF"/>
        </w:rPr>
      </w:pPr>
    </w:p>
    <w:p w14:paraId="6D071527" w14:textId="77777777" w:rsidR="0095088B" w:rsidRDefault="0095088B" w:rsidP="00985241">
      <w:pPr>
        <w:spacing w:after="120" w:line="360" w:lineRule="auto"/>
        <w:jc w:val="both"/>
        <w:rPr>
          <w:rFonts w:asciiTheme="majorHAnsi" w:hAnsiTheme="majorHAnsi" w:cs="Calibri"/>
          <w:color w:val="0B769F" w:themeColor="accent4" w:themeShade="BF"/>
        </w:rPr>
      </w:pPr>
    </w:p>
    <w:p w14:paraId="3BA413D0" w14:textId="77777777" w:rsidR="0095088B" w:rsidRDefault="0095088B" w:rsidP="00985241">
      <w:pPr>
        <w:spacing w:after="120" w:line="360" w:lineRule="auto"/>
        <w:jc w:val="both"/>
        <w:rPr>
          <w:rFonts w:asciiTheme="majorHAnsi" w:hAnsiTheme="majorHAnsi" w:cs="Calibri"/>
          <w:color w:val="0B769F" w:themeColor="accent4" w:themeShade="BF"/>
        </w:rPr>
      </w:pPr>
    </w:p>
    <w:p w14:paraId="253C2265" w14:textId="77777777" w:rsidR="0095088B" w:rsidRDefault="0095088B" w:rsidP="00985241">
      <w:pPr>
        <w:spacing w:after="120" w:line="360" w:lineRule="auto"/>
        <w:jc w:val="both"/>
        <w:rPr>
          <w:rFonts w:asciiTheme="majorHAnsi" w:hAnsiTheme="majorHAnsi" w:cs="Calibri"/>
          <w:color w:val="0B769F" w:themeColor="accent4" w:themeShade="BF"/>
        </w:rPr>
      </w:pPr>
    </w:p>
    <w:p w14:paraId="1786794D" w14:textId="77777777" w:rsidR="0095088B" w:rsidRDefault="0095088B" w:rsidP="00985241">
      <w:pPr>
        <w:spacing w:after="120" w:line="360" w:lineRule="auto"/>
        <w:jc w:val="both"/>
        <w:rPr>
          <w:rFonts w:asciiTheme="majorHAnsi" w:hAnsiTheme="majorHAnsi" w:cs="Calibri"/>
          <w:color w:val="0B769F" w:themeColor="accent4" w:themeShade="BF"/>
        </w:rPr>
      </w:pPr>
    </w:p>
    <w:p w14:paraId="07EBF477" w14:textId="77777777" w:rsidR="001B62D8" w:rsidRDefault="001B62D8" w:rsidP="00985241">
      <w:pPr>
        <w:spacing w:after="120" w:line="360" w:lineRule="auto"/>
        <w:jc w:val="both"/>
        <w:rPr>
          <w:rFonts w:asciiTheme="majorHAnsi" w:hAnsiTheme="majorHAnsi" w:cs="Calibri"/>
          <w:color w:val="0B769F" w:themeColor="accent4" w:themeShade="BF"/>
        </w:rPr>
      </w:pPr>
    </w:p>
    <w:p w14:paraId="7A2F270C" w14:textId="77777777" w:rsidR="00456EB9" w:rsidRDefault="00456EB9" w:rsidP="00985241">
      <w:pPr>
        <w:spacing w:after="120" w:line="360" w:lineRule="auto"/>
        <w:jc w:val="both"/>
        <w:rPr>
          <w:rFonts w:asciiTheme="majorHAnsi" w:hAnsiTheme="majorHAnsi" w:cs="Calibri"/>
          <w:color w:val="0B769F" w:themeColor="accent4" w:themeShade="BF"/>
        </w:rPr>
      </w:pPr>
    </w:p>
    <w:p w14:paraId="152BBD33" w14:textId="77777777" w:rsidR="0095088B" w:rsidRDefault="0095088B" w:rsidP="00985241">
      <w:pPr>
        <w:spacing w:after="120" w:line="360" w:lineRule="auto"/>
        <w:jc w:val="both"/>
        <w:rPr>
          <w:rFonts w:asciiTheme="majorHAnsi" w:hAnsiTheme="majorHAnsi" w:cs="Calibri"/>
          <w:color w:val="0B769F" w:themeColor="accent4" w:themeShade="BF"/>
        </w:rPr>
      </w:pPr>
    </w:p>
    <w:p w14:paraId="05952BC6" w14:textId="7D073BAB" w:rsidR="00456EB9" w:rsidRPr="00B11EE2" w:rsidRDefault="00456EB9" w:rsidP="00B11EE2">
      <w:pPr>
        <w:spacing w:after="120" w:line="360" w:lineRule="auto"/>
        <w:ind w:firstLine="720"/>
        <w:jc w:val="both"/>
        <w:rPr>
          <w:rFonts w:cs="Calibri"/>
          <w:b/>
          <w:bCs/>
          <w:u w:val="single"/>
        </w:rPr>
      </w:pPr>
      <w:r w:rsidRPr="00B11EE2">
        <w:rPr>
          <w:rFonts w:cs="Calibri"/>
          <w:b/>
          <w:bCs/>
          <w:u w:val="single"/>
        </w:rPr>
        <w:lastRenderedPageBreak/>
        <w:t>Table 2</w:t>
      </w:r>
    </w:p>
    <w:tbl>
      <w:tblPr>
        <w:tblW w:w="8642" w:type="dxa"/>
        <w:tblLook w:val="04A0" w:firstRow="1" w:lastRow="0" w:firstColumn="1" w:lastColumn="0" w:noHBand="0" w:noVBand="1"/>
      </w:tblPr>
      <w:tblGrid>
        <w:gridCol w:w="3464"/>
        <w:gridCol w:w="1034"/>
        <w:gridCol w:w="4518"/>
      </w:tblGrid>
      <w:tr w:rsidR="00456EB9" w:rsidRPr="00456EB9" w14:paraId="15F1FA4F" w14:textId="77777777" w:rsidTr="00456EB9">
        <w:trPr>
          <w:trHeight w:val="285"/>
        </w:trPr>
        <w:tc>
          <w:tcPr>
            <w:tcW w:w="3539" w:type="dxa"/>
            <w:tcBorders>
              <w:top w:val="single" w:sz="4" w:space="0" w:color="auto"/>
              <w:left w:val="single" w:sz="4" w:space="0" w:color="auto"/>
              <w:bottom w:val="single" w:sz="4" w:space="0" w:color="auto"/>
              <w:right w:val="single" w:sz="4" w:space="0" w:color="auto"/>
            </w:tcBorders>
            <w:shd w:val="clear" w:color="000000" w:fill="CAEDFB"/>
            <w:noWrap/>
            <w:vAlign w:val="bottom"/>
            <w:hideMark/>
          </w:tcPr>
          <w:p w14:paraId="4B724908" w14:textId="77777777" w:rsidR="00456EB9" w:rsidRPr="00456EB9" w:rsidRDefault="00456EB9" w:rsidP="00456EB9">
            <w:pPr>
              <w:spacing w:after="0" w:line="240" w:lineRule="auto"/>
              <w:rPr>
                <w:rFonts w:ascii="Aptos Narrow" w:eastAsia="Times New Roman" w:hAnsi="Aptos Narrow" w:cs="Times New Roman"/>
                <w:b/>
                <w:bCs/>
                <w:color w:val="000000"/>
                <w:kern w:val="0"/>
                <w:lang w:eastAsia="en-GB"/>
                <w14:ligatures w14:val="none"/>
              </w:rPr>
            </w:pPr>
            <w:r w:rsidRPr="00456EB9">
              <w:rPr>
                <w:rFonts w:ascii="Aptos Narrow" w:eastAsia="Times New Roman" w:hAnsi="Aptos Narrow" w:cs="Times New Roman"/>
                <w:b/>
                <w:bCs/>
                <w:color w:val="000000"/>
                <w:kern w:val="0"/>
                <w:lang w:eastAsia="en-GB"/>
                <w14:ligatures w14:val="none"/>
              </w:rPr>
              <w:t>Resources: what we have (2023)</w:t>
            </w:r>
          </w:p>
        </w:tc>
        <w:tc>
          <w:tcPr>
            <w:tcW w:w="486" w:type="dxa"/>
            <w:tcBorders>
              <w:top w:val="single" w:sz="4" w:space="0" w:color="auto"/>
              <w:left w:val="nil"/>
              <w:bottom w:val="single" w:sz="4" w:space="0" w:color="auto"/>
              <w:right w:val="single" w:sz="4" w:space="0" w:color="auto"/>
            </w:tcBorders>
            <w:shd w:val="clear" w:color="000000" w:fill="CAEDFB"/>
            <w:noWrap/>
            <w:vAlign w:val="bottom"/>
            <w:hideMark/>
          </w:tcPr>
          <w:p w14:paraId="7A689A6F" w14:textId="77777777" w:rsidR="00456EB9" w:rsidRPr="00456EB9" w:rsidRDefault="00456EB9" w:rsidP="00456EB9">
            <w:pPr>
              <w:spacing w:after="0" w:line="240" w:lineRule="auto"/>
              <w:rPr>
                <w:rFonts w:ascii="Aptos Narrow" w:eastAsia="Times New Roman" w:hAnsi="Aptos Narrow" w:cs="Times New Roman"/>
                <w:b/>
                <w:bCs/>
                <w:color w:val="000000"/>
                <w:kern w:val="0"/>
                <w:lang w:eastAsia="en-GB"/>
                <w14:ligatures w14:val="none"/>
              </w:rPr>
            </w:pPr>
            <w:r w:rsidRPr="00456EB9">
              <w:rPr>
                <w:rFonts w:ascii="Aptos Narrow" w:eastAsia="Times New Roman" w:hAnsi="Aptos Narrow" w:cs="Times New Roman"/>
                <w:b/>
                <w:bCs/>
                <w:color w:val="000000"/>
                <w:kern w:val="0"/>
                <w:lang w:eastAsia="en-GB"/>
                <w14:ligatures w14:val="none"/>
              </w:rPr>
              <w:t> </w:t>
            </w:r>
          </w:p>
        </w:tc>
        <w:tc>
          <w:tcPr>
            <w:tcW w:w="4617" w:type="dxa"/>
            <w:tcBorders>
              <w:top w:val="single" w:sz="4" w:space="0" w:color="auto"/>
              <w:left w:val="nil"/>
              <w:bottom w:val="single" w:sz="4" w:space="0" w:color="auto"/>
              <w:right w:val="single" w:sz="4" w:space="0" w:color="auto"/>
            </w:tcBorders>
            <w:shd w:val="clear" w:color="000000" w:fill="CAEDFB"/>
            <w:noWrap/>
            <w:vAlign w:val="bottom"/>
            <w:hideMark/>
          </w:tcPr>
          <w:p w14:paraId="19F98F0F" w14:textId="77777777" w:rsidR="00456EB9" w:rsidRPr="00456EB9" w:rsidRDefault="00456EB9" w:rsidP="00456EB9">
            <w:pPr>
              <w:spacing w:after="0" w:line="240" w:lineRule="auto"/>
              <w:rPr>
                <w:rFonts w:ascii="Aptos Narrow" w:eastAsia="Times New Roman" w:hAnsi="Aptos Narrow" w:cs="Times New Roman"/>
                <w:b/>
                <w:bCs/>
                <w:color w:val="000000"/>
                <w:kern w:val="0"/>
                <w:lang w:eastAsia="en-GB"/>
                <w14:ligatures w14:val="none"/>
              </w:rPr>
            </w:pPr>
            <w:r w:rsidRPr="00456EB9">
              <w:rPr>
                <w:rFonts w:ascii="Aptos Narrow" w:eastAsia="Times New Roman" w:hAnsi="Aptos Narrow" w:cs="Times New Roman"/>
                <w:b/>
                <w:bCs/>
                <w:color w:val="000000"/>
                <w:kern w:val="0"/>
                <w:lang w:eastAsia="en-GB"/>
                <w14:ligatures w14:val="none"/>
              </w:rPr>
              <w:t>Capabilities: what we do</w:t>
            </w:r>
          </w:p>
        </w:tc>
      </w:tr>
      <w:tr w:rsidR="00456EB9" w:rsidRPr="00456EB9" w14:paraId="555B147F" w14:textId="77777777" w:rsidTr="00456EB9">
        <w:trPr>
          <w:trHeight w:val="1710"/>
        </w:trPr>
        <w:tc>
          <w:tcPr>
            <w:tcW w:w="3539" w:type="dxa"/>
            <w:tcBorders>
              <w:top w:val="nil"/>
              <w:left w:val="single" w:sz="4" w:space="0" w:color="auto"/>
              <w:bottom w:val="single" w:sz="4" w:space="0" w:color="auto"/>
              <w:right w:val="single" w:sz="4" w:space="0" w:color="auto"/>
            </w:tcBorders>
            <w:shd w:val="clear" w:color="auto" w:fill="auto"/>
            <w:vAlign w:val="bottom"/>
            <w:hideMark/>
          </w:tcPr>
          <w:p w14:paraId="7F1C6397" w14:textId="77777777" w:rsidR="00456EB9" w:rsidRPr="00456EB9" w:rsidRDefault="00456EB9" w:rsidP="00456EB9">
            <w:pPr>
              <w:spacing w:after="0" w:line="240" w:lineRule="auto"/>
              <w:rPr>
                <w:rFonts w:ascii="Aptos Narrow" w:eastAsia="Times New Roman" w:hAnsi="Aptos Narrow" w:cs="Times New Roman"/>
                <w:color w:val="000000"/>
                <w:kern w:val="0"/>
                <w:lang w:eastAsia="en-GB"/>
                <w14:ligatures w14:val="none"/>
              </w:rPr>
            </w:pPr>
            <w:r w:rsidRPr="00456EB9">
              <w:rPr>
                <w:rFonts w:ascii="Aptos Narrow" w:eastAsia="Times New Roman" w:hAnsi="Aptos Narrow" w:cs="Times New Roman"/>
                <w:color w:val="000000"/>
                <w:kern w:val="0"/>
                <w:lang w:eastAsia="en-GB"/>
                <w14:ligatures w14:val="none"/>
              </w:rPr>
              <w:t>Land and buildings £294m;</w:t>
            </w:r>
            <w:r w:rsidRPr="00456EB9">
              <w:rPr>
                <w:rFonts w:ascii="Aptos Narrow" w:eastAsia="Times New Roman" w:hAnsi="Aptos Narrow" w:cs="Times New Roman"/>
                <w:color w:val="000000"/>
                <w:kern w:val="0"/>
                <w:lang w:eastAsia="en-GB"/>
                <w14:ligatures w14:val="none"/>
              </w:rPr>
              <w:br/>
              <w:t>Plant equipment and vehicles £825m;</w:t>
            </w:r>
            <w:r w:rsidRPr="00456EB9">
              <w:rPr>
                <w:rFonts w:ascii="Aptos Narrow" w:eastAsia="Times New Roman" w:hAnsi="Aptos Narrow" w:cs="Times New Roman"/>
                <w:color w:val="000000"/>
                <w:kern w:val="0"/>
                <w:lang w:eastAsia="en-GB"/>
                <w14:ligatures w14:val="none"/>
              </w:rPr>
              <w:br/>
              <w:t>Power generation £372m;</w:t>
            </w:r>
            <w:r w:rsidRPr="00456EB9">
              <w:rPr>
                <w:rFonts w:ascii="Aptos Narrow" w:eastAsia="Times New Roman" w:hAnsi="Aptos Narrow" w:cs="Times New Roman"/>
                <w:color w:val="000000"/>
                <w:kern w:val="0"/>
                <w:lang w:eastAsia="en-GB"/>
                <w14:ligatures w14:val="none"/>
              </w:rPr>
              <w:br/>
              <w:t>gas production and storage £11,474m</w:t>
            </w:r>
          </w:p>
        </w:tc>
        <w:tc>
          <w:tcPr>
            <w:tcW w:w="486" w:type="dxa"/>
            <w:tcBorders>
              <w:top w:val="nil"/>
              <w:left w:val="nil"/>
              <w:bottom w:val="single" w:sz="4" w:space="0" w:color="auto"/>
              <w:right w:val="single" w:sz="4" w:space="0" w:color="auto"/>
            </w:tcBorders>
            <w:shd w:val="clear" w:color="auto" w:fill="auto"/>
            <w:noWrap/>
            <w:vAlign w:val="center"/>
            <w:hideMark/>
          </w:tcPr>
          <w:p w14:paraId="7F258F36" w14:textId="77777777" w:rsidR="00456EB9" w:rsidRPr="00456EB9" w:rsidRDefault="00456EB9" w:rsidP="00456EB9">
            <w:pPr>
              <w:spacing w:after="0" w:line="240" w:lineRule="auto"/>
              <w:jc w:val="center"/>
              <w:rPr>
                <w:rFonts w:ascii="Aptos Narrow" w:eastAsia="Times New Roman" w:hAnsi="Aptos Narrow" w:cs="Times New Roman"/>
                <w:b/>
                <w:bCs/>
                <w:color w:val="000000"/>
                <w:kern w:val="0"/>
                <w:lang w:eastAsia="en-GB"/>
                <w14:ligatures w14:val="none"/>
              </w:rPr>
            </w:pPr>
            <w:r w:rsidRPr="00456EB9">
              <w:rPr>
                <w:rFonts w:ascii="Aptos Narrow" w:eastAsia="Times New Roman" w:hAnsi="Aptos Narrow" w:cs="Times New Roman"/>
                <w:b/>
                <w:bCs/>
                <w:color w:val="000000"/>
                <w:kern w:val="0"/>
                <w:lang w:eastAsia="en-GB"/>
                <w14:ligatures w14:val="none"/>
              </w:rPr>
              <w:t>Physical</w:t>
            </w:r>
          </w:p>
        </w:tc>
        <w:tc>
          <w:tcPr>
            <w:tcW w:w="4617" w:type="dxa"/>
            <w:tcBorders>
              <w:top w:val="nil"/>
              <w:left w:val="nil"/>
              <w:bottom w:val="single" w:sz="4" w:space="0" w:color="auto"/>
              <w:right w:val="single" w:sz="4" w:space="0" w:color="auto"/>
            </w:tcBorders>
            <w:shd w:val="clear" w:color="auto" w:fill="auto"/>
            <w:vAlign w:val="bottom"/>
            <w:hideMark/>
          </w:tcPr>
          <w:p w14:paraId="5EF41874" w14:textId="77777777" w:rsidR="00456EB9" w:rsidRPr="00456EB9" w:rsidRDefault="00456EB9" w:rsidP="00456EB9">
            <w:pPr>
              <w:spacing w:after="0" w:line="240" w:lineRule="auto"/>
              <w:rPr>
                <w:rFonts w:ascii="Aptos Narrow" w:eastAsia="Times New Roman" w:hAnsi="Aptos Narrow" w:cs="Times New Roman"/>
                <w:color w:val="000000"/>
                <w:kern w:val="0"/>
                <w:lang w:eastAsia="en-GB"/>
                <w14:ligatures w14:val="none"/>
              </w:rPr>
            </w:pPr>
            <w:r w:rsidRPr="00456EB9">
              <w:rPr>
                <w:rFonts w:ascii="Aptos Narrow" w:eastAsia="Times New Roman" w:hAnsi="Aptos Narrow" w:cs="Times New Roman"/>
                <w:color w:val="000000"/>
                <w:kern w:val="0"/>
                <w:lang w:eastAsia="en-GB"/>
                <w14:ligatures w14:val="none"/>
              </w:rPr>
              <w:t xml:space="preserve">Centrica actively invest in green and flexible generation and storage solutions. For instance, the company has mentioned specific projects such as the development of wind farms, solar installations, or battery storage facilities aimed at transitioning towards a low-carbon economy </w:t>
            </w:r>
          </w:p>
        </w:tc>
      </w:tr>
      <w:tr w:rsidR="00456EB9" w:rsidRPr="00456EB9" w14:paraId="294C99C3" w14:textId="77777777" w:rsidTr="00456EB9">
        <w:trPr>
          <w:trHeight w:val="1995"/>
        </w:trPr>
        <w:tc>
          <w:tcPr>
            <w:tcW w:w="3539" w:type="dxa"/>
            <w:tcBorders>
              <w:top w:val="nil"/>
              <w:left w:val="single" w:sz="4" w:space="0" w:color="auto"/>
              <w:bottom w:val="single" w:sz="4" w:space="0" w:color="auto"/>
              <w:right w:val="single" w:sz="4" w:space="0" w:color="auto"/>
            </w:tcBorders>
            <w:shd w:val="clear" w:color="auto" w:fill="auto"/>
            <w:vAlign w:val="bottom"/>
            <w:hideMark/>
          </w:tcPr>
          <w:p w14:paraId="222E3DBB" w14:textId="77777777" w:rsidR="00456EB9" w:rsidRPr="00456EB9" w:rsidRDefault="00456EB9" w:rsidP="00456EB9">
            <w:pPr>
              <w:spacing w:after="0" w:line="240" w:lineRule="auto"/>
              <w:rPr>
                <w:rFonts w:ascii="Aptos Narrow" w:eastAsia="Times New Roman" w:hAnsi="Aptos Narrow" w:cs="Times New Roman"/>
                <w:color w:val="000000"/>
                <w:kern w:val="0"/>
                <w:lang w:eastAsia="en-GB"/>
                <w14:ligatures w14:val="none"/>
              </w:rPr>
            </w:pPr>
            <w:r w:rsidRPr="00456EB9">
              <w:rPr>
                <w:rFonts w:ascii="Aptos Narrow" w:eastAsia="Times New Roman" w:hAnsi="Aptos Narrow" w:cs="Times New Roman"/>
                <w:color w:val="000000"/>
                <w:kern w:val="0"/>
                <w:lang w:eastAsia="en-GB"/>
                <w14:ligatures w14:val="none"/>
              </w:rPr>
              <w:t xml:space="preserve">gross </w:t>
            </w:r>
            <w:proofErr w:type="gramStart"/>
            <w:r w:rsidRPr="00456EB9">
              <w:rPr>
                <w:rFonts w:ascii="Aptos Narrow" w:eastAsia="Times New Roman" w:hAnsi="Aptos Narrow" w:cs="Times New Roman"/>
                <w:color w:val="000000"/>
                <w:kern w:val="0"/>
                <w:lang w:eastAsia="en-GB"/>
                <w14:ligatures w14:val="none"/>
              </w:rPr>
              <w:t>profit  £</w:t>
            </w:r>
            <w:proofErr w:type="gramEnd"/>
            <w:r w:rsidRPr="00456EB9">
              <w:rPr>
                <w:rFonts w:ascii="Aptos Narrow" w:eastAsia="Times New Roman" w:hAnsi="Aptos Narrow" w:cs="Times New Roman"/>
                <w:color w:val="000000"/>
                <w:kern w:val="0"/>
                <w:lang w:eastAsia="en-GB"/>
                <w14:ligatures w14:val="none"/>
              </w:rPr>
              <w:t xml:space="preserve">4,040m ; </w:t>
            </w:r>
            <w:r w:rsidRPr="00456EB9">
              <w:rPr>
                <w:rFonts w:ascii="Aptos Narrow" w:eastAsia="Times New Roman" w:hAnsi="Aptos Narrow" w:cs="Times New Roman"/>
                <w:color w:val="000000"/>
                <w:kern w:val="0"/>
                <w:lang w:eastAsia="en-GB"/>
                <w14:ligatures w14:val="none"/>
              </w:rPr>
              <w:br/>
              <w:t>cash flow £2,752m;</w:t>
            </w:r>
            <w:r w:rsidRPr="00456EB9">
              <w:rPr>
                <w:rFonts w:ascii="Aptos Narrow" w:eastAsia="Times New Roman" w:hAnsi="Aptos Narrow" w:cs="Times New Roman"/>
                <w:color w:val="000000"/>
                <w:kern w:val="0"/>
                <w:lang w:eastAsia="en-GB"/>
                <w14:ligatures w14:val="none"/>
              </w:rPr>
              <w:br/>
              <w:t>non- current bank loans and overdrafts (-130m);</w:t>
            </w:r>
            <w:r w:rsidRPr="00456EB9">
              <w:rPr>
                <w:rFonts w:ascii="Aptos Narrow" w:eastAsia="Times New Roman" w:hAnsi="Aptos Narrow" w:cs="Times New Roman"/>
                <w:color w:val="000000"/>
                <w:kern w:val="0"/>
                <w:lang w:eastAsia="en-GB"/>
                <w14:ligatures w14:val="none"/>
              </w:rPr>
              <w:br/>
              <w:t>bonds(-2,665m);</w:t>
            </w:r>
          </w:p>
        </w:tc>
        <w:tc>
          <w:tcPr>
            <w:tcW w:w="486" w:type="dxa"/>
            <w:tcBorders>
              <w:top w:val="nil"/>
              <w:left w:val="nil"/>
              <w:bottom w:val="single" w:sz="4" w:space="0" w:color="auto"/>
              <w:right w:val="single" w:sz="4" w:space="0" w:color="auto"/>
            </w:tcBorders>
            <w:shd w:val="clear" w:color="auto" w:fill="auto"/>
            <w:noWrap/>
            <w:vAlign w:val="center"/>
            <w:hideMark/>
          </w:tcPr>
          <w:p w14:paraId="6302F07E" w14:textId="77777777" w:rsidR="00456EB9" w:rsidRPr="00456EB9" w:rsidRDefault="00456EB9" w:rsidP="00456EB9">
            <w:pPr>
              <w:spacing w:after="0" w:line="240" w:lineRule="auto"/>
              <w:jc w:val="center"/>
              <w:rPr>
                <w:rFonts w:ascii="Aptos Narrow" w:eastAsia="Times New Roman" w:hAnsi="Aptos Narrow" w:cs="Times New Roman"/>
                <w:b/>
                <w:bCs/>
                <w:color w:val="000000"/>
                <w:kern w:val="0"/>
                <w:lang w:eastAsia="en-GB"/>
                <w14:ligatures w14:val="none"/>
              </w:rPr>
            </w:pPr>
            <w:r w:rsidRPr="00456EB9">
              <w:rPr>
                <w:rFonts w:ascii="Aptos Narrow" w:eastAsia="Times New Roman" w:hAnsi="Aptos Narrow" w:cs="Times New Roman"/>
                <w:b/>
                <w:bCs/>
                <w:color w:val="000000"/>
                <w:kern w:val="0"/>
                <w:lang w:eastAsia="en-GB"/>
                <w14:ligatures w14:val="none"/>
              </w:rPr>
              <w:t>Financial</w:t>
            </w:r>
          </w:p>
        </w:tc>
        <w:tc>
          <w:tcPr>
            <w:tcW w:w="4617" w:type="dxa"/>
            <w:tcBorders>
              <w:top w:val="nil"/>
              <w:left w:val="nil"/>
              <w:bottom w:val="single" w:sz="4" w:space="0" w:color="auto"/>
              <w:right w:val="single" w:sz="4" w:space="0" w:color="auto"/>
            </w:tcBorders>
            <w:shd w:val="clear" w:color="auto" w:fill="auto"/>
            <w:noWrap/>
            <w:vAlign w:val="center"/>
            <w:hideMark/>
          </w:tcPr>
          <w:p w14:paraId="02D10F82" w14:textId="77777777" w:rsidR="00456EB9" w:rsidRPr="00456EB9" w:rsidRDefault="00456EB9" w:rsidP="00456EB9">
            <w:pPr>
              <w:spacing w:after="0" w:line="240" w:lineRule="auto"/>
              <w:jc w:val="both"/>
              <w:rPr>
                <w:rFonts w:ascii="Aptos" w:eastAsia="Times New Roman" w:hAnsi="Aptos" w:cs="Times New Roman"/>
                <w:color w:val="000000"/>
                <w:kern w:val="0"/>
                <w:lang w:eastAsia="en-GB"/>
                <w14:ligatures w14:val="none"/>
              </w:rPr>
            </w:pPr>
            <w:r w:rsidRPr="00456EB9">
              <w:rPr>
                <w:rFonts w:ascii="Aptos" w:eastAsia="Times New Roman" w:hAnsi="Aptos" w:cstheme="minorHAnsi"/>
                <w:color w:val="000000"/>
                <w:kern w:val="0"/>
                <w:lang w:eastAsia="en-GB"/>
                <w14:ligatures w14:val="none"/>
              </w:rPr>
              <w:t>the company has demonstrated resilience and strong financial performance, as evidenced by improved free cash flow (£2,487m in 2022, compared to £1,174m in 2021), adjusted net cash position (£1,199m in 2022 compared to £680m in 2021), and balance sheet strength.</w:t>
            </w:r>
          </w:p>
        </w:tc>
      </w:tr>
      <w:tr w:rsidR="00456EB9" w:rsidRPr="00456EB9" w14:paraId="1D514DB7" w14:textId="77777777" w:rsidTr="00456EB9">
        <w:trPr>
          <w:trHeight w:val="1425"/>
        </w:trPr>
        <w:tc>
          <w:tcPr>
            <w:tcW w:w="3539" w:type="dxa"/>
            <w:tcBorders>
              <w:top w:val="nil"/>
              <w:left w:val="single" w:sz="4" w:space="0" w:color="auto"/>
              <w:bottom w:val="single" w:sz="4" w:space="0" w:color="auto"/>
              <w:right w:val="single" w:sz="4" w:space="0" w:color="auto"/>
            </w:tcBorders>
            <w:shd w:val="clear" w:color="auto" w:fill="auto"/>
            <w:vAlign w:val="bottom"/>
            <w:hideMark/>
          </w:tcPr>
          <w:p w14:paraId="7AB395C5" w14:textId="77777777" w:rsidR="00456EB9" w:rsidRPr="00456EB9" w:rsidRDefault="00456EB9" w:rsidP="00456EB9">
            <w:pPr>
              <w:spacing w:after="0" w:line="240" w:lineRule="auto"/>
              <w:rPr>
                <w:rFonts w:ascii="Aptos Narrow" w:eastAsia="Times New Roman" w:hAnsi="Aptos Narrow" w:cs="Times New Roman"/>
                <w:color w:val="000000"/>
                <w:kern w:val="0"/>
                <w:lang w:eastAsia="en-GB"/>
                <w14:ligatures w14:val="none"/>
              </w:rPr>
            </w:pPr>
            <w:r w:rsidRPr="00456EB9">
              <w:rPr>
                <w:rFonts w:ascii="Aptos Narrow" w:eastAsia="Times New Roman" w:hAnsi="Aptos Narrow" w:cs="Times New Roman"/>
                <w:color w:val="000000"/>
                <w:kern w:val="0"/>
                <w:lang w:eastAsia="en-GB"/>
                <w14:ligatures w14:val="none"/>
              </w:rPr>
              <w:t>20000 employees;</w:t>
            </w:r>
            <w:r w:rsidRPr="00456EB9">
              <w:rPr>
                <w:rFonts w:ascii="Aptos Narrow" w:eastAsia="Times New Roman" w:hAnsi="Aptos Narrow" w:cs="Times New Roman"/>
                <w:color w:val="000000"/>
                <w:kern w:val="0"/>
                <w:lang w:eastAsia="en-GB"/>
                <w14:ligatures w14:val="none"/>
              </w:rPr>
              <w:br/>
              <w:t xml:space="preserve">over 9 million residential and business </w:t>
            </w:r>
            <w:proofErr w:type="spellStart"/>
            <w:r w:rsidRPr="00456EB9">
              <w:rPr>
                <w:rFonts w:ascii="Aptos Narrow" w:eastAsia="Times New Roman" w:hAnsi="Aptos Narrow" w:cs="Times New Roman"/>
                <w:color w:val="000000"/>
                <w:kern w:val="0"/>
                <w:lang w:eastAsia="en-GB"/>
                <w14:ligatures w14:val="none"/>
              </w:rPr>
              <w:t>costumers</w:t>
            </w:r>
            <w:proofErr w:type="spellEnd"/>
            <w:r w:rsidRPr="00456EB9">
              <w:rPr>
                <w:rFonts w:ascii="Aptos Narrow" w:eastAsia="Times New Roman" w:hAnsi="Aptos Narrow" w:cs="Times New Roman"/>
                <w:color w:val="000000"/>
                <w:kern w:val="0"/>
                <w:lang w:eastAsia="en-GB"/>
                <w14:ligatures w14:val="none"/>
              </w:rPr>
              <w:t>;</w:t>
            </w:r>
            <w:r w:rsidRPr="00456EB9">
              <w:rPr>
                <w:rFonts w:ascii="Aptos Narrow" w:eastAsia="Times New Roman" w:hAnsi="Aptos Narrow" w:cs="Times New Roman"/>
                <w:color w:val="000000"/>
                <w:kern w:val="0"/>
                <w:lang w:eastAsia="en-GB"/>
                <w14:ligatures w14:val="none"/>
              </w:rPr>
              <w:br/>
              <w:t>more than 100 partner in 14 countries</w:t>
            </w:r>
            <w:r w:rsidRPr="00456EB9">
              <w:rPr>
                <w:rFonts w:ascii="Aptos Narrow" w:eastAsia="Times New Roman" w:hAnsi="Aptos Narrow" w:cs="Times New Roman"/>
                <w:color w:val="000000"/>
                <w:kern w:val="0"/>
                <w:lang w:eastAsia="en-GB"/>
                <w14:ligatures w14:val="none"/>
              </w:rPr>
              <w:br/>
              <w:t xml:space="preserve">12 board members and 2 senior </w:t>
            </w:r>
            <w:proofErr w:type="gramStart"/>
            <w:r w:rsidRPr="00456EB9">
              <w:rPr>
                <w:rFonts w:ascii="Aptos Narrow" w:eastAsia="Times New Roman" w:hAnsi="Aptos Narrow" w:cs="Times New Roman"/>
                <w:color w:val="000000"/>
                <w:kern w:val="0"/>
                <w:lang w:eastAsia="en-GB"/>
                <w14:ligatures w14:val="none"/>
              </w:rPr>
              <w:t>executive</w:t>
            </w:r>
            <w:proofErr w:type="gramEnd"/>
          </w:p>
        </w:tc>
        <w:tc>
          <w:tcPr>
            <w:tcW w:w="486" w:type="dxa"/>
            <w:tcBorders>
              <w:top w:val="nil"/>
              <w:left w:val="nil"/>
              <w:bottom w:val="single" w:sz="4" w:space="0" w:color="auto"/>
              <w:right w:val="single" w:sz="4" w:space="0" w:color="auto"/>
            </w:tcBorders>
            <w:shd w:val="clear" w:color="auto" w:fill="auto"/>
            <w:noWrap/>
            <w:vAlign w:val="center"/>
            <w:hideMark/>
          </w:tcPr>
          <w:p w14:paraId="5685A5CB" w14:textId="77777777" w:rsidR="00456EB9" w:rsidRPr="00456EB9" w:rsidRDefault="00456EB9" w:rsidP="00456EB9">
            <w:pPr>
              <w:spacing w:after="0" w:line="240" w:lineRule="auto"/>
              <w:jc w:val="center"/>
              <w:rPr>
                <w:rFonts w:ascii="Aptos Narrow" w:eastAsia="Times New Roman" w:hAnsi="Aptos Narrow" w:cs="Times New Roman"/>
                <w:b/>
                <w:bCs/>
                <w:color w:val="000000"/>
                <w:kern w:val="0"/>
                <w:lang w:eastAsia="en-GB"/>
                <w14:ligatures w14:val="none"/>
              </w:rPr>
            </w:pPr>
            <w:r w:rsidRPr="00456EB9">
              <w:rPr>
                <w:rFonts w:ascii="Aptos Narrow" w:eastAsia="Times New Roman" w:hAnsi="Aptos Narrow" w:cs="Times New Roman"/>
                <w:b/>
                <w:bCs/>
                <w:color w:val="000000"/>
                <w:kern w:val="0"/>
                <w:lang w:eastAsia="en-GB"/>
                <w14:ligatures w14:val="none"/>
              </w:rPr>
              <w:t>Human</w:t>
            </w:r>
          </w:p>
        </w:tc>
        <w:tc>
          <w:tcPr>
            <w:tcW w:w="4617" w:type="dxa"/>
            <w:tcBorders>
              <w:top w:val="nil"/>
              <w:left w:val="nil"/>
              <w:bottom w:val="single" w:sz="4" w:space="0" w:color="auto"/>
              <w:right w:val="single" w:sz="4" w:space="0" w:color="auto"/>
            </w:tcBorders>
            <w:shd w:val="clear" w:color="auto" w:fill="auto"/>
            <w:vAlign w:val="bottom"/>
            <w:hideMark/>
          </w:tcPr>
          <w:p w14:paraId="60364711" w14:textId="77777777" w:rsidR="00456EB9" w:rsidRPr="00456EB9" w:rsidRDefault="00456EB9" w:rsidP="00456EB9">
            <w:pPr>
              <w:spacing w:after="0" w:line="240" w:lineRule="auto"/>
              <w:rPr>
                <w:rFonts w:ascii="Aptos Narrow" w:eastAsia="Times New Roman" w:hAnsi="Aptos Narrow" w:cs="Times New Roman"/>
                <w:color w:val="000000"/>
                <w:kern w:val="0"/>
                <w:lang w:eastAsia="en-GB"/>
                <w14:ligatures w14:val="none"/>
              </w:rPr>
            </w:pPr>
            <w:r w:rsidRPr="00456EB9">
              <w:rPr>
                <w:rFonts w:ascii="Aptos Narrow" w:eastAsia="Times New Roman" w:hAnsi="Aptos Narrow" w:cs="Times New Roman"/>
                <w:color w:val="000000"/>
                <w:kern w:val="0"/>
                <w:lang w:eastAsia="en-GB"/>
                <w14:ligatures w14:val="none"/>
              </w:rPr>
              <w:t xml:space="preserve">Whit a talented team of over 20000 </w:t>
            </w:r>
            <w:proofErr w:type="spellStart"/>
            <w:proofErr w:type="gramStart"/>
            <w:r w:rsidRPr="00456EB9">
              <w:rPr>
                <w:rFonts w:ascii="Aptos Narrow" w:eastAsia="Times New Roman" w:hAnsi="Aptos Narrow" w:cs="Times New Roman"/>
                <w:color w:val="000000"/>
                <w:kern w:val="0"/>
                <w:lang w:eastAsia="en-GB"/>
                <w14:ligatures w14:val="none"/>
              </w:rPr>
              <w:t>collegues,including</w:t>
            </w:r>
            <w:proofErr w:type="spellEnd"/>
            <w:proofErr w:type="gramEnd"/>
            <w:r w:rsidRPr="00456EB9">
              <w:rPr>
                <w:rFonts w:ascii="Aptos Narrow" w:eastAsia="Times New Roman" w:hAnsi="Aptos Narrow" w:cs="Times New Roman"/>
                <w:color w:val="000000"/>
                <w:kern w:val="0"/>
                <w:lang w:eastAsia="en-GB"/>
                <w14:ligatures w14:val="none"/>
              </w:rPr>
              <w:t xml:space="preserve"> skilled </w:t>
            </w:r>
            <w:proofErr w:type="spellStart"/>
            <w:r w:rsidRPr="00456EB9">
              <w:rPr>
                <w:rFonts w:ascii="Aptos Narrow" w:eastAsia="Times New Roman" w:hAnsi="Aptos Narrow" w:cs="Times New Roman"/>
                <w:color w:val="000000"/>
                <w:kern w:val="0"/>
                <w:lang w:eastAsia="en-GB"/>
                <w14:ligatures w14:val="none"/>
              </w:rPr>
              <w:t>engeniers,Centrica</w:t>
            </w:r>
            <w:proofErr w:type="spellEnd"/>
            <w:r w:rsidRPr="00456EB9">
              <w:rPr>
                <w:rFonts w:ascii="Aptos Narrow" w:eastAsia="Times New Roman" w:hAnsi="Aptos Narrow" w:cs="Times New Roman"/>
                <w:color w:val="000000"/>
                <w:kern w:val="0"/>
                <w:lang w:eastAsia="en-GB"/>
                <w14:ligatures w14:val="none"/>
              </w:rPr>
              <w:t xml:space="preserve"> possesses the expertise and capability to navigate complex energy markets and deliver sustainable </w:t>
            </w:r>
            <w:proofErr w:type="spellStart"/>
            <w:r w:rsidRPr="00456EB9">
              <w:rPr>
                <w:rFonts w:ascii="Aptos Narrow" w:eastAsia="Times New Roman" w:hAnsi="Aptos Narrow" w:cs="Times New Roman"/>
                <w:color w:val="000000"/>
                <w:kern w:val="0"/>
                <w:lang w:eastAsia="en-GB"/>
                <w14:ligatures w14:val="none"/>
              </w:rPr>
              <w:t>salutions</w:t>
            </w:r>
            <w:proofErr w:type="spellEnd"/>
            <w:r w:rsidRPr="00456EB9">
              <w:rPr>
                <w:rFonts w:ascii="Aptos Narrow" w:eastAsia="Times New Roman" w:hAnsi="Aptos Narrow" w:cs="Times New Roman"/>
                <w:color w:val="000000"/>
                <w:kern w:val="0"/>
                <w:lang w:eastAsia="en-GB"/>
                <w14:ligatures w14:val="none"/>
              </w:rPr>
              <w:t>.</w:t>
            </w:r>
          </w:p>
        </w:tc>
      </w:tr>
    </w:tbl>
    <w:p w14:paraId="5A4DBAE7" w14:textId="77777777" w:rsidR="00456EB9" w:rsidRDefault="00456EB9" w:rsidP="00985241">
      <w:pPr>
        <w:spacing w:after="120" w:line="360" w:lineRule="auto"/>
        <w:jc w:val="both"/>
        <w:rPr>
          <w:rFonts w:asciiTheme="majorHAnsi" w:hAnsiTheme="majorHAnsi" w:cs="Calibri"/>
          <w:color w:val="0B769F" w:themeColor="accent4" w:themeShade="BF"/>
        </w:rPr>
      </w:pPr>
    </w:p>
    <w:p w14:paraId="646CA902" w14:textId="77777777" w:rsidR="0095088B" w:rsidRDefault="0095088B" w:rsidP="00985241">
      <w:pPr>
        <w:spacing w:after="120" w:line="360" w:lineRule="auto"/>
        <w:jc w:val="both"/>
        <w:rPr>
          <w:rFonts w:asciiTheme="majorHAnsi" w:hAnsiTheme="majorHAnsi" w:cs="Calibri"/>
          <w:color w:val="0B769F" w:themeColor="accent4" w:themeShade="BF"/>
        </w:rPr>
      </w:pPr>
    </w:p>
    <w:p w14:paraId="54113EF5" w14:textId="2218329E" w:rsidR="007F4619" w:rsidRPr="00B11EE2" w:rsidRDefault="007F4619" w:rsidP="0095088B">
      <w:pPr>
        <w:spacing w:after="120" w:line="360" w:lineRule="auto"/>
        <w:ind w:firstLine="720"/>
        <w:jc w:val="both"/>
        <w:rPr>
          <w:rFonts w:cs="Calibri"/>
          <w:b/>
          <w:bCs/>
          <w:u w:val="single"/>
        </w:rPr>
      </w:pPr>
      <w:r w:rsidRPr="00B11EE2">
        <w:rPr>
          <w:rFonts w:cs="Calibri"/>
          <w:b/>
          <w:bCs/>
          <w:u w:val="single"/>
        </w:rPr>
        <w:t>Table 3</w:t>
      </w:r>
    </w:p>
    <w:tbl>
      <w:tblPr>
        <w:tblW w:w="9241" w:type="dxa"/>
        <w:tblLook w:val="04A0" w:firstRow="1" w:lastRow="0" w:firstColumn="1" w:lastColumn="0" w:noHBand="0" w:noVBand="1"/>
      </w:tblPr>
      <w:tblGrid>
        <w:gridCol w:w="1061"/>
        <w:gridCol w:w="667"/>
        <w:gridCol w:w="1194"/>
        <w:gridCol w:w="2688"/>
        <w:gridCol w:w="3910"/>
      </w:tblGrid>
      <w:tr w:rsidR="007F4619" w:rsidRPr="00F9150C" w14:paraId="46029303" w14:textId="77777777" w:rsidTr="002B08E2">
        <w:trPr>
          <w:trHeight w:val="285"/>
        </w:trPr>
        <w:tc>
          <w:tcPr>
            <w:tcW w:w="9241" w:type="dxa"/>
            <w:gridSpan w:val="5"/>
            <w:tcBorders>
              <w:top w:val="single" w:sz="4" w:space="0" w:color="auto"/>
              <w:left w:val="single" w:sz="4" w:space="0" w:color="auto"/>
              <w:bottom w:val="single" w:sz="4" w:space="0" w:color="auto"/>
              <w:right w:val="single" w:sz="4" w:space="0" w:color="000000"/>
            </w:tcBorders>
            <w:shd w:val="clear" w:color="000000" w:fill="CAEDFB"/>
            <w:noWrap/>
            <w:vAlign w:val="bottom"/>
            <w:hideMark/>
          </w:tcPr>
          <w:p w14:paraId="00E0AABC" w14:textId="77777777" w:rsidR="007F4619" w:rsidRPr="00F9150C" w:rsidRDefault="007F4619" w:rsidP="002B08E2">
            <w:pPr>
              <w:spacing w:after="0" w:line="240" w:lineRule="auto"/>
              <w:jc w:val="center"/>
              <w:rPr>
                <w:rFonts w:ascii="Aptos Narrow" w:eastAsia="Times New Roman" w:hAnsi="Aptos Narrow" w:cs="Times New Roman"/>
                <w:color w:val="000000"/>
                <w:kern w:val="0"/>
                <w:lang w:eastAsia="en-GB"/>
                <w14:ligatures w14:val="none"/>
              </w:rPr>
            </w:pPr>
            <w:r w:rsidRPr="00F9150C">
              <w:rPr>
                <w:rFonts w:ascii="Aptos Narrow" w:eastAsia="Times New Roman" w:hAnsi="Aptos Narrow" w:cs="Times New Roman"/>
                <w:color w:val="000000"/>
                <w:kern w:val="0"/>
                <w:lang w:eastAsia="en-GB"/>
                <w14:ligatures w14:val="none"/>
              </w:rPr>
              <w:t xml:space="preserve">Is the capability </w:t>
            </w:r>
          </w:p>
        </w:tc>
      </w:tr>
      <w:tr w:rsidR="007F4619" w:rsidRPr="00F9150C" w14:paraId="2A1F47B4" w14:textId="77777777" w:rsidTr="002B08E2">
        <w:trPr>
          <w:trHeight w:val="285"/>
        </w:trPr>
        <w:tc>
          <w:tcPr>
            <w:tcW w:w="978" w:type="dxa"/>
            <w:tcBorders>
              <w:top w:val="nil"/>
              <w:left w:val="single" w:sz="4" w:space="0" w:color="auto"/>
              <w:bottom w:val="single" w:sz="4" w:space="0" w:color="auto"/>
              <w:right w:val="single" w:sz="4" w:space="0" w:color="auto"/>
            </w:tcBorders>
            <w:shd w:val="clear" w:color="000000" w:fill="CAEDFB"/>
            <w:noWrap/>
            <w:vAlign w:val="bottom"/>
            <w:hideMark/>
          </w:tcPr>
          <w:p w14:paraId="6BCEB414" w14:textId="77777777" w:rsidR="007F4619" w:rsidRPr="00F9150C" w:rsidRDefault="007F4619" w:rsidP="002B08E2">
            <w:pPr>
              <w:spacing w:after="0" w:line="240" w:lineRule="auto"/>
              <w:rPr>
                <w:rFonts w:ascii="Aptos Narrow" w:eastAsia="Times New Roman" w:hAnsi="Aptos Narrow" w:cs="Times New Roman"/>
                <w:color w:val="000000"/>
                <w:kern w:val="0"/>
                <w:lang w:eastAsia="en-GB"/>
                <w14:ligatures w14:val="none"/>
              </w:rPr>
            </w:pPr>
            <w:r w:rsidRPr="00F9150C">
              <w:rPr>
                <w:rFonts w:ascii="Aptos Narrow" w:eastAsia="Times New Roman" w:hAnsi="Aptos Narrow" w:cs="Times New Roman"/>
                <w:color w:val="000000"/>
                <w:kern w:val="0"/>
                <w:lang w:eastAsia="en-GB"/>
                <w14:ligatures w14:val="none"/>
              </w:rPr>
              <w:t>valuable?</w:t>
            </w:r>
          </w:p>
        </w:tc>
        <w:tc>
          <w:tcPr>
            <w:tcW w:w="538" w:type="dxa"/>
            <w:tcBorders>
              <w:top w:val="nil"/>
              <w:left w:val="nil"/>
              <w:bottom w:val="single" w:sz="4" w:space="0" w:color="auto"/>
              <w:right w:val="single" w:sz="4" w:space="0" w:color="auto"/>
            </w:tcBorders>
            <w:shd w:val="clear" w:color="000000" w:fill="CAEDFB"/>
            <w:noWrap/>
            <w:vAlign w:val="bottom"/>
            <w:hideMark/>
          </w:tcPr>
          <w:p w14:paraId="73DF4E56" w14:textId="77777777" w:rsidR="007F4619" w:rsidRPr="00F9150C" w:rsidRDefault="007F4619" w:rsidP="002B08E2">
            <w:pPr>
              <w:spacing w:after="0" w:line="240" w:lineRule="auto"/>
              <w:rPr>
                <w:rFonts w:ascii="Aptos Narrow" w:eastAsia="Times New Roman" w:hAnsi="Aptos Narrow" w:cs="Times New Roman"/>
                <w:color w:val="000000"/>
                <w:kern w:val="0"/>
                <w:lang w:eastAsia="en-GB"/>
                <w14:ligatures w14:val="none"/>
              </w:rPr>
            </w:pPr>
            <w:r w:rsidRPr="00F9150C">
              <w:rPr>
                <w:rFonts w:ascii="Aptos Narrow" w:eastAsia="Times New Roman" w:hAnsi="Aptos Narrow" w:cs="Times New Roman"/>
                <w:color w:val="000000"/>
                <w:kern w:val="0"/>
                <w:lang w:eastAsia="en-GB"/>
                <w14:ligatures w14:val="none"/>
              </w:rPr>
              <w:t>rare?</w:t>
            </w:r>
          </w:p>
        </w:tc>
        <w:tc>
          <w:tcPr>
            <w:tcW w:w="1127" w:type="dxa"/>
            <w:tcBorders>
              <w:top w:val="nil"/>
              <w:left w:val="nil"/>
              <w:bottom w:val="single" w:sz="4" w:space="0" w:color="auto"/>
              <w:right w:val="single" w:sz="4" w:space="0" w:color="auto"/>
            </w:tcBorders>
            <w:shd w:val="clear" w:color="000000" w:fill="CAEDFB"/>
            <w:noWrap/>
            <w:vAlign w:val="bottom"/>
            <w:hideMark/>
          </w:tcPr>
          <w:p w14:paraId="58CD28CF" w14:textId="77777777" w:rsidR="007F4619" w:rsidRPr="00F9150C" w:rsidRDefault="007F4619" w:rsidP="002B08E2">
            <w:pPr>
              <w:spacing w:after="0" w:line="240" w:lineRule="auto"/>
              <w:rPr>
                <w:rFonts w:ascii="Aptos Narrow" w:eastAsia="Times New Roman" w:hAnsi="Aptos Narrow" w:cs="Times New Roman"/>
                <w:color w:val="000000"/>
                <w:kern w:val="0"/>
                <w:lang w:eastAsia="en-GB"/>
                <w14:ligatures w14:val="none"/>
              </w:rPr>
            </w:pPr>
            <w:r w:rsidRPr="00F9150C">
              <w:rPr>
                <w:rFonts w:ascii="Aptos Narrow" w:eastAsia="Times New Roman" w:hAnsi="Aptos Narrow" w:cs="Times New Roman"/>
                <w:color w:val="000000"/>
                <w:kern w:val="0"/>
                <w:lang w:eastAsia="en-GB"/>
                <w14:ligatures w14:val="none"/>
              </w:rPr>
              <w:t>inimitable?</w:t>
            </w:r>
          </w:p>
        </w:tc>
        <w:tc>
          <w:tcPr>
            <w:tcW w:w="2688" w:type="dxa"/>
            <w:tcBorders>
              <w:top w:val="nil"/>
              <w:left w:val="nil"/>
              <w:bottom w:val="single" w:sz="4" w:space="0" w:color="auto"/>
              <w:right w:val="single" w:sz="4" w:space="0" w:color="auto"/>
            </w:tcBorders>
            <w:shd w:val="clear" w:color="000000" w:fill="CAEDFB"/>
            <w:noWrap/>
            <w:vAlign w:val="bottom"/>
            <w:hideMark/>
          </w:tcPr>
          <w:p w14:paraId="51A378DF" w14:textId="77777777" w:rsidR="007F4619" w:rsidRPr="00F9150C" w:rsidRDefault="007F4619" w:rsidP="002B08E2">
            <w:pPr>
              <w:spacing w:after="0" w:line="240" w:lineRule="auto"/>
              <w:rPr>
                <w:rFonts w:ascii="Aptos Narrow" w:eastAsia="Times New Roman" w:hAnsi="Aptos Narrow" w:cs="Times New Roman"/>
                <w:color w:val="000000"/>
                <w:kern w:val="0"/>
                <w:lang w:eastAsia="en-GB"/>
                <w14:ligatures w14:val="none"/>
              </w:rPr>
            </w:pPr>
            <w:r w:rsidRPr="00F9150C">
              <w:rPr>
                <w:rFonts w:ascii="Aptos Narrow" w:eastAsia="Times New Roman" w:hAnsi="Aptos Narrow" w:cs="Times New Roman"/>
                <w:color w:val="000000"/>
                <w:kern w:val="0"/>
                <w:lang w:eastAsia="en-GB"/>
                <w14:ligatures w14:val="none"/>
              </w:rPr>
              <w:t>supported by organisation?</w:t>
            </w:r>
          </w:p>
        </w:tc>
        <w:tc>
          <w:tcPr>
            <w:tcW w:w="3910" w:type="dxa"/>
            <w:tcBorders>
              <w:top w:val="nil"/>
              <w:left w:val="nil"/>
              <w:bottom w:val="single" w:sz="4" w:space="0" w:color="auto"/>
              <w:right w:val="single" w:sz="4" w:space="0" w:color="auto"/>
            </w:tcBorders>
            <w:shd w:val="clear" w:color="000000" w:fill="CAEDFB"/>
            <w:noWrap/>
            <w:vAlign w:val="bottom"/>
            <w:hideMark/>
          </w:tcPr>
          <w:p w14:paraId="0760DD87" w14:textId="77777777" w:rsidR="007F4619" w:rsidRPr="00F9150C" w:rsidRDefault="007F4619" w:rsidP="002B08E2">
            <w:pPr>
              <w:spacing w:after="0" w:line="240" w:lineRule="auto"/>
              <w:rPr>
                <w:rFonts w:ascii="Aptos Narrow" w:eastAsia="Times New Roman" w:hAnsi="Aptos Narrow" w:cs="Times New Roman"/>
                <w:color w:val="000000"/>
                <w:kern w:val="0"/>
                <w:lang w:eastAsia="en-GB"/>
                <w14:ligatures w14:val="none"/>
              </w:rPr>
            </w:pPr>
            <w:r w:rsidRPr="00F9150C">
              <w:rPr>
                <w:rFonts w:ascii="Aptos Narrow" w:eastAsia="Times New Roman" w:hAnsi="Aptos Narrow" w:cs="Times New Roman"/>
                <w:color w:val="000000"/>
                <w:kern w:val="0"/>
                <w:lang w:eastAsia="en-GB"/>
                <w14:ligatures w14:val="none"/>
              </w:rPr>
              <w:t>Competitive implication</w:t>
            </w:r>
          </w:p>
        </w:tc>
      </w:tr>
      <w:tr w:rsidR="007F4619" w:rsidRPr="00F9150C" w14:paraId="5396A599" w14:textId="77777777" w:rsidTr="002B08E2">
        <w:trPr>
          <w:trHeight w:val="285"/>
        </w:trPr>
        <w:tc>
          <w:tcPr>
            <w:tcW w:w="978" w:type="dxa"/>
            <w:tcBorders>
              <w:top w:val="nil"/>
              <w:left w:val="single" w:sz="4" w:space="0" w:color="auto"/>
              <w:bottom w:val="single" w:sz="4" w:space="0" w:color="auto"/>
              <w:right w:val="single" w:sz="4" w:space="0" w:color="auto"/>
            </w:tcBorders>
            <w:shd w:val="clear" w:color="auto" w:fill="auto"/>
            <w:noWrap/>
            <w:vAlign w:val="bottom"/>
            <w:hideMark/>
          </w:tcPr>
          <w:p w14:paraId="0D0E9F0F" w14:textId="77777777" w:rsidR="007F4619" w:rsidRPr="00F9150C" w:rsidRDefault="007F4619" w:rsidP="002B08E2">
            <w:pPr>
              <w:spacing w:after="0" w:line="240" w:lineRule="auto"/>
              <w:rPr>
                <w:rFonts w:ascii="Aptos Narrow" w:eastAsia="Times New Roman" w:hAnsi="Aptos Narrow" w:cs="Times New Roman"/>
                <w:color w:val="000000"/>
                <w:kern w:val="0"/>
                <w:lang w:eastAsia="en-GB"/>
                <w14:ligatures w14:val="none"/>
              </w:rPr>
            </w:pPr>
            <w:r w:rsidRPr="00F9150C">
              <w:rPr>
                <w:rFonts w:ascii="Aptos Narrow" w:eastAsia="Times New Roman" w:hAnsi="Aptos Narrow" w:cs="Times New Roman"/>
                <w:color w:val="000000"/>
                <w:kern w:val="0"/>
                <w:lang w:eastAsia="en-GB"/>
                <w14:ligatures w14:val="none"/>
              </w:rPr>
              <w:t>Yes</w:t>
            </w:r>
          </w:p>
        </w:tc>
        <w:tc>
          <w:tcPr>
            <w:tcW w:w="538" w:type="dxa"/>
            <w:tcBorders>
              <w:top w:val="nil"/>
              <w:left w:val="nil"/>
              <w:bottom w:val="single" w:sz="4" w:space="0" w:color="auto"/>
              <w:right w:val="single" w:sz="4" w:space="0" w:color="auto"/>
            </w:tcBorders>
            <w:shd w:val="clear" w:color="auto" w:fill="auto"/>
            <w:noWrap/>
            <w:vAlign w:val="bottom"/>
            <w:hideMark/>
          </w:tcPr>
          <w:p w14:paraId="04F8ADB0" w14:textId="77777777" w:rsidR="007F4619" w:rsidRPr="00F9150C" w:rsidRDefault="007F4619" w:rsidP="002B08E2">
            <w:pPr>
              <w:spacing w:after="0" w:line="240" w:lineRule="auto"/>
              <w:rPr>
                <w:rFonts w:ascii="Aptos Narrow" w:eastAsia="Times New Roman" w:hAnsi="Aptos Narrow" w:cs="Times New Roman"/>
                <w:color w:val="000000"/>
                <w:kern w:val="0"/>
                <w:lang w:eastAsia="en-GB"/>
                <w14:ligatures w14:val="none"/>
              </w:rPr>
            </w:pPr>
            <w:r w:rsidRPr="00F9150C">
              <w:rPr>
                <w:rFonts w:ascii="Aptos Narrow" w:eastAsia="Times New Roman" w:hAnsi="Aptos Narrow" w:cs="Times New Roman"/>
                <w:color w:val="000000"/>
                <w:kern w:val="0"/>
                <w:lang w:eastAsia="en-GB"/>
                <w14:ligatures w14:val="none"/>
              </w:rPr>
              <w:t>Yes</w:t>
            </w:r>
          </w:p>
        </w:tc>
        <w:tc>
          <w:tcPr>
            <w:tcW w:w="1127" w:type="dxa"/>
            <w:tcBorders>
              <w:top w:val="nil"/>
              <w:left w:val="nil"/>
              <w:bottom w:val="single" w:sz="4" w:space="0" w:color="auto"/>
              <w:right w:val="single" w:sz="4" w:space="0" w:color="auto"/>
            </w:tcBorders>
            <w:shd w:val="clear" w:color="auto" w:fill="auto"/>
            <w:noWrap/>
            <w:vAlign w:val="bottom"/>
            <w:hideMark/>
          </w:tcPr>
          <w:p w14:paraId="532BE4FF" w14:textId="77777777" w:rsidR="007F4619" w:rsidRPr="00F9150C" w:rsidRDefault="007F4619" w:rsidP="002B08E2">
            <w:pPr>
              <w:spacing w:after="0" w:line="240" w:lineRule="auto"/>
              <w:rPr>
                <w:rFonts w:ascii="Aptos Narrow" w:eastAsia="Times New Roman" w:hAnsi="Aptos Narrow" w:cs="Times New Roman"/>
                <w:color w:val="000000"/>
                <w:kern w:val="0"/>
                <w:lang w:eastAsia="en-GB"/>
                <w14:ligatures w14:val="none"/>
              </w:rPr>
            </w:pPr>
            <w:r w:rsidRPr="00F9150C">
              <w:rPr>
                <w:rFonts w:ascii="Aptos Narrow" w:eastAsia="Times New Roman" w:hAnsi="Aptos Narrow" w:cs="Times New Roman"/>
                <w:color w:val="000000"/>
                <w:kern w:val="0"/>
                <w:lang w:eastAsia="en-GB"/>
                <w14:ligatures w14:val="none"/>
              </w:rPr>
              <w:t>No</w:t>
            </w:r>
          </w:p>
        </w:tc>
        <w:tc>
          <w:tcPr>
            <w:tcW w:w="2688" w:type="dxa"/>
            <w:tcBorders>
              <w:top w:val="nil"/>
              <w:left w:val="nil"/>
              <w:bottom w:val="single" w:sz="4" w:space="0" w:color="auto"/>
              <w:right w:val="single" w:sz="4" w:space="0" w:color="auto"/>
            </w:tcBorders>
            <w:shd w:val="clear" w:color="auto" w:fill="auto"/>
            <w:noWrap/>
            <w:vAlign w:val="bottom"/>
            <w:hideMark/>
          </w:tcPr>
          <w:p w14:paraId="55FCDCFB" w14:textId="77777777" w:rsidR="007F4619" w:rsidRPr="00F9150C" w:rsidRDefault="007F4619" w:rsidP="002B08E2">
            <w:pPr>
              <w:spacing w:after="0" w:line="240" w:lineRule="auto"/>
              <w:rPr>
                <w:rFonts w:ascii="Aptos Narrow" w:eastAsia="Times New Roman" w:hAnsi="Aptos Narrow" w:cs="Times New Roman"/>
                <w:color w:val="000000"/>
                <w:kern w:val="0"/>
                <w:lang w:eastAsia="en-GB"/>
                <w14:ligatures w14:val="none"/>
              </w:rPr>
            </w:pPr>
            <w:r w:rsidRPr="00F9150C">
              <w:rPr>
                <w:rFonts w:ascii="Aptos Narrow" w:eastAsia="Times New Roman" w:hAnsi="Aptos Narrow" w:cs="Times New Roman"/>
                <w:color w:val="000000"/>
                <w:kern w:val="0"/>
                <w:lang w:eastAsia="en-GB"/>
                <w14:ligatures w14:val="none"/>
              </w:rPr>
              <w:t>Yes</w:t>
            </w:r>
          </w:p>
        </w:tc>
        <w:tc>
          <w:tcPr>
            <w:tcW w:w="3910" w:type="dxa"/>
            <w:tcBorders>
              <w:top w:val="nil"/>
              <w:left w:val="nil"/>
              <w:bottom w:val="single" w:sz="4" w:space="0" w:color="auto"/>
              <w:right w:val="single" w:sz="4" w:space="0" w:color="auto"/>
            </w:tcBorders>
            <w:shd w:val="clear" w:color="auto" w:fill="auto"/>
            <w:noWrap/>
            <w:vAlign w:val="bottom"/>
            <w:hideMark/>
          </w:tcPr>
          <w:p w14:paraId="60B67AEC" w14:textId="77777777" w:rsidR="007F4619" w:rsidRPr="00F9150C" w:rsidRDefault="007F4619" w:rsidP="002B08E2">
            <w:pPr>
              <w:spacing w:after="0" w:line="240" w:lineRule="auto"/>
              <w:rPr>
                <w:rFonts w:ascii="Aptos Narrow" w:eastAsia="Times New Roman" w:hAnsi="Aptos Narrow" w:cs="Times New Roman"/>
                <w:color w:val="000000"/>
                <w:kern w:val="0"/>
                <w:lang w:eastAsia="en-GB"/>
                <w14:ligatures w14:val="none"/>
              </w:rPr>
            </w:pPr>
            <w:r w:rsidRPr="00F9150C">
              <w:rPr>
                <w:rFonts w:ascii="Aptos Narrow" w:eastAsia="Times New Roman" w:hAnsi="Aptos Narrow" w:cs="Times New Roman"/>
                <w:color w:val="000000"/>
                <w:kern w:val="0"/>
                <w:lang w:eastAsia="en-GB"/>
                <w14:ligatures w14:val="none"/>
              </w:rPr>
              <w:t>brand reputation</w:t>
            </w:r>
          </w:p>
        </w:tc>
      </w:tr>
      <w:tr w:rsidR="007F4619" w:rsidRPr="00F9150C" w14:paraId="12FDA15F" w14:textId="77777777" w:rsidTr="002B08E2">
        <w:trPr>
          <w:trHeight w:val="285"/>
        </w:trPr>
        <w:tc>
          <w:tcPr>
            <w:tcW w:w="978" w:type="dxa"/>
            <w:tcBorders>
              <w:top w:val="nil"/>
              <w:left w:val="single" w:sz="4" w:space="0" w:color="auto"/>
              <w:bottom w:val="single" w:sz="4" w:space="0" w:color="auto"/>
              <w:right w:val="single" w:sz="4" w:space="0" w:color="auto"/>
            </w:tcBorders>
            <w:shd w:val="clear" w:color="auto" w:fill="auto"/>
            <w:noWrap/>
            <w:vAlign w:val="bottom"/>
            <w:hideMark/>
          </w:tcPr>
          <w:p w14:paraId="555BADB5" w14:textId="77777777" w:rsidR="007F4619" w:rsidRPr="00F9150C" w:rsidRDefault="007F4619" w:rsidP="002B08E2">
            <w:pPr>
              <w:spacing w:after="0" w:line="240" w:lineRule="auto"/>
              <w:rPr>
                <w:rFonts w:ascii="Aptos Narrow" w:eastAsia="Times New Roman" w:hAnsi="Aptos Narrow" w:cs="Times New Roman"/>
                <w:color w:val="000000"/>
                <w:kern w:val="0"/>
                <w:lang w:eastAsia="en-GB"/>
                <w14:ligatures w14:val="none"/>
              </w:rPr>
            </w:pPr>
            <w:r w:rsidRPr="00F9150C">
              <w:rPr>
                <w:rFonts w:ascii="Aptos Narrow" w:eastAsia="Times New Roman" w:hAnsi="Aptos Narrow" w:cs="Times New Roman"/>
                <w:color w:val="000000"/>
                <w:kern w:val="0"/>
                <w:lang w:eastAsia="en-GB"/>
                <w14:ligatures w14:val="none"/>
              </w:rPr>
              <w:t>Yes</w:t>
            </w:r>
          </w:p>
        </w:tc>
        <w:tc>
          <w:tcPr>
            <w:tcW w:w="538" w:type="dxa"/>
            <w:tcBorders>
              <w:top w:val="nil"/>
              <w:left w:val="nil"/>
              <w:bottom w:val="single" w:sz="4" w:space="0" w:color="auto"/>
              <w:right w:val="single" w:sz="4" w:space="0" w:color="auto"/>
            </w:tcBorders>
            <w:shd w:val="clear" w:color="auto" w:fill="auto"/>
            <w:noWrap/>
            <w:vAlign w:val="bottom"/>
            <w:hideMark/>
          </w:tcPr>
          <w:p w14:paraId="3923CB67" w14:textId="77777777" w:rsidR="007F4619" w:rsidRPr="00F9150C" w:rsidRDefault="007F4619" w:rsidP="002B08E2">
            <w:pPr>
              <w:spacing w:after="0" w:line="240" w:lineRule="auto"/>
              <w:rPr>
                <w:rFonts w:ascii="Aptos Narrow" w:eastAsia="Times New Roman" w:hAnsi="Aptos Narrow" w:cs="Times New Roman"/>
                <w:color w:val="000000"/>
                <w:kern w:val="0"/>
                <w:lang w:eastAsia="en-GB"/>
                <w14:ligatures w14:val="none"/>
              </w:rPr>
            </w:pPr>
            <w:r w:rsidRPr="00F9150C">
              <w:rPr>
                <w:rFonts w:ascii="Aptos Narrow" w:eastAsia="Times New Roman" w:hAnsi="Aptos Narrow" w:cs="Times New Roman"/>
                <w:color w:val="000000"/>
                <w:kern w:val="0"/>
                <w:lang w:eastAsia="en-GB"/>
                <w14:ligatures w14:val="none"/>
              </w:rPr>
              <w:t>Yes</w:t>
            </w:r>
          </w:p>
        </w:tc>
        <w:tc>
          <w:tcPr>
            <w:tcW w:w="1127" w:type="dxa"/>
            <w:tcBorders>
              <w:top w:val="nil"/>
              <w:left w:val="nil"/>
              <w:bottom w:val="single" w:sz="4" w:space="0" w:color="auto"/>
              <w:right w:val="single" w:sz="4" w:space="0" w:color="auto"/>
            </w:tcBorders>
            <w:shd w:val="clear" w:color="auto" w:fill="auto"/>
            <w:noWrap/>
            <w:vAlign w:val="bottom"/>
            <w:hideMark/>
          </w:tcPr>
          <w:p w14:paraId="2D3EEF4F" w14:textId="77777777" w:rsidR="007F4619" w:rsidRPr="00F9150C" w:rsidRDefault="007F4619" w:rsidP="002B08E2">
            <w:pPr>
              <w:spacing w:after="0" w:line="240" w:lineRule="auto"/>
              <w:rPr>
                <w:rFonts w:ascii="Aptos Narrow" w:eastAsia="Times New Roman" w:hAnsi="Aptos Narrow" w:cs="Times New Roman"/>
                <w:color w:val="000000"/>
                <w:kern w:val="0"/>
                <w:lang w:eastAsia="en-GB"/>
                <w14:ligatures w14:val="none"/>
              </w:rPr>
            </w:pPr>
            <w:r w:rsidRPr="00F9150C">
              <w:rPr>
                <w:rFonts w:ascii="Aptos Narrow" w:eastAsia="Times New Roman" w:hAnsi="Aptos Narrow" w:cs="Times New Roman"/>
                <w:color w:val="000000"/>
                <w:kern w:val="0"/>
                <w:lang w:eastAsia="en-GB"/>
                <w14:ligatures w14:val="none"/>
              </w:rPr>
              <w:t>No</w:t>
            </w:r>
          </w:p>
        </w:tc>
        <w:tc>
          <w:tcPr>
            <w:tcW w:w="2688" w:type="dxa"/>
            <w:tcBorders>
              <w:top w:val="nil"/>
              <w:left w:val="nil"/>
              <w:bottom w:val="single" w:sz="4" w:space="0" w:color="auto"/>
              <w:right w:val="single" w:sz="4" w:space="0" w:color="auto"/>
            </w:tcBorders>
            <w:shd w:val="clear" w:color="auto" w:fill="auto"/>
            <w:noWrap/>
            <w:vAlign w:val="bottom"/>
            <w:hideMark/>
          </w:tcPr>
          <w:p w14:paraId="626F68B6" w14:textId="77777777" w:rsidR="007F4619" w:rsidRPr="00F9150C" w:rsidRDefault="007F4619" w:rsidP="002B08E2">
            <w:pPr>
              <w:spacing w:after="0" w:line="240" w:lineRule="auto"/>
              <w:rPr>
                <w:rFonts w:ascii="Aptos Narrow" w:eastAsia="Times New Roman" w:hAnsi="Aptos Narrow" w:cs="Times New Roman"/>
                <w:color w:val="000000"/>
                <w:kern w:val="0"/>
                <w:lang w:eastAsia="en-GB"/>
                <w14:ligatures w14:val="none"/>
              </w:rPr>
            </w:pPr>
            <w:r w:rsidRPr="00F9150C">
              <w:rPr>
                <w:rFonts w:ascii="Aptos Narrow" w:eastAsia="Times New Roman" w:hAnsi="Aptos Narrow" w:cs="Times New Roman"/>
                <w:color w:val="000000"/>
                <w:kern w:val="0"/>
                <w:lang w:eastAsia="en-GB"/>
                <w14:ligatures w14:val="none"/>
              </w:rPr>
              <w:t>Yes</w:t>
            </w:r>
          </w:p>
        </w:tc>
        <w:tc>
          <w:tcPr>
            <w:tcW w:w="3910" w:type="dxa"/>
            <w:tcBorders>
              <w:top w:val="nil"/>
              <w:left w:val="nil"/>
              <w:bottom w:val="single" w:sz="4" w:space="0" w:color="auto"/>
              <w:right w:val="single" w:sz="4" w:space="0" w:color="auto"/>
            </w:tcBorders>
            <w:shd w:val="clear" w:color="auto" w:fill="auto"/>
            <w:noWrap/>
            <w:vAlign w:val="bottom"/>
            <w:hideMark/>
          </w:tcPr>
          <w:p w14:paraId="6711051A" w14:textId="77777777" w:rsidR="007F4619" w:rsidRPr="00F9150C" w:rsidRDefault="007F4619" w:rsidP="002B08E2">
            <w:pPr>
              <w:spacing w:after="0" w:line="240" w:lineRule="auto"/>
              <w:rPr>
                <w:rFonts w:ascii="Aptos Narrow" w:eastAsia="Times New Roman" w:hAnsi="Aptos Narrow" w:cs="Times New Roman"/>
                <w:color w:val="000000"/>
                <w:kern w:val="0"/>
                <w:lang w:eastAsia="en-GB"/>
                <w14:ligatures w14:val="none"/>
              </w:rPr>
            </w:pPr>
            <w:r w:rsidRPr="00F9150C">
              <w:rPr>
                <w:rFonts w:ascii="Aptos Narrow" w:eastAsia="Times New Roman" w:hAnsi="Aptos Narrow" w:cs="Times New Roman"/>
                <w:color w:val="000000"/>
                <w:kern w:val="0"/>
                <w:lang w:eastAsia="en-GB"/>
                <w14:ligatures w14:val="none"/>
              </w:rPr>
              <w:t>integrated energy business model</w:t>
            </w:r>
          </w:p>
        </w:tc>
      </w:tr>
      <w:tr w:rsidR="007F4619" w:rsidRPr="00F9150C" w14:paraId="4C399297" w14:textId="77777777" w:rsidTr="002B08E2">
        <w:trPr>
          <w:trHeight w:val="285"/>
        </w:trPr>
        <w:tc>
          <w:tcPr>
            <w:tcW w:w="978" w:type="dxa"/>
            <w:tcBorders>
              <w:top w:val="nil"/>
              <w:left w:val="single" w:sz="4" w:space="0" w:color="auto"/>
              <w:bottom w:val="single" w:sz="4" w:space="0" w:color="auto"/>
              <w:right w:val="single" w:sz="4" w:space="0" w:color="auto"/>
            </w:tcBorders>
            <w:shd w:val="clear" w:color="auto" w:fill="auto"/>
            <w:noWrap/>
            <w:vAlign w:val="bottom"/>
            <w:hideMark/>
          </w:tcPr>
          <w:p w14:paraId="272474B5" w14:textId="77777777" w:rsidR="007F4619" w:rsidRPr="00F9150C" w:rsidRDefault="007F4619" w:rsidP="002B08E2">
            <w:pPr>
              <w:spacing w:after="0" w:line="240" w:lineRule="auto"/>
              <w:rPr>
                <w:rFonts w:ascii="Aptos Narrow" w:eastAsia="Times New Roman" w:hAnsi="Aptos Narrow" w:cs="Times New Roman"/>
                <w:color w:val="000000"/>
                <w:kern w:val="0"/>
                <w:lang w:eastAsia="en-GB"/>
                <w14:ligatures w14:val="none"/>
              </w:rPr>
            </w:pPr>
            <w:r w:rsidRPr="00F9150C">
              <w:rPr>
                <w:rFonts w:ascii="Aptos Narrow" w:eastAsia="Times New Roman" w:hAnsi="Aptos Narrow" w:cs="Times New Roman"/>
                <w:color w:val="000000"/>
                <w:kern w:val="0"/>
                <w:lang w:eastAsia="en-GB"/>
                <w14:ligatures w14:val="none"/>
              </w:rPr>
              <w:t>Yes</w:t>
            </w:r>
          </w:p>
        </w:tc>
        <w:tc>
          <w:tcPr>
            <w:tcW w:w="538" w:type="dxa"/>
            <w:tcBorders>
              <w:top w:val="nil"/>
              <w:left w:val="nil"/>
              <w:bottom w:val="single" w:sz="4" w:space="0" w:color="auto"/>
              <w:right w:val="single" w:sz="4" w:space="0" w:color="auto"/>
            </w:tcBorders>
            <w:shd w:val="clear" w:color="auto" w:fill="auto"/>
            <w:noWrap/>
            <w:vAlign w:val="bottom"/>
            <w:hideMark/>
          </w:tcPr>
          <w:p w14:paraId="3C9E0A43" w14:textId="77777777" w:rsidR="007F4619" w:rsidRPr="00F9150C" w:rsidRDefault="007F4619" w:rsidP="002B08E2">
            <w:pPr>
              <w:spacing w:after="0" w:line="240" w:lineRule="auto"/>
              <w:rPr>
                <w:rFonts w:ascii="Aptos Narrow" w:eastAsia="Times New Roman" w:hAnsi="Aptos Narrow" w:cs="Times New Roman"/>
                <w:color w:val="000000"/>
                <w:kern w:val="0"/>
                <w:lang w:eastAsia="en-GB"/>
                <w14:ligatures w14:val="none"/>
              </w:rPr>
            </w:pPr>
            <w:r w:rsidRPr="00F9150C">
              <w:rPr>
                <w:rFonts w:ascii="Aptos Narrow" w:eastAsia="Times New Roman" w:hAnsi="Aptos Narrow" w:cs="Times New Roman"/>
                <w:color w:val="000000"/>
                <w:kern w:val="0"/>
                <w:lang w:eastAsia="en-GB"/>
                <w14:ligatures w14:val="none"/>
              </w:rPr>
              <w:t>No</w:t>
            </w:r>
          </w:p>
        </w:tc>
        <w:tc>
          <w:tcPr>
            <w:tcW w:w="1127" w:type="dxa"/>
            <w:tcBorders>
              <w:top w:val="nil"/>
              <w:left w:val="nil"/>
              <w:bottom w:val="single" w:sz="4" w:space="0" w:color="auto"/>
              <w:right w:val="single" w:sz="4" w:space="0" w:color="auto"/>
            </w:tcBorders>
            <w:shd w:val="clear" w:color="auto" w:fill="auto"/>
            <w:noWrap/>
            <w:vAlign w:val="bottom"/>
            <w:hideMark/>
          </w:tcPr>
          <w:p w14:paraId="15FC8342" w14:textId="77777777" w:rsidR="007F4619" w:rsidRPr="00F9150C" w:rsidRDefault="007F4619" w:rsidP="002B08E2">
            <w:pPr>
              <w:spacing w:after="0" w:line="240" w:lineRule="auto"/>
              <w:rPr>
                <w:rFonts w:ascii="Aptos Narrow" w:eastAsia="Times New Roman" w:hAnsi="Aptos Narrow" w:cs="Times New Roman"/>
                <w:color w:val="000000"/>
                <w:kern w:val="0"/>
                <w:lang w:eastAsia="en-GB"/>
                <w14:ligatures w14:val="none"/>
              </w:rPr>
            </w:pPr>
            <w:r w:rsidRPr="00F9150C">
              <w:rPr>
                <w:rFonts w:ascii="Aptos Narrow" w:eastAsia="Times New Roman" w:hAnsi="Aptos Narrow" w:cs="Times New Roman"/>
                <w:color w:val="000000"/>
                <w:kern w:val="0"/>
                <w:lang w:eastAsia="en-GB"/>
                <w14:ligatures w14:val="none"/>
              </w:rPr>
              <w:t>No</w:t>
            </w:r>
          </w:p>
        </w:tc>
        <w:tc>
          <w:tcPr>
            <w:tcW w:w="2688" w:type="dxa"/>
            <w:tcBorders>
              <w:top w:val="nil"/>
              <w:left w:val="nil"/>
              <w:bottom w:val="single" w:sz="4" w:space="0" w:color="auto"/>
              <w:right w:val="single" w:sz="4" w:space="0" w:color="auto"/>
            </w:tcBorders>
            <w:shd w:val="clear" w:color="auto" w:fill="auto"/>
            <w:noWrap/>
            <w:vAlign w:val="bottom"/>
            <w:hideMark/>
          </w:tcPr>
          <w:p w14:paraId="1344496E" w14:textId="77777777" w:rsidR="007F4619" w:rsidRPr="00F9150C" w:rsidRDefault="007F4619" w:rsidP="002B08E2">
            <w:pPr>
              <w:spacing w:after="0" w:line="240" w:lineRule="auto"/>
              <w:rPr>
                <w:rFonts w:ascii="Aptos Narrow" w:eastAsia="Times New Roman" w:hAnsi="Aptos Narrow" w:cs="Times New Roman"/>
                <w:color w:val="000000"/>
                <w:kern w:val="0"/>
                <w:lang w:eastAsia="en-GB"/>
                <w14:ligatures w14:val="none"/>
              </w:rPr>
            </w:pPr>
            <w:r w:rsidRPr="00F9150C">
              <w:rPr>
                <w:rFonts w:ascii="Aptos Narrow" w:eastAsia="Times New Roman" w:hAnsi="Aptos Narrow" w:cs="Times New Roman"/>
                <w:color w:val="000000"/>
                <w:kern w:val="0"/>
                <w:lang w:eastAsia="en-GB"/>
                <w14:ligatures w14:val="none"/>
              </w:rPr>
              <w:t>Yes</w:t>
            </w:r>
          </w:p>
        </w:tc>
        <w:tc>
          <w:tcPr>
            <w:tcW w:w="3910" w:type="dxa"/>
            <w:tcBorders>
              <w:top w:val="nil"/>
              <w:left w:val="nil"/>
              <w:bottom w:val="single" w:sz="4" w:space="0" w:color="auto"/>
              <w:right w:val="single" w:sz="4" w:space="0" w:color="auto"/>
            </w:tcBorders>
            <w:shd w:val="clear" w:color="auto" w:fill="auto"/>
            <w:noWrap/>
            <w:vAlign w:val="bottom"/>
            <w:hideMark/>
          </w:tcPr>
          <w:p w14:paraId="3DC1BB41" w14:textId="77777777" w:rsidR="007F4619" w:rsidRPr="00F9150C" w:rsidRDefault="007F4619" w:rsidP="002B08E2">
            <w:pPr>
              <w:spacing w:after="0" w:line="240" w:lineRule="auto"/>
              <w:rPr>
                <w:rFonts w:ascii="Aptos Narrow" w:eastAsia="Times New Roman" w:hAnsi="Aptos Narrow" w:cs="Times New Roman"/>
                <w:color w:val="000000"/>
                <w:kern w:val="0"/>
                <w:lang w:eastAsia="en-GB"/>
                <w14:ligatures w14:val="none"/>
              </w:rPr>
            </w:pPr>
            <w:proofErr w:type="spellStart"/>
            <w:r w:rsidRPr="00F9150C">
              <w:rPr>
                <w:rFonts w:ascii="Aptos Narrow" w:eastAsia="Times New Roman" w:hAnsi="Aptos Narrow" w:cs="Times New Roman"/>
                <w:color w:val="000000"/>
                <w:kern w:val="0"/>
                <w:lang w:eastAsia="en-GB"/>
                <w14:ligatures w14:val="none"/>
              </w:rPr>
              <w:t>inovation</w:t>
            </w:r>
            <w:proofErr w:type="spellEnd"/>
          </w:p>
        </w:tc>
      </w:tr>
      <w:tr w:rsidR="007F4619" w:rsidRPr="00F9150C" w14:paraId="08150299" w14:textId="77777777" w:rsidTr="002B08E2">
        <w:trPr>
          <w:trHeight w:val="285"/>
        </w:trPr>
        <w:tc>
          <w:tcPr>
            <w:tcW w:w="978" w:type="dxa"/>
            <w:tcBorders>
              <w:top w:val="nil"/>
              <w:left w:val="single" w:sz="4" w:space="0" w:color="auto"/>
              <w:bottom w:val="single" w:sz="4" w:space="0" w:color="auto"/>
              <w:right w:val="single" w:sz="4" w:space="0" w:color="auto"/>
            </w:tcBorders>
            <w:shd w:val="clear" w:color="auto" w:fill="auto"/>
            <w:noWrap/>
            <w:vAlign w:val="bottom"/>
            <w:hideMark/>
          </w:tcPr>
          <w:p w14:paraId="57B98CDC" w14:textId="77777777" w:rsidR="007F4619" w:rsidRPr="00F9150C" w:rsidRDefault="007F4619" w:rsidP="002B08E2">
            <w:pPr>
              <w:spacing w:after="0" w:line="240" w:lineRule="auto"/>
              <w:rPr>
                <w:rFonts w:ascii="Aptos Narrow" w:eastAsia="Times New Roman" w:hAnsi="Aptos Narrow" w:cs="Times New Roman"/>
                <w:color w:val="000000"/>
                <w:kern w:val="0"/>
                <w:lang w:eastAsia="en-GB"/>
                <w14:ligatures w14:val="none"/>
              </w:rPr>
            </w:pPr>
            <w:r w:rsidRPr="00F9150C">
              <w:rPr>
                <w:rFonts w:ascii="Aptos Narrow" w:eastAsia="Times New Roman" w:hAnsi="Aptos Narrow" w:cs="Times New Roman"/>
                <w:color w:val="000000"/>
                <w:kern w:val="0"/>
                <w:lang w:eastAsia="en-GB"/>
                <w14:ligatures w14:val="none"/>
              </w:rPr>
              <w:t>Yes</w:t>
            </w:r>
          </w:p>
        </w:tc>
        <w:tc>
          <w:tcPr>
            <w:tcW w:w="538" w:type="dxa"/>
            <w:tcBorders>
              <w:top w:val="nil"/>
              <w:left w:val="nil"/>
              <w:bottom w:val="single" w:sz="4" w:space="0" w:color="auto"/>
              <w:right w:val="single" w:sz="4" w:space="0" w:color="auto"/>
            </w:tcBorders>
            <w:shd w:val="clear" w:color="auto" w:fill="auto"/>
            <w:noWrap/>
            <w:vAlign w:val="bottom"/>
            <w:hideMark/>
          </w:tcPr>
          <w:p w14:paraId="045DC43E" w14:textId="77777777" w:rsidR="007F4619" w:rsidRPr="00F9150C" w:rsidRDefault="007F4619" w:rsidP="002B08E2">
            <w:pPr>
              <w:spacing w:after="0" w:line="240" w:lineRule="auto"/>
              <w:rPr>
                <w:rFonts w:ascii="Aptos Narrow" w:eastAsia="Times New Roman" w:hAnsi="Aptos Narrow" w:cs="Times New Roman"/>
                <w:color w:val="000000"/>
                <w:kern w:val="0"/>
                <w:lang w:eastAsia="en-GB"/>
                <w14:ligatures w14:val="none"/>
              </w:rPr>
            </w:pPr>
            <w:r w:rsidRPr="00F9150C">
              <w:rPr>
                <w:rFonts w:ascii="Aptos Narrow" w:eastAsia="Times New Roman" w:hAnsi="Aptos Narrow" w:cs="Times New Roman"/>
                <w:color w:val="000000"/>
                <w:kern w:val="0"/>
                <w:lang w:eastAsia="en-GB"/>
                <w14:ligatures w14:val="none"/>
              </w:rPr>
              <w:t>Yes</w:t>
            </w:r>
          </w:p>
        </w:tc>
        <w:tc>
          <w:tcPr>
            <w:tcW w:w="1127" w:type="dxa"/>
            <w:tcBorders>
              <w:top w:val="nil"/>
              <w:left w:val="nil"/>
              <w:bottom w:val="single" w:sz="4" w:space="0" w:color="auto"/>
              <w:right w:val="single" w:sz="4" w:space="0" w:color="auto"/>
            </w:tcBorders>
            <w:shd w:val="clear" w:color="auto" w:fill="auto"/>
            <w:noWrap/>
            <w:vAlign w:val="bottom"/>
            <w:hideMark/>
          </w:tcPr>
          <w:p w14:paraId="1C3E3CB7" w14:textId="77777777" w:rsidR="007F4619" w:rsidRPr="00F9150C" w:rsidRDefault="007F4619" w:rsidP="002B08E2">
            <w:pPr>
              <w:spacing w:after="0" w:line="240" w:lineRule="auto"/>
              <w:rPr>
                <w:rFonts w:ascii="Aptos Narrow" w:eastAsia="Times New Roman" w:hAnsi="Aptos Narrow" w:cs="Times New Roman"/>
                <w:color w:val="000000"/>
                <w:kern w:val="0"/>
                <w:lang w:eastAsia="en-GB"/>
                <w14:ligatures w14:val="none"/>
              </w:rPr>
            </w:pPr>
            <w:r w:rsidRPr="00F9150C">
              <w:rPr>
                <w:rFonts w:ascii="Aptos Narrow" w:eastAsia="Times New Roman" w:hAnsi="Aptos Narrow" w:cs="Times New Roman"/>
                <w:color w:val="000000"/>
                <w:kern w:val="0"/>
                <w:lang w:eastAsia="en-GB"/>
                <w14:ligatures w14:val="none"/>
              </w:rPr>
              <w:t>No</w:t>
            </w:r>
          </w:p>
        </w:tc>
        <w:tc>
          <w:tcPr>
            <w:tcW w:w="2688" w:type="dxa"/>
            <w:tcBorders>
              <w:top w:val="nil"/>
              <w:left w:val="nil"/>
              <w:bottom w:val="single" w:sz="4" w:space="0" w:color="auto"/>
              <w:right w:val="single" w:sz="4" w:space="0" w:color="auto"/>
            </w:tcBorders>
            <w:shd w:val="clear" w:color="auto" w:fill="auto"/>
            <w:noWrap/>
            <w:vAlign w:val="bottom"/>
            <w:hideMark/>
          </w:tcPr>
          <w:p w14:paraId="1AAC092E" w14:textId="77777777" w:rsidR="007F4619" w:rsidRPr="00F9150C" w:rsidRDefault="007F4619" w:rsidP="002B08E2">
            <w:pPr>
              <w:spacing w:after="0" w:line="240" w:lineRule="auto"/>
              <w:rPr>
                <w:rFonts w:ascii="Aptos Narrow" w:eastAsia="Times New Roman" w:hAnsi="Aptos Narrow" w:cs="Times New Roman"/>
                <w:color w:val="000000"/>
                <w:kern w:val="0"/>
                <w:lang w:eastAsia="en-GB"/>
                <w14:ligatures w14:val="none"/>
              </w:rPr>
            </w:pPr>
            <w:r w:rsidRPr="00F9150C">
              <w:rPr>
                <w:rFonts w:ascii="Aptos Narrow" w:eastAsia="Times New Roman" w:hAnsi="Aptos Narrow" w:cs="Times New Roman"/>
                <w:color w:val="000000"/>
                <w:kern w:val="0"/>
                <w:lang w:eastAsia="en-GB"/>
                <w14:ligatures w14:val="none"/>
              </w:rPr>
              <w:t>Yes</w:t>
            </w:r>
          </w:p>
        </w:tc>
        <w:tc>
          <w:tcPr>
            <w:tcW w:w="3910" w:type="dxa"/>
            <w:tcBorders>
              <w:top w:val="nil"/>
              <w:left w:val="nil"/>
              <w:bottom w:val="single" w:sz="4" w:space="0" w:color="auto"/>
              <w:right w:val="single" w:sz="4" w:space="0" w:color="auto"/>
            </w:tcBorders>
            <w:shd w:val="clear" w:color="auto" w:fill="auto"/>
            <w:noWrap/>
            <w:vAlign w:val="bottom"/>
            <w:hideMark/>
          </w:tcPr>
          <w:p w14:paraId="54E8F53D" w14:textId="77777777" w:rsidR="007F4619" w:rsidRPr="00F9150C" w:rsidRDefault="007F4619" w:rsidP="002B08E2">
            <w:pPr>
              <w:spacing w:after="0" w:line="240" w:lineRule="auto"/>
              <w:rPr>
                <w:rFonts w:ascii="Aptos Narrow" w:eastAsia="Times New Roman" w:hAnsi="Aptos Narrow" w:cs="Times New Roman"/>
                <w:color w:val="000000"/>
                <w:kern w:val="0"/>
                <w:lang w:eastAsia="en-GB"/>
                <w14:ligatures w14:val="none"/>
              </w:rPr>
            </w:pPr>
            <w:r w:rsidRPr="00F9150C">
              <w:rPr>
                <w:rFonts w:ascii="Aptos Narrow" w:eastAsia="Times New Roman" w:hAnsi="Aptos Narrow" w:cs="Times New Roman"/>
                <w:color w:val="000000"/>
                <w:kern w:val="0"/>
                <w:lang w:eastAsia="en-GB"/>
                <w14:ligatures w14:val="none"/>
              </w:rPr>
              <w:t>on-site generation technologies</w:t>
            </w:r>
          </w:p>
        </w:tc>
      </w:tr>
      <w:tr w:rsidR="007F4619" w:rsidRPr="00F9150C" w14:paraId="13F3F6AA" w14:textId="77777777" w:rsidTr="002B08E2">
        <w:trPr>
          <w:trHeight w:val="285"/>
        </w:trPr>
        <w:tc>
          <w:tcPr>
            <w:tcW w:w="978" w:type="dxa"/>
            <w:tcBorders>
              <w:top w:val="nil"/>
              <w:left w:val="single" w:sz="4" w:space="0" w:color="auto"/>
              <w:bottom w:val="single" w:sz="4" w:space="0" w:color="auto"/>
              <w:right w:val="single" w:sz="4" w:space="0" w:color="auto"/>
            </w:tcBorders>
            <w:shd w:val="clear" w:color="auto" w:fill="auto"/>
            <w:noWrap/>
            <w:vAlign w:val="bottom"/>
            <w:hideMark/>
          </w:tcPr>
          <w:p w14:paraId="29116E77" w14:textId="77777777" w:rsidR="007F4619" w:rsidRPr="00F9150C" w:rsidRDefault="007F4619" w:rsidP="002B08E2">
            <w:pPr>
              <w:spacing w:after="0" w:line="240" w:lineRule="auto"/>
              <w:rPr>
                <w:rFonts w:ascii="Aptos Narrow" w:eastAsia="Times New Roman" w:hAnsi="Aptos Narrow" w:cs="Times New Roman"/>
                <w:color w:val="000000"/>
                <w:kern w:val="0"/>
                <w:lang w:eastAsia="en-GB"/>
                <w14:ligatures w14:val="none"/>
              </w:rPr>
            </w:pPr>
            <w:r w:rsidRPr="00F9150C">
              <w:rPr>
                <w:rFonts w:ascii="Aptos Narrow" w:eastAsia="Times New Roman" w:hAnsi="Aptos Narrow" w:cs="Times New Roman"/>
                <w:color w:val="000000"/>
                <w:kern w:val="0"/>
                <w:lang w:eastAsia="en-GB"/>
                <w14:ligatures w14:val="none"/>
              </w:rPr>
              <w:t>Yes</w:t>
            </w:r>
          </w:p>
        </w:tc>
        <w:tc>
          <w:tcPr>
            <w:tcW w:w="538" w:type="dxa"/>
            <w:tcBorders>
              <w:top w:val="nil"/>
              <w:left w:val="nil"/>
              <w:bottom w:val="single" w:sz="4" w:space="0" w:color="auto"/>
              <w:right w:val="single" w:sz="4" w:space="0" w:color="auto"/>
            </w:tcBorders>
            <w:shd w:val="clear" w:color="auto" w:fill="auto"/>
            <w:noWrap/>
            <w:vAlign w:val="bottom"/>
            <w:hideMark/>
          </w:tcPr>
          <w:p w14:paraId="1CC79EA1" w14:textId="77777777" w:rsidR="007F4619" w:rsidRPr="00F9150C" w:rsidRDefault="007F4619" w:rsidP="002B08E2">
            <w:pPr>
              <w:spacing w:after="0" w:line="240" w:lineRule="auto"/>
              <w:rPr>
                <w:rFonts w:ascii="Aptos Narrow" w:eastAsia="Times New Roman" w:hAnsi="Aptos Narrow" w:cs="Times New Roman"/>
                <w:color w:val="000000"/>
                <w:kern w:val="0"/>
                <w:lang w:eastAsia="en-GB"/>
                <w14:ligatures w14:val="none"/>
              </w:rPr>
            </w:pPr>
            <w:r w:rsidRPr="00F9150C">
              <w:rPr>
                <w:rFonts w:ascii="Aptos Narrow" w:eastAsia="Times New Roman" w:hAnsi="Aptos Narrow" w:cs="Times New Roman"/>
                <w:color w:val="000000"/>
                <w:kern w:val="0"/>
                <w:lang w:eastAsia="en-GB"/>
                <w14:ligatures w14:val="none"/>
              </w:rPr>
              <w:t>No</w:t>
            </w:r>
          </w:p>
        </w:tc>
        <w:tc>
          <w:tcPr>
            <w:tcW w:w="1127" w:type="dxa"/>
            <w:tcBorders>
              <w:top w:val="nil"/>
              <w:left w:val="nil"/>
              <w:bottom w:val="single" w:sz="4" w:space="0" w:color="auto"/>
              <w:right w:val="single" w:sz="4" w:space="0" w:color="auto"/>
            </w:tcBorders>
            <w:shd w:val="clear" w:color="auto" w:fill="auto"/>
            <w:noWrap/>
            <w:vAlign w:val="bottom"/>
            <w:hideMark/>
          </w:tcPr>
          <w:p w14:paraId="311D4056" w14:textId="77777777" w:rsidR="007F4619" w:rsidRPr="00F9150C" w:rsidRDefault="007F4619" w:rsidP="002B08E2">
            <w:pPr>
              <w:spacing w:after="0" w:line="240" w:lineRule="auto"/>
              <w:rPr>
                <w:rFonts w:ascii="Aptos Narrow" w:eastAsia="Times New Roman" w:hAnsi="Aptos Narrow" w:cs="Times New Roman"/>
                <w:color w:val="000000"/>
                <w:kern w:val="0"/>
                <w:lang w:eastAsia="en-GB"/>
                <w14:ligatures w14:val="none"/>
              </w:rPr>
            </w:pPr>
            <w:r w:rsidRPr="00F9150C">
              <w:rPr>
                <w:rFonts w:ascii="Aptos Narrow" w:eastAsia="Times New Roman" w:hAnsi="Aptos Narrow" w:cs="Times New Roman"/>
                <w:color w:val="000000"/>
                <w:kern w:val="0"/>
                <w:lang w:eastAsia="en-GB"/>
                <w14:ligatures w14:val="none"/>
              </w:rPr>
              <w:t>Yes</w:t>
            </w:r>
          </w:p>
        </w:tc>
        <w:tc>
          <w:tcPr>
            <w:tcW w:w="2688" w:type="dxa"/>
            <w:tcBorders>
              <w:top w:val="nil"/>
              <w:left w:val="nil"/>
              <w:bottom w:val="single" w:sz="4" w:space="0" w:color="auto"/>
              <w:right w:val="single" w:sz="4" w:space="0" w:color="auto"/>
            </w:tcBorders>
            <w:shd w:val="clear" w:color="auto" w:fill="auto"/>
            <w:noWrap/>
            <w:vAlign w:val="bottom"/>
            <w:hideMark/>
          </w:tcPr>
          <w:p w14:paraId="4A39DF69" w14:textId="77777777" w:rsidR="007F4619" w:rsidRPr="00F9150C" w:rsidRDefault="007F4619" w:rsidP="002B08E2">
            <w:pPr>
              <w:spacing w:after="0" w:line="240" w:lineRule="auto"/>
              <w:rPr>
                <w:rFonts w:ascii="Aptos Narrow" w:eastAsia="Times New Roman" w:hAnsi="Aptos Narrow" w:cs="Times New Roman"/>
                <w:color w:val="000000"/>
                <w:kern w:val="0"/>
                <w:lang w:eastAsia="en-GB"/>
                <w14:ligatures w14:val="none"/>
              </w:rPr>
            </w:pPr>
            <w:r w:rsidRPr="00F9150C">
              <w:rPr>
                <w:rFonts w:ascii="Aptos Narrow" w:eastAsia="Times New Roman" w:hAnsi="Aptos Narrow" w:cs="Times New Roman"/>
                <w:color w:val="000000"/>
                <w:kern w:val="0"/>
                <w:lang w:eastAsia="en-GB"/>
                <w14:ligatures w14:val="none"/>
              </w:rPr>
              <w:t>Yes</w:t>
            </w:r>
          </w:p>
        </w:tc>
        <w:tc>
          <w:tcPr>
            <w:tcW w:w="3910" w:type="dxa"/>
            <w:tcBorders>
              <w:top w:val="nil"/>
              <w:left w:val="nil"/>
              <w:bottom w:val="single" w:sz="4" w:space="0" w:color="auto"/>
              <w:right w:val="single" w:sz="4" w:space="0" w:color="auto"/>
            </w:tcBorders>
            <w:shd w:val="clear" w:color="auto" w:fill="auto"/>
            <w:noWrap/>
            <w:vAlign w:val="bottom"/>
            <w:hideMark/>
          </w:tcPr>
          <w:p w14:paraId="293C9384" w14:textId="77777777" w:rsidR="007F4619" w:rsidRPr="00F9150C" w:rsidRDefault="007F4619" w:rsidP="002B08E2">
            <w:pPr>
              <w:spacing w:after="0" w:line="240" w:lineRule="auto"/>
              <w:rPr>
                <w:rFonts w:ascii="Aptos Narrow" w:eastAsia="Times New Roman" w:hAnsi="Aptos Narrow" w:cs="Times New Roman"/>
                <w:color w:val="000000"/>
                <w:kern w:val="0"/>
                <w:lang w:eastAsia="en-GB"/>
                <w14:ligatures w14:val="none"/>
              </w:rPr>
            </w:pPr>
            <w:r w:rsidRPr="00F9150C">
              <w:rPr>
                <w:rFonts w:ascii="Aptos Narrow" w:eastAsia="Times New Roman" w:hAnsi="Aptos Narrow" w:cs="Times New Roman"/>
                <w:color w:val="000000"/>
                <w:kern w:val="0"/>
                <w:lang w:eastAsia="en-GB"/>
                <w14:ligatures w14:val="none"/>
              </w:rPr>
              <w:t>use of cloud computing and block chain</w:t>
            </w:r>
          </w:p>
        </w:tc>
      </w:tr>
    </w:tbl>
    <w:p w14:paraId="4E99E485" w14:textId="77777777" w:rsidR="007F4619" w:rsidRPr="008B4414" w:rsidRDefault="007F4619" w:rsidP="00985241">
      <w:pPr>
        <w:spacing w:after="120" w:line="360" w:lineRule="auto"/>
        <w:jc w:val="both"/>
        <w:rPr>
          <w:rFonts w:asciiTheme="majorHAnsi" w:hAnsiTheme="majorHAnsi" w:cs="Calibri"/>
          <w:color w:val="0B769F" w:themeColor="accent4" w:themeShade="BF"/>
        </w:rPr>
      </w:pPr>
    </w:p>
    <w:sectPr w:rsidR="007F4619" w:rsidRPr="008B4414" w:rsidSect="004A785F">
      <w:footerReference w:type="default" r:id="rId13"/>
      <w:pgSz w:w="11906" w:h="16838"/>
      <w:pgMar w:top="1440" w:right="1440" w:bottom="1135"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2F49A2" w14:textId="77777777" w:rsidR="004A785F" w:rsidRDefault="004A785F" w:rsidP="00DC37E5">
      <w:pPr>
        <w:spacing w:after="0" w:line="240" w:lineRule="auto"/>
      </w:pPr>
      <w:r>
        <w:separator/>
      </w:r>
    </w:p>
  </w:endnote>
  <w:endnote w:type="continuationSeparator" w:id="0">
    <w:p w14:paraId="7821C339" w14:textId="77777777" w:rsidR="004A785F" w:rsidRDefault="004A785F" w:rsidP="00DC37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72042905"/>
      <w:docPartObj>
        <w:docPartGallery w:val="Page Numbers (Bottom of Page)"/>
        <w:docPartUnique/>
      </w:docPartObj>
    </w:sdtPr>
    <w:sdtEndPr/>
    <w:sdtContent>
      <w:p w14:paraId="3D7B15E0" w14:textId="726FC73A" w:rsidR="00DC37E5" w:rsidRDefault="00DC37E5">
        <w:pPr>
          <w:pStyle w:val="Footer"/>
          <w:jc w:val="right"/>
        </w:pPr>
        <w:r>
          <w:fldChar w:fldCharType="begin"/>
        </w:r>
        <w:r>
          <w:instrText>PAGE   \* MERGEFORMAT</w:instrText>
        </w:r>
        <w:r>
          <w:fldChar w:fldCharType="separate"/>
        </w:r>
        <w:r>
          <w:t>2</w:t>
        </w:r>
        <w:r>
          <w:fldChar w:fldCharType="end"/>
        </w:r>
      </w:p>
    </w:sdtContent>
  </w:sdt>
  <w:p w14:paraId="13912D4F" w14:textId="38AE2B9B" w:rsidR="00DC37E5" w:rsidRDefault="00DC37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256802" w14:textId="77777777" w:rsidR="004A785F" w:rsidRDefault="004A785F" w:rsidP="00DC37E5">
      <w:pPr>
        <w:spacing w:after="0" w:line="240" w:lineRule="auto"/>
      </w:pPr>
      <w:r>
        <w:separator/>
      </w:r>
    </w:p>
  </w:footnote>
  <w:footnote w:type="continuationSeparator" w:id="0">
    <w:p w14:paraId="79C59897" w14:textId="77777777" w:rsidR="004A785F" w:rsidRDefault="004A785F" w:rsidP="00DC37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8A7D8C"/>
    <w:multiLevelType w:val="multilevel"/>
    <w:tmpl w:val="299487A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9A62D53"/>
    <w:multiLevelType w:val="multilevel"/>
    <w:tmpl w:val="0060C8B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EEB62BD"/>
    <w:multiLevelType w:val="hybridMultilevel"/>
    <w:tmpl w:val="4B1CD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B85D22"/>
    <w:multiLevelType w:val="hybridMultilevel"/>
    <w:tmpl w:val="1584AB2A"/>
    <w:lvl w:ilvl="0" w:tplc="F1F0229E">
      <w:start w:val="1"/>
      <w:numFmt w:val="decimal"/>
      <w:lvlText w:val="%1."/>
      <w:lvlJc w:val="left"/>
      <w:pPr>
        <w:ind w:left="720" w:hanging="360"/>
      </w:pPr>
      <w:rPr>
        <w:rFonts w:asciiTheme="minorHAnsi" w:hAnsiTheme="minorHAnsi" w:cstheme="minorBidi" w:hint="default"/>
        <w:b/>
        <w:i w:val="0"/>
        <w:strike w:val="0"/>
        <w:color w:val="auto"/>
        <w:sz w:val="22"/>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956E7C"/>
    <w:multiLevelType w:val="hybridMultilevel"/>
    <w:tmpl w:val="7C8CAB1C"/>
    <w:lvl w:ilvl="0" w:tplc="6446344A">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B436DCC"/>
    <w:multiLevelType w:val="multilevel"/>
    <w:tmpl w:val="11D803B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357C0416"/>
    <w:multiLevelType w:val="hybridMultilevel"/>
    <w:tmpl w:val="D7241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683E65"/>
    <w:multiLevelType w:val="multilevel"/>
    <w:tmpl w:val="CF2C8326"/>
    <w:lvl w:ilvl="0">
      <w:start w:val="1"/>
      <w:numFmt w:val="decimal"/>
      <w:lvlText w:val="%1."/>
      <w:lvlJc w:val="left"/>
      <w:pPr>
        <w:ind w:left="360" w:hanging="360"/>
      </w:pPr>
      <w:rPr>
        <w:rFonts w:hint="default"/>
        <w:b/>
      </w:rPr>
    </w:lvl>
    <w:lvl w:ilvl="1">
      <w:start w:val="3"/>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8" w15:restartNumberingAfterBreak="0">
    <w:nsid w:val="3DFA6B3A"/>
    <w:multiLevelType w:val="hybridMultilevel"/>
    <w:tmpl w:val="A1581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6B4B00"/>
    <w:multiLevelType w:val="hybridMultilevel"/>
    <w:tmpl w:val="DCD2276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D5D6721"/>
    <w:multiLevelType w:val="hybridMultilevel"/>
    <w:tmpl w:val="D5E2E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665BF5"/>
    <w:multiLevelType w:val="multilevel"/>
    <w:tmpl w:val="0066BC5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73A71234"/>
    <w:multiLevelType w:val="hybridMultilevel"/>
    <w:tmpl w:val="01740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4315049"/>
    <w:multiLevelType w:val="multilevel"/>
    <w:tmpl w:val="71DC5E98"/>
    <w:lvl w:ilvl="0">
      <w:start w:val="1"/>
      <w:numFmt w:val="decimal"/>
      <w:lvlText w:val="%1."/>
      <w:lvlJc w:val="left"/>
      <w:pPr>
        <w:ind w:left="720" w:hanging="360"/>
      </w:pPr>
      <w:rPr>
        <w:rFonts w:hint="default"/>
      </w:rPr>
    </w:lvl>
    <w:lvl w:ilvl="1">
      <w:start w:val="1"/>
      <w:numFmt w:val="decimal"/>
      <w:isLgl/>
      <w:lvlText w:val="%1.%2"/>
      <w:lvlJc w:val="left"/>
      <w:pPr>
        <w:ind w:left="910" w:hanging="5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4" w15:restartNumberingAfterBreak="0">
    <w:nsid w:val="79AD2D54"/>
    <w:multiLevelType w:val="multilevel"/>
    <w:tmpl w:val="5EB0E7A6"/>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num w:numId="1" w16cid:durableId="2124379370">
    <w:abstractNumId w:val="13"/>
  </w:num>
  <w:num w:numId="2" w16cid:durableId="1675106439">
    <w:abstractNumId w:val="10"/>
  </w:num>
  <w:num w:numId="3" w16cid:durableId="962685805">
    <w:abstractNumId w:val="3"/>
  </w:num>
  <w:num w:numId="4" w16cid:durableId="903612259">
    <w:abstractNumId w:val="14"/>
  </w:num>
  <w:num w:numId="5" w16cid:durableId="1517577473">
    <w:abstractNumId w:val="7"/>
  </w:num>
  <w:num w:numId="6" w16cid:durableId="1917008274">
    <w:abstractNumId w:val="0"/>
  </w:num>
  <w:num w:numId="7" w16cid:durableId="338040987">
    <w:abstractNumId w:val="4"/>
  </w:num>
  <w:num w:numId="8" w16cid:durableId="333730055">
    <w:abstractNumId w:val="1"/>
  </w:num>
  <w:num w:numId="9" w16cid:durableId="1443065692">
    <w:abstractNumId w:val="12"/>
  </w:num>
  <w:num w:numId="10" w16cid:durableId="454449716">
    <w:abstractNumId w:val="6"/>
  </w:num>
  <w:num w:numId="11" w16cid:durableId="25108182">
    <w:abstractNumId w:val="8"/>
  </w:num>
  <w:num w:numId="12" w16cid:durableId="2104110556">
    <w:abstractNumId w:val="2"/>
  </w:num>
  <w:num w:numId="13" w16cid:durableId="11884719">
    <w:abstractNumId w:val="5"/>
  </w:num>
  <w:num w:numId="14" w16cid:durableId="448548421">
    <w:abstractNumId w:val="11"/>
  </w:num>
  <w:num w:numId="15" w16cid:durableId="78650510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7E5"/>
    <w:rsid w:val="0004395A"/>
    <w:rsid w:val="00052A46"/>
    <w:rsid w:val="000538D6"/>
    <w:rsid w:val="00062585"/>
    <w:rsid w:val="000954DD"/>
    <w:rsid w:val="000C4710"/>
    <w:rsid w:val="000D4199"/>
    <w:rsid w:val="000E211E"/>
    <w:rsid w:val="001013AA"/>
    <w:rsid w:val="0010508C"/>
    <w:rsid w:val="00111D9F"/>
    <w:rsid w:val="00140363"/>
    <w:rsid w:val="00176946"/>
    <w:rsid w:val="001B62D8"/>
    <w:rsid w:val="001C3C52"/>
    <w:rsid w:val="001E0A89"/>
    <w:rsid w:val="00200B74"/>
    <w:rsid w:val="0020319A"/>
    <w:rsid w:val="00206945"/>
    <w:rsid w:val="002646AC"/>
    <w:rsid w:val="003012C5"/>
    <w:rsid w:val="00331A95"/>
    <w:rsid w:val="003A3E4D"/>
    <w:rsid w:val="00445DD6"/>
    <w:rsid w:val="00456EB9"/>
    <w:rsid w:val="00462BC6"/>
    <w:rsid w:val="00465DB4"/>
    <w:rsid w:val="0048418E"/>
    <w:rsid w:val="00496226"/>
    <w:rsid w:val="004A785F"/>
    <w:rsid w:val="004E58CA"/>
    <w:rsid w:val="004F1F7E"/>
    <w:rsid w:val="00501B71"/>
    <w:rsid w:val="0054198F"/>
    <w:rsid w:val="005510D5"/>
    <w:rsid w:val="00596ADD"/>
    <w:rsid w:val="005B012D"/>
    <w:rsid w:val="005F17BC"/>
    <w:rsid w:val="005F2C2E"/>
    <w:rsid w:val="005F7B37"/>
    <w:rsid w:val="006203C0"/>
    <w:rsid w:val="006248B8"/>
    <w:rsid w:val="00664684"/>
    <w:rsid w:val="0066603B"/>
    <w:rsid w:val="006C3170"/>
    <w:rsid w:val="006D4079"/>
    <w:rsid w:val="006D6118"/>
    <w:rsid w:val="006E391D"/>
    <w:rsid w:val="006E5D92"/>
    <w:rsid w:val="007023D7"/>
    <w:rsid w:val="00756DC2"/>
    <w:rsid w:val="00763BAA"/>
    <w:rsid w:val="00770742"/>
    <w:rsid w:val="007A0C2B"/>
    <w:rsid w:val="007B11B1"/>
    <w:rsid w:val="007C4FE0"/>
    <w:rsid w:val="007E440A"/>
    <w:rsid w:val="007F4619"/>
    <w:rsid w:val="00804911"/>
    <w:rsid w:val="008268D7"/>
    <w:rsid w:val="008328E6"/>
    <w:rsid w:val="008373DD"/>
    <w:rsid w:val="00847CBF"/>
    <w:rsid w:val="0085616E"/>
    <w:rsid w:val="00887D3C"/>
    <w:rsid w:val="008B4414"/>
    <w:rsid w:val="008E616E"/>
    <w:rsid w:val="009349A9"/>
    <w:rsid w:val="0095088B"/>
    <w:rsid w:val="00985241"/>
    <w:rsid w:val="00987E0F"/>
    <w:rsid w:val="009977AB"/>
    <w:rsid w:val="009D3C18"/>
    <w:rsid w:val="009E35A9"/>
    <w:rsid w:val="00A02408"/>
    <w:rsid w:val="00A31BAF"/>
    <w:rsid w:val="00A573D8"/>
    <w:rsid w:val="00A71C8A"/>
    <w:rsid w:val="00AE3E09"/>
    <w:rsid w:val="00AE6EF1"/>
    <w:rsid w:val="00B01940"/>
    <w:rsid w:val="00B11EE2"/>
    <w:rsid w:val="00B40825"/>
    <w:rsid w:val="00B54ADE"/>
    <w:rsid w:val="00B64E8F"/>
    <w:rsid w:val="00B655F7"/>
    <w:rsid w:val="00BB428E"/>
    <w:rsid w:val="00C35D43"/>
    <w:rsid w:val="00C607BB"/>
    <w:rsid w:val="00C61EE7"/>
    <w:rsid w:val="00CE5B42"/>
    <w:rsid w:val="00CE6FAA"/>
    <w:rsid w:val="00CF26AC"/>
    <w:rsid w:val="00CF574B"/>
    <w:rsid w:val="00D01EF2"/>
    <w:rsid w:val="00D202C1"/>
    <w:rsid w:val="00D456F6"/>
    <w:rsid w:val="00D86828"/>
    <w:rsid w:val="00DC37E5"/>
    <w:rsid w:val="00DF4601"/>
    <w:rsid w:val="00E04D45"/>
    <w:rsid w:val="00E32429"/>
    <w:rsid w:val="00E47BF4"/>
    <w:rsid w:val="00E6781F"/>
    <w:rsid w:val="00EB3B33"/>
    <w:rsid w:val="00EB6CE0"/>
    <w:rsid w:val="00EE3D4B"/>
    <w:rsid w:val="00EE4B79"/>
    <w:rsid w:val="00EE700A"/>
    <w:rsid w:val="00F07F6D"/>
    <w:rsid w:val="00F15557"/>
    <w:rsid w:val="00F17190"/>
    <w:rsid w:val="00F36250"/>
    <w:rsid w:val="00F616DF"/>
    <w:rsid w:val="00F858B7"/>
    <w:rsid w:val="00F9150C"/>
    <w:rsid w:val="00F91A66"/>
    <w:rsid w:val="00FA41EA"/>
    <w:rsid w:val="00FC4157"/>
    <w:rsid w:val="00FD059A"/>
    <w:rsid w:val="00FD59FC"/>
    <w:rsid w:val="00FE5466"/>
    <w:rsid w:val="00FF03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817C78"/>
  <w15:chartTrackingRefBased/>
  <w15:docId w15:val="{A89F8AA0-B0BD-4BE7-829B-7BFA73341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37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37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37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37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37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37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37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37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37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37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37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37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37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37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37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37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37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37E5"/>
    <w:rPr>
      <w:rFonts w:eastAsiaTheme="majorEastAsia" w:cstheme="majorBidi"/>
      <w:color w:val="272727" w:themeColor="text1" w:themeTint="D8"/>
    </w:rPr>
  </w:style>
  <w:style w:type="paragraph" w:styleId="Title">
    <w:name w:val="Title"/>
    <w:basedOn w:val="Normal"/>
    <w:next w:val="Normal"/>
    <w:link w:val="TitleChar"/>
    <w:uiPriority w:val="10"/>
    <w:qFormat/>
    <w:rsid w:val="00DC37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37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37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37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37E5"/>
    <w:pPr>
      <w:spacing w:before="160"/>
      <w:jc w:val="center"/>
    </w:pPr>
    <w:rPr>
      <w:i/>
      <w:iCs/>
      <w:color w:val="404040" w:themeColor="text1" w:themeTint="BF"/>
    </w:rPr>
  </w:style>
  <w:style w:type="character" w:customStyle="1" w:styleId="QuoteChar">
    <w:name w:val="Quote Char"/>
    <w:basedOn w:val="DefaultParagraphFont"/>
    <w:link w:val="Quote"/>
    <w:uiPriority w:val="29"/>
    <w:rsid w:val="00DC37E5"/>
    <w:rPr>
      <w:i/>
      <w:iCs/>
      <w:color w:val="404040" w:themeColor="text1" w:themeTint="BF"/>
    </w:rPr>
  </w:style>
  <w:style w:type="paragraph" w:styleId="ListParagraph">
    <w:name w:val="List Paragraph"/>
    <w:basedOn w:val="Normal"/>
    <w:uiPriority w:val="34"/>
    <w:qFormat/>
    <w:rsid w:val="00DC37E5"/>
    <w:pPr>
      <w:ind w:left="720"/>
      <w:contextualSpacing/>
    </w:pPr>
  </w:style>
  <w:style w:type="character" w:styleId="IntenseEmphasis">
    <w:name w:val="Intense Emphasis"/>
    <w:basedOn w:val="DefaultParagraphFont"/>
    <w:uiPriority w:val="21"/>
    <w:qFormat/>
    <w:rsid w:val="00DC37E5"/>
    <w:rPr>
      <w:i/>
      <w:iCs/>
      <w:color w:val="0F4761" w:themeColor="accent1" w:themeShade="BF"/>
    </w:rPr>
  </w:style>
  <w:style w:type="paragraph" w:styleId="IntenseQuote">
    <w:name w:val="Intense Quote"/>
    <w:basedOn w:val="Normal"/>
    <w:next w:val="Normal"/>
    <w:link w:val="IntenseQuoteChar"/>
    <w:uiPriority w:val="30"/>
    <w:qFormat/>
    <w:rsid w:val="00DC37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37E5"/>
    <w:rPr>
      <w:i/>
      <w:iCs/>
      <w:color w:val="0F4761" w:themeColor="accent1" w:themeShade="BF"/>
    </w:rPr>
  </w:style>
  <w:style w:type="character" w:styleId="IntenseReference">
    <w:name w:val="Intense Reference"/>
    <w:basedOn w:val="DefaultParagraphFont"/>
    <w:uiPriority w:val="32"/>
    <w:qFormat/>
    <w:rsid w:val="00DC37E5"/>
    <w:rPr>
      <w:b/>
      <w:bCs/>
      <w:smallCaps/>
      <w:color w:val="0F4761" w:themeColor="accent1" w:themeShade="BF"/>
      <w:spacing w:val="5"/>
    </w:rPr>
  </w:style>
  <w:style w:type="character" w:styleId="Hyperlink">
    <w:name w:val="Hyperlink"/>
    <w:basedOn w:val="DefaultParagraphFont"/>
    <w:uiPriority w:val="99"/>
    <w:unhideWhenUsed/>
    <w:rsid w:val="00DC37E5"/>
    <w:rPr>
      <w:color w:val="467886" w:themeColor="hyperlink"/>
      <w:u w:val="single"/>
    </w:rPr>
  </w:style>
  <w:style w:type="character" w:styleId="Emphasis">
    <w:name w:val="Emphasis"/>
    <w:basedOn w:val="DefaultParagraphFont"/>
    <w:uiPriority w:val="20"/>
    <w:qFormat/>
    <w:rsid w:val="00DC37E5"/>
    <w:rPr>
      <w:i/>
      <w:iCs/>
    </w:rPr>
  </w:style>
  <w:style w:type="paragraph" w:styleId="Header">
    <w:name w:val="header"/>
    <w:basedOn w:val="Normal"/>
    <w:link w:val="HeaderChar"/>
    <w:uiPriority w:val="99"/>
    <w:unhideWhenUsed/>
    <w:rsid w:val="00DC37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37E5"/>
  </w:style>
  <w:style w:type="paragraph" w:styleId="Footer">
    <w:name w:val="footer"/>
    <w:basedOn w:val="Normal"/>
    <w:link w:val="FooterChar"/>
    <w:uiPriority w:val="99"/>
    <w:unhideWhenUsed/>
    <w:rsid w:val="00DC37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37E5"/>
  </w:style>
  <w:style w:type="paragraph" w:styleId="TOCHeading">
    <w:name w:val="TOC Heading"/>
    <w:basedOn w:val="Heading1"/>
    <w:next w:val="Normal"/>
    <w:uiPriority w:val="39"/>
    <w:unhideWhenUsed/>
    <w:qFormat/>
    <w:rsid w:val="00847CBF"/>
    <w:pPr>
      <w:spacing w:before="240" w:after="0"/>
      <w:outlineLvl w:val="9"/>
    </w:pPr>
    <w:rPr>
      <w:kern w:val="0"/>
      <w:sz w:val="32"/>
      <w:szCs w:val="32"/>
      <w:lang w:eastAsia="en-GB"/>
      <w14:ligatures w14:val="none"/>
    </w:rPr>
  </w:style>
  <w:style w:type="paragraph" w:styleId="EndnoteText">
    <w:name w:val="endnote text"/>
    <w:basedOn w:val="Normal"/>
    <w:link w:val="EndnoteTextChar"/>
    <w:uiPriority w:val="99"/>
    <w:semiHidden/>
    <w:unhideWhenUsed/>
    <w:rsid w:val="00847CB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47CBF"/>
    <w:rPr>
      <w:sz w:val="20"/>
      <w:szCs w:val="20"/>
    </w:rPr>
  </w:style>
  <w:style w:type="character" w:styleId="EndnoteReference">
    <w:name w:val="endnote reference"/>
    <w:basedOn w:val="DefaultParagraphFont"/>
    <w:uiPriority w:val="99"/>
    <w:semiHidden/>
    <w:unhideWhenUsed/>
    <w:rsid w:val="00847CBF"/>
    <w:rPr>
      <w:vertAlign w:val="superscript"/>
    </w:rPr>
  </w:style>
  <w:style w:type="character" w:styleId="UnresolvedMention">
    <w:name w:val="Unresolved Mention"/>
    <w:basedOn w:val="DefaultParagraphFont"/>
    <w:uiPriority w:val="99"/>
    <w:semiHidden/>
    <w:unhideWhenUsed/>
    <w:rsid w:val="00462BC6"/>
    <w:rPr>
      <w:color w:val="605E5C"/>
      <w:shd w:val="clear" w:color="auto" w:fill="E1DFDD"/>
    </w:rPr>
  </w:style>
  <w:style w:type="paragraph" w:styleId="TOC1">
    <w:name w:val="toc 1"/>
    <w:basedOn w:val="Normal"/>
    <w:next w:val="Normal"/>
    <w:autoRedefine/>
    <w:uiPriority w:val="39"/>
    <w:unhideWhenUsed/>
    <w:rsid w:val="00756DC2"/>
    <w:pPr>
      <w:spacing w:after="100"/>
    </w:pPr>
  </w:style>
  <w:style w:type="paragraph" w:styleId="TOC2">
    <w:name w:val="toc 2"/>
    <w:basedOn w:val="Normal"/>
    <w:next w:val="Normal"/>
    <w:autoRedefine/>
    <w:uiPriority w:val="39"/>
    <w:unhideWhenUsed/>
    <w:rsid w:val="0085616E"/>
    <w:pPr>
      <w:spacing w:after="100"/>
      <w:ind w:left="22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85616E"/>
    <w:pPr>
      <w:spacing w:after="100"/>
      <w:ind w:left="440"/>
    </w:pPr>
    <w:rPr>
      <w:rFonts w:eastAsiaTheme="minorEastAsia"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28904">
      <w:bodyDiv w:val="1"/>
      <w:marLeft w:val="0"/>
      <w:marRight w:val="0"/>
      <w:marTop w:val="0"/>
      <w:marBottom w:val="0"/>
      <w:divBdr>
        <w:top w:val="none" w:sz="0" w:space="0" w:color="auto"/>
        <w:left w:val="none" w:sz="0" w:space="0" w:color="auto"/>
        <w:bottom w:val="none" w:sz="0" w:space="0" w:color="auto"/>
        <w:right w:val="none" w:sz="0" w:space="0" w:color="auto"/>
      </w:divBdr>
    </w:div>
    <w:div w:id="65345106">
      <w:bodyDiv w:val="1"/>
      <w:marLeft w:val="0"/>
      <w:marRight w:val="0"/>
      <w:marTop w:val="0"/>
      <w:marBottom w:val="0"/>
      <w:divBdr>
        <w:top w:val="none" w:sz="0" w:space="0" w:color="auto"/>
        <w:left w:val="none" w:sz="0" w:space="0" w:color="auto"/>
        <w:bottom w:val="none" w:sz="0" w:space="0" w:color="auto"/>
        <w:right w:val="none" w:sz="0" w:space="0" w:color="auto"/>
      </w:divBdr>
    </w:div>
    <w:div w:id="140124145">
      <w:bodyDiv w:val="1"/>
      <w:marLeft w:val="0"/>
      <w:marRight w:val="0"/>
      <w:marTop w:val="0"/>
      <w:marBottom w:val="0"/>
      <w:divBdr>
        <w:top w:val="none" w:sz="0" w:space="0" w:color="auto"/>
        <w:left w:val="none" w:sz="0" w:space="0" w:color="auto"/>
        <w:bottom w:val="none" w:sz="0" w:space="0" w:color="auto"/>
        <w:right w:val="none" w:sz="0" w:space="0" w:color="auto"/>
      </w:divBdr>
    </w:div>
    <w:div w:id="605503273">
      <w:bodyDiv w:val="1"/>
      <w:marLeft w:val="0"/>
      <w:marRight w:val="0"/>
      <w:marTop w:val="0"/>
      <w:marBottom w:val="0"/>
      <w:divBdr>
        <w:top w:val="none" w:sz="0" w:space="0" w:color="auto"/>
        <w:left w:val="none" w:sz="0" w:space="0" w:color="auto"/>
        <w:bottom w:val="none" w:sz="0" w:space="0" w:color="auto"/>
        <w:right w:val="none" w:sz="0" w:space="0" w:color="auto"/>
      </w:divBdr>
    </w:div>
    <w:div w:id="658120801">
      <w:bodyDiv w:val="1"/>
      <w:marLeft w:val="0"/>
      <w:marRight w:val="0"/>
      <w:marTop w:val="0"/>
      <w:marBottom w:val="0"/>
      <w:divBdr>
        <w:top w:val="none" w:sz="0" w:space="0" w:color="auto"/>
        <w:left w:val="none" w:sz="0" w:space="0" w:color="auto"/>
        <w:bottom w:val="none" w:sz="0" w:space="0" w:color="auto"/>
        <w:right w:val="none" w:sz="0" w:space="0" w:color="auto"/>
      </w:divBdr>
    </w:div>
    <w:div w:id="683871047">
      <w:bodyDiv w:val="1"/>
      <w:marLeft w:val="0"/>
      <w:marRight w:val="0"/>
      <w:marTop w:val="0"/>
      <w:marBottom w:val="0"/>
      <w:divBdr>
        <w:top w:val="none" w:sz="0" w:space="0" w:color="auto"/>
        <w:left w:val="none" w:sz="0" w:space="0" w:color="auto"/>
        <w:bottom w:val="none" w:sz="0" w:space="0" w:color="auto"/>
        <w:right w:val="none" w:sz="0" w:space="0" w:color="auto"/>
      </w:divBdr>
    </w:div>
    <w:div w:id="737167755">
      <w:bodyDiv w:val="1"/>
      <w:marLeft w:val="0"/>
      <w:marRight w:val="0"/>
      <w:marTop w:val="0"/>
      <w:marBottom w:val="0"/>
      <w:divBdr>
        <w:top w:val="none" w:sz="0" w:space="0" w:color="auto"/>
        <w:left w:val="none" w:sz="0" w:space="0" w:color="auto"/>
        <w:bottom w:val="none" w:sz="0" w:space="0" w:color="auto"/>
        <w:right w:val="none" w:sz="0" w:space="0" w:color="auto"/>
      </w:divBdr>
    </w:div>
    <w:div w:id="1059017706">
      <w:bodyDiv w:val="1"/>
      <w:marLeft w:val="0"/>
      <w:marRight w:val="0"/>
      <w:marTop w:val="0"/>
      <w:marBottom w:val="0"/>
      <w:divBdr>
        <w:top w:val="none" w:sz="0" w:space="0" w:color="auto"/>
        <w:left w:val="none" w:sz="0" w:space="0" w:color="auto"/>
        <w:bottom w:val="none" w:sz="0" w:space="0" w:color="auto"/>
        <w:right w:val="none" w:sz="0" w:space="0" w:color="auto"/>
      </w:divBdr>
    </w:div>
    <w:div w:id="1148590631">
      <w:bodyDiv w:val="1"/>
      <w:marLeft w:val="0"/>
      <w:marRight w:val="0"/>
      <w:marTop w:val="0"/>
      <w:marBottom w:val="0"/>
      <w:divBdr>
        <w:top w:val="none" w:sz="0" w:space="0" w:color="auto"/>
        <w:left w:val="none" w:sz="0" w:space="0" w:color="auto"/>
        <w:bottom w:val="none" w:sz="0" w:space="0" w:color="auto"/>
        <w:right w:val="none" w:sz="0" w:space="0" w:color="auto"/>
      </w:divBdr>
    </w:div>
    <w:div w:id="1187984230">
      <w:bodyDiv w:val="1"/>
      <w:marLeft w:val="0"/>
      <w:marRight w:val="0"/>
      <w:marTop w:val="0"/>
      <w:marBottom w:val="0"/>
      <w:divBdr>
        <w:top w:val="none" w:sz="0" w:space="0" w:color="auto"/>
        <w:left w:val="none" w:sz="0" w:space="0" w:color="auto"/>
        <w:bottom w:val="none" w:sz="0" w:space="0" w:color="auto"/>
        <w:right w:val="none" w:sz="0" w:space="0" w:color="auto"/>
      </w:divBdr>
    </w:div>
    <w:div w:id="1505441537">
      <w:bodyDiv w:val="1"/>
      <w:marLeft w:val="0"/>
      <w:marRight w:val="0"/>
      <w:marTop w:val="0"/>
      <w:marBottom w:val="0"/>
      <w:divBdr>
        <w:top w:val="none" w:sz="0" w:space="0" w:color="auto"/>
        <w:left w:val="none" w:sz="0" w:space="0" w:color="auto"/>
        <w:bottom w:val="none" w:sz="0" w:space="0" w:color="auto"/>
        <w:right w:val="none" w:sz="0" w:space="0" w:color="auto"/>
      </w:divBdr>
    </w:div>
    <w:div w:id="1952743293">
      <w:bodyDiv w:val="1"/>
      <w:marLeft w:val="0"/>
      <w:marRight w:val="0"/>
      <w:marTop w:val="0"/>
      <w:marBottom w:val="0"/>
      <w:divBdr>
        <w:top w:val="none" w:sz="0" w:space="0" w:color="auto"/>
        <w:left w:val="none" w:sz="0" w:space="0" w:color="auto"/>
        <w:bottom w:val="none" w:sz="0" w:space="0" w:color="auto"/>
        <w:right w:val="none" w:sz="0" w:space="0" w:color="auto"/>
      </w:divBdr>
    </w:div>
    <w:div w:id="1970279101">
      <w:bodyDiv w:val="1"/>
      <w:marLeft w:val="0"/>
      <w:marRight w:val="0"/>
      <w:marTop w:val="0"/>
      <w:marBottom w:val="0"/>
      <w:divBdr>
        <w:top w:val="none" w:sz="0" w:space="0" w:color="auto"/>
        <w:left w:val="none" w:sz="0" w:space="0" w:color="auto"/>
        <w:bottom w:val="none" w:sz="0" w:space="0" w:color="auto"/>
        <w:right w:val="none" w:sz="0" w:space="0" w:color="auto"/>
      </w:divBdr>
    </w:div>
    <w:div w:id="2012022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entrica.com/media/op3lyz33/centrica-annual-report-2023.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entrica.com/media/4462/centrica-proposed-sale-of-direct-energy.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Whi21</b:Tag>
    <b:SourceType>Book</b:SourceType>
    <b:Guid>{059B548D-F5EB-4A6F-81AC-FFFEBBDEDCE4}</b:Guid>
    <b:Title>Exploring strategy</b:Title>
    <b:Year>2021</b:Year>
    <b:City>Harlow</b:City>
    <b:Publisher>Pearson</b:Publisher>
    <b:Author>
      <b:Author>
        <b:NameList>
          <b:Person>
            <b:Last>Whittington</b:Last>
            <b:First>Richard</b:First>
          </b:Person>
          <b:Person>
            <b:Last>Regner</b:Last>
            <b:First>Patric</b:First>
          </b:Person>
          <b:Person>
            <b:Last>Anguin</b:Last>
            <b:First>Duncan</b:First>
          </b:Person>
          <b:Person>
            <b:Last>Jhonson</b:Last>
            <b:First>Gerry</b:First>
          </b:Person>
          <b:Person>
            <b:Last>Scholes</b:Last>
            <b:First>Kevan</b:First>
          </b:Person>
        </b:NameList>
      </b:Author>
    </b:Author>
    <b:Edition>12</b:Edition>
    <b:RefOrder>1</b:RefOrder>
  </b:Source>
  <b:Source>
    <b:Tag>Fer18</b:Tag>
    <b:SourceType>Book</b:SourceType>
    <b:Guid>{A941088D-7A36-4F5C-9319-F4AA92CBF396}</b:Guid>
    <b:Title>Innovation and Supply Chain Management: Relationship, Collaboration and Strategies</b:Title>
    <b:Year>2018</b:Year>
    <b:City>Cham,</b:City>
    <b:Publisher>Springer</b:Publisher>
    <b:Author>
      <b:Author>
        <b:NameList>
          <b:Person>
            <b:Last>Ferreira</b:Last>
            <b:Middle>D.F.</b:Middle>
            <b:First>Luis Miguel</b:First>
          </b:Person>
          <b:Person>
            <b:Last>Morerira</b:Last>
            <b:Middle>Carrizo</b:Middle>
            <b:First>Antonio</b:First>
          </b:Person>
          <b:Person>
            <b:Last>Zimmermann</b:Last>
            <b:First>Ricardo</b:First>
          </b:Person>
        </b:NameList>
      </b:Author>
    </b:Author>
    <b:RefOrder>3</b:RefOrder>
  </b:Source>
  <b:Source>
    <b:Tag>Ric18</b:Tag>
    <b:SourceType>Book</b:SourceType>
    <b:Guid>{740E130B-9A02-44C9-AABA-69E524410C34}</b:Guid>
    <b:Author>
      <b:Author>
        <b:NameList>
          <b:Person>
            <b:Last>Richard</b:Last>
            <b:First>Lynch</b:First>
          </b:Person>
        </b:NameList>
      </b:Author>
    </b:Author>
    <b:Title>Strategic Management</b:Title>
    <b:Year>2018</b:Year>
    <b:Publisher>Pearson Education Limited</b:Publisher>
    <b:Edition>8</b:Edition>
    <b:RefOrder>2</b:RefOrder>
  </b:Source>
</b:Sources>
</file>

<file path=customXml/itemProps1.xml><?xml version="1.0" encoding="utf-8"?>
<ds:datastoreItem xmlns:ds="http://schemas.openxmlformats.org/officeDocument/2006/customXml" ds:itemID="{F02A61F2-8ADC-44A5-BFAC-155DBD954D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3034</Words>
  <Characters>22001</Characters>
  <Application>Microsoft Office Word</Application>
  <DocSecurity>0</DocSecurity>
  <Lines>183</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Figen Ahmed</dc:creator>
  <cp:keywords/>
  <dc:description/>
  <cp:lastModifiedBy>Mihail Roussev</cp:lastModifiedBy>
  <cp:revision>3</cp:revision>
  <dcterms:created xsi:type="dcterms:W3CDTF">2024-04-23T23:58:00Z</dcterms:created>
  <dcterms:modified xsi:type="dcterms:W3CDTF">2024-04-24T00:12:00Z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f5cd289be9d457d4e400ae19444c1c18cf2cbe2d07604b67ef0c101cce6f1e4c</vt:lpwstr>
  </property>
</Properties>
</file>