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jc w:val="center"/>
        <w:rPr>
          <w:rFonts w:ascii="Lora" w:cs="Lora" w:eastAsia="Lora" w:hAnsi="Lora"/>
        </w:rPr>
      </w:pPr>
      <w:bookmarkStart w:colFirst="0" w:colLast="0" w:name="_e976v97gppfi" w:id="0"/>
      <w:bookmarkEnd w:id="0"/>
      <w:r w:rsidDel="00000000" w:rsidR="00000000" w:rsidRPr="00000000">
        <w:rPr>
          <w:rFonts w:ascii="Lora" w:cs="Lora" w:eastAsia="Lora" w:hAnsi="Lora"/>
          <w:rtl w:val="0"/>
        </w:rPr>
        <w:t xml:space="preserve">Chapter One - Introduction</w:t>
      </w:r>
    </w:p>
    <w:p w:rsidR="00000000" w:rsidDel="00000000" w:rsidP="00000000" w:rsidRDefault="00000000" w:rsidRPr="00000000" w14:paraId="00000002">
      <w:pPr>
        <w:rPr>
          <w:color w:val="ff0000"/>
        </w:rPr>
      </w:pPr>
      <w:r w:rsidDel="00000000" w:rsidR="00000000" w:rsidRPr="00000000">
        <w:rPr>
          <w:color w:val="ff0000"/>
          <w:rtl w:val="0"/>
        </w:rPr>
        <w:t xml:space="preserve">Note for feedback: I am over recommended word count by around 165 words. I am hoping I can condense when given feedback on removals and improvements.</w:t>
      </w:r>
    </w:p>
    <w:p w:rsidR="00000000" w:rsidDel="00000000" w:rsidP="00000000" w:rsidRDefault="00000000" w:rsidRPr="00000000" w14:paraId="00000003">
      <w:pPr>
        <w:rPr>
          <w:rFonts w:ascii="Lora" w:cs="Lora" w:eastAsia="Lora" w:hAnsi="Lora"/>
          <w:b w:val="1"/>
          <w:bCs w:val="1"/>
          <w:sz w:val="24"/>
          <w:szCs w:val="24"/>
        </w:rPr>
      </w:pPr>
      <w:r w:rsidDel="00000000" w:rsidR="00000000" w:rsidRPr="00000000">
        <w:rPr>
          <w:rFonts w:ascii="Lora" w:cs="Lora" w:eastAsia="Lora" w:hAnsi="Lora"/>
          <w:b w:val="1"/>
          <w:bCs w:val="1"/>
          <w:sz w:val="24"/>
          <w:szCs w:val="24"/>
          <w:rtl w:val="0"/>
        </w:rPr>
        <w:t xml:space="preserve">1.1 Background and Research Focus</w:t>
      </w:r>
    </w:p>
    <w:p w:rsidR="00000000" w:rsidDel="00000000" w:rsidP="00000000" w:rsidRDefault="00000000" w:rsidRPr="00000000" w14:paraId="00000004">
      <w:pPr>
        <w:rPr>
          <w:rFonts w:ascii="Lora" w:cs="Lora" w:eastAsia="Lora" w:hAnsi="Lora"/>
          <w:b w:val="1"/>
          <w:bCs w:val="1"/>
          <w:sz w:val="24"/>
          <w:szCs w:val="24"/>
        </w:rPr>
      </w:pPr>
      <w:r w:rsidDel="00000000" w:rsidR="00000000" w:rsidRPr="00000000">
        <w:rPr>
          <w:rtl w:val="0"/>
        </w:rPr>
      </w:r>
    </w:p>
    <w:p w:rsidR="00000000" w:rsidDel="00000000" w:rsidP="00000000" w:rsidRDefault="00000000" w:rsidRPr="00000000" w14:paraId="00000005">
      <w:pPr>
        <w:rPr>
          <w:rFonts w:ascii="Lora" w:cs="Lora" w:eastAsia="Lora" w:hAnsi="Lora"/>
          <w:sz w:val="24"/>
          <w:szCs w:val="24"/>
        </w:rPr>
      </w:pPr>
      <w:r w:rsidDel="00000000" w:rsidR="00000000" w:rsidRPr="00000000">
        <w:rPr>
          <w:rFonts w:ascii="Lora" w:cs="Lora" w:eastAsia="Lora" w:hAnsi="Lora"/>
          <w:b w:val="1"/>
          <w:bCs w:val="1"/>
          <w:sz w:val="24"/>
          <w:szCs w:val="24"/>
          <w:rtl w:val="0"/>
        </w:rPr>
        <w:tab/>
        <w:t xml:space="preserve">1.1.1. Background</w:t>
      </w:r>
      <w:r w:rsidDel="00000000" w:rsidR="00000000" w:rsidRPr="00000000">
        <w:rPr>
          <w:rtl w:val="0"/>
        </w:rPr>
      </w:r>
    </w:p>
    <w:p w:rsidR="00000000" w:rsidDel="00000000" w:rsidP="00000000" w:rsidRDefault="00000000" w:rsidRPr="00000000" w14:paraId="00000006">
      <w:pPr>
        <w:rPr>
          <w:rFonts w:ascii="Lora" w:cs="Lora" w:eastAsia="Lora" w:hAnsi="Lora"/>
          <w:sz w:val="24"/>
          <w:szCs w:val="24"/>
        </w:rPr>
      </w:pPr>
      <w:r w:rsidDel="00000000" w:rsidR="00000000" w:rsidRPr="00000000">
        <w:rPr>
          <w:rFonts w:ascii="Lora" w:cs="Lora" w:eastAsia="Lora" w:hAnsi="Lora"/>
          <w:sz w:val="24"/>
          <w:szCs w:val="24"/>
          <w:rtl w:val="0"/>
        </w:rPr>
        <w:t xml:space="preserve">The importance of this research lies in providing additional evidence on how adverse childhood experiences affect those individuals in later life and the link it has to criminal involvement as they age. ACEs is described by the HM Inspectorate of Constabulary and Fire &amp; Rescue Services (2021) as “</w:t>
      </w:r>
      <w:r w:rsidDel="00000000" w:rsidR="00000000" w:rsidRPr="00000000">
        <w:rPr>
          <w:rFonts w:ascii="Lora" w:cs="Lora" w:eastAsia="Lora" w:hAnsi="Lora"/>
          <w:sz w:val="24"/>
          <w:szCs w:val="24"/>
          <w:rtl w:val="0"/>
        </w:rPr>
        <w:t xml:space="preserve">Potentially traumatic events that occur in childhood</w:t>
      </w:r>
      <w:r w:rsidDel="00000000" w:rsidR="00000000" w:rsidRPr="00000000">
        <w:rPr>
          <w:rFonts w:ascii="Lora" w:cs="Lora" w:eastAsia="Lora" w:hAnsi="Lora"/>
          <w:sz w:val="24"/>
          <w:szCs w:val="24"/>
          <w:rtl w:val="0"/>
        </w:rPr>
        <w:t xml:space="preserve"> and that can have a huge effect on the rest of a person's life.” To add, I would like to highlight an additional definition from Public health Wales (n.d.) that reiterates this definition, with the added adjective “preventable” in its quote “Adverse childhood experiences (ACEs) are </w:t>
      </w:r>
      <w:r w:rsidDel="00000000" w:rsidR="00000000" w:rsidRPr="00000000">
        <w:rPr>
          <w:rFonts w:ascii="Lora" w:cs="Lora" w:eastAsia="Lora" w:hAnsi="Lora"/>
          <w:b w:val="1"/>
          <w:bCs w:val="1"/>
          <w:sz w:val="24"/>
          <w:szCs w:val="24"/>
          <w:rtl w:val="0"/>
        </w:rPr>
        <w:t xml:space="preserve">preventable</w:t>
      </w:r>
      <w:r w:rsidDel="00000000" w:rsidR="00000000" w:rsidRPr="00000000">
        <w:rPr>
          <w:rFonts w:ascii="Lora" w:cs="Lora" w:eastAsia="Lora" w:hAnsi="Lora"/>
          <w:sz w:val="24"/>
          <w:szCs w:val="24"/>
          <w:rtl w:val="0"/>
        </w:rPr>
        <w:t xml:space="preserve">, potentially traumatic events…</w:t>
      </w:r>
      <w:r w:rsidDel="00000000" w:rsidR="00000000" w:rsidRPr="00000000">
        <w:rPr>
          <w:rFonts w:ascii="Lora" w:cs="Lora" w:eastAsia="Lora" w:hAnsi="Lora"/>
          <w:sz w:val="24"/>
          <w:szCs w:val="24"/>
          <w:rtl w:val="0"/>
        </w:rPr>
        <w:t xml:space="preserve">”.  There is no single definition that is universally recognised surrounding ACEs, though there is a consistent overlap within the specific adverse experiences that fall under this umbrella. Some examples include:</w:t>
      </w:r>
      <w:r w:rsidDel="00000000" w:rsidR="00000000" w:rsidRPr="00000000">
        <w:rPr>
          <w:rtl w:val="0"/>
        </w:rPr>
      </w:r>
    </w:p>
    <w:p w:rsidR="00000000" w:rsidDel="00000000" w:rsidP="00000000" w:rsidRDefault="00000000" w:rsidRPr="00000000" w14:paraId="00000007">
      <w:pPr>
        <w:numPr>
          <w:ilvl w:val="0"/>
          <w:numId w:val="1"/>
        </w:numPr>
        <w:spacing w:after="0" w:afterAutospacing="0" w:before="360" w:lineRule="auto"/>
        <w:ind w:left="720" w:hanging="360"/>
        <w:rPr>
          <w:rFonts w:ascii="Lora" w:cs="Lora" w:eastAsia="Lora" w:hAnsi="Lora"/>
          <w:sz w:val="24"/>
          <w:szCs w:val="24"/>
        </w:rPr>
      </w:pPr>
      <w:r w:rsidDel="00000000" w:rsidR="00000000" w:rsidRPr="00000000">
        <w:rPr>
          <w:rFonts w:ascii="Lora" w:cs="Lora" w:eastAsia="Lora" w:hAnsi="Lora"/>
          <w:sz w:val="24"/>
          <w:szCs w:val="24"/>
          <w:rtl w:val="0"/>
        </w:rPr>
        <w:t xml:space="preserve">Physical abuse.</w:t>
      </w:r>
    </w:p>
    <w:p w:rsidR="00000000" w:rsidDel="00000000" w:rsidP="00000000" w:rsidRDefault="00000000" w:rsidRPr="00000000" w14:paraId="00000008">
      <w:pPr>
        <w:numPr>
          <w:ilvl w:val="0"/>
          <w:numId w:val="1"/>
        </w:numPr>
        <w:spacing w:after="0" w:afterAutospacing="0" w:before="0" w:beforeAutospacing="0" w:lineRule="auto"/>
        <w:ind w:left="720" w:hanging="360"/>
        <w:rPr>
          <w:rFonts w:ascii="Lora" w:cs="Lora" w:eastAsia="Lora" w:hAnsi="Lora"/>
          <w:sz w:val="24"/>
          <w:szCs w:val="24"/>
        </w:rPr>
      </w:pPr>
      <w:r w:rsidDel="00000000" w:rsidR="00000000" w:rsidRPr="00000000">
        <w:rPr>
          <w:rFonts w:ascii="Lora" w:cs="Lora" w:eastAsia="Lora" w:hAnsi="Lora"/>
          <w:sz w:val="24"/>
          <w:szCs w:val="24"/>
          <w:rtl w:val="0"/>
        </w:rPr>
        <w:t xml:space="preserve">Sexual abuse.</w:t>
      </w:r>
    </w:p>
    <w:p w:rsidR="00000000" w:rsidDel="00000000" w:rsidP="00000000" w:rsidRDefault="00000000" w:rsidRPr="00000000" w14:paraId="00000009">
      <w:pPr>
        <w:numPr>
          <w:ilvl w:val="0"/>
          <w:numId w:val="1"/>
        </w:numPr>
        <w:spacing w:after="0" w:afterAutospacing="0" w:before="0" w:beforeAutospacing="0" w:lineRule="auto"/>
        <w:ind w:left="720" w:hanging="360"/>
        <w:rPr>
          <w:rFonts w:ascii="Lora" w:cs="Lora" w:eastAsia="Lora" w:hAnsi="Lora"/>
          <w:sz w:val="24"/>
          <w:szCs w:val="24"/>
        </w:rPr>
      </w:pPr>
      <w:r w:rsidDel="00000000" w:rsidR="00000000" w:rsidRPr="00000000">
        <w:rPr>
          <w:rFonts w:ascii="Lora" w:cs="Lora" w:eastAsia="Lora" w:hAnsi="Lora"/>
          <w:sz w:val="24"/>
          <w:szCs w:val="24"/>
          <w:rtl w:val="0"/>
        </w:rPr>
        <w:t xml:space="preserve">Physical neglect.</w:t>
      </w:r>
    </w:p>
    <w:p w:rsidR="00000000" w:rsidDel="00000000" w:rsidP="00000000" w:rsidRDefault="00000000" w:rsidRPr="00000000" w14:paraId="0000000A">
      <w:pPr>
        <w:numPr>
          <w:ilvl w:val="0"/>
          <w:numId w:val="1"/>
        </w:numPr>
        <w:spacing w:after="0" w:afterAutospacing="0" w:before="0" w:beforeAutospacing="0" w:lineRule="auto"/>
        <w:ind w:left="720" w:hanging="360"/>
        <w:rPr>
          <w:rFonts w:ascii="Lora" w:cs="Lora" w:eastAsia="Lora" w:hAnsi="Lora"/>
          <w:sz w:val="24"/>
          <w:szCs w:val="24"/>
        </w:rPr>
      </w:pPr>
      <w:r w:rsidDel="00000000" w:rsidR="00000000" w:rsidRPr="00000000">
        <w:rPr>
          <w:rFonts w:ascii="Lora" w:cs="Lora" w:eastAsia="Lora" w:hAnsi="Lora"/>
          <w:sz w:val="24"/>
          <w:szCs w:val="24"/>
          <w:rtl w:val="0"/>
        </w:rPr>
        <w:t xml:space="preserve">Emotional neglect.</w:t>
      </w:r>
    </w:p>
    <w:p w:rsidR="00000000" w:rsidDel="00000000" w:rsidP="00000000" w:rsidRDefault="00000000" w:rsidRPr="00000000" w14:paraId="0000000B">
      <w:pPr>
        <w:numPr>
          <w:ilvl w:val="0"/>
          <w:numId w:val="1"/>
        </w:numPr>
        <w:spacing w:after="0" w:afterAutospacing="0" w:before="0" w:beforeAutospacing="0" w:lineRule="auto"/>
        <w:ind w:left="720" w:hanging="360"/>
        <w:rPr>
          <w:rFonts w:ascii="Lora" w:cs="Lora" w:eastAsia="Lora" w:hAnsi="Lora"/>
          <w:sz w:val="24"/>
          <w:szCs w:val="24"/>
        </w:rPr>
      </w:pPr>
      <w:r w:rsidDel="00000000" w:rsidR="00000000" w:rsidRPr="00000000">
        <w:rPr>
          <w:rFonts w:ascii="Lora" w:cs="Lora" w:eastAsia="Lora" w:hAnsi="Lora"/>
          <w:sz w:val="24"/>
          <w:szCs w:val="24"/>
          <w:rtl w:val="0"/>
        </w:rPr>
        <w:t xml:space="preserve">Household mental illness.</w:t>
      </w:r>
    </w:p>
    <w:p w:rsidR="00000000" w:rsidDel="00000000" w:rsidP="00000000" w:rsidRDefault="00000000" w:rsidRPr="00000000" w14:paraId="0000000C">
      <w:pPr>
        <w:numPr>
          <w:ilvl w:val="0"/>
          <w:numId w:val="1"/>
        </w:numPr>
        <w:spacing w:after="0" w:afterAutospacing="0" w:before="0" w:beforeAutospacing="0" w:lineRule="auto"/>
        <w:ind w:left="720" w:hanging="360"/>
        <w:rPr>
          <w:rFonts w:ascii="Lora" w:cs="Lora" w:eastAsia="Lora" w:hAnsi="Lora"/>
          <w:sz w:val="24"/>
          <w:szCs w:val="24"/>
        </w:rPr>
      </w:pPr>
      <w:r w:rsidDel="00000000" w:rsidR="00000000" w:rsidRPr="00000000">
        <w:rPr>
          <w:rFonts w:ascii="Lora" w:cs="Lora" w:eastAsia="Lora" w:hAnsi="Lora"/>
          <w:sz w:val="24"/>
          <w:szCs w:val="24"/>
          <w:rtl w:val="0"/>
        </w:rPr>
        <w:t xml:space="preserve">Household domestic violence.</w:t>
      </w:r>
    </w:p>
    <w:p w:rsidR="00000000" w:rsidDel="00000000" w:rsidP="00000000" w:rsidRDefault="00000000" w:rsidRPr="00000000" w14:paraId="0000000D">
      <w:pPr>
        <w:numPr>
          <w:ilvl w:val="0"/>
          <w:numId w:val="1"/>
        </w:numPr>
        <w:spacing w:after="0" w:afterAutospacing="0" w:before="0" w:beforeAutospacing="0" w:lineRule="auto"/>
        <w:ind w:left="720" w:hanging="360"/>
        <w:rPr>
          <w:rFonts w:ascii="Lora" w:cs="Lora" w:eastAsia="Lora" w:hAnsi="Lora"/>
          <w:sz w:val="24"/>
          <w:szCs w:val="24"/>
        </w:rPr>
      </w:pPr>
      <w:r w:rsidDel="00000000" w:rsidR="00000000" w:rsidRPr="00000000">
        <w:rPr>
          <w:rFonts w:ascii="Lora" w:cs="Lora" w:eastAsia="Lora" w:hAnsi="Lora"/>
          <w:sz w:val="24"/>
          <w:szCs w:val="24"/>
          <w:rtl w:val="0"/>
        </w:rPr>
        <w:t xml:space="preserve">Household alcohol abuse.</w:t>
      </w:r>
    </w:p>
    <w:p w:rsidR="00000000" w:rsidDel="00000000" w:rsidP="00000000" w:rsidRDefault="00000000" w:rsidRPr="00000000" w14:paraId="0000000E">
      <w:pPr>
        <w:numPr>
          <w:ilvl w:val="0"/>
          <w:numId w:val="1"/>
        </w:numPr>
        <w:spacing w:after="0" w:afterAutospacing="0" w:before="0" w:beforeAutospacing="0" w:lineRule="auto"/>
        <w:ind w:left="720" w:hanging="360"/>
        <w:rPr>
          <w:rFonts w:ascii="Lora" w:cs="Lora" w:eastAsia="Lora" w:hAnsi="Lora"/>
          <w:sz w:val="24"/>
          <w:szCs w:val="24"/>
        </w:rPr>
      </w:pPr>
      <w:r w:rsidDel="00000000" w:rsidR="00000000" w:rsidRPr="00000000">
        <w:rPr>
          <w:rFonts w:ascii="Lora" w:cs="Lora" w:eastAsia="Lora" w:hAnsi="Lora"/>
          <w:sz w:val="24"/>
          <w:szCs w:val="24"/>
          <w:rtl w:val="0"/>
        </w:rPr>
        <w:t xml:space="preserve">Household drug abuse.</w:t>
      </w:r>
    </w:p>
    <w:p w:rsidR="00000000" w:rsidDel="00000000" w:rsidP="00000000" w:rsidRDefault="00000000" w:rsidRPr="00000000" w14:paraId="0000000F">
      <w:pPr>
        <w:numPr>
          <w:ilvl w:val="0"/>
          <w:numId w:val="1"/>
        </w:numPr>
        <w:spacing w:after="200" w:before="0" w:beforeAutospacing="0" w:lineRule="auto"/>
        <w:ind w:left="720" w:hanging="360"/>
        <w:rPr>
          <w:rFonts w:ascii="Lora" w:cs="Lora" w:eastAsia="Lora" w:hAnsi="Lora"/>
          <w:sz w:val="24"/>
          <w:szCs w:val="24"/>
        </w:rPr>
      </w:pPr>
      <w:r w:rsidDel="00000000" w:rsidR="00000000" w:rsidRPr="00000000">
        <w:rPr>
          <w:rFonts w:ascii="Lora" w:cs="Lora" w:eastAsia="Lora" w:hAnsi="Lora"/>
          <w:sz w:val="24"/>
          <w:szCs w:val="24"/>
          <w:rtl w:val="0"/>
        </w:rPr>
        <w:t xml:space="preserve">Incarceration of a household member.</w:t>
      </w:r>
    </w:p>
    <w:p w:rsidR="00000000" w:rsidDel="00000000" w:rsidP="00000000" w:rsidRDefault="00000000" w:rsidRPr="00000000" w14:paraId="00000010">
      <w:pPr>
        <w:spacing w:after="200" w:before="360" w:lineRule="auto"/>
        <w:ind w:left="0" w:firstLine="0"/>
        <w:rPr>
          <w:rFonts w:ascii="Lora" w:cs="Lora" w:eastAsia="Lora" w:hAnsi="Lora"/>
          <w:sz w:val="24"/>
          <w:szCs w:val="24"/>
        </w:rPr>
      </w:pPr>
      <w:r w:rsidDel="00000000" w:rsidR="00000000" w:rsidRPr="00000000">
        <w:rPr>
          <w:rFonts w:ascii="Lora" w:cs="Lora" w:eastAsia="Lora" w:hAnsi="Lora"/>
          <w:sz w:val="24"/>
          <w:szCs w:val="24"/>
          <w:rtl w:val="0"/>
        </w:rPr>
        <w:t xml:space="preserve">(House of Commons Science and Technology Committee, 2018). This list is not exhaustive, and could contain additional adverse experiences that focus on the further environmental exposures such as poverty, bullying, a young person with caring responsibilities and more (</w:t>
      </w:r>
      <w:r w:rsidDel="00000000" w:rsidR="00000000" w:rsidRPr="00000000">
        <w:rPr>
          <w:rFonts w:ascii="Lora" w:cs="Lora" w:eastAsia="Lora" w:hAnsi="Lora"/>
          <w:sz w:val="24"/>
          <w:szCs w:val="24"/>
          <w:rtl w:val="0"/>
        </w:rPr>
        <w:t xml:space="preserve">NHS Cheshire and Merseyside, 2026</w:t>
      </w:r>
      <w:r w:rsidDel="00000000" w:rsidR="00000000" w:rsidRPr="00000000">
        <w:rPr>
          <w:rFonts w:ascii="Lora" w:cs="Lora" w:eastAsia="Lora" w:hAnsi="Lora"/>
          <w:sz w:val="24"/>
          <w:szCs w:val="24"/>
          <w:rtl w:val="0"/>
        </w:rPr>
        <w:t xml:space="preserve">). Research highlights that children involved in the youth justice system often come from the most disadvantaged families and areas, with increasing levels of exposure to ACEs (HM Inspectorate of Probation, 2023). To visualise, a child could grow up observing a domestic abuse situation within their home life. Evidence suggests that the exposure to this kind of behaviour can increase the likelihood of the child growing up to display the same violence in later life, explained through the process of Social Learning theory, where you imitate the behaviours that you observe in your environment (McLeod, 2026). </w:t>
      </w:r>
    </w:p>
    <w:p w:rsidR="00000000" w:rsidDel="00000000" w:rsidP="00000000" w:rsidRDefault="00000000" w:rsidRPr="00000000" w14:paraId="00000011">
      <w:pPr>
        <w:spacing w:after="200" w:before="360" w:lineRule="auto"/>
        <w:ind w:left="0" w:firstLine="0"/>
        <w:rPr>
          <w:rFonts w:ascii="Lora" w:cs="Lora" w:eastAsia="Lora" w:hAnsi="Lora"/>
          <w:sz w:val="24"/>
          <w:szCs w:val="24"/>
        </w:rPr>
      </w:pPr>
      <w:r w:rsidDel="00000000" w:rsidR="00000000" w:rsidRPr="00000000">
        <w:rPr>
          <w:rFonts w:ascii="Lora" w:cs="Lora" w:eastAsia="Lora" w:hAnsi="Lora"/>
          <w:sz w:val="24"/>
          <w:szCs w:val="24"/>
          <w:rtl w:val="0"/>
        </w:rPr>
        <w:t xml:space="preserve">A range of statutory and third-sector organisations provide safeguarding, support and specialist interventions for children experiencing adversity (Department for Education, 2026). ACEs encompass a range of potentially harmful childhood experiences, some of which may involve experiencing or witnessing crime. Depending on the circumstances, these experiences may prompt referrals for safeguarding or specialist support (Welsh Government, 2019). Police may become involved when childhood adversity involves suspected criminal activity or safeguarding concerns, although other professionals and services may identify a child's support needs first; Depending on the circumstances, this may include referrals to health or mental health services as part of a multi-agency safeguarding response (College of Policing, 2022). This research aims to explore whether this process is being effectively put into practice, and if there are findings to support that this process is helpful in mitigating any potential negative impacts on the child. Early intervention may help address the needs and risk factors associated with childhood adversity, potentially reducing the likelihood of later involvement in offending or the criminal justice system (HM inspectorate of Probation, 2025). Multi-agency working is essential to safeguarding children and ensuring their needs are properly understood and addressed, as no single professional is likely to have a complete picture of a child's circumstances (Welsh Government, 2019). However, concerns remain regarding the effectiveness of existing interventions, with evidence of inconsistent information sharing, unclear responsibilities between agencies and interventions that are not always jointly planned or delivered effectively (McManus, Ball and Almond, 2023; HM Inspectorate of Probation, 2025). Although, policy and legislative changes increasingly recognise the impact of adverse childhood experiences on children. For example, Section 3 of the Domestic Abuse Act 2021 recognises children who see, hear or experience the effects of domestic abuse as victims in their own right (Domestic Abuse Act 2021, s.3). More recently, the Department for Education updated its </w:t>
      </w:r>
      <w:r w:rsidDel="00000000" w:rsidR="00000000" w:rsidRPr="00000000">
        <w:rPr>
          <w:rFonts w:ascii="Lora" w:cs="Lora" w:eastAsia="Lora" w:hAnsi="Lora"/>
          <w:i w:val="1"/>
          <w:iCs w:val="1"/>
          <w:sz w:val="24"/>
          <w:szCs w:val="24"/>
          <w:rtl w:val="0"/>
        </w:rPr>
        <w:t xml:space="preserve">Working Together to Safeguard Children</w:t>
      </w:r>
      <w:r w:rsidDel="00000000" w:rsidR="00000000" w:rsidRPr="00000000">
        <w:rPr>
          <w:rFonts w:ascii="Lora" w:cs="Lora" w:eastAsia="Lora" w:hAnsi="Lora"/>
          <w:sz w:val="24"/>
          <w:szCs w:val="24"/>
          <w:rtl w:val="0"/>
        </w:rPr>
        <w:t xml:space="preserve"> statutory guidance in March 2026, reinforcing the importance of multi-agency cooperation, information sharing and coordinated support to safeguard children and families (Department for Education, 2026).</w:t>
      </w:r>
      <w:r w:rsidDel="00000000" w:rsidR="00000000" w:rsidRPr="00000000">
        <w:rPr>
          <w:rtl w:val="0"/>
        </w:rPr>
      </w:r>
    </w:p>
    <w:p w:rsidR="00000000" w:rsidDel="00000000" w:rsidP="00000000" w:rsidRDefault="00000000" w:rsidRPr="00000000" w14:paraId="00000012">
      <w:pPr>
        <w:rPr>
          <w:rFonts w:ascii="Lora" w:cs="Lora" w:eastAsia="Lora" w:hAnsi="Lora"/>
          <w:sz w:val="24"/>
          <w:szCs w:val="24"/>
        </w:rPr>
      </w:pPr>
      <w:r w:rsidDel="00000000" w:rsidR="00000000" w:rsidRPr="00000000">
        <w:rPr>
          <w:rtl w:val="0"/>
        </w:rPr>
      </w:r>
    </w:p>
    <w:p w:rsidR="00000000" w:rsidDel="00000000" w:rsidP="00000000" w:rsidRDefault="00000000" w:rsidRPr="00000000" w14:paraId="00000013">
      <w:pPr>
        <w:rPr>
          <w:rFonts w:ascii="Lora" w:cs="Lora" w:eastAsia="Lora" w:hAnsi="Lora"/>
          <w:b w:val="1"/>
          <w:bCs w:val="1"/>
          <w:sz w:val="24"/>
          <w:szCs w:val="24"/>
        </w:rPr>
      </w:pPr>
      <w:r w:rsidDel="00000000" w:rsidR="00000000" w:rsidRPr="00000000">
        <w:rPr>
          <w:rFonts w:ascii="Lora" w:cs="Lora" w:eastAsia="Lora" w:hAnsi="Lora"/>
          <w:b w:val="1"/>
          <w:bCs w:val="1"/>
          <w:sz w:val="24"/>
          <w:szCs w:val="24"/>
          <w:rtl w:val="0"/>
        </w:rPr>
        <w:tab/>
        <w:t xml:space="preserve">1.1.2 Research Focus</w:t>
      </w:r>
    </w:p>
    <w:p w:rsidR="00000000" w:rsidDel="00000000" w:rsidP="00000000" w:rsidRDefault="00000000" w:rsidRPr="00000000" w14:paraId="00000014">
      <w:pPr>
        <w:spacing w:after="240" w:before="240" w:lineRule="auto"/>
        <w:rPr>
          <w:rFonts w:ascii="Lora" w:cs="Lora" w:eastAsia="Lora" w:hAnsi="Lora"/>
          <w:sz w:val="24"/>
          <w:szCs w:val="24"/>
        </w:rPr>
      </w:pPr>
      <w:r w:rsidDel="00000000" w:rsidR="00000000" w:rsidRPr="00000000">
        <w:rPr>
          <w:rFonts w:ascii="Lora" w:cs="Lora" w:eastAsia="Lora" w:hAnsi="Lora"/>
          <w:sz w:val="24"/>
          <w:szCs w:val="24"/>
          <w:rtl w:val="0"/>
        </w:rPr>
        <w:t xml:space="preserve">Existing research identifies an association between adverse childhood experiences (ACEs) and later involvement in offending, particularly among children and young people experiencing multiple forms of disadvantage (HM Inspectorate of Probation, 2023). This research will therefore explore the relationship between ACEs, criminal involvement and access to professional support, focusing on whether appropriate early intervention and effective multi-agency working may help reduce the risk of later offending.</w:t>
      </w:r>
    </w:p>
    <w:p w:rsidR="00000000" w:rsidDel="00000000" w:rsidP="00000000" w:rsidRDefault="00000000" w:rsidRPr="00000000" w14:paraId="00000015">
      <w:pPr>
        <w:spacing w:after="240" w:before="240" w:lineRule="auto"/>
        <w:rPr>
          <w:rFonts w:ascii="Lora" w:cs="Lora" w:eastAsia="Lora" w:hAnsi="Lora"/>
          <w:sz w:val="24"/>
          <w:szCs w:val="24"/>
        </w:rPr>
      </w:pPr>
      <w:r w:rsidDel="00000000" w:rsidR="00000000" w:rsidRPr="00000000">
        <w:rPr>
          <w:rFonts w:ascii="Lora" w:cs="Lora" w:eastAsia="Lora" w:hAnsi="Lora"/>
          <w:sz w:val="24"/>
          <w:szCs w:val="24"/>
          <w:rtl w:val="0"/>
        </w:rPr>
        <w:t xml:space="preserve">The focus of this research is particularly important because children experiencing adversity may require support from multiple services, including social services, the police, education and mental health professionals. Where support is delayed, insufficient or poorly coordinated, opportunities to identify a child's needs and intervene at an early stage may be missed. Although safeguarding policies establish expectations for professional cooperation, concerns regarding information sharing, accountability and the delivery of interventions raise questions about how effectively these responsibilities are fulfilled in practice.</w:t>
      </w:r>
    </w:p>
    <w:p w:rsidR="00000000" w:rsidDel="00000000" w:rsidP="00000000" w:rsidRDefault="00000000" w:rsidRPr="00000000" w14:paraId="00000016">
      <w:pPr>
        <w:spacing w:after="240" w:before="240" w:lineRule="auto"/>
        <w:rPr>
          <w:rFonts w:ascii="Lora" w:cs="Lora" w:eastAsia="Lora" w:hAnsi="Lora"/>
          <w:sz w:val="24"/>
          <w:szCs w:val="24"/>
        </w:rPr>
      </w:pPr>
      <w:r w:rsidDel="00000000" w:rsidR="00000000" w:rsidRPr="00000000">
        <w:rPr>
          <w:rFonts w:ascii="Lora" w:cs="Lora" w:eastAsia="Lora" w:hAnsi="Lora"/>
          <w:sz w:val="24"/>
          <w:szCs w:val="24"/>
          <w:rtl w:val="0"/>
        </w:rPr>
        <w:t xml:space="preserve">By examining existing research alongside public perceptions of ACEs, professional support services and early intervention, the study aims to identify perceived gaps in current approaches and consider where improvements in multi-agency working may be beneficial. The findings may contribute to a better understanding of how coordinated support could help address childhood adversity and inform recommendations for policy and professional practice. However, the research will distinguish between established evidence and participants' perceptions, recognising that a public survey cannot independently determine whether particular services have caused or prevented criminal behaviour.</w:t>
      </w:r>
    </w:p>
    <w:p w:rsidR="00000000" w:rsidDel="00000000" w:rsidP="00000000" w:rsidRDefault="00000000" w:rsidRPr="00000000" w14:paraId="00000017">
      <w:pPr>
        <w:rPr>
          <w:rFonts w:ascii="Lora" w:cs="Lora" w:eastAsia="Lora" w:hAnsi="Lora"/>
          <w:sz w:val="24"/>
          <w:szCs w:val="24"/>
        </w:rPr>
      </w:pPr>
      <w:r w:rsidDel="00000000" w:rsidR="00000000" w:rsidRPr="00000000">
        <w:rPr>
          <w:rtl w:val="0"/>
        </w:rPr>
      </w:r>
    </w:p>
    <w:p w:rsidR="00000000" w:rsidDel="00000000" w:rsidP="00000000" w:rsidRDefault="00000000" w:rsidRPr="00000000" w14:paraId="00000018">
      <w:pPr>
        <w:rPr>
          <w:rFonts w:ascii="Lora" w:cs="Lora" w:eastAsia="Lora" w:hAnsi="Lora"/>
          <w:b w:val="1"/>
          <w:bCs w:val="1"/>
          <w:sz w:val="24"/>
          <w:szCs w:val="24"/>
        </w:rPr>
      </w:pPr>
      <w:r w:rsidDel="00000000" w:rsidR="00000000" w:rsidRPr="00000000">
        <w:rPr>
          <w:rtl w:val="0"/>
        </w:rPr>
      </w:r>
    </w:p>
    <w:p w:rsidR="00000000" w:rsidDel="00000000" w:rsidP="00000000" w:rsidRDefault="00000000" w:rsidRPr="00000000" w14:paraId="00000019">
      <w:pPr>
        <w:rPr>
          <w:rFonts w:ascii="Lora" w:cs="Lora" w:eastAsia="Lora" w:hAnsi="Lora"/>
          <w:b w:val="1"/>
          <w:bCs w:val="1"/>
          <w:sz w:val="24"/>
          <w:szCs w:val="24"/>
        </w:rPr>
      </w:pPr>
      <w:r w:rsidDel="00000000" w:rsidR="00000000" w:rsidRPr="00000000">
        <w:rPr>
          <w:rFonts w:ascii="Lora" w:cs="Lora" w:eastAsia="Lora" w:hAnsi="Lora"/>
          <w:b w:val="1"/>
          <w:bCs w:val="1"/>
          <w:sz w:val="24"/>
          <w:szCs w:val="24"/>
          <w:rtl w:val="0"/>
        </w:rPr>
        <w:t xml:space="preserve">1.2 Aims and Objectives</w:t>
      </w:r>
    </w:p>
    <w:p w:rsidR="00000000" w:rsidDel="00000000" w:rsidP="00000000" w:rsidRDefault="00000000" w:rsidRPr="00000000" w14:paraId="0000001A">
      <w:pPr>
        <w:rPr>
          <w:rFonts w:ascii="Lora" w:cs="Lora" w:eastAsia="Lora" w:hAnsi="Lora"/>
          <w:b w:val="1"/>
          <w:bCs w:val="1"/>
          <w:sz w:val="24"/>
          <w:szCs w:val="24"/>
        </w:rPr>
      </w:pPr>
      <w:r w:rsidDel="00000000" w:rsidR="00000000" w:rsidRPr="00000000">
        <w:rPr>
          <w:rFonts w:ascii="Lora" w:cs="Lora" w:eastAsia="Lora" w:hAnsi="Lora"/>
          <w:b w:val="1"/>
          <w:bCs w:val="1"/>
          <w:sz w:val="24"/>
          <w:szCs w:val="24"/>
          <w:rtl w:val="0"/>
        </w:rPr>
        <w:tab/>
        <w:t xml:space="preserve">1.2.1 Aim</w:t>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hd w:fill="ffffff" w:val="clear"/>
        <w:spacing w:after="160" w:line="240" w:lineRule="auto"/>
        <w:jc w:val="both"/>
        <w:rPr>
          <w:rFonts w:ascii="Lora" w:cs="Lora" w:eastAsia="Lora" w:hAnsi="Lora"/>
          <w:b w:val="1"/>
          <w:bCs w:val="1"/>
          <w:sz w:val="24"/>
          <w:szCs w:val="24"/>
        </w:rPr>
      </w:pPr>
      <w:r w:rsidDel="00000000" w:rsidR="00000000" w:rsidRPr="00000000">
        <w:rPr>
          <w:rFonts w:ascii="Lora" w:cs="Lora" w:eastAsia="Lora" w:hAnsi="Lora"/>
          <w:sz w:val="24"/>
          <w:szCs w:val="24"/>
          <w:rtl w:val="0"/>
        </w:rPr>
        <w:t xml:space="preserve">To critically evaluate the importance of multi-agency work in supporting individuals exposed to Adverse Childhood Experiences (ACEs), with consideration of its role in addressing factors associated with future criminal involvement.</w:t>
      </w:r>
      <w:r w:rsidDel="00000000" w:rsidR="00000000" w:rsidRPr="00000000">
        <w:rPr>
          <w:rFonts w:ascii="Lora" w:cs="Lora" w:eastAsia="Lora" w:hAnsi="Lora"/>
          <w:sz w:val="24"/>
          <w:szCs w:val="24"/>
          <w:shd w:fill="c6c6c6" w:val="clear"/>
          <w:rtl w:val="0"/>
        </w:rPr>
        <w:t xml:space="preserve"> </w:t>
      </w:r>
      <w:r w:rsidDel="00000000" w:rsidR="00000000" w:rsidRPr="00000000">
        <w:rPr>
          <w:rtl w:val="0"/>
        </w:rPr>
      </w:r>
    </w:p>
    <w:p w:rsidR="00000000" w:rsidDel="00000000" w:rsidP="00000000" w:rsidRDefault="00000000" w:rsidRPr="00000000" w14:paraId="0000001C">
      <w:pPr>
        <w:rPr>
          <w:rFonts w:ascii="Lora" w:cs="Lora" w:eastAsia="Lora" w:hAnsi="Lora"/>
          <w:b w:val="1"/>
          <w:bCs w:val="1"/>
          <w:sz w:val="24"/>
          <w:szCs w:val="24"/>
        </w:rPr>
      </w:pPr>
      <w:r w:rsidDel="00000000" w:rsidR="00000000" w:rsidRPr="00000000">
        <w:rPr>
          <w:rFonts w:ascii="Lora" w:cs="Lora" w:eastAsia="Lora" w:hAnsi="Lora"/>
          <w:b w:val="1"/>
          <w:bCs w:val="1"/>
          <w:sz w:val="24"/>
          <w:szCs w:val="24"/>
          <w:rtl w:val="0"/>
        </w:rPr>
        <w:tab/>
        <w:t xml:space="preserve">1.2.2 Objectives</w:t>
      </w:r>
    </w:p>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240" w:lineRule="auto"/>
        <w:jc w:val="both"/>
        <w:rPr>
          <w:rFonts w:ascii="Lora" w:cs="Lora" w:eastAsia="Lora" w:hAnsi="Lora"/>
          <w:sz w:val="24"/>
          <w:szCs w:val="24"/>
          <w:shd w:fill="c6c6c6" w:val="clear"/>
        </w:rPr>
      </w:pPr>
      <w:r w:rsidDel="00000000" w:rsidR="00000000" w:rsidRPr="00000000">
        <w:rPr>
          <w:rFonts w:ascii="Lora" w:cs="Lora" w:eastAsia="Lora" w:hAnsi="Lora"/>
          <w:sz w:val="24"/>
          <w:szCs w:val="24"/>
          <w:rtl w:val="0"/>
        </w:rPr>
        <w:t xml:space="preserve">O1: To examine existing research on the relationship between Adverse Childhood Experiences (ACEs) and subsequent involvement in criminal activity.</w:t>
      </w:r>
      <w:r w:rsidDel="00000000" w:rsidR="00000000" w:rsidRPr="00000000">
        <w:rPr>
          <w:rtl w:val="0"/>
        </w:rPr>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240" w:lineRule="auto"/>
        <w:jc w:val="both"/>
        <w:rPr>
          <w:rFonts w:ascii="Lora" w:cs="Lora" w:eastAsia="Lora" w:hAnsi="Lora"/>
          <w:sz w:val="24"/>
          <w:szCs w:val="24"/>
          <w:shd w:fill="c6c6c6" w:val="clear"/>
        </w:rPr>
      </w:pPr>
      <w:r w:rsidDel="00000000" w:rsidR="00000000" w:rsidRPr="00000000">
        <w:rPr>
          <w:rFonts w:ascii="Lora" w:cs="Lora" w:eastAsia="Lora" w:hAnsi="Lora"/>
          <w:sz w:val="24"/>
          <w:szCs w:val="24"/>
          <w:rtl w:val="0"/>
        </w:rPr>
        <w:t xml:space="preserve">O2: To explore the publics’ perception of the effectiveness and accessibility of the police, social services, and mental health services in addressing the potential consequences of ACEs.</w:t>
      </w:r>
      <w:r w:rsidDel="00000000" w:rsidR="00000000" w:rsidRPr="00000000">
        <w:rPr>
          <w:rtl w:val="0"/>
        </w:rPr>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240" w:lineRule="auto"/>
        <w:jc w:val="both"/>
        <w:rPr>
          <w:rFonts w:ascii="Lora" w:cs="Lora" w:eastAsia="Lora" w:hAnsi="Lora"/>
          <w:b w:val="1"/>
          <w:bCs w:val="1"/>
          <w:sz w:val="26"/>
          <w:szCs w:val="26"/>
        </w:rPr>
      </w:pPr>
      <w:r w:rsidDel="00000000" w:rsidR="00000000" w:rsidRPr="00000000">
        <w:rPr>
          <w:rFonts w:ascii="Lora" w:cs="Lora" w:eastAsia="Lora" w:hAnsi="Lora"/>
          <w:sz w:val="24"/>
          <w:szCs w:val="24"/>
          <w:rtl w:val="0"/>
        </w:rPr>
        <w:t xml:space="preserve">O3: To identify potential gaps in the support from the police, social services and mental health teams and consider how multi-agency approaches could be improved to support individuals who have experienced ACEs.</w:t>
      </w:r>
      <w:r w:rsidDel="00000000" w:rsidR="00000000" w:rsidRPr="00000000">
        <w:rPr>
          <w:rFonts w:ascii="Lora" w:cs="Lora" w:eastAsia="Lora" w:hAnsi="Lora"/>
          <w:sz w:val="24"/>
          <w:szCs w:val="24"/>
          <w:shd w:fill="c6c6c6" w:val="clear"/>
          <w:rtl w:val="0"/>
        </w:rPr>
        <w:t xml:space="preserve"> </w:t>
      </w:r>
      <w:r w:rsidDel="00000000" w:rsidR="00000000" w:rsidRPr="00000000">
        <w:rPr>
          <w:rtl w:val="0"/>
        </w:rPr>
      </w:r>
    </w:p>
    <w:p w:rsidR="00000000" w:rsidDel="00000000" w:rsidP="00000000" w:rsidRDefault="00000000" w:rsidRPr="00000000" w14:paraId="00000020">
      <w:pPr>
        <w:rPr>
          <w:rFonts w:ascii="Lora" w:cs="Lora" w:eastAsia="Lora" w:hAnsi="Lora"/>
          <w:b w:val="1"/>
          <w:bCs w:val="1"/>
          <w:sz w:val="24"/>
          <w:szCs w:val="24"/>
        </w:rPr>
      </w:pPr>
      <w:r w:rsidDel="00000000" w:rsidR="00000000" w:rsidRPr="00000000">
        <w:rPr>
          <w:rtl w:val="0"/>
        </w:rPr>
      </w:r>
    </w:p>
    <w:p w:rsidR="00000000" w:rsidDel="00000000" w:rsidP="00000000" w:rsidRDefault="00000000" w:rsidRPr="00000000" w14:paraId="00000021">
      <w:pPr>
        <w:rPr>
          <w:rFonts w:ascii="Lora" w:cs="Lora" w:eastAsia="Lora" w:hAnsi="Lora"/>
          <w:b w:val="1"/>
          <w:bCs w:val="1"/>
          <w:sz w:val="24"/>
          <w:szCs w:val="24"/>
        </w:rPr>
      </w:pPr>
      <w:r w:rsidDel="00000000" w:rsidR="00000000" w:rsidRPr="00000000">
        <w:rPr>
          <w:rFonts w:ascii="Lora" w:cs="Lora" w:eastAsia="Lora" w:hAnsi="Lora"/>
          <w:b w:val="1"/>
          <w:bCs w:val="1"/>
          <w:sz w:val="24"/>
          <w:szCs w:val="24"/>
          <w:rtl w:val="0"/>
        </w:rPr>
        <w:t xml:space="preserve">1.3 Methodology and Timescale</w:t>
      </w:r>
    </w:p>
    <w:p w:rsidR="00000000" w:rsidDel="00000000" w:rsidP="00000000" w:rsidRDefault="00000000" w:rsidRPr="00000000" w14:paraId="00000022">
      <w:pPr>
        <w:rPr>
          <w:rFonts w:ascii="Lora" w:cs="Lora" w:eastAsia="Lora" w:hAnsi="Lora"/>
          <w:b w:val="1"/>
          <w:bCs w:val="1"/>
          <w:sz w:val="24"/>
          <w:szCs w:val="24"/>
        </w:rPr>
      </w:pPr>
      <w:r w:rsidDel="00000000" w:rsidR="00000000" w:rsidRPr="00000000">
        <w:rPr>
          <w:rtl w:val="0"/>
        </w:rPr>
      </w:r>
    </w:p>
    <w:p w:rsidR="00000000" w:rsidDel="00000000" w:rsidP="00000000" w:rsidRDefault="00000000" w:rsidRPr="00000000" w14:paraId="00000023">
      <w:pPr>
        <w:rPr>
          <w:rFonts w:ascii="Lora" w:cs="Lora" w:eastAsia="Lora" w:hAnsi="Lora"/>
          <w:b w:val="1"/>
          <w:bCs w:val="1"/>
          <w:sz w:val="24"/>
          <w:szCs w:val="24"/>
        </w:rPr>
      </w:pPr>
      <w:r w:rsidDel="00000000" w:rsidR="00000000" w:rsidRPr="00000000">
        <w:rPr>
          <w:rFonts w:ascii="Lora" w:cs="Lora" w:eastAsia="Lora" w:hAnsi="Lora"/>
          <w:b w:val="1"/>
          <w:bCs w:val="1"/>
          <w:sz w:val="24"/>
          <w:szCs w:val="24"/>
          <w:rtl w:val="0"/>
        </w:rPr>
        <w:tab/>
        <w:t xml:space="preserve">1.3.1 Methodology</w:t>
      </w:r>
    </w:p>
    <w:p w:rsidR="00000000" w:rsidDel="00000000" w:rsidP="00000000" w:rsidRDefault="00000000" w:rsidRPr="00000000" w14:paraId="00000024">
      <w:pPr>
        <w:spacing w:after="240" w:before="240" w:line="259" w:lineRule="auto"/>
        <w:rPr>
          <w:rFonts w:ascii="Lora" w:cs="Lora" w:eastAsia="Lora" w:hAnsi="Lora"/>
          <w:sz w:val="24"/>
          <w:szCs w:val="24"/>
        </w:rPr>
      </w:pPr>
      <w:r w:rsidDel="00000000" w:rsidR="00000000" w:rsidRPr="00000000">
        <w:rPr>
          <w:rFonts w:ascii="Lora" w:cs="Lora" w:eastAsia="Lora" w:hAnsi="Lora"/>
          <w:sz w:val="24"/>
          <w:szCs w:val="24"/>
          <w:rtl w:val="0"/>
        </w:rPr>
        <w:t xml:space="preserve">This research will use a quantitative questionnaire that is anonymous and aimed at members of the public aged 18 or over, of which will respond on an informed and voluntary basis. Participants will be asked questions regarding their perception of the level of support that mental health services, social services, and the police give to the general public. They will be asked for their opinion on the importance of early intervention by these services and their view on the potential this could have on mitigating against any anti-social and criminal behaviour. The survey will use a mixture of closed questions and scaled responses to identify patterns and trends between ACE exposure, offending behaviour, and the effectiveness of professional support. This method is intended to encourage honest responses and to protect participants' information within data handling.</w:t>
      </w:r>
    </w:p>
    <w:p w:rsidR="00000000" w:rsidDel="00000000" w:rsidP="00000000" w:rsidRDefault="00000000" w:rsidRPr="00000000" w14:paraId="00000025">
      <w:pPr>
        <w:spacing w:after="240" w:before="240" w:line="259" w:lineRule="auto"/>
        <w:rPr>
          <w:rFonts w:ascii="Lora" w:cs="Lora" w:eastAsia="Lora" w:hAnsi="Lora"/>
          <w:sz w:val="24"/>
          <w:szCs w:val="24"/>
        </w:rPr>
      </w:pPr>
      <w:r w:rsidDel="00000000" w:rsidR="00000000" w:rsidRPr="00000000">
        <w:rPr>
          <w:rFonts w:ascii="Lora" w:cs="Lora" w:eastAsia="Lora" w:hAnsi="Lora"/>
          <w:sz w:val="24"/>
          <w:szCs w:val="24"/>
          <w:rtl w:val="0"/>
        </w:rPr>
        <w:t xml:space="preserve">Secondary research will be gathered through online search engines and the UWTSD library, including journal articles, research papers, theses, books, government publications and relevant websites. Sources will be critically evaluated for reliability, relevance, comprehensiveness and currency, with historical sources included where useful for comparison. Findings will be assessed alongside the primary research in the literature review.</w:t>
      </w:r>
    </w:p>
    <w:p w:rsidR="00000000" w:rsidDel="00000000" w:rsidP="00000000" w:rsidRDefault="00000000" w:rsidRPr="00000000" w14:paraId="00000026">
      <w:pPr>
        <w:spacing w:after="240" w:before="240" w:line="259" w:lineRule="auto"/>
        <w:rPr>
          <w:rFonts w:ascii="Lora" w:cs="Lora" w:eastAsia="Lora" w:hAnsi="Lora"/>
          <w:b w:val="1"/>
          <w:bCs w:val="1"/>
          <w:sz w:val="24"/>
          <w:szCs w:val="24"/>
        </w:rPr>
      </w:pPr>
      <w:r w:rsidDel="00000000" w:rsidR="00000000" w:rsidRPr="00000000">
        <w:rPr>
          <w:rFonts w:ascii="Lora" w:cs="Lora" w:eastAsia="Lora" w:hAnsi="Lora"/>
          <w:sz w:val="24"/>
          <w:szCs w:val="24"/>
          <w:rtl w:val="0"/>
        </w:rPr>
        <w:t xml:space="preserve">Closed questions and scaled responses will be examined using frequencies and percentages to compare opinions and identify common themes in ACEs, the role and effectiveness of support services such as the police, social services and mental health support and its links with criminal behaviour based on the public’s perception. The findings will be evaluated and contrasted alongside secondary research to obtain a well rounded view of similarities and differences and potential implications toward the research aim.</w:t>
      </w:r>
      <w:r w:rsidDel="00000000" w:rsidR="00000000" w:rsidRPr="00000000">
        <w:rPr>
          <w:rtl w:val="0"/>
        </w:rPr>
      </w:r>
    </w:p>
    <w:p w:rsidR="00000000" w:rsidDel="00000000" w:rsidP="00000000" w:rsidRDefault="00000000" w:rsidRPr="00000000" w14:paraId="00000027">
      <w:pPr>
        <w:rPr>
          <w:rFonts w:ascii="Lora" w:cs="Lora" w:eastAsia="Lora" w:hAnsi="Lora"/>
          <w:b w:val="1"/>
          <w:bCs w:val="1"/>
          <w:sz w:val="24"/>
          <w:szCs w:val="24"/>
        </w:rPr>
      </w:pPr>
      <w:r w:rsidDel="00000000" w:rsidR="00000000" w:rsidRPr="00000000">
        <w:rPr>
          <w:rFonts w:ascii="Lora" w:cs="Lora" w:eastAsia="Lora" w:hAnsi="Lora"/>
          <w:b w:val="1"/>
          <w:bCs w:val="1"/>
          <w:sz w:val="24"/>
          <w:szCs w:val="24"/>
          <w:rtl w:val="0"/>
        </w:rPr>
        <w:tab/>
        <w:t xml:space="preserve">1.3.2 Timescale</w:t>
      </w:r>
    </w:p>
    <w:p w:rsidR="00000000" w:rsidDel="00000000" w:rsidP="00000000" w:rsidRDefault="00000000" w:rsidRPr="00000000" w14:paraId="00000028">
      <w:pPr>
        <w:rPr>
          <w:rFonts w:ascii="Lora" w:cs="Lora" w:eastAsia="Lora" w:hAnsi="Lora"/>
          <w:sz w:val="24"/>
          <w:szCs w:val="24"/>
        </w:rPr>
      </w:pPr>
      <w:r w:rsidDel="00000000" w:rsidR="00000000" w:rsidRPr="00000000">
        <w:rPr>
          <w:rFonts w:ascii="Lora" w:cs="Lora" w:eastAsia="Lora" w:hAnsi="Lora"/>
          <w:sz w:val="24"/>
          <w:szCs w:val="24"/>
          <w:rtl w:val="0"/>
        </w:rPr>
        <w:t xml:space="preserve">Research and collation of this academic project will take place over a 33 week period. A clear structure is in place to maintain a steady pace of research and project management. Dividing a task into manageable stages allows for greater focus and clarity in the writing process (University Of Sheffield, 2026). Regular milestones help to keep progress on track.</w:t>
      </w:r>
      <w:r w:rsidDel="00000000" w:rsidR="00000000" w:rsidRPr="00000000">
        <w:rPr>
          <w:rtl w:val="0"/>
        </w:rPr>
      </w:r>
    </w:p>
    <w:p w:rsidR="00000000" w:rsidDel="00000000" w:rsidP="00000000" w:rsidRDefault="00000000" w:rsidRPr="00000000" w14:paraId="00000029">
      <w:pPr>
        <w:rPr>
          <w:rFonts w:ascii="Lora" w:cs="Lora" w:eastAsia="Lora" w:hAnsi="Lora"/>
          <w:b w:val="1"/>
          <w:bCs w:val="1"/>
          <w:sz w:val="24"/>
          <w:szCs w:val="24"/>
        </w:rPr>
      </w:pPr>
      <w:r w:rsidDel="00000000" w:rsidR="00000000" w:rsidRPr="00000000">
        <w:rPr>
          <w:rtl w:val="0"/>
        </w:rPr>
      </w:r>
    </w:p>
    <w:tbl>
      <w:tblPr>
        <w:tblStyle w:val="Table1"/>
        <w:tblW w:w="900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6525"/>
        <w:gridCol w:w="2475"/>
        <w:tblGridChange w:id="0">
          <w:tblGrid>
            <w:gridCol w:w="6525"/>
            <w:gridCol w:w="247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Lora" w:cs="Lora" w:eastAsia="Lora" w:hAnsi="Lora"/>
                <w:sz w:val="24"/>
                <w:szCs w:val="24"/>
              </w:rPr>
            </w:pPr>
            <w:r w:rsidDel="00000000" w:rsidR="00000000" w:rsidRPr="00000000">
              <w:rPr>
                <w:rFonts w:ascii="Lora" w:cs="Lora" w:eastAsia="Lora" w:hAnsi="Lora"/>
                <w:sz w:val="24"/>
                <w:szCs w:val="24"/>
                <w:rtl w:val="0"/>
              </w:rPr>
              <w:t xml:space="preserve">Introduction Chapter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Lora" w:cs="Lora" w:eastAsia="Lora" w:hAnsi="Lora"/>
                <w:sz w:val="24"/>
                <w:szCs w:val="24"/>
              </w:rPr>
            </w:pPr>
            <w:r w:rsidDel="00000000" w:rsidR="00000000" w:rsidRPr="00000000">
              <w:rPr>
                <w:rFonts w:ascii="Lora" w:cs="Lora" w:eastAsia="Lora" w:hAnsi="Lora"/>
                <w:sz w:val="24"/>
                <w:szCs w:val="24"/>
                <w:rtl w:val="0"/>
              </w:rPr>
              <w:t xml:space="preserve">Week 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Lora" w:cs="Lora" w:eastAsia="Lora" w:hAnsi="Lora"/>
                <w:sz w:val="24"/>
                <w:szCs w:val="24"/>
              </w:rPr>
            </w:pPr>
            <w:r w:rsidDel="00000000" w:rsidR="00000000" w:rsidRPr="00000000">
              <w:rPr>
                <w:rFonts w:ascii="Lora" w:cs="Lora" w:eastAsia="Lora" w:hAnsi="Lora"/>
                <w:sz w:val="24"/>
                <w:szCs w:val="24"/>
                <w:rtl w:val="0"/>
              </w:rPr>
              <w:t xml:space="preserve">Literature review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Lora" w:cs="Lora" w:eastAsia="Lora" w:hAnsi="Lora"/>
                <w:sz w:val="24"/>
                <w:szCs w:val="24"/>
              </w:rPr>
            </w:pPr>
            <w:r w:rsidDel="00000000" w:rsidR="00000000" w:rsidRPr="00000000">
              <w:rPr>
                <w:rFonts w:ascii="Lora" w:cs="Lora" w:eastAsia="Lora" w:hAnsi="Lora"/>
                <w:sz w:val="24"/>
                <w:szCs w:val="24"/>
                <w:rtl w:val="0"/>
              </w:rPr>
              <w:t xml:space="preserve">Week 9</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Lora" w:cs="Lora" w:eastAsia="Lora" w:hAnsi="Lora"/>
                <w:sz w:val="24"/>
                <w:szCs w:val="24"/>
              </w:rPr>
            </w:pPr>
            <w:r w:rsidDel="00000000" w:rsidR="00000000" w:rsidRPr="00000000">
              <w:rPr>
                <w:rFonts w:ascii="Lora" w:cs="Lora" w:eastAsia="Lora" w:hAnsi="Lora"/>
                <w:sz w:val="24"/>
                <w:szCs w:val="24"/>
                <w:rtl w:val="0"/>
              </w:rPr>
              <w:t xml:space="preserve">Begin Primary Research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Lora" w:cs="Lora" w:eastAsia="Lora" w:hAnsi="Lora"/>
                <w:sz w:val="24"/>
                <w:szCs w:val="24"/>
              </w:rPr>
            </w:pPr>
            <w:r w:rsidDel="00000000" w:rsidR="00000000" w:rsidRPr="00000000">
              <w:rPr>
                <w:rFonts w:ascii="Lora" w:cs="Lora" w:eastAsia="Lora" w:hAnsi="Lora"/>
                <w:sz w:val="24"/>
                <w:szCs w:val="24"/>
                <w:rtl w:val="0"/>
              </w:rPr>
              <w:t xml:space="preserve">Week 11</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Lora" w:cs="Lora" w:eastAsia="Lora" w:hAnsi="Lora"/>
                <w:sz w:val="24"/>
                <w:szCs w:val="24"/>
              </w:rPr>
            </w:pPr>
            <w:r w:rsidDel="00000000" w:rsidR="00000000" w:rsidRPr="00000000">
              <w:rPr>
                <w:rFonts w:ascii="Lora" w:cs="Lora" w:eastAsia="Lora" w:hAnsi="Lora"/>
                <w:sz w:val="24"/>
                <w:szCs w:val="24"/>
                <w:rtl w:val="0"/>
              </w:rPr>
              <w:t xml:space="preserve">Methodology chapter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Lora" w:cs="Lora" w:eastAsia="Lora" w:hAnsi="Lora"/>
                <w:sz w:val="24"/>
                <w:szCs w:val="24"/>
              </w:rPr>
            </w:pPr>
            <w:r w:rsidDel="00000000" w:rsidR="00000000" w:rsidRPr="00000000">
              <w:rPr>
                <w:rFonts w:ascii="Lora" w:cs="Lora" w:eastAsia="Lora" w:hAnsi="Lora"/>
                <w:sz w:val="24"/>
                <w:szCs w:val="24"/>
                <w:rtl w:val="0"/>
              </w:rPr>
              <w:t xml:space="preserve">Week 19</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Lora" w:cs="Lora" w:eastAsia="Lora" w:hAnsi="Lora"/>
                <w:sz w:val="24"/>
                <w:szCs w:val="24"/>
              </w:rPr>
            </w:pPr>
            <w:r w:rsidDel="00000000" w:rsidR="00000000" w:rsidRPr="00000000">
              <w:rPr>
                <w:rFonts w:ascii="Lora" w:cs="Lora" w:eastAsia="Lora" w:hAnsi="Lora"/>
                <w:sz w:val="24"/>
                <w:szCs w:val="24"/>
                <w:rtl w:val="0"/>
              </w:rPr>
              <w:t xml:space="preserve">Findings Chapter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Lora" w:cs="Lora" w:eastAsia="Lora" w:hAnsi="Lora"/>
                <w:sz w:val="24"/>
                <w:szCs w:val="24"/>
              </w:rPr>
            </w:pPr>
            <w:r w:rsidDel="00000000" w:rsidR="00000000" w:rsidRPr="00000000">
              <w:rPr>
                <w:rFonts w:ascii="Lora" w:cs="Lora" w:eastAsia="Lora" w:hAnsi="Lora"/>
                <w:sz w:val="24"/>
                <w:szCs w:val="24"/>
                <w:rtl w:val="0"/>
              </w:rPr>
              <w:t xml:space="preserve">Week 25</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Lora" w:cs="Lora" w:eastAsia="Lora" w:hAnsi="Lora"/>
                <w:sz w:val="24"/>
                <w:szCs w:val="24"/>
              </w:rPr>
            </w:pPr>
            <w:r w:rsidDel="00000000" w:rsidR="00000000" w:rsidRPr="00000000">
              <w:rPr>
                <w:rFonts w:ascii="Lora" w:cs="Lora" w:eastAsia="Lora" w:hAnsi="Lora"/>
                <w:sz w:val="24"/>
                <w:szCs w:val="24"/>
                <w:rtl w:val="0"/>
              </w:rPr>
              <w:t xml:space="preserve">Conclusion Chapter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Lora" w:cs="Lora" w:eastAsia="Lora" w:hAnsi="Lora"/>
                <w:sz w:val="24"/>
                <w:szCs w:val="24"/>
              </w:rPr>
            </w:pPr>
            <w:r w:rsidDel="00000000" w:rsidR="00000000" w:rsidRPr="00000000">
              <w:rPr>
                <w:rFonts w:ascii="Lora" w:cs="Lora" w:eastAsia="Lora" w:hAnsi="Lora"/>
                <w:sz w:val="24"/>
                <w:szCs w:val="24"/>
                <w:rtl w:val="0"/>
              </w:rPr>
              <w:t xml:space="preserve">Week 31</w:t>
            </w:r>
          </w:p>
        </w:tc>
      </w:tr>
    </w:tbl>
    <w:p w:rsidR="00000000" w:rsidDel="00000000" w:rsidP="00000000" w:rsidRDefault="00000000" w:rsidRPr="00000000" w14:paraId="00000036">
      <w:pPr>
        <w:rPr>
          <w:rFonts w:ascii="Lora" w:cs="Lora" w:eastAsia="Lora" w:hAnsi="Lora"/>
          <w:sz w:val="24"/>
          <w:szCs w:val="24"/>
        </w:rPr>
      </w:pPr>
      <w:r w:rsidDel="00000000" w:rsidR="00000000" w:rsidRPr="00000000">
        <w:rPr>
          <w:rtl w:val="0"/>
        </w:rPr>
      </w:r>
    </w:p>
    <w:p w:rsidR="00000000" w:rsidDel="00000000" w:rsidP="00000000" w:rsidRDefault="00000000" w:rsidRPr="00000000" w14:paraId="00000037">
      <w:pPr>
        <w:rPr>
          <w:rFonts w:ascii="Lora" w:cs="Lora" w:eastAsia="Lora" w:hAnsi="Lora"/>
          <w:sz w:val="24"/>
          <w:szCs w:val="24"/>
        </w:rPr>
      </w:pPr>
      <w:r w:rsidDel="00000000" w:rsidR="00000000" w:rsidRPr="00000000">
        <w:rPr>
          <w:rtl w:val="0"/>
        </w:rPr>
      </w:r>
    </w:p>
    <w:p w:rsidR="00000000" w:rsidDel="00000000" w:rsidP="00000000" w:rsidRDefault="00000000" w:rsidRPr="00000000" w14:paraId="00000038">
      <w:pPr>
        <w:rPr>
          <w:rFonts w:ascii="Lora" w:cs="Lora" w:eastAsia="Lora" w:hAnsi="Lora"/>
          <w:sz w:val="24"/>
          <w:szCs w:val="24"/>
          <w:u w:val="single"/>
        </w:rPr>
      </w:pPr>
      <w:r w:rsidDel="00000000" w:rsidR="00000000" w:rsidRPr="00000000">
        <w:br w:type="page"/>
      </w:r>
      <w:r w:rsidDel="00000000" w:rsidR="00000000" w:rsidRPr="00000000">
        <w:rPr>
          <w:rtl w:val="0"/>
        </w:rPr>
      </w:r>
    </w:p>
    <w:p w:rsidR="00000000" w:rsidDel="00000000" w:rsidP="00000000" w:rsidRDefault="00000000" w:rsidRPr="00000000" w14:paraId="00000039">
      <w:pPr>
        <w:rPr>
          <w:rFonts w:ascii="Lora" w:cs="Lora" w:eastAsia="Lora" w:hAnsi="Lora"/>
          <w:sz w:val="24"/>
          <w:szCs w:val="24"/>
          <w:u w:val="single"/>
        </w:rPr>
      </w:pPr>
      <w:r w:rsidDel="00000000" w:rsidR="00000000" w:rsidRPr="00000000">
        <w:rPr>
          <w:rFonts w:ascii="Lora" w:cs="Lora" w:eastAsia="Lora" w:hAnsi="Lora"/>
          <w:sz w:val="24"/>
          <w:szCs w:val="24"/>
          <w:u w:val="single"/>
          <w:rtl w:val="0"/>
        </w:rPr>
        <w:t xml:space="preserve">REFERENCE LIST</w:t>
      </w:r>
    </w:p>
    <w:p w:rsidR="00000000" w:rsidDel="00000000" w:rsidP="00000000" w:rsidRDefault="00000000" w:rsidRPr="00000000" w14:paraId="0000003A">
      <w:pPr>
        <w:spacing w:after="240" w:before="240" w:lineRule="auto"/>
        <w:rPr>
          <w:rFonts w:ascii="Lora" w:cs="Lora" w:eastAsia="Lora" w:hAnsi="Lora"/>
          <w:sz w:val="20"/>
          <w:szCs w:val="20"/>
        </w:rPr>
      </w:pPr>
      <w:r w:rsidDel="00000000" w:rsidR="00000000" w:rsidRPr="00000000">
        <w:rPr>
          <w:rFonts w:ascii="Lora" w:cs="Lora" w:eastAsia="Lora" w:hAnsi="Lora"/>
          <w:sz w:val="20"/>
          <w:szCs w:val="20"/>
          <w:rtl w:val="0"/>
        </w:rPr>
        <w:t xml:space="preserve">College of Policing (2022) ‘Police response to concern for a child’. Available at:</w:t>
      </w:r>
      <w:hyperlink r:id="rId6">
        <w:r w:rsidDel="00000000" w:rsidR="00000000" w:rsidRPr="00000000">
          <w:rPr>
            <w:rFonts w:ascii="Lora" w:cs="Lora" w:eastAsia="Lora" w:hAnsi="Lora"/>
            <w:sz w:val="20"/>
            <w:szCs w:val="20"/>
            <w:rtl w:val="0"/>
          </w:rPr>
          <w:t xml:space="preserve"> </w:t>
        </w:r>
      </w:hyperlink>
      <w:hyperlink r:id="rId7">
        <w:r w:rsidDel="00000000" w:rsidR="00000000" w:rsidRPr="00000000">
          <w:rPr>
            <w:rFonts w:ascii="Lora" w:cs="Lora" w:eastAsia="Lora" w:hAnsi="Lora"/>
            <w:color w:val="1155cc"/>
            <w:sz w:val="20"/>
            <w:szCs w:val="20"/>
            <w:rtl w:val="0"/>
          </w:rPr>
          <w:t xml:space="preserve">https://www.college.police.uk/app/major-investigation-and-public-protection/investigating-child-abuse-and-safeguarding-children/police-response-concern-child</w:t>
        </w:r>
      </w:hyperlink>
      <w:r w:rsidDel="00000000" w:rsidR="00000000" w:rsidRPr="00000000">
        <w:rPr>
          <w:rFonts w:ascii="Lora" w:cs="Lora" w:eastAsia="Lora" w:hAnsi="Lora"/>
          <w:sz w:val="20"/>
          <w:szCs w:val="20"/>
          <w:rtl w:val="0"/>
        </w:rPr>
        <w:t xml:space="preserve"> (Accessed: 22 October 2026).</w:t>
      </w:r>
    </w:p>
    <w:p w:rsidR="00000000" w:rsidDel="00000000" w:rsidP="00000000" w:rsidRDefault="00000000" w:rsidRPr="00000000" w14:paraId="0000003B">
      <w:pPr>
        <w:spacing w:after="240" w:before="240" w:lineRule="auto"/>
        <w:rPr>
          <w:rFonts w:ascii="Lora" w:cs="Lora" w:eastAsia="Lora" w:hAnsi="Lora"/>
          <w:sz w:val="20"/>
          <w:szCs w:val="20"/>
        </w:rPr>
      </w:pPr>
      <w:r w:rsidDel="00000000" w:rsidR="00000000" w:rsidRPr="00000000">
        <w:rPr>
          <w:rFonts w:ascii="Lora" w:cs="Lora" w:eastAsia="Lora" w:hAnsi="Lora"/>
          <w:sz w:val="20"/>
          <w:szCs w:val="20"/>
          <w:rtl w:val="0"/>
        </w:rPr>
        <w:t xml:space="preserve">Department for Education (2026) </w:t>
      </w:r>
      <w:r w:rsidDel="00000000" w:rsidR="00000000" w:rsidRPr="00000000">
        <w:rPr>
          <w:rFonts w:ascii="Lora" w:cs="Lora" w:eastAsia="Lora" w:hAnsi="Lora"/>
          <w:i w:val="1"/>
          <w:iCs w:val="1"/>
          <w:sz w:val="20"/>
          <w:szCs w:val="20"/>
          <w:rtl w:val="0"/>
        </w:rPr>
        <w:t xml:space="preserve">Working together to safeguard children 2026: summary of changes</w:t>
      </w:r>
      <w:r w:rsidDel="00000000" w:rsidR="00000000" w:rsidRPr="00000000">
        <w:rPr>
          <w:rFonts w:ascii="Lora" w:cs="Lora" w:eastAsia="Lora" w:hAnsi="Lora"/>
          <w:sz w:val="20"/>
          <w:szCs w:val="20"/>
          <w:rtl w:val="0"/>
        </w:rPr>
        <w:t xml:space="preserve">. Available at:</w:t>
      </w:r>
      <w:hyperlink r:id="rId8">
        <w:r w:rsidDel="00000000" w:rsidR="00000000" w:rsidRPr="00000000">
          <w:rPr>
            <w:rFonts w:ascii="Lora" w:cs="Lora" w:eastAsia="Lora" w:hAnsi="Lora"/>
            <w:sz w:val="20"/>
            <w:szCs w:val="20"/>
            <w:rtl w:val="0"/>
          </w:rPr>
          <w:t xml:space="preserve"> </w:t>
        </w:r>
      </w:hyperlink>
      <w:hyperlink r:id="rId9">
        <w:r w:rsidDel="00000000" w:rsidR="00000000" w:rsidRPr="00000000">
          <w:rPr>
            <w:rFonts w:ascii="Lora" w:cs="Lora" w:eastAsia="Lora" w:hAnsi="Lora"/>
            <w:color w:val="1155cc"/>
            <w:sz w:val="20"/>
            <w:szCs w:val="20"/>
            <w:rtl w:val="0"/>
          </w:rPr>
          <w:t xml:space="preserve">https://www.gov.uk/government/publications/working-together-to-safeguard-children--2/working-together-to-safeguard-children-2026-summary-of-changes</w:t>
        </w:r>
      </w:hyperlink>
      <w:r w:rsidDel="00000000" w:rsidR="00000000" w:rsidRPr="00000000">
        <w:rPr>
          <w:rFonts w:ascii="Lora" w:cs="Lora" w:eastAsia="Lora" w:hAnsi="Lora"/>
          <w:sz w:val="20"/>
          <w:szCs w:val="20"/>
          <w:rtl w:val="0"/>
        </w:rPr>
        <w:t xml:space="preserve"> (Accessed: 23 October 2026).</w:t>
      </w:r>
    </w:p>
    <w:p w:rsidR="00000000" w:rsidDel="00000000" w:rsidP="00000000" w:rsidRDefault="00000000" w:rsidRPr="00000000" w14:paraId="0000003C">
      <w:pPr>
        <w:spacing w:after="240" w:before="240" w:lineRule="auto"/>
        <w:rPr>
          <w:rFonts w:ascii="Lora" w:cs="Lora" w:eastAsia="Lora" w:hAnsi="Lora"/>
          <w:sz w:val="20"/>
          <w:szCs w:val="20"/>
        </w:rPr>
      </w:pPr>
      <w:r w:rsidDel="00000000" w:rsidR="00000000" w:rsidRPr="00000000">
        <w:rPr>
          <w:rFonts w:ascii="Lora" w:cs="Lora" w:eastAsia="Lora" w:hAnsi="Lora"/>
          <w:sz w:val="20"/>
          <w:szCs w:val="20"/>
          <w:rtl w:val="0"/>
        </w:rPr>
        <w:t xml:space="preserve">Domestic Abuse Act 2021, c. 17, s. 3. Available at:</w:t>
      </w:r>
      <w:hyperlink r:id="rId10">
        <w:r w:rsidDel="00000000" w:rsidR="00000000" w:rsidRPr="00000000">
          <w:rPr>
            <w:rFonts w:ascii="Lora" w:cs="Lora" w:eastAsia="Lora" w:hAnsi="Lora"/>
            <w:sz w:val="20"/>
            <w:szCs w:val="20"/>
            <w:rtl w:val="0"/>
          </w:rPr>
          <w:t xml:space="preserve"> </w:t>
        </w:r>
      </w:hyperlink>
      <w:hyperlink r:id="rId11">
        <w:r w:rsidDel="00000000" w:rsidR="00000000" w:rsidRPr="00000000">
          <w:rPr>
            <w:rFonts w:ascii="Lora" w:cs="Lora" w:eastAsia="Lora" w:hAnsi="Lora"/>
            <w:color w:val="1155cc"/>
            <w:sz w:val="20"/>
            <w:szCs w:val="20"/>
            <w:rtl w:val="0"/>
          </w:rPr>
          <w:t xml:space="preserve">https://www.legislation.gov.uk/ukpga/2021/17/section/3</w:t>
        </w:r>
      </w:hyperlink>
      <w:r w:rsidDel="00000000" w:rsidR="00000000" w:rsidRPr="00000000">
        <w:rPr>
          <w:rFonts w:ascii="Lora" w:cs="Lora" w:eastAsia="Lora" w:hAnsi="Lora"/>
          <w:sz w:val="20"/>
          <w:szCs w:val="20"/>
          <w:rtl w:val="0"/>
        </w:rPr>
        <w:t xml:space="preserve"> (Accessed: 21 October 2026).</w:t>
      </w:r>
    </w:p>
    <w:p w:rsidR="00000000" w:rsidDel="00000000" w:rsidP="00000000" w:rsidRDefault="00000000" w:rsidRPr="00000000" w14:paraId="0000003D">
      <w:pPr>
        <w:spacing w:after="240" w:before="240" w:lineRule="auto"/>
        <w:rPr>
          <w:rFonts w:ascii="Lora" w:cs="Lora" w:eastAsia="Lora" w:hAnsi="Lora"/>
          <w:sz w:val="20"/>
          <w:szCs w:val="20"/>
        </w:rPr>
      </w:pPr>
      <w:r w:rsidDel="00000000" w:rsidR="00000000" w:rsidRPr="00000000">
        <w:rPr>
          <w:rFonts w:ascii="Lora" w:cs="Lora" w:eastAsia="Lora" w:hAnsi="Lora"/>
          <w:sz w:val="20"/>
          <w:szCs w:val="20"/>
          <w:rtl w:val="0"/>
        </w:rPr>
        <w:t xml:space="preserve">HM Inspectorate of Constabulary and Fire &amp; Rescue Services (2021) ‘Adverse childhood experiences’. Available at:</w:t>
      </w:r>
      <w:hyperlink r:id="rId12">
        <w:r w:rsidDel="00000000" w:rsidR="00000000" w:rsidRPr="00000000">
          <w:rPr>
            <w:rFonts w:ascii="Lora" w:cs="Lora" w:eastAsia="Lora" w:hAnsi="Lora"/>
            <w:sz w:val="20"/>
            <w:szCs w:val="20"/>
            <w:rtl w:val="0"/>
          </w:rPr>
          <w:t xml:space="preserve"> </w:t>
        </w:r>
      </w:hyperlink>
      <w:hyperlink r:id="rId13">
        <w:r w:rsidDel="00000000" w:rsidR="00000000" w:rsidRPr="00000000">
          <w:rPr>
            <w:rFonts w:ascii="Lora" w:cs="Lora" w:eastAsia="Lora" w:hAnsi="Lora"/>
            <w:color w:val="1155cc"/>
            <w:sz w:val="20"/>
            <w:szCs w:val="20"/>
            <w:rtl w:val="0"/>
          </w:rPr>
          <w:t xml:space="preserve">https://hmicfrs.justiceinspectorates.gov.uk/glossary/adverse-childhood-experiences/</w:t>
        </w:r>
      </w:hyperlink>
      <w:r w:rsidDel="00000000" w:rsidR="00000000" w:rsidRPr="00000000">
        <w:rPr>
          <w:rFonts w:ascii="Lora" w:cs="Lora" w:eastAsia="Lora" w:hAnsi="Lora"/>
          <w:sz w:val="20"/>
          <w:szCs w:val="20"/>
          <w:rtl w:val="0"/>
        </w:rPr>
        <w:t xml:space="preserve"> (Accessed: 22 October 2026).</w:t>
      </w:r>
    </w:p>
    <w:p w:rsidR="00000000" w:rsidDel="00000000" w:rsidP="00000000" w:rsidRDefault="00000000" w:rsidRPr="00000000" w14:paraId="0000003E">
      <w:pPr>
        <w:spacing w:after="240" w:before="240" w:lineRule="auto"/>
        <w:rPr>
          <w:rFonts w:ascii="Lora" w:cs="Lora" w:eastAsia="Lora" w:hAnsi="Lora"/>
          <w:sz w:val="20"/>
          <w:szCs w:val="20"/>
        </w:rPr>
      </w:pPr>
      <w:r w:rsidDel="00000000" w:rsidR="00000000" w:rsidRPr="00000000">
        <w:rPr>
          <w:rFonts w:ascii="Lora" w:cs="Lora" w:eastAsia="Lora" w:hAnsi="Lora"/>
          <w:sz w:val="20"/>
          <w:szCs w:val="20"/>
          <w:rtl w:val="0"/>
        </w:rPr>
        <w:t xml:space="preserve">HM Inspectorate of Probation (2023) ‘Adversity and trauma’. Available at:</w:t>
      </w:r>
      <w:hyperlink r:id="rId14">
        <w:r w:rsidDel="00000000" w:rsidR="00000000" w:rsidRPr="00000000">
          <w:rPr>
            <w:rFonts w:ascii="Lora" w:cs="Lora" w:eastAsia="Lora" w:hAnsi="Lora"/>
            <w:sz w:val="20"/>
            <w:szCs w:val="20"/>
            <w:rtl w:val="0"/>
          </w:rPr>
          <w:t xml:space="preserve"> </w:t>
        </w:r>
      </w:hyperlink>
      <w:hyperlink r:id="rId15">
        <w:r w:rsidDel="00000000" w:rsidR="00000000" w:rsidRPr="00000000">
          <w:rPr>
            <w:rFonts w:ascii="Lora" w:cs="Lora" w:eastAsia="Lora" w:hAnsi="Lora"/>
            <w:color w:val="1155cc"/>
            <w:sz w:val="20"/>
            <w:szCs w:val="20"/>
            <w:rtl w:val="0"/>
          </w:rPr>
          <w:t xml:space="preserve">https://hmiprobation.justiceinspectorates.gov.uk/our-research/evidence-base-youth-justice/specific-areas-of-delivery/adversity-and-trauma/</w:t>
        </w:r>
      </w:hyperlink>
      <w:r w:rsidDel="00000000" w:rsidR="00000000" w:rsidRPr="00000000">
        <w:rPr>
          <w:rFonts w:ascii="Lora" w:cs="Lora" w:eastAsia="Lora" w:hAnsi="Lora"/>
          <w:sz w:val="20"/>
          <w:szCs w:val="20"/>
          <w:rtl w:val="0"/>
        </w:rPr>
        <w:t xml:space="preserve"> (Accessed: 23 October 2026).</w:t>
      </w:r>
    </w:p>
    <w:p w:rsidR="00000000" w:rsidDel="00000000" w:rsidP="00000000" w:rsidRDefault="00000000" w:rsidRPr="00000000" w14:paraId="0000003F">
      <w:pPr>
        <w:spacing w:after="240" w:before="240" w:lineRule="auto"/>
        <w:rPr>
          <w:rFonts w:ascii="Lora" w:cs="Lora" w:eastAsia="Lora" w:hAnsi="Lora"/>
          <w:sz w:val="20"/>
          <w:szCs w:val="20"/>
        </w:rPr>
      </w:pPr>
      <w:r w:rsidDel="00000000" w:rsidR="00000000" w:rsidRPr="00000000">
        <w:rPr>
          <w:rFonts w:ascii="Lora" w:cs="Lora" w:eastAsia="Lora" w:hAnsi="Lora"/>
          <w:sz w:val="20"/>
          <w:szCs w:val="20"/>
          <w:rtl w:val="0"/>
        </w:rPr>
        <w:t xml:space="preserve">HM Inspectorate of Probation (2025) </w:t>
      </w:r>
      <w:r w:rsidDel="00000000" w:rsidR="00000000" w:rsidRPr="00000000">
        <w:rPr>
          <w:rFonts w:ascii="Lora" w:cs="Lora" w:eastAsia="Lora" w:hAnsi="Lora"/>
          <w:i w:val="1"/>
          <w:iCs w:val="1"/>
          <w:sz w:val="20"/>
          <w:szCs w:val="20"/>
          <w:rtl w:val="0"/>
        </w:rPr>
        <w:t xml:space="preserve">The effectiveness of diverting children from the criminal justice system: meeting needs, ensuring safety, and preventing reoffending</w:t>
      </w:r>
      <w:r w:rsidDel="00000000" w:rsidR="00000000" w:rsidRPr="00000000">
        <w:rPr>
          <w:rFonts w:ascii="Lora" w:cs="Lora" w:eastAsia="Lora" w:hAnsi="Lora"/>
          <w:sz w:val="20"/>
          <w:szCs w:val="20"/>
          <w:rtl w:val="0"/>
        </w:rPr>
        <w:t xml:space="preserve">. Available at:</w:t>
      </w:r>
      <w:hyperlink r:id="rId16">
        <w:r w:rsidDel="00000000" w:rsidR="00000000" w:rsidRPr="00000000">
          <w:rPr>
            <w:rFonts w:ascii="Lora" w:cs="Lora" w:eastAsia="Lora" w:hAnsi="Lora"/>
            <w:sz w:val="20"/>
            <w:szCs w:val="20"/>
            <w:rtl w:val="0"/>
          </w:rPr>
          <w:t xml:space="preserve"> </w:t>
        </w:r>
      </w:hyperlink>
      <w:hyperlink r:id="rId17">
        <w:r w:rsidDel="00000000" w:rsidR="00000000" w:rsidRPr="00000000">
          <w:rPr>
            <w:rFonts w:ascii="Lora" w:cs="Lora" w:eastAsia="Lora" w:hAnsi="Lora"/>
            <w:color w:val="1155cc"/>
            <w:sz w:val="20"/>
            <w:szCs w:val="20"/>
            <w:rtl w:val="0"/>
          </w:rPr>
          <w:t xml:space="preserve">https://hmiprobation.justiceinspectorates.gov.uk/document/the-effectiveness-of-diverting-children-from-the-criminal-justice-system-meeting-needs-ensuring-safety-and-preventing-reoffending/</w:t>
        </w:r>
      </w:hyperlink>
      <w:r w:rsidDel="00000000" w:rsidR="00000000" w:rsidRPr="00000000">
        <w:rPr>
          <w:rFonts w:ascii="Lora" w:cs="Lora" w:eastAsia="Lora" w:hAnsi="Lora"/>
          <w:sz w:val="20"/>
          <w:szCs w:val="20"/>
          <w:rtl w:val="0"/>
        </w:rPr>
        <w:t xml:space="preserve"> (Accessed: 21 October 2026).</w:t>
      </w:r>
    </w:p>
    <w:p w:rsidR="00000000" w:rsidDel="00000000" w:rsidP="00000000" w:rsidRDefault="00000000" w:rsidRPr="00000000" w14:paraId="00000040">
      <w:pPr>
        <w:spacing w:after="240" w:before="240" w:lineRule="auto"/>
        <w:rPr>
          <w:rFonts w:ascii="Lora" w:cs="Lora" w:eastAsia="Lora" w:hAnsi="Lora"/>
          <w:sz w:val="20"/>
          <w:szCs w:val="20"/>
        </w:rPr>
      </w:pPr>
      <w:r w:rsidDel="00000000" w:rsidR="00000000" w:rsidRPr="00000000">
        <w:rPr>
          <w:rFonts w:ascii="Lora" w:cs="Lora" w:eastAsia="Lora" w:hAnsi="Lora"/>
          <w:sz w:val="20"/>
          <w:szCs w:val="20"/>
          <w:rtl w:val="0"/>
        </w:rPr>
        <w:t xml:space="preserve">House of Commons Science and Technology Committee (2018) </w:t>
      </w:r>
      <w:r w:rsidDel="00000000" w:rsidR="00000000" w:rsidRPr="00000000">
        <w:rPr>
          <w:rFonts w:ascii="Lora" w:cs="Lora" w:eastAsia="Lora" w:hAnsi="Lora"/>
          <w:i w:val="1"/>
          <w:iCs w:val="1"/>
          <w:sz w:val="20"/>
          <w:szCs w:val="20"/>
          <w:rtl w:val="0"/>
        </w:rPr>
        <w:t xml:space="preserve">Evidence-based early years intervention</w:t>
      </w:r>
      <w:r w:rsidDel="00000000" w:rsidR="00000000" w:rsidRPr="00000000">
        <w:rPr>
          <w:rFonts w:ascii="Lora" w:cs="Lora" w:eastAsia="Lora" w:hAnsi="Lora"/>
          <w:sz w:val="20"/>
          <w:szCs w:val="20"/>
          <w:rtl w:val="0"/>
        </w:rPr>
        <w:t xml:space="preserve">. Available at:</w:t>
      </w:r>
      <w:hyperlink r:id="rId18">
        <w:r w:rsidDel="00000000" w:rsidR="00000000" w:rsidRPr="00000000">
          <w:rPr>
            <w:rFonts w:ascii="Lora" w:cs="Lora" w:eastAsia="Lora" w:hAnsi="Lora"/>
            <w:sz w:val="20"/>
            <w:szCs w:val="20"/>
            <w:rtl w:val="0"/>
          </w:rPr>
          <w:t xml:space="preserve"> </w:t>
        </w:r>
      </w:hyperlink>
      <w:hyperlink r:id="rId19">
        <w:r w:rsidDel="00000000" w:rsidR="00000000" w:rsidRPr="00000000">
          <w:rPr>
            <w:rFonts w:ascii="Lora" w:cs="Lora" w:eastAsia="Lora" w:hAnsi="Lora"/>
            <w:color w:val="1155cc"/>
            <w:sz w:val="20"/>
            <w:szCs w:val="20"/>
            <w:rtl w:val="0"/>
          </w:rPr>
          <w:t xml:space="preserve">https://publications.parliament.uk/pa/cm201719/cmselect/cmsctech/506/50600.htm</w:t>
        </w:r>
      </w:hyperlink>
      <w:r w:rsidDel="00000000" w:rsidR="00000000" w:rsidRPr="00000000">
        <w:rPr>
          <w:rFonts w:ascii="Lora" w:cs="Lora" w:eastAsia="Lora" w:hAnsi="Lora"/>
          <w:sz w:val="20"/>
          <w:szCs w:val="20"/>
          <w:rtl w:val="0"/>
        </w:rPr>
        <w:t xml:space="preserve"> (Accessed: 22 October 2026).</w:t>
      </w:r>
    </w:p>
    <w:p w:rsidR="00000000" w:rsidDel="00000000" w:rsidP="00000000" w:rsidRDefault="00000000" w:rsidRPr="00000000" w14:paraId="00000041">
      <w:pPr>
        <w:spacing w:after="240" w:before="240" w:lineRule="auto"/>
        <w:rPr>
          <w:rFonts w:ascii="Lora" w:cs="Lora" w:eastAsia="Lora" w:hAnsi="Lora"/>
          <w:sz w:val="20"/>
          <w:szCs w:val="20"/>
        </w:rPr>
      </w:pPr>
      <w:r w:rsidDel="00000000" w:rsidR="00000000" w:rsidRPr="00000000">
        <w:rPr>
          <w:rFonts w:ascii="Lora" w:cs="Lora" w:eastAsia="Lora" w:hAnsi="Lora"/>
          <w:sz w:val="20"/>
          <w:szCs w:val="20"/>
          <w:rtl w:val="0"/>
        </w:rPr>
        <w:t xml:space="preserve">McLeod, S. (2026) </w:t>
      </w:r>
      <w:r w:rsidDel="00000000" w:rsidR="00000000" w:rsidRPr="00000000">
        <w:rPr>
          <w:rFonts w:ascii="Lora" w:cs="Lora" w:eastAsia="Lora" w:hAnsi="Lora"/>
          <w:i w:val="1"/>
          <w:iCs w:val="1"/>
          <w:sz w:val="20"/>
          <w:szCs w:val="20"/>
          <w:rtl w:val="0"/>
        </w:rPr>
        <w:t xml:space="preserve">Albert Bandura’s social learning theory</w:t>
      </w:r>
      <w:r w:rsidDel="00000000" w:rsidR="00000000" w:rsidRPr="00000000">
        <w:rPr>
          <w:rFonts w:ascii="Lora" w:cs="Lora" w:eastAsia="Lora" w:hAnsi="Lora"/>
          <w:sz w:val="20"/>
          <w:szCs w:val="20"/>
          <w:rtl w:val="0"/>
        </w:rPr>
        <w:t xml:space="preserve">. Simply Psychology. Available at:</w:t>
      </w:r>
      <w:hyperlink r:id="rId20">
        <w:r w:rsidDel="00000000" w:rsidR="00000000" w:rsidRPr="00000000">
          <w:rPr>
            <w:rFonts w:ascii="Lora" w:cs="Lora" w:eastAsia="Lora" w:hAnsi="Lora"/>
            <w:sz w:val="20"/>
            <w:szCs w:val="20"/>
            <w:rtl w:val="0"/>
          </w:rPr>
          <w:t xml:space="preserve"> </w:t>
        </w:r>
      </w:hyperlink>
      <w:hyperlink r:id="rId21">
        <w:r w:rsidDel="00000000" w:rsidR="00000000" w:rsidRPr="00000000">
          <w:rPr>
            <w:rFonts w:ascii="Lora" w:cs="Lora" w:eastAsia="Lora" w:hAnsi="Lora"/>
            <w:color w:val="1155cc"/>
            <w:sz w:val="20"/>
            <w:szCs w:val="20"/>
            <w:rtl w:val="0"/>
          </w:rPr>
          <w:t xml:space="preserve">https://www.simplypsychology.org/bandura.html</w:t>
        </w:r>
      </w:hyperlink>
      <w:r w:rsidDel="00000000" w:rsidR="00000000" w:rsidRPr="00000000">
        <w:rPr>
          <w:rFonts w:ascii="Lora" w:cs="Lora" w:eastAsia="Lora" w:hAnsi="Lora"/>
          <w:sz w:val="20"/>
          <w:szCs w:val="20"/>
          <w:rtl w:val="0"/>
        </w:rPr>
        <w:t xml:space="preserve"> (Accessed: 23 October 2026).</w:t>
      </w:r>
    </w:p>
    <w:p w:rsidR="00000000" w:rsidDel="00000000" w:rsidP="00000000" w:rsidRDefault="00000000" w:rsidRPr="00000000" w14:paraId="00000042">
      <w:pPr>
        <w:spacing w:after="240" w:before="240" w:lineRule="auto"/>
        <w:rPr>
          <w:rFonts w:ascii="Lora" w:cs="Lora" w:eastAsia="Lora" w:hAnsi="Lora"/>
          <w:sz w:val="20"/>
          <w:szCs w:val="20"/>
        </w:rPr>
      </w:pPr>
      <w:r w:rsidDel="00000000" w:rsidR="00000000" w:rsidRPr="00000000">
        <w:rPr>
          <w:rFonts w:ascii="Lora" w:cs="Lora" w:eastAsia="Lora" w:hAnsi="Lora"/>
          <w:sz w:val="20"/>
          <w:szCs w:val="20"/>
          <w:rtl w:val="0"/>
        </w:rPr>
        <w:t xml:space="preserve">McManus, M., Ball, E. and Almond, L. (2023) </w:t>
      </w:r>
      <w:r w:rsidDel="00000000" w:rsidR="00000000" w:rsidRPr="00000000">
        <w:rPr>
          <w:rFonts w:ascii="Lora" w:cs="Lora" w:eastAsia="Lora" w:hAnsi="Lora"/>
          <w:i w:val="1"/>
          <w:iCs w:val="1"/>
          <w:sz w:val="20"/>
          <w:szCs w:val="20"/>
          <w:rtl w:val="0"/>
        </w:rPr>
        <w:t xml:space="preserve">Child practice reviews in Wales: risk, response and review: multi-agency safeguarding — a thematic analysis of child practice reviews (CPRs) in Wales 2023</w:t>
      </w:r>
      <w:r w:rsidDel="00000000" w:rsidR="00000000" w:rsidRPr="00000000">
        <w:rPr>
          <w:rFonts w:ascii="Lora" w:cs="Lora" w:eastAsia="Lora" w:hAnsi="Lora"/>
          <w:sz w:val="20"/>
          <w:szCs w:val="20"/>
          <w:rtl w:val="0"/>
        </w:rPr>
        <w:t xml:space="preserve">. Available at:</w:t>
      </w:r>
      <w:hyperlink r:id="rId22">
        <w:r w:rsidDel="00000000" w:rsidR="00000000" w:rsidRPr="00000000">
          <w:rPr>
            <w:rFonts w:ascii="Lora" w:cs="Lora" w:eastAsia="Lora" w:hAnsi="Lora"/>
            <w:sz w:val="20"/>
            <w:szCs w:val="20"/>
            <w:rtl w:val="0"/>
          </w:rPr>
          <w:t xml:space="preserve"> </w:t>
        </w:r>
      </w:hyperlink>
      <w:hyperlink r:id="rId23">
        <w:r w:rsidDel="00000000" w:rsidR="00000000" w:rsidRPr="00000000">
          <w:rPr>
            <w:rFonts w:ascii="Lora" w:cs="Lora" w:eastAsia="Lora" w:hAnsi="Lora"/>
            <w:color w:val="1155cc"/>
            <w:sz w:val="20"/>
            <w:szCs w:val="20"/>
            <w:rtl w:val="0"/>
          </w:rPr>
          <w:t xml:space="preserve">https://safeguardingboard.wales/wp-content/uploads/sites/8/2023/10/Full-Report-Child-Practice-Reviews-Wales-2023.pdf</w:t>
        </w:r>
      </w:hyperlink>
      <w:r w:rsidDel="00000000" w:rsidR="00000000" w:rsidRPr="00000000">
        <w:rPr>
          <w:rFonts w:ascii="Lora" w:cs="Lora" w:eastAsia="Lora" w:hAnsi="Lora"/>
          <w:sz w:val="20"/>
          <w:szCs w:val="20"/>
          <w:rtl w:val="0"/>
        </w:rPr>
        <w:t xml:space="preserve"> (Accessed: 21 October 2026).</w:t>
      </w:r>
    </w:p>
    <w:p w:rsidR="00000000" w:rsidDel="00000000" w:rsidP="00000000" w:rsidRDefault="00000000" w:rsidRPr="00000000" w14:paraId="00000043">
      <w:pPr>
        <w:spacing w:after="240" w:before="240" w:lineRule="auto"/>
        <w:rPr>
          <w:rFonts w:ascii="Lora" w:cs="Lora" w:eastAsia="Lora" w:hAnsi="Lora"/>
          <w:sz w:val="20"/>
          <w:szCs w:val="20"/>
        </w:rPr>
      </w:pPr>
      <w:r w:rsidDel="00000000" w:rsidR="00000000" w:rsidRPr="00000000">
        <w:rPr>
          <w:rFonts w:ascii="Lora" w:cs="Lora" w:eastAsia="Lora" w:hAnsi="Lora"/>
          <w:sz w:val="20"/>
          <w:szCs w:val="20"/>
          <w:rtl w:val="0"/>
        </w:rPr>
        <w:t xml:space="preserve">NHS Cheshire and Merseyside (2026) ‘What are adverse childhood experiences?’. </w:t>
      </w:r>
      <w:r w:rsidDel="00000000" w:rsidR="00000000" w:rsidRPr="00000000">
        <w:rPr>
          <w:rFonts w:ascii="Lora" w:cs="Lora" w:eastAsia="Lora" w:hAnsi="Lora"/>
          <w:i w:val="1"/>
          <w:iCs w:val="1"/>
          <w:sz w:val="20"/>
          <w:szCs w:val="20"/>
          <w:rtl w:val="0"/>
        </w:rPr>
        <w:t xml:space="preserve">Liverpool CAMHS</w:t>
      </w:r>
      <w:r w:rsidDel="00000000" w:rsidR="00000000" w:rsidRPr="00000000">
        <w:rPr>
          <w:rFonts w:ascii="Lora" w:cs="Lora" w:eastAsia="Lora" w:hAnsi="Lora"/>
          <w:sz w:val="20"/>
          <w:szCs w:val="20"/>
          <w:rtl w:val="0"/>
        </w:rPr>
        <w:t xml:space="preserve">. Available at:</w:t>
      </w:r>
      <w:hyperlink r:id="rId24">
        <w:r w:rsidDel="00000000" w:rsidR="00000000" w:rsidRPr="00000000">
          <w:rPr>
            <w:rFonts w:ascii="Lora" w:cs="Lora" w:eastAsia="Lora" w:hAnsi="Lora"/>
            <w:sz w:val="20"/>
            <w:szCs w:val="20"/>
            <w:rtl w:val="0"/>
          </w:rPr>
          <w:t xml:space="preserve"> </w:t>
        </w:r>
      </w:hyperlink>
      <w:hyperlink r:id="rId25">
        <w:r w:rsidDel="00000000" w:rsidR="00000000" w:rsidRPr="00000000">
          <w:rPr>
            <w:rFonts w:ascii="Lora" w:cs="Lora" w:eastAsia="Lora" w:hAnsi="Lora"/>
            <w:color w:val="1155cc"/>
            <w:sz w:val="20"/>
            <w:szCs w:val="20"/>
            <w:rtl w:val="0"/>
          </w:rPr>
          <w:t xml:space="preserve">https://liverpoolcamhs.com/aces/what-are-adverse-childhood-experiences/</w:t>
        </w:r>
      </w:hyperlink>
      <w:r w:rsidDel="00000000" w:rsidR="00000000" w:rsidRPr="00000000">
        <w:rPr>
          <w:rFonts w:ascii="Lora" w:cs="Lora" w:eastAsia="Lora" w:hAnsi="Lora"/>
          <w:sz w:val="20"/>
          <w:szCs w:val="20"/>
          <w:rtl w:val="0"/>
        </w:rPr>
        <w:t xml:space="preserve"> (Accessed: 22 October 2026).</w:t>
      </w:r>
    </w:p>
    <w:p w:rsidR="00000000" w:rsidDel="00000000" w:rsidP="00000000" w:rsidRDefault="00000000" w:rsidRPr="00000000" w14:paraId="00000044">
      <w:pPr>
        <w:spacing w:after="240" w:before="240" w:lineRule="auto"/>
        <w:rPr>
          <w:rFonts w:ascii="Lora" w:cs="Lora" w:eastAsia="Lora" w:hAnsi="Lora"/>
          <w:sz w:val="20"/>
          <w:szCs w:val="20"/>
        </w:rPr>
      </w:pPr>
      <w:r w:rsidDel="00000000" w:rsidR="00000000" w:rsidRPr="00000000">
        <w:rPr>
          <w:rFonts w:ascii="Lora" w:cs="Lora" w:eastAsia="Lora" w:hAnsi="Lora"/>
          <w:sz w:val="20"/>
          <w:szCs w:val="20"/>
          <w:rtl w:val="0"/>
        </w:rPr>
        <w:t xml:space="preserve">Public Health Wales (n.d.) </w:t>
      </w:r>
      <w:r w:rsidDel="00000000" w:rsidR="00000000" w:rsidRPr="00000000">
        <w:rPr>
          <w:rFonts w:ascii="Lora" w:cs="Lora" w:eastAsia="Lora" w:hAnsi="Lora"/>
          <w:i w:val="1"/>
          <w:iCs w:val="1"/>
          <w:sz w:val="20"/>
          <w:szCs w:val="20"/>
          <w:rtl w:val="0"/>
        </w:rPr>
        <w:t xml:space="preserve">Adverse childhood experiences</w:t>
      </w:r>
      <w:r w:rsidDel="00000000" w:rsidR="00000000" w:rsidRPr="00000000">
        <w:rPr>
          <w:rFonts w:ascii="Lora" w:cs="Lora" w:eastAsia="Lora" w:hAnsi="Lora"/>
          <w:sz w:val="20"/>
          <w:szCs w:val="20"/>
          <w:rtl w:val="0"/>
        </w:rPr>
        <w:t xml:space="preserve">. Available at:</w:t>
      </w:r>
      <w:hyperlink r:id="rId26">
        <w:r w:rsidDel="00000000" w:rsidR="00000000" w:rsidRPr="00000000">
          <w:rPr>
            <w:rFonts w:ascii="Lora" w:cs="Lora" w:eastAsia="Lora" w:hAnsi="Lora"/>
            <w:sz w:val="20"/>
            <w:szCs w:val="20"/>
            <w:rtl w:val="0"/>
          </w:rPr>
          <w:t xml:space="preserve"> </w:t>
        </w:r>
      </w:hyperlink>
      <w:hyperlink r:id="rId27">
        <w:r w:rsidDel="00000000" w:rsidR="00000000" w:rsidRPr="00000000">
          <w:rPr>
            <w:rFonts w:ascii="Lora" w:cs="Lora" w:eastAsia="Lora" w:hAnsi="Lora"/>
            <w:color w:val="1155cc"/>
            <w:sz w:val="20"/>
            <w:szCs w:val="20"/>
            <w:rtl w:val="0"/>
          </w:rPr>
          <w:t xml:space="preserve">https://phw.nhs.wales/topic/policy-and-international-health/adverse-childhood-experiences/</w:t>
        </w:r>
      </w:hyperlink>
      <w:r w:rsidDel="00000000" w:rsidR="00000000" w:rsidRPr="00000000">
        <w:rPr>
          <w:rFonts w:ascii="Lora" w:cs="Lora" w:eastAsia="Lora" w:hAnsi="Lora"/>
          <w:sz w:val="20"/>
          <w:szCs w:val="20"/>
          <w:rtl w:val="0"/>
        </w:rPr>
        <w:t xml:space="preserve"> (Accessed: 23 October 2026).</w:t>
      </w:r>
    </w:p>
    <w:p w:rsidR="00000000" w:rsidDel="00000000" w:rsidP="00000000" w:rsidRDefault="00000000" w:rsidRPr="00000000" w14:paraId="00000045">
      <w:pPr>
        <w:spacing w:after="240" w:before="240" w:lineRule="auto"/>
        <w:rPr>
          <w:rFonts w:ascii="Lora" w:cs="Lora" w:eastAsia="Lora" w:hAnsi="Lora"/>
          <w:sz w:val="20"/>
          <w:szCs w:val="20"/>
        </w:rPr>
      </w:pPr>
      <w:r w:rsidDel="00000000" w:rsidR="00000000" w:rsidRPr="00000000">
        <w:rPr>
          <w:rFonts w:ascii="Lora" w:cs="Lora" w:eastAsia="Lora" w:hAnsi="Lora"/>
          <w:sz w:val="20"/>
          <w:szCs w:val="20"/>
          <w:rtl w:val="0"/>
        </w:rPr>
        <w:t xml:space="preserve">University of Sheffield (2026) ‘How to structure and plan an essay’. </w:t>
      </w:r>
      <w:r w:rsidDel="00000000" w:rsidR="00000000" w:rsidRPr="00000000">
        <w:rPr>
          <w:rFonts w:ascii="Lora" w:cs="Lora" w:eastAsia="Lora" w:hAnsi="Lora"/>
          <w:i w:val="1"/>
          <w:iCs w:val="1"/>
          <w:sz w:val="20"/>
          <w:szCs w:val="20"/>
          <w:rtl w:val="0"/>
        </w:rPr>
        <w:t xml:space="preserve">StudySkills@Sheffield</w:t>
      </w:r>
      <w:r w:rsidDel="00000000" w:rsidR="00000000" w:rsidRPr="00000000">
        <w:rPr>
          <w:rFonts w:ascii="Lora" w:cs="Lora" w:eastAsia="Lora" w:hAnsi="Lora"/>
          <w:sz w:val="20"/>
          <w:szCs w:val="20"/>
          <w:rtl w:val="0"/>
        </w:rPr>
        <w:t xml:space="preserve">. Available at:</w:t>
      </w:r>
      <w:hyperlink r:id="rId28">
        <w:r w:rsidDel="00000000" w:rsidR="00000000" w:rsidRPr="00000000">
          <w:rPr>
            <w:rFonts w:ascii="Lora" w:cs="Lora" w:eastAsia="Lora" w:hAnsi="Lora"/>
            <w:sz w:val="20"/>
            <w:szCs w:val="20"/>
            <w:rtl w:val="0"/>
          </w:rPr>
          <w:t xml:space="preserve"> </w:t>
        </w:r>
      </w:hyperlink>
      <w:hyperlink r:id="rId29">
        <w:r w:rsidDel="00000000" w:rsidR="00000000" w:rsidRPr="00000000">
          <w:rPr>
            <w:rFonts w:ascii="Lora" w:cs="Lora" w:eastAsia="Lora" w:hAnsi="Lora"/>
            <w:color w:val="1155cc"/>
            <w:sz w:val="20"/>
            <w:szCs w:val="20"/>
            <w:rtl w:val="0"/>
          </w:rPr>
          <w:t xml:space="preserve">https://sheffield.ac.uk/study-skills/writing/academic/essay</w:t>
        </w:r>
      </w:hyperlink>
      <w:r w:rsidDel="00000000" w:rsidR="00000000" w:rsidRPr="00000000">
        <w:rPr>
          <w:rFonts w:ascii="Lora" w:cs="Lora" w:eastAsia="Lora" w:hAnsi="Lora"/>
          <w:sz w:val="20"/>
          <w:szCs w:val="20"/>
          <w:rtl w:val="0"/>
        </w:rPr>
        <w:t xml:space="preserve"> (Accessed: 21 October 2026).</w:t>
      </w:r>
    </w:p>
    <w:p w:rsidR="00000000" w:rsidDel="00000000" w:rsidP="00000000" w:rsidRDefault="00000000" w:rsidRPr="00000000" w14:paraId="00000046">
      <w:pPr>
        <w:spacing w:after="240" w:before="240" w:lineRule="auto"/>
        <w:rPr>
          <w:rFonts w:ascii="Lora" w:cs="Lora" w:eastAsia="Lora" w:hAnsi="Lora"/>
          <w:sz w:val="20"/>
          <w:szCs w:val="20"/>
        </w:rPr>
      </w:pPr>
      <w:r w:rsidDel="00000000" w:rsidR="00000000" w:rsidRPr="00000000">
        <w:rPr>
          <w:rFonts w:ascii="Lora" w:cs="Lora" w:eastAsia="Lora" w:hAnsi="Lora"/>
          <w:sz w:val="20"/>
          <w:szCs w:val="20"/>
          <w:rtl w:val="0"/>
        </w:rPr>
        <w:t xml:space="preserve">Welsh Government (2019) </w:t>
      </w:r>
      <w:r w:rsidDel="00000000" w:rsidR="00000000" w:rsidRPr="00000000">
        <w:rPr>
          <w:rFonts w:ascii="Lora" w:cs="Lora" w:eastAsia="Lora" w:hAnsi="Lora"/>
          <w:i w:val="1"/>
          <w:iCs w:val="1"/>
          <w:sz w:val="20"/>
          <w:szCs w:val="20"/>
          <w:rtl w:val="0"/>
        </w:rPr>
        <w:t xml:space="preserve">Working together to safeguard people: volume 5 — handling individual cases to protect children at risk</w:t>
      </w:r>
      <w:r w:rsidDel="00000000" w:rsidR="00000000" w:rsidRPr="00000000">
        <w:rPr>
          <w:rFonts w:ascii="Lora" w:cs="Lora" w:eastAsia="Lora" w:hAnsi="Lora"/>
          <w:sz w:val="20"/>
          <w:szCs w:val="20"/>
          <w:rtl w:val="0"/>
        </w:rPr>
        <w:t xml:space="preserve">. Available at:</w:t>
      </w:r>
      <w:hyperlink r:id="rId30">
        <w:r w:rsidDel="00000000" w:rsidR="00000000" w:rsidRPr="00000000">
          <w:rPr>
            <w:rFonts w:ascii="Lora" w:cs="Lora" w:eastAsia="Lora" w:hAnsi="Lora"/>
            <w:sz w:val="20"/>
            <w:szCs w:val="20"/>
            <w:rtl w:val="0"/>
          </w:rPr>
          <w:t xml:space="preserve"> </w:t>
        </w:r>
      </w:hyperlink>
      <w:hyperlink r:id="rId31">
        <w:r w:rsidDel="00000000" w:rsidR="00000000" w:rsidRPr="00000000">
          <w:rPr>
            <w:rFonts w:ascii="Lora" w:cs="Lora" w:eastAsia="Lora" w:hAnsi="Lora"/>
            <w:color w:val="1155cc"/>
            <w:sz w:val="20"/>
            <w:szCs w:val="20"/>
            <w:rtl w:val="0"/>
          </w:rPr>
          <w:t xml:space="preserve">https://www.gov.wales/sites/default/files/publications/2019-05/working-together-to-safeguard-people-volume-5-handling-individual-cases-to-protect-children-at-risk.pdf</w:t>
        </w:r>
      </w:hyperlink>
      <w:r w:rsidDel="00000000" w:rsidR="00000000" w:rsidRPr="00000000">
        <w:rPr>
          <w:rFonts w:ascii="Lora" w:cs="Lora" w:eastAsia="Lora" w:hAnsi="Lora"/>
          <w:sz w:val="20"/>
          <w:szCs w:val="20"/>
          <w:rtl w:val="0"/>
        </w:rPr>
        <w:t xml:space="preserve"> (Accessed: 22 October 2026).</w:t>
      </w:r>
    </w:p>
    <w:p w:rsidR="00000000" w:rsidDel="00000000" w:rsidP="00000000" w:rsidRDefault="00000000" w:rsidRPr="00000000" w14:paraId="00000047">
      <w:pPr>
        <w:rPr>
          <w:rFonts w:ascii="Lora" w:cs="Lora" w:eastAsia="Lora" w:hAnsi="Lora"/>
          <w:sz w:val="24"/>
          <w:szCs w:val="24"/>
          <w:u w:val="single"/>
        </w:rPr>
      </w:pPr>
      <w:r w:rsidDel="00000000" w:rsidR="00000000" w:rsidRPr="00000000">
        <w:rPr>
          <w:rtl w:val="0"/>
        </w:rPr>
      </w:r>
    </w:p>
    <w:p w:rsidR="00000000" w:rsidDel="00000000" w:rsidP="00000000" w:rsidRDefault="00000000" w:rsidRPr="00000000" w14:paraId="00000048">
      <w:pPr>
        <w:spacing w:after="240" w:before="240" w:lineRule="auto"/>
        <w:rPr>
          <w:rFonts w:ascii="Lora" w:cs="Lora" w:eastAsia="Lora" w:hAnsi="Lora"/>
        </w:rPr>
      </w:pPr>
      <w:r w:rsidDel="00000000" w:rsidR="00000000" w:rsidRPr="00000000">
        <w:rPr>
          <w:rFonts w:ascii="Lora" w:cs="Lora" w:eastAsia="Lora" w:hAnsi="Lora"/>
          <w:rtl w:val="0"/>
        </w:rPr>
        <w:t xml:space="preserve">AI DECLARATION</w:t>
      </w:r>
    </w:p>
    <w:p w:rsidR="00000000" w:rsidDel="00000000" w:rsidP="00000000" w:rsidRDefault="00000000" w:rsidRPr="00000000" w14:paraId="00000049">
      <w:pPr>
        <w:spacing w:after="240" w:before="240" w:lineRule="auto"/>
        <w:rPr>
          <w:rFonts w:ascii="Lora" w:cs="Lora" w:eastAsia="Lora" w:hAnsi="Lora"/>
        </w:rPr>
      </w:pPr>
      <w:r w:rsidDel="00000000" w:rsidR="00000000" w:rsidRPr="00000000">
        <w:rPr>
          <w:rFonts w:ascii="Lora" w:cs="Lora" w:eastAsia="Lora" w:hAnsi="Lora"/>
          <w:rtl w:val="0"/>
        </w:rPr>
        <w:t xml:space="preserve">I acknowledge the use of ChatGPT (chatgpt.com) between 21 and 23 October 2026 to support the editing and refinement of my dissertation introduction, improve clarity and conciseness, and assist with formatting and checking references.</w:t>
      </w:r>
    </w:p>
    <w:p w:rsidR="00000000" w:rsidDel="00000000" w:rsidP="00000000" w:rsidRDefault="00000000" w:rsidRPr="00000000" w14:paraId="0000004A">
      <w:pPr>
        <w:spacing w:after="240" w:before="240" w:lineRule="auto"/>
        <w:rPr>
          <w:rFonts w:ascii="Lora" w:cs="Lora" w:eastAsia="Lora" w:hAnsi="Lora"/>
        </w:rPr>
      </w:pPr>
      <w:r w:rsidDel="00000000" w:rsidR="00000000" w:rsidRPr="00000000">
        <w:rPr>
          <w:rFonts w:ascii="Lora" w:cs="Lora" w:eastAsia="Lora" w:hAnsi="Lora"/>
          <w:rtl w:val="0"/>
        </w:rPr>
        <w:t xml:space="preserve">I used the following prompts:</w:t>
      </w:r>
    </w:p>
    <w:p w:rsidR="00000000" w:rsidDel="00000000" w:rsidP="00000000" w:rsidRDefault="00000000" w:rsidRPr="00000000" w14:paraId="0000004B">
      <w:pPr>
        <w:numPr>
          <w:ilvl w:val="0"/>
          <w:numId w:val="2"/>
        </w:numPr>
        <w:spacing w:after="0" w:afterAutospacing="0" w:before="240" w:lineRule="auto"/>
        <w:ind w:left="720" w:hanging="360"/>
        <w:rPr>
          <w:rFonts w:ascii="Lora" w:cs="Lora" w:eastAsia="Lora" w:hAnsi="Lora"/>
        </w:rPr>
      </w:pPr>
      <w:r w:rsidDel="00000000" w:rsidR="00000000" w:rsidRPr="00000000">
        <w:rPr>
          <w:rFonts w:ascii="Lora" w:cs="Lora" w:eastAsia="Lora" w:hAnsi="Lora"/>
          <w:rtl w:val="0"/>
        </w:rPr>
        <w:t xml:space="preserve">“Find an academically reliable source surrounding ACEs and criminality”</w:t>
      </w:r>
    </w:p>
    <w:p w:rsidR="00000000" w:rsidDel="00000000" w:rsidP="00000000" w:rsidRDefault="00000000" w:rsidRPr="00000000" w14:paraId="0000004C">
      <w:pPr>
        <w:numPr>
          <w:ilvl w:val="0"/>
          <w:numId w:val="2"/>
        </w:numPr>
        <w:spacing w:after="0" w:afterAutospacing="0" w:before="0" w:beforeAutospacing="0" w:lineRule="auto"/>
        <w:ind w:left="720" w:hanging="360"/>
        <w:rPr>
          <w:rFonts w:ascii="Lora" w:cs="Lora" w:eastAsia="Lora" w:hAnsi="Lora"/>
        </w:rPr>
      </w:pPr>
      <w:r w:rsidDel="00000000" w:rsidR="00000000" w:rsidRPr="00000000">
        <w:rPr>
          <w:rFonts w:ascii="Lora" w:cs="Lora" w:eastAsia="Lora" w:hAnsi="Lora"/>
          <w:rtl w:val="0"/>
        </w:rPr>
        <w:t xml:space="preserve">“How can I reduce my word count?”</w:t>
      </w:r>
    </w:p>
    <w:p w:rsidR="00000000" w:rsidDel="00000000" w:rsidP="00000000" w:rsidRDefault="00000000" w:rsidRPr="00000000" w14:paraId="0000004D">
      <w:pPr>
        <w:numPr>
          <w:ilvl w:val="0"/>
          <w:numId w:val="2"/>
        </w:numPr>
        <w:spacing w:after="0" w:afterAutospacing="0" w:before="0" w:beforeAutospacing="0" w:lineRule="auto"/>
        <w:ind w:left="720" w:hanging="360"/>
        <w:rPr>
          <w:rFonts w:ascii="Lora" w:cs="Lora" w:eastAsia="Lora" w:hAnsi="Lora"/>
        </w:rPr>
      </w:pPr>
      <w:r w:rsidDel="00000000" w:rsidR="00000000" w:rsidRPr="00000000">
        <w:rPr>
          <w:rFonts w:ascii="Lora" w:cs="Lora" w:eastAsia="Lora" w:hAnsi="Lora"/>
          <w:rtl w:val="0"/>
        </w:rPr>
        <w:t xml:space="preserve">“Can you check if my references follow UWTSD Harvard style?”</w:t>
      </w:r>
    </w:p>
    <w:p w:rsidR="00000000" w:rsidDel="00000000" w:rsidP="00000000" w:rsidRDefault="00000000" w:rsidRPr="00000000" w14:paraId="0000004E">
      <w:pPr>
        <w:numPr>
          <w:ilvl w:val="0"/>
          <w:numId w:val="2"/>
        </w:numPr>
        <w:spacing w:after="0" w:afterAutospacing="0" w:before="0" w:beforeAutospacing="0" w:lineRule="auto"/>
        <w:ind w:left="720" w:hanging="360"/>
        <w:rPr>
          <w:rFonts w:ascii="Lora" w:cs="Lora" w:eastAsia="Lora" w:hAnsi="Lora"/>
          <w:u w:val="none"/>
        </w:rPr>
      </w:pPr>
      <w:r w:rsidDel="00000000" w:rsidR="00000000" w:rsidRPr="00000000">
        <w:rPr>
          <w:rFonts w:ascii="Lora" w:cs="Lora" w:eastAsia="Lora" w:hAnsi="Lora"/>
          <w:rtl w:val="0"/>
        </w:rPr>
        <w:t xml:space="preserve">“Identify any areas where I have repeated information unnecessarily”</w:t>
      </w:r>
    </w:p>
    <w:p w:rsidR="00000000" w:rsidDel="00000000" w:rsidP="00000000" w:rsidRDefault="00000000" w:rsidRPr="00000000" w14:paraId="0000004F">
      <w:pPr>
        <w:numPr>
          <w:ilvl w:val="0"/>
          <w:numId w:val="2"/>
        </w:numPr>
        <w:spacing w:after="240" w:before="0" w:beforeAutospacing="0" w:lineRule="auto"/>
        <w:ind w:left="720" w:hanging="360"/>
        <w:rPr>
          <w:rFonts w:ascii="Lora" w:cs="Lora" w:eastAsia="Lora" w:hAnsi="Lora"/>
          <w:u w:val="none"/>
        </w:rPr>
      </w:pPr>
      <w:r w:rsidDel="00000000" w:rsidR="00000000" w:rsidRPr="00000000">
        <w:rPr>
          <w:rFonts w:ascii="Lora" w:cs="Lora" w:eastAsia="Lora" w:hAnsi="Lora"/>
          <w:rtl w:val="0"/>
        </w:rPr>
        <w:t xml:space="preserve">“Are there any critical syntax errors or areas to improve?”</w:t>
      </w:r>
    </w:p>
    <w:p w:rsidR="00000000" w:rsidDel="00000000" w:rsidP="00000000" w:rsidRDefault="00000000" w:rsidRPr="00000000" w14:paraId="00000050">
      <w:pPr>
        <w:spacing w:after="240" w:before="240" w:lineRule="auto"/>
        <w:rPr>
          <w:rFonts w:ascii="Lora" w:cs="Lora" w:eastAsia="Lora" w:hAnsi="Lora"/>
        </w:rPr>
      </w:pPr>
      <w:r w:rsidDel="00000000" w:rsidR="00000000" w:rsidRPr="00000000">
        <w:rPr>
          <w:rFonts w:ascii="Lora" w:cs="Lora" w:eastAsia="Lora" w:hAnsi="Lora"/>
          <w:rtl w:val="0"/>
        </w:rPr>
        <w:t xml:space="preserve">I confirm that I have not presented any AI-generated text as my own work. I confirm that I have copies of my drafts, notes and other resources used before and after the use of AI tools, which I may be asked to provide as evidence.</w:t>
      </w:r>
    </w:p>
    <w:p w:rsidR="00000000" w:rsidDel="00000000" w:rsidP="00000000" w:rsidRDefault="00000000" w:rsidRPr="00000000" w14:paraId="00000051">
      <w:pPr>
        <w:rPr>
          <w:rFonts w:ascii="Lora" w:cs="Lora" w:eastAsia="Lora" w:hAnsi="Lora"/>
          <w:sz w:val="24"/>
          <w:szCs w:val="24"/>
          <w:u w:val="singl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Lor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simplypsychology.org/bandura.html" TargetMode="External"/><Relationship Id="rId22" Type="http://schemas.openxmlformats.org/officeDocument/2006/relationships/hyperlink" Target="https://safeguardingboard.wales/wp-content/uploads/sites/8/2023/10/Full-Report-Child-Practice-Reviews-Wales-2023.pdf" TargetMode="External"/><Relationship Id="rId21" Type="http://schemas.openxmlformats.org/officeDocument/2006/relationships/hyperlink" Target="https://www.simplypsychology.org/bandura.html" TargetMode="External"/><Relationship Id="rId24" Type="http://schemas.openxmlformats.org/officeDocument/2006/relationships/hyperlink" Target="https://liverpoolcamhs.com/aces/what-are-adverse-childhood-experiences/" TargetMode="External"/><Relationship Id="rId23" Type="http://schemas.openxmlformats.org/officeDocument/2006/relationships/hyperlink" Target="https://safeguardingboard.wales/wp-content/uploads/sites/8/2023/10/Full-Report-Child-Practice-Reviews-Wales-2023.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gov.uk/government/publications/working-together-to-safeguard-children--2/working-together-to-safeguard-children-2026-summary-of-changes" TargetMode="External"/><Relationship Id="rId26" Type="http://schemas.openxmlformats.org/officeDocument/2006/relationships/hyperlink" Target="https://phw.nhs.wales/topic/policy-and-international-health/adverse-childhood-experiences/" TargetMode="External"/><Relationship Id="rId25" Type="http://schemas.openxmlformats.org/officeDocument/2006/relationships/hyperlink" Target="https://liverpoolcamhs.com/aces/what-are-adverse-childhood-experiences/" TargetMode="External"/><Relationship Id="rId28" Type="http://schemas.openxmlformats.org/officeDocument/2006/relationships/hyperlink" Target="https://sheffield.ac.uk/study-skills/writing/academic/essay" TargetMode="External"/><Relationship Id="rId27" Type="http://schemas.openxmlformats.org/officeDocument/2006/relationships/hyperlink" Target="https://phw.nhs.wales/topic/policy-and-international-health/adverse-childhood-experiences/" TargetMode="External"/><Relationship Id="rId5" Type="http://schemas.openxmlformats.org/officeDocument/2006/relationships/styles" Target="styles.xml"/><Relationship Id="rId6" Type="http://schemas.openxmlformats.org/officeDocument/2006/relationships/hyperlink" Target="https://www.college.police.uk/app/major-investigation-and-public-protection/investigating-child-abuse-and-safeguarding-children/police-response-concern-child" TargetMode="External"/><Relationship Id="rId29" Type="http://schemas.openxmlformats.org/officeDocument/2006/relationships/hyperlink" Target="https://sheffield.ac.uk/study-skills/writing/academic/essay" TargetMode="External"/><Relationship Id="rId7" Type="http://schemas.openxmlformats.org/officeDocument/2006/relationships/hyperlink" Target="https://www.college.police.uk/app/major-investigation-and-public-protection/investigating-child-abuse-and-safeguarding-children/police-response-concern-child" TargetMode="External"/><Relationship Id="rId8" Type="http://schemas.openxmlformats.org/officeDocument/2006/relationships/hyperlink" Target="https://www.gov.uk/government/publications/working-together-to-safeguard-children--2/working-together-to-safeguard-children-2026-summary-of-changes" TargetMode="External"/><Relationship Id="rId31" Type="http://schemas.openxmlformats.org/officeDocument/2006/relationships/hyperlink" Target="https://www.gov.wales/sites/default/files/publications/2019-05/working-together-to-safeguard-people-volume-5-handling-individual-cases-to-protect-children-at-risk.pdf" TargetMode="External"/><Relationship Id="rId30" Type="http://schemas.openxmlformats.org/officeDocument/2006/relationships/hyperlink" Target="https://www.gov.wales/sites/default/files/publications/2019-05/working-together-to-safeguard-people-volume-5-handling-individual-cases-to-protect-children-at-risk.pdf" TargetMode="External"/><Relationship Id="rId11" Type="http://schemas.openxmlformats.org/officeDocument/2006/relationships/hyperlink" Target="https://www.legislation.gov.uk/ukpga/2021/17/section/3" TargetMode="External"/><Relationship Id="rId10" Type="http://schemas.openxmlformats.org/officeDocument/2006/relationships/hyperlink" Target="https://www.legislation.gov.uk/ukpga/2021/17/section/3" TargetMode="External"/><Relationship Id="rId13" Type="http://schemas.openxmlformats.org/officeDocument/2006/relationships/hyperlink" Target="https://hmicfrs.justiceinspectorates.gov.uk/glossary/adverse-childhood-experiences/" TargetMode="External"/><Relationship Id="rId12" Type="http://schemas.openxmlformats.org/officeDocument/2006/relationships/hyperlink" Target="https://hmicfrs.justiceinspectorates.gov.uk/glossary/adverse-childhood-experiences/" TargetMode="External"/><Relationship Id="rId15" Type="http://schemas.openxmlformats.org/officeDocument/2006/relationships/hyperlink" Target="https://hmiprobation.justiceinspectorates.gov.uk/our-research/evidence-base-youth-justice/specific-areas-of-delivery/adversity-and-trauma/" TargetMode="External"/><Relationship Id="rId14" Type="http://schemas.openxmlformats.org/officeDocument/2006/relationships/hyperlink" Target="https://hmiprobation.justiceinspectorates.gov.uk/our-research/evidence-base-youth-justice/specific-areas-of-delivery/adversity-and-trauma/" TargetMode="External"/><Relationship Id="rId17" Type="http://schemas.openxmlformats.org/officeDocument/2006/relationships/hyperlink" Target="https://hmiprobation.justiceinspectorates.gov.uk/document/the-effectiveness-of-diverting-children-from-the-criminal-justice-system-meeting-needs-ensuring-safety-and-preventing-reoffending/" TargetMode="External"/><Relationship Id="rId16" Type="http://schemas.openxmlformats.org/officeDocument/2006/relationships/hyperlink" Target="https://hmiprobation.justiceinspectorates.gov.uk/document/the-effectiveness-of-diverting-children-from-the-criminal-justice-system-meeting-needs-ensuring-safety-and-preventing-reoffending/" TargetMode="External"/><Relationship Id="rId19" Type="http://schemas.openxmlformats.org/officeDocument/2006/relationships/hyperlink" Target="https://publications.parliament.uk/pa/cm201719/cmselect/cmsctech/506/50600.htm" TargetMode="External"/><Relationship Id="rId18" Type="http://schemas.openxmlformats.org/officeDocument/2006/relationships/hyperlink" Target="https://publications.parliament.uk/pa/cm201719/cmselect/cmsctech/506/50600.htm"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Lora-regular.ttf"/><Relationship Id="rId2" Type="http://schemas.openxmlformats.org/officeDocument/2006/relationships/font" Target="fonts/Lora-bold.ttf"/><Relationship Id="rId3" Type="http://schemas.openxmlformats.org/officeDocument/2006/relationships/font" Target="fonts/Lora-italic.ttf"/><Relationship Id="rId4" Type="http://schemas.openxmlformats.org/officeDocument/2006/relationships/font" Target="fonts/Lora-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