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17598E6" w14:textId="77777777" w:rsidR="00AF4712" w:rsidRPr="00AF4712" w:rsidRDefault="00AF4712" w:rsidP="00AF4712">
      <w:pPr>
        <w:pStyle w:val="NormalWeb"/>
        <w:spacing w:before="240" w:beforeAutospacing="0" w:after="240" w:afterAutospacing="0"/>
        <w:rPr>
          <w:rFonts w:ascii="Open Sans" w:hAnsi="Open Sans" w:cs="Open Sans"/>
          <w:color w:val="333333"/>
        </w:rPr>
      </w:pPr>
      <w:r w:rsidRPr="00AF4712">
        <w:rPr>
          <w:rFonts w:ascii="Open Sans" w:hAnsi="Open Sans" w:cs="Open Sans"/>
          <w:color w:val="333333"/>
        </w:rPr>
        <w:t>A traditional PhD is largely seen as a research</w:t>
      </w:r>
      <w:r w:rsidRPr="00AF4712">
        <w:rPr>
          <w:rFonts w:ascii="Cambria Math" w:hAnsi="Cambria Math" w:cs="Cambria Math"/>
          <w:color w:val="333333"/>
        </w:rPr>
        <w:t>‐</w:t>
      </w:r>
      <w:r w:rsidRPr="00AF4712">
        <w:rPr>
          <w:rFonts w:ascii="Open Sans" w:hAnsi="Open Sans" w:cs="Open Sans"/>
          <w:color w:val="333333"/>
        </w:rPr>
        <w:t>based qualification focused on a project which is expected to contribute to new knowledge [UK Council for Graduate Education (UKCGE),</w:t>
      </w:r>
      <w:r w:rsidRPr="00AF4712">
        <w:rPr>
          <w:rStyle w:val="apple-converted-space"/>
          <w:rFonts w:ascii="Open Sans" w:hAnsi="Open Sans" w:cs="Open Sans"/>
          <w:color w:val="333333"/>
        </w:rPr>
        <w:t> </w:t>
      </w:r>
      <w:hyperlink r:id="rId4" w:history="1">
        <w:r w:rsidRPr="00AF4712">
          <w:rPr>
            <w:rStyle w:val="off-screen"/>
            <w:rFonts w:ascii="Open Sans" w:hAnsi="Open Sans" w:cs="Open Sans"/>
            <w:color w:val="10147E"/>
            <w:u w:val="single"/>
          </w:rPr>
          <w:t>Citation</w:t>
        </w:r>
        <w:r w:rsidRPr="00AF4712">
          <w:rPr>
            <w:rStyle w:val="Hyperlink"/>
            <w:rFonts w:ascii="Open Sans" w:hAnsi="Open Sans" w:cs="Open Sans"/>
            <w:color w:val="10147E"/>
          </w:rPr>
          <w:t>2002</w:t>
        </w:r>
      </w:hyperlink>
      <w:r w:rsidRPr="00AF4712">
        <w:rPr>
          <w:rFonts w:ascii="Open Sans" w:hAnsi="Open Sans" w:cs="Open Sans"/>
          <w:color w:val="333333"/>
        </w:rPr>
        <w:t>]. Traditionally, PhDs were undertaken for either their ‘intrinsic interest or as part of the entrée to a university post’ (Leonard,</w:t>
      </w:r>
      <w:r w:rsidRPr="00AF4712">
        <w:rPr>
          <w:rStyle w:val="apple-converted-space"/>
          <w:rFonts w:ascii="Open Sans" w:hAnsi="Open Sans" w:cs="Open Sans"/>
          <w:color w:val="333333"/>
        </w:rPr>
        <w:t> </w:t>
      </w:r>
      <w:hyperlink r:id="rId5" w:history="1">
        <w:r w:rsidRPr="00AF4712">
          <w:rPr>
            <w:rStyle w:val="off-screen"/>
            <w:rFonts w:ascii="Open Sans" w:hAnsi="Open Sans" w:cs="Open Sans"/>
            <w:color w:val="10147E"/>
            <w:u w:val="single"/>
          </w:rPr>
          <w:t>Citation</w:t>
        </w:r>
        <w:r w:rsidRPr="00AF4712">
          <w:rPr>
            <w:rStyle w:val="Hyperlink"/>
            <w:rFonts w:ascii="Open Sans" w:hAnsi="Open Sans" w:cs="Open Sans"/>
            <w:color w:val="10147E"/>
          </w:rPr>
          <w:t>2000</w:t>
        </w:r>
      </w:hyperlink>
      <w:r w:rsidRPr="00AF4712">
        <w:rPr>
          <w:rFonts w:ascii="Open Sans" w:hAnsi="Open Sans" w:cs="Open Sans"/>
          <w:color w:val="333333"/>
        </w:rPr>
        <w:t xml:space="preserve">, p. 186). In </w:t>
      </w:r>
      <w:proofErr w:type="gramStart"/>
      <w:r w:rsidRPr="00AF4712">
        <w:rPr>
          <w:rFonts w:ascii="Open Sans" w:hAnsi="Open Sans" w:cs="Open Sans"/>
          <w:color w:val="333333"/>
        </w:rPr>
        <w:t>short</w:t>
      </w:r>
      <w:proofErr w:type="gramEnd"/>
      <w:r w:rsidRPr="00AF4712">
        <w:rPr>
          <w:rFonts w:ascii="Open Sans" w:hAnsi="Open Sans" w:cs="Open Sans"/>
          <w:color w:val="333333"/>
        </w:rPr>
        <w:t xml:space="preserve"> they offered the tools to become a professional academic. Over 15 years ago the narrow focus of traditional PhDs and their applicability to the ‘knowledge economy’ was questioned in the government's 1993 White Paper on Research Policy [Office of Science &amp; Technology (OST),</w:t>
      </w:r>
      <w:r w:rsidRPr="00AF4712">
        <w:rPr>
          <w:rStyle w:val="apple-converted-space"/>
          <w:rFonts w:ascii="Open Sans" w:hAnsi="Open Sans" w:cs="Open Sans"/>
          <w:color w:val="333333"/>
        </w:rPr>
        <w:t> </w:t>
      </w:r>
      <w:hyperlink r:id="rId6" w:history="1">
        <w:r w:rsidRPr="00AF4712">
          <w:rPr>
            <w:rStyle w:val="off-screen"/>
            <w:rFonts w:ascii="Open Sans" w:hAnsi="Open Sans" w:cs="Open Sans"/>
            <w:color w:val="10147E"/>
            <w:u w:val="single"/>
          </w:rPr>
          <w:t>Citation</w:t>
        </w:r>
        <w:r w:rsidRPr="00AF4712">
          <w:rPr>
            <w:rStyle w:val="Hyperlink"/>
            <w:rFonts w:ascii="Open Sans" w:hAnsi="Open Sans" w:cs="Open Sans"/>
            <w:color w:val="10147E"/>
          </w:rPr>
          <w:t>1993</w:t>
        </w:r>
      </w:hyperlink>
      <w:r w:rsidRPr="00AF4712">
        <w:rPr>
          <w:rFonts w:ascii="Open Sans" w:hAnsi="Open Sans" w:cs="Open Sans"/>
          <w:color w:val="333333"/>
        </w:rPr>
        <w:t>], which suggested that ‘the traditional PhD is not well</w:t>
      </w:r>
      <w:r w:rsidRPr="00AF4712">
        <w:rPr>
          <w:rFonts w:ascii="Cambria Math" w:hAnsi="Cambria Math" w:cs="Cambria Math"/>
          <w:color w:val="333333"/>
        </w:rPr>
        <w:t>‐</w:t>
      </w:r>
      <w:r w:rsidRPr="00AF4712">
        <w:rPr>
          <w:rFonts w:ascii="Open Sans" w:hAnsi="Open Sans" w:cs="Open Sans"/>
          <w:color w:val="333333"/>
        </w:rPr>
        <w:t>matched to the needs of careers outside research in academia’ (p. 3). More recently it has been suggested that the PhD has little influence on employment outside academia (Kuang</w:t>
      </w:r>
      <w:r w:rsidRPr="00AF4712">
        <w:rPr>
          <w:rFonts w:ascii="Cambria Math" w:hAnsi="Cambria Math" w:cs="Cambria Math"/>
          <w:color w:val="333333"/>
        </w:rPr>
        <w:t>‐</w:t>
      </w:r>
      <w:r w:rsidRPr="00AF4712">
        <w:rPr>
          <w:rFonts w:ascii="Open Sans" w:hAnsi="Open Sans" w:cs="Open Sans"/>
          <w:color w:val="333333"/>
        </w:rPr>
        <w:t>Hsu Chiang,</w:t>
      </w:r>
      <w:r w:rsidRPr="00AF4712">
        <w:rPr>
          <w:rStyle w:val="apple-converted-space"/>
          <w:rFonts w:ascii="Open Sans" w:hAnsi="Open Sans" w:cs="Open Sans"/>
          <w:color w:val="333333"/>
        </w:rPr>
        <w:t> </w:t>
      </w:r>
      <w:hyperlink r:id="rId7" w:history="1">
        <w:r w:rsidRPr="00AF4712">
          <w:rPr>
            <w:rStyle w:val="off-screen"/>
            <w:rFonts w:ascii="Open Sans" w:hAnsi="Open Sans" w:cs="Open Sans"/>
            <w:color w:val="10147E"/>
            <w:u w:val="single"/>
          </w:rPr>
          <w:t>Citation</w:t>
        </w:r>
        <w:r w:rsidRPr="00AF4712">
          <w:rPr>
            <w:rStyle w:val="Hyperlink"/>
            <w:rFonts w:ascii="Open Sans" w:hAnsi="Open Sans" w:cs="Open Sans"/>
            <w:color w:val="10147E"/>
          </w:rPr>
          <w:t>2003</w:t>
        </w:r>
      </w:hyperlink>
      <w:r w:rsidRPr="00AF4712">
        <w:rPr>
          <w:rFonts w:ascii="Open Sans" w:hAnsi="Open Sans" w:cs="Open Sans"/>
          <w:color w:val="333333"/>
        </w:rPr>
        <w:t>; Neumann,</w:t>
      </w:r>
      <w:r w:rsidRPr="00AF4712">
        <w:rPr>
          <w:rStyle w:val="apple-converted-space"/>
          <w:rFonts w:ascii="Open Sans" w:hAnsi="Open Sans" w:cs="Open Sans"/>
          <w:color w:val="333333"/>
        </w:rPr>
        <w:t> </w:t>
      </w:r>
      <w:hyperlink r:id="rId8" w:history="1">
        <w:r w:rsidRPr="00AF4712">
          <w:rPr>
            <w:rStyle w:val="off-screen"/>
            <w:rFonts w:ascii="Open Sans" w:hAnsi="Open Sans" w:cs="Open Sans"/>
            <w:color w:val="10147E"/>
            <w:u w:val="single"/>
          </w:rPr>
          <w:t>Citation</w:t>
        </w:r>
        <w:r w:rsidRPr="00AF4712">
          <w:rPr>
            <w:rStyle w:val="Hyperlink"/>
            <w:rFonts w:ascii="Open Sans" w:hAnsi="Open Sans" w:cs="Open Sans"/>
            <w:color w:val="10147E"/>
          </w:rPr>
          <w:t>2005</w:t>
        </w:r>
      </w:hyperlink>
      <w:r w:rsidRPr="00AF4712">
        <w:rPr>
          <w:rFonts w:ascii="Open Sans" w:hAnsi="Open Sans" w:cs="Open Sans"/>
          <w:color w:val="333333"/>
        </w:rPr>
        <w:t>), and thus little relevance for the knowledge economy. As Evans (</w:t>
      </w:r>
      <w:hyperlink r:id="rId9" w:history="1">
        <w:r w:rsidRPr="00AF4712">
          <w:rPr>
            <w:rStyle w:val="off-screen"/>
            <w:rFonts w:ascii="Open Sans" w:hAnsi="Open Sans" w:cs="Open Sans"/>
            <w:color w:val="10147E"/>
            <w:u w:val="single"/>
          </w:rPr>
          <w:t>Citation</w:t>
        </w:r>
        <w:r w:rsidRPr="00AF4712">
          <w:rPr>
            <w:rStyle w:val="Hyperlink"/>
            <w:rFonts w:ascii="Open Sans" w:hAnsi="Open Sans" w:cs="Open Sans"/>
            <w:color w:val="10147E"/>
          </w:rPr>
          <w:t>2002</w:t>
        </w:r>
      </w:hyperlink>
      <w:r w:rsidRPr="00AF4712">
        <w:rPr>
          <w:rFonts w:ascii="Open Sans" w:hAnsi="Open Sans" w:cs="Open Sans"/>
          <w:color w:val="333333"/>
        </w:rPr>
        <w:t>, p. 157) suggests ‘because the new economy requires tradeable knowledge, the traditional PhD is scrutinised because it focuses on the production of significant knowledge to a discipline, rather than new tradeable knowledge’.</w:t>
      </w:r>
    </w:p>
    <w:p w14:paraId="1777631C" w14:textId="77777777" w:rsidR="00AF4712" w:rsidRPr="00AF4712" w:rsidRDefault="00AF4712" w:rsidP="00AF4712">
      <w:pPr>
        <w:pStyle w:val="NormalWeb"/>
        <w:spacing w:before="240" w:beforeAutospacing="0" w:after="240" w:afterAutospacing="0"/>
        <w:rPr>
          <w:rFonts w:ascii="Open Sans" w:hAnsi="Open Sans" w:cs="Open Sans"/>
          <w:color w:val="333333"/>
        </w:rPr>
      </w:pPr>
      <w:r w:rsidRPr="00AF4712">
        <w:rPr>
          <w:rFonts w:ascii="Open Sans" w:hAnsi="Open Sans" w:cs="Open Sans"/>
          <w:color w:val="333333"/>
        </w:rPr>
        <w:t>For professional social workers it may be more appropriate to complete doctoral study through a programme that has a work</w:t>
      </w:r>
      <w:r w:rsidRPr="00AF4712">
        <w:rPr>
          <w:rFonts w:ascii="Cambria Math" w:hAnsi="Cambria Math" w:cs="Cambria Math"/>
          <w:color w:val="333333"/>
        </w:rPr>
        <w:t>‐</w:t>
      </w:r>
      <w:r w:rsidRPr="00AF4712">
        <w:rPr>
          <w:rFonts w:ascii="Open Sans" w:hAnsi="Open Sans" w:cs="Open Sans"/>
          <w:color w:val="333333"/>
        </w:rPr>
        <w:t>based focus and produces ‘tradeable knowledge’, rather than a programme that is more geared to the academic researcher within academia. This may also encourage completion rates of doctoral studies, which research has shown indicate lower completion rates for social sciences than the sciences and engineering (Denecke &amp; Frasier,</w:t>
      </w:r>
      <w:r w:rsidRPr="00AF4712">
        <w:rPr>
          <w:rStyle w:val="apple-converted-space"/>
          <w:rFonts w:ascii="Open Sans" w:hAnsi="Open Sans" w:cs="Open Sans"/>
          <w:color w:val="333333"/>
        </w:rPr>
        <w:t> </w:t>
      </w:r>
      <w:hyperlink r:id="rId10" w:history="1">
        <w:r w:rsidRPr="00AF4712">
          <w:rPr>
            <w:rStyle w:val="off-screen"/>
            <w:rFonts w:ascii="Open Sans" w:hAnsi="Open Sans" w:cs="Open Sans"/>
            <w:color w:val="10147E"/>
            <w:u w:val="single"/>
          </w:rPr>
          <w:t>Citation</w:t>
        </w:r>
        <w:r w:rsidRPr="00AF4712">
          <w:rPr>
            <w:rStyle w:val="Hyperlink"/>
            <w:rFonts w:ascii="Open Sans" w:hAnsi="Open Sans" w:cs="Open Sans"/>
            <w:color w:val="10147E"/>
          </w:rPr>
          <w:t>2005</w:t>
        </w:r>
      </w:hyperlink>
      <w:r w:rsidRPr="00AF4712">
        <w:rPr>
          <w:rFonts w:ascii="Open Sans" w:hAnsi="Open Sans" w:cs="Open Sans"/>
          <w:color w:val="333333"/>
        </w:rPr>
        <w:t>).</w:t>
      </w:r>
    </w:p>
    <w:p w14:paraId="5A21E6F2" w14:textId="77777777" w:rsidR="00AF4712" w:rsidRPr="00AF4712" w:rsidRDefault="00AF4712" w:rsidP="00AF4712">
      <w:pPr>
        <w:pStyle w:val="NormalWeb"/>
        <w:spacing w:before="240" w:beforeAutospacing="0" w:after="240" w:afterAutospacing="0"/>
        <w:rPr>
          <w:rFonts w:ascii="Open Sans" w:hAnsi="Open Sans" w:cs="Open Sans"/>
          <w:color w:val="333333"/>
        </w:rPr>
      </w:pPr>
      <w:r w:rsidRPr="00AF4712">
        <w:rPr>
          <w:rFonts w:ascii="Open Sans" w:hAnsi="Open Sans" w:cs="Open Sans"/>
          <w:color w:val="333333"/>
        </w:rPr>
        <w:t>The development of professional doctorates has occurred at a time when the ‘knowledge economy’ is a major concern for central government, alongside an emphasis on continuing professional development and lifelong learning (</w:t>
      </w:r>
      <w:proofErr w:type="spellStart"/>
      <w:r w:rsidRPr="00AF4712">
        <w:rPr>
          <w:rFonts w:ascii="Open Sans" w:hAnsi="Open Sans" w:cs="Open Sans"/>
          <w:color w:val="333333"/>
        </w:rPr>
        <w:t>Bourner</w:t>
      </w:r>
      <w:proofErr w:type="spellEnd"/>
      <w:r w:rsidRPr="00AF4712">
        <w:rPr>
          <w:rStyle w:val="apple-converted-space"/>
          <w:rFonts w:ascii="Open Sans" w:hAnsi="Open Sans" w:cs="Open Sans"/>
          <w:color w:val="333333"/>
        </w:rPr>
        <w:t> </w:t>
      </w:r>
      <w:r w:rsidRPr="00AF4712">
        <w:rPr>
          <w:rFonts w:ascii="Open Sans" w:hAnsi="Open Sans" w:cs="Open Sans"/>
          <w:i/>
          <w:iCs/>
          <w:color w:val="333333"/>
        </w:rPr>
        <w:t>et al.</w:t>
      </w:r>
      <w:r w:rsidRPr="00AF4712">
        <w:rPr>
          <w:rFonts w:ascii="Open Sans" w:hAnsi="Open Sans" w:cs="Open Sans"/>
          <w:color w:val="333333"/>
        </w:rPr>
        <w:t>,</w:t>
      </w:r>
      <w:r w:rsidRPr="00AF4712">
        <w:rPr>
          <w:rStyle w:val="apple-converted-space"/>
          <w:rFonts w:ascii="Open Sans" w:hAnsi="Open Sans" w:cs="Open Sans"/>
          <w:color w:val="333333"/>
        </w:rPr>
        <w:t> </w:t>
      </w:r>
      <w:hyperlink r:id="rId11" w:history="1">
        <w:r w:rsidRPr="00AF4712">
          <w:rPr>
            <w:rStyle w:val="off-screen"/>
            <w:rFonts w:ascii="Open Sans" w:hAnsi="Open Sans" w:cs="Open Sans"/>
            <w:color w:val="10147E"/>
            <w:u w:val="single"/>
          </w:rPr>
          <w:t>Citation</w:t>
        </w:r>
        <w:r w:rsidRPr="00AF4712">
          <w:rPr>
            <w:rStyle w:val="Hyperlink"/>
            <w:rFonts w:ascii="Open Sans" w:hAnsi="Open Sans" w:cs="Open Sans"/>
            <w:color w:val="10147E"/>
          </w:rPr>
          <w:t>2001</w:t>
        </w:r>
      </w:hyperlink>
      <w:r w:rsidRPr="00AF4712">
        <w:rPr>
          <w:rFonts w:ascii="Open Sans" w:hAnsi="Open Sans" w:cs="Open Sans"/>
          <w:color w:val="333333"/>
        </w:rPr>
        <w:t>, p. 74). The ‘knowledge economy’ discourse has at its heart the importance of research which will develop practice and feed into sustaining a productive and sustainable economy. However, this brings into question other forms of ‘pure’ knowledge creation and research which become somewhat relegated in the quest for increased economic outputs and entrepreneurial concern.</w:t>
      </w:r>
    </w:p>
    <w:p w14:paraId="61A5C531" w14:textId="77777777" w:rsidR="00AF4712" w:rsidRPr="00AF4712" w:rsidRDefault="00AF4712" w:rsidP="00AF4712">
      <w:pPr>
        <w:pStyle w:val="NormalWeb"/>
        <w:spacing w:before="240" w:beforeAutospacing="0" w:after="240" w:afterAutospacing="0"/>
        <w:rPr>
          <w:rFonts w:ascii="Open Sans" w:hAnsi="Open Sans" w:cs="Open Sans"/>
          <w:color w:val="333333"/>
        </w:rPr>
      </w:pPr>
      <w:r w:rsidRPr="00AF4712">
        <w:rPr>
          <w:rFonts w:ascii="Open Sans" w:hAnsi="Open Sans" w:cs="Open Sans"/>
          <w:color w:val="333333"/>
        </w:rPr>
        <w:t>The notion of enterprise and economic outcomes is a theme that runs through current debate within higher education in Britain, and HE is increasingly framed within a discourse of economic competitiveness and increased economic outcomes [National Committee of Inquiry into Higher Education (NCIHE),</w:t>
      </w:r>
      <w:r w:rsidRPr="00AF4712">
        <w:rPr>
          <w:rStyle w:val="apple-converted-space"/>
          <w:rFonts w:ascii="Open Sans" w:hAnsi="Open Sans" w:cs="Open Sans"/>
          <w:color w:val="333333"/>
        </w:rPr>
        <w:t> </w:t>
      </w:r>
      <w:hyperlink r:id="rId12" w:history="1">
        <w:r w:rsidRPr="00AF4712">
          <w:rPr>
            <w:rStyle w:val="off-screen"/>
            <w:rFonts w:ascii="Open Sans" w:hAnsi="Open Sans" w:cs="Open Sans"/>
            <w:color w:val="10147E"/>
            <w:u w:val="single"/>
          </w:rPr>
          <w:t>Citation</w:t>
        </w:r>
        <w:r w:rsidRPr="00AF4712">
          <w:rPr>
            <w:rStyle w:val="Hyperlink"/>
            <w:rFonts w:ascii="Open Sans" w:hAnsi="Open Sans" w:cs="Open Sans"/>
            <w:color w:val="10147E"/>
          </w:rPr>
          <w:t>1997</w:t>
        </w:r>
      </w:hyperlink>
      <w:r w:rsidRPr="00AF4712">
        <w:rPr>
          <w:rFonts w:ascii="Open Sans" w:hAnsi="Open Sans" w:cs="Open Sans"/>
          <w:color w:val="333333"/>
        </w:rPr>
        <w:t>; Department for Education and Skills (DfES),</w:t>
      </w:r>
      <w:r w:rsidRPr="00AF4712">
        <w:rPr>
          <w:rStyle w:val="apple-converted-space"/>
          <w:rFonts w:ascii="Open Sans" w:hAnsi="Open Sans" w:cs="Open Sans"/>
          <w:color w:val="333333"/>
        </w:rPr>
        <w:t> </w:t>
      </w:r>
      <w:hyperlink r:id="rId13" w:history="1">
        <w:r w:rsidRPr="00AF4712">
          <w:rPr>
            <w:rStyle w:val="off-screen"/>
            <w:rFonts w:ascii="Open Sans" w:hAnsi="Open Sans" w:cs="Open Sans"/>
            <w:color w:val="10147E"/>
            <w:u w:val="single"/>
          </w:rPr>
          <w:t>Citation</w:t>
        </w:r>
        <w:r w:rsidRPr="00AF4712">
          <w:rPr>
            <w:rStyle w:val="Hyperlink"/>
            <w:rFonts w:ascii="Open Sans" w:hAnsi="Open Sans" w:cs="Open Sans"/>
            <w:color w:val="10147E"/>
          </w:rPr>
          <w:t>2003</w:t>
        </w:r>
      </w:hyperlink>
      <w:r w:rsidRPr="00AF4712">
        <w:rPr>
          <w:rFonts w:ascii="Open Sans" w:hAnsi="Open Sans" w:cs="Open Sans"/>
          <w:color w:val="333333"/>
        </w:rPr>
        <w:t xml:space="preserve">, p. 58]. This frames the benefits of higher education in terms of economic benefits to the individual as well as to </w:t>
      </w:r>
      <w:proofErr w:type="gramStart"/>
      <w:r w:rsidRPr="00AF4712">
        <w:rPr>
          <w:rFonts w:ascii="Open Sans" w:hAnsi="Open Sans" w:cs="Open Sans"/>
          <w:color w:val="333333"/>
        </w:rPr>
        <w:t>society as a whole</w:t>
      </w:r>
      <w:proofErr w:type="gramEnd"/>
      <w:r w:rsidRPr="00AF4712">
        <w:rPr>
          <w:rFonts w:ascii="Open Sans" w:hAnsi="Open Sans" w:cs="Open Sans"/>
          <w:color w:val="333333"/>
        </w:rPr>
        <w:t xml:space="preserve">. As a </w:t>
      </w:r>
      <w:proofErr w:type="gramStart"/>
      <w:r w:rsidRPr="00AF4712">
        <w:rPr>
          <w:rFonts w:ascii="Open Sans" w:hAnsi="Open Sans" w:cs="Open Sans"/>
          <w:color w:val="333333"/>
        </w:rPr>
        <w:t>result</w:t>
      </w:r>
      <w:proofErr w:type="gramEnd"/>
      <w:r w:rsidRPr="00AF4712">
        <w:rPr>
          <w:rFonts w:ascii="Open Sans" w:hAnsi="Open Sans" w:cs="Open Sans"/>
          <w:color w:val="333333"/>
        </w:rPr>
        <w:t xml:space="preserve"> doctoral </w:t>
      </w:r>
      <w:r w:rsidRPr="00AF4712">
        <w:rPr>
          <w:rFonts w:ascii="Open Sans" w:hAnsi="Open Sans" w:cs="Open Sans"/>
          <w:color w:val="333333"/>
        </w:rPr>
        <w:lastRenderedPageBreak/>
        <w:t>education is becoming attractive to new groups within the workforce, who are looking for models which will develop their knowledge and work</w:t>
      </w:r>
      <w:r w:rsidRPr="00AF4712">
        <w:rPr>
          <w:rFonts w:ascii="Cambria Math" w:hAnsi="Cambria Math" w:cs="Cambria Math"/>
          <w:color w:val="333333"/>
        </w:rPr>
        <w:t>‐</w:t>
      </w:r>
      <w:r w:rsidRPr="00AF4712">
        <w:rPr>
          <w:rFonts w:ascii="Open Sans" w:hAnsi="Open Sans" w:cs="Open Sans"/>
          <w:color w:val="333333"/>
        </w:rPr>
        <w:t>based practice (</w:t>
      </w:r>
      <w:proofErr w:type="spellStart"/>
      <w:r w:rsidRPr="00AF4712">
        <w:rPr>
          <w:rFonts w:ascii="Open Sans" w:hAnsi="Open Sans" w:cs="Open Sans"/>
          <w:color w:val="333333"/>
        </w:rPr>
        <w:t>Bourner</w:t>
      </w:r>
      <w:proofErr w:type="spellEnd"/>
      <w:r w:rsidRPr="00AF4712">
        <w:rPr>
          <w:rStyle w:val="apple-converted-space"/>
          <w:rFonts w:ascii="Open Sans" w:hAnsi="Open Sans" w:cs="Open Sans"/>
          <w:color w:val="333333"/>
        </w:rPr>
        <w:t> </w:t>
      </w:r>
      <w:r w:rsidRPr="00AF4712">
        <w:rPr>
          <w:rFonts w:ascii="Open Sans" w:hAnsi="Open Sans" w:cs="Open Sans"/>
          <w:i/>
          <w:iCs/>
          <w:color w:val="333333"/>
        </w:rPr>
        <w:t>et al.</w:t>
      </w:r>
      <w:r w:rsidRPr="00AF4712">
        <w:rPr>
          <w:rFonts w:ascii="Open Sans" w:hAnsi="Open Sans" w:cs="Open Sans"/>
          <w:color w:val="333333"/>
        </w:rPr>
        <w:t>,</w:t>
      </w:r>
      <w:r w:rsidRPr="00AF4712">
        <w:rPr>
          <w:rStyle w:val="apple-converted-space"/>
          <w:rFonts w:ascii="Open Sans" w:hAnsi="Open Sans" w:cs="Open Sans"/>
          <w:color w:val="333333"/>
        </w:rPr>
        <w:t> </w:t>
      </w:r>
      <w:hyperlink r:id="rId14" w:history="1">
        <w:r w:rsidRPr="00AF4712">
          <w:rPr>
            <w:rStyle w:val="off-screen"/>
            <w:rFonts w:ascii="Open Sans" w:hAnsi="Open Sans" w:cs="Open Sans"/>
            <w:color w:val="10147E"/>
            <w:u w:val="single"/>
          </w:rPr>
          <w:t>Citation</w:t>
        </w:r>
        <w:r w:rsidRPr="00AF4712">
          <w:rPr>
            <w:rStyle w:val="Hyperlink"/>
            <w:rFonts w:ascii="Open Sans" w:hAnsi="Open Sans" w:cs="Open Sans"/>
            <w:color w:val="10147E"/>
          </w:rPr>
          <w:t>2001</w:t>
        </w:r>
      </w:hyperlink>
      <w:r w:rsidRPr="00AF4712">
        <w:rPr>
          <w:rFonts w:ascii="Open Sans" w:hAnsi="Open Sans" w:cs="Open Sans"/>
          <w:color w:val="333333"/>
        </w:rPr>
        <w:t>).</w:t>
      </w:r>
    </w:p>
    <w:p w14:paraId="2F8AC0EB" w14:textId="77777777" w:rsidR="00AF4712" w:rsidRPr="00AF4712" w:rsidRDefault="00AF4712" w:rsidP="00AF4712">
      <w:pPr>
        <w:pStyle w:val="NormalWeb"/>
        <w:spacing w:before="240" w:beforeAutospacing="0" w:after="240" w:afterAutospacing="0"/>
        <w:rPr>
          <w:rFonts w:ascii="Open Sans" w:hAnsi="Open Sans" w:cs="Open Sans"/>
          <w:color w:val="333333"/>
        </w:rPr>
      </w:pPr>
      <w:r w:rsidRPr="00AF4712">
        <w:rPr>
          <w:rFonts w:ascii="Open Sans" w:hAnsi="Open Sans" w:cs="Open Sans"/>
          <w:color w:val="333333"/>
        </w:rPr>
        <w:t>Tennant (</w:t>
      </w:r>
      <w:hyperlink r:id="rId15" w:history="1">
        <w:r w:rsidRPr="00AF4712">
          <w:rPr>
            <w:rStyle w:val="off-screen"/>
            <w:rFonts w:ascii="Open Sans" w:hAnsi="Open Sans" w:cs="Open Sans"/>
            <w:color w:val="10147E"/>
            <w:u w:val="single"/>
          </w:rPr>
          <w:t>Citation</w:t>
        </w:r>
        <w:r w:rsidRPr="00AF4712">
          <w:rPr>
            <w:rStyle w:val="Hyperlink"/>
            <w:rFonts w:ascii="Open Sans" w:hAnsi="Open Sans" w:cs="Open Sans"/>
            <w:color w:val="10147E"/>
          </w:rPr>
          <w:t>2004</w:t>
        </w:r>
      </w:hyperlink>
      <w:r w:rsidRPr="00AF4712">
        <w:rPr>
          <w:rFonts w:ascii="Open Sans" w:hAnsi="Open Sans" w:cs="Open Sans"/>
          <w:color w:val="333333"/>
        </w:rPr>
        <w:t xml:space="preserve">), however, argues that there is an artificial distinction between PhD and </w:t>
      </w:r>
      <w:proofErr w:type="spellStart"/>
      <w:proofErr w:type="gramStart"/>
      <w:r w:rsidRPr="00AF4712">
        <w:rPr>
          <w:rFonts w:ascii="Open Sans" w:hAnsi="Open Sans" w:cs="Open Sans"/>
          <w:color w:val="333333"/>
        </w:rPr>
        <w:t>D.Prof</w:t>
      </w:r>
      <w:proofErr w:type="spellEnd"/>
      <w:proofErr w:type="gramEnd"/>
      <w:r w:rsidRPr="00AF4712">
        <w:rPr>
          <w:rFonts w:ascii="Open Sans" w:hAnsi="Open Sans" w:cs="Open Sans"/>
          <w:color w:val="333333"/>
        </w:rPr>
        <w:t xml:space="preserve"> and that the challenge for universities is not this distinction, but the demands from the knowledge economy of a transformation from the ‘autonomous scholar’ to the ‘enterprising self’ (p. 440). There appears to be a growing concern amongst government to meet the needs of career professionals outside academia at doctoral level [UK Council for Graduate Education (UKCGE),</w:t>
      </w:r>
      <w:r w:rsidRPr="00AF4712">
        <w:rPr>
          <w:rStyle w:val="apple-converted-space"/>
          <w:rFonts w:ascii="Open Sans" w:hAnsi="Open Sans" w:cs="Open Sans"/>
          <w:color w:val="333333"/>
        </w:rPr>
        <w:t> </w:t>
      </w:r>
      <w:hyperlink r:id="rId16" w:history="1">
        <w:r w:rsidRPr="00AF4712">
          <w:rPr>
            <w:rStyle w:val="off-screen"/>
            <w:rFonts w:ascii="Open Sans" w:hAnsi="Open Sans" w:cs="Open Sans"/>
            <w:color w:val="10147E"/>
            <w:u w:val="single"/>
          </w:rPr>
          <w:t>Citation</w:t>
        </w:r>
        <w:r w:rsidRPr="00AF4712">
          <w:rPr>
            <w:rStyle w:val="Hyperlink"/>
            <w:rFonts w:ascii="Open Sans" w:hAnsi="Open Sans" w:cs="Open Sans"/>
            <w:color w:val="10147E"/>
          </w:rPr>
          <w:t>2002</w:t>
        </w:r>
      </w:hyperlink>
      <w:r w:rsidRPr="00AF4712">
        <w:rPr>
          <w:rFonts w:ascii="Open Sans" w:hAnsi="Open Sans" w:cs="Open Sans"/>
          <w:color w:val="333333"/>
        </w:rPr>
        <w:t>]. One way to encourage practitioners to develop their ‘enterprising self’ within practice, is by enabling research and development activities to have real meaning and outcomes for practice settings. For social work, where research is still emerging as an activity for practitioners, models which enable ‘work</w:t>
      </w:r>
      <w:r w:rsidRPr="00AF4712">
        <w:rPr>
          <w:rFonts w:ascii="Cambria Math" w:hAnsi="Cambria Math" w:cs="Cambria Math"/>
          <w:color w:val="333333"/>
        </w:rPr>
        <w:t>‐</w:t>
      </w:r>
      <w:r w:rsidRPr="00AF4712">
        <w:rPr>
          <w:rFonts w:ascii="Open Sans" w:hAnsi="Open Sans" w:cs="Open Sans"/>
          <w:color w:val="333333"/>
        </w:rPr>
        <w:t>based’ learning and practice outcomes may be attractive, both to the individual and their employing organisation.</w:t>
      </w:r>
    </w:p>
    <w:p w14:paraId="7917C239" w14:textId="77777777" w:rsidR="00AF4712" w:rsidRPr="00AF4712" w:rsidRDefault="00AF4712" w:rsidP="00AF4712">
      <w:pPr>
        <w:pStyle w:val="NormalWeb"/>
        <w:spacing w:before="240" w:beforeAutospacing="0" w:after="240" w:afterAutospacing="0"/>
        <w:rPr>
          <w:rFonts w:ascii="Open Sans" w:hAnsi="Open Sans" w:cs="Open Sans"/>
          <w:color w:val="333333"/>
        </w:rPr>
      </w:pPr>
      <w:r w:rsidRPr="00AF4712">
        <w:rPr>
          <w:rFonts w:ascii="Open Sans" w:hAnsi="Open Sans" w:cs="Open Sans"/>
          <w:color w:val="333333"/>
        </w:rPr>
        <w:t>Professional doctorates emphasise the importance of a connection with practice through the research topic (Lee</w:t>
      </w:r>
      <w:r w:rsidRPr="00AF4712">
        <w:rPr>
          <w:rStyle w:val="apple-converted-space"/>
          <w:rFonts w:ascii="Open Sans" w:hAnsi="Open Sans" w:cs="Open Sans"/>
          <w:color w:val="333333"/>
        </w:rPr>
        <w:t> </w:t>
      </w:r>
      <w:r w:rsidRPr="00AF4712">
        <w:rPr>
          <w:rFonts w:ascii="Open Sans" w:hAnsi="Open Sans" w:cs="Open Sans"/>
          <w:i/>
          <w:iCs/>
          <w:color w:val="333333"/>
        </w:rPr>
        <w:t>et al.</w:t>
      </w:r>
      <w:r w:rsidRPr="00AF4712">
        <w:rPr>
          <w:rFonts w:ascii="Open Sans" w:hAnsi="Open Sans" w:cs="Open Sans"/>
          <w:color w:val="333333"/>
        </w:rPr>
        <w:t>,</w:t>
      </w:r>
      <w:r w:rsidRPr="00AF4712">
        <w:rPr>
          <w:rStyle w:val="apple-converted-space"/>
          <w:rFonts w:ascii="Open Sans" w:hAnsi="Open Sans" w:cs="Open Sans"/>
          <w:color w:val="333333"/>
        </w:rPr>
        <w:t> </w:t>
      </w:r>
      <w:hyperlink r:id="rId17" w:history="1">
        <w:r w:rsidRPr="00AF4712">
          <w:rPr>
            <w:rStyle w:val="off-screen"/>
            <w:rFonts w:ascii="Open Sans" w:hAnsi="Open Sans" w:cs="Open Sans"/>
            <w:color w:val="10147E"/>
            <w:u w:val="single"/>
          </w:rPr>
          <w:t>Citation</w:t>
        </w:r>
        <w:r w:rsidRPr="00AF4712">
          <w:rPr>
            <w:rStyle w:val="Hyperlink"/>
            <w:rFonts w:ascii="Open Sans" w:hAnsi="Open Sans" w:cs="Open Sans"/>
            <w:color w:val="10147E"/>
          </w:rPr>
          <w:t>2000</w:t>
        </w:r>
      </w:hyperlink>
      <w:r w:rsidRPr="00AF4712">
        <w:rPr>
          <w:rFonts w:ascii="Open Sans" w:hAnsi="Open Sans" w:cs="Open Sans"/>
          <w:color w:val="333333"/>
        </w:rPr>
        <w:t>) and have been described as the ‘coming of age of work</w:t>
      </w:r>
      <w:r w:rsidRPr="00AF4712">
        <w:rPr>
          <w:rFonts w:ascii="Cambria Math" w:hAnsi="Cambria Math" w:cs="Cambria Math"/>
          <w:color w:val="333333"/>
        </w:rPr>
        <w:t>‐</w:t>
      </w:r>
      <w:r w:rsidRPr="00AF4712">
        <w:rPr>
          <w:rFonts w:ascii="Open Sans" w:hAnsi="Open Sans" w:cs="Open Sans"/>
          <w:color w:val="333333"/>
        </w:rPr>
        <w:t>based learning within the higher education curriculum’ (Bareham</w:t>
      </w:r>
      <w:r w:rsidRPr="00AF4712">
        <w:rPr>
          <w:rStyle w:val="apple-converted-space"/>
          <w:rFonts w:ascii="Open Sans" w:hAnsi="Open Sans" w:cs="Open Sans"/>
          <w:color w:val="333333"/>
        </w:rPr>
        <w:t> </w:t>
      </w:r>
      <w:r w:rsidRPr="00AF4712">
        <w:rPr>
          <w:rFonts w:ascii="Open Sans" w:hAnsi="Open Sans" w:cs="Open Sans"/>
          <w:i/>
          <w:iCs/>
          <w:color w:val="333333"/>
        </w:rPr>
        <w:t>et al.</w:t>
      </w:r>
      <w:r w:rsidRPr="00AF4712">
        <w:rPr>
          <w:rFonts w:ascii="Open Sans" w:hAnsi="Open Sans" w:cs="Open Sans"/>
          <w:color w:val="333333"/>
        </w:rPr>
        <w:t>,</w:t>
      </w:r>
      <w:r w:rsidRPr="00AF4712">
        <w:rPr>
          <w:rStyle w:val="apple-converted-space"/>
          <w:rFonts w:ascii="Open Sans" w:hAnsi="Open Sans" w:cs="Open Sans"/>
          <w:color w:val="333333"/>
        </w:rPr>
        <w:t> </w:t>
      </w:r>
      <w:hyperlink r:id="rId18" w:history="1">
        <w:r w:rsidRPr="00AF4712">
          <w:rPr>
            <w:rStyle w:val="off-screen"/>
            <w:rFonts w:ascii="Open Sans" w:hAnsi="Open Sans" w:cs="Open Sans"/>
            <w:color w:val="10147E"/>
            <w:u w:val="single"/>
          </w:rPr>
          <w:t>Citation</w:t>
        </w:r>
        <w:r w:rsidRPr="00AF4712">
          <w:rPr>
            <w:rStyle w:val="Hyperlink"/>
            <w:rFonts w:ascii="Open Sans" w:hAnsi="Open Sans" w:cs="Open Sans"/>
            <w:color w:val="10147E"/>
          </w:rPr>
          <w:t>2000</w:t>
        </w:r>
      </w:hyperlink>
      <w:r w:rsidRPr="00AF4712">
        <w:rPr>
          <w:rFonts w:ascii="Open Sans" w:hAnsi="Open Sans" w:cs="Open Sans"/>
          <w:color w:val="333333"/>
        </w:rPr>
        <w:t xml:space="preserve">, p. 401). The centrality of practice within new knowledge production and practice development is also emphasised by </w:t>
      </w:r>
      <w:proofErr w:type="spellStart"/>
      <w:r w:rsidRPr="00AF4712">
        <w:rPr>
          <w:rFonts w:ascii="Open Sans" w:hAnsi="Open Sans" w:cs="Open Sans"/>
          <w:color w:val="333333"/>
        </w:rPr>
        <w:t>Eraut</w:t>
      </w:r>
      <w:proofErr w:type="spellEnd"/>
      <w:r w:rsidRPr="00AF4712">
        <w:rPr>
          <w:rFonts w:ascii="Open Sans" w:hAnsi="Open Sans" w:cs="Open Sans"/>
          <w:color w:val="333333"/>
        </w:rPr>
        <w:t xml:space="preserve"> (</w:t>
      </w:r>
      <w:hyperlink r:id="rId19" w:history="1">
        <w:r w:rsidRPr="00AF4712">
          <w:rPr>
            <w:rStyle w:val="off-screen"/>
            <w:rFonts w:ascii="Open Sans" w:hAnsi="Open Sans" w:cs="Open Sans"/>
            <w:color w:val="10147E"/>
            <w:u w:val="single"/>
          </w:rPr>
          <w:t>Citation</w:t>
        </w:r>
        <w:r w:rsidRPr="00AF4712">
          <w:rPr>
            <w:rStyle w:val="Hyperlink"/>
            <w:rFonts w:ascii="Open Sans" w:hAnsi="Open Sans" w:cs="Open Sans"/>
            <w:color w:val="10147E"/>
          </w:rPr>
          <w:t>1996</w:t>
        </w:r>
      </w:hyperlink>
      <w:r w:rsidRPr="00AF4712">
        <w:rPr>
          <w:rFonts w:ascii="Open Sans" w:hAnsi="Open Sans" w:cs="Open Sans"/>
          <w:color w:val="333333"/>
        </w:rPr>
        <w:t>) who says that ‘leading edge professionals develop new knowledge in practice rather than in formally designed research’ (p. 9). The key here is not only an emphasis on developing professional knowledge but also a focus on developing practice. The role of the practitioner in driving the focus of research and development is also stressed within the professional doctorate which has been conceptualised as ‘a vehicle for self</w:t>
      </w:r>
      <w:r w:rsidRPr="00AF4712">
        <w:rPr>
          <w:rFonts w:ascii="Cambria Math" w:hAnsi="Cambria Math" w:cs="Cambria Math"/>
          <w:color w:val="333333"/>
        </w:rPr>
        <w:t>‐</w:t>
      </w:r>
      <w:r w:rsidRPr="00AF4712">
        <w:rPr>
          <w:rFonts w:ascii="Open Sans" w:hAnsi="Open Sans" w:cs="Open Sans"/>
          <w:color w:val="333333"/>
        </w:rPr>
        <w:t>managed development as a leading professional taking forward an area of practice’ (Lester,</w:t>
      </w:r>
      <w:r w:rsidRPr="00AF4712">
        <w:rPr>
          <w:rStyle w:val="apple-converted-space"/>
          <w:rFonts w:ascii="Open Sans" w:hAnsi="Open Sans" w:cs="Open Sans"/>
          <w:color w:val="333333"/>
        </w:rPr>
        <w:t> </w:t>
      </w:r>
      <w:hyperlink r:id="rId20" w:history="1">
        <w:r w:rsidRPr="00AF4712">
          <w:rPr>
            <w:rStyle w:val="off-screen"/>
            <w:rFonts w:ascii="Open Sans" w:hAnsi="Open Sans" w:cs="Open Sans"/>
            <w:color w:val="10147E"/>
            <w:u w:val="single"/>
          </w:rPr>
          <w:t>Citation</w:t>
        </w:r>
        <w:r w:rsidRPr="00AF4712">
          <w:rPr>
            <w:rStyle w:val="Hyperlink"/>
            <w:rFonts w:ascii="Open Sans" w:hAnsi="Open Sans" w:cs="Open Sans"/>
            <w:color w:val="10147E"/>
          </w:rPr>
          <w:t>2004</w:t>
        </w:r>
      </w:hyperlink>
      <w:r w:rsidRPr="00AF4712">
        <w:rPr>
          <w:rFonts w:ascii="Open Sans" w:hAnsi="Open Sans" w:cs="Open Sans"/>
          <w:color w:val="333333"/>
        </w:rPr>
        <w:t>, p. 761).</w:t>
      </w:r>
    </w:p>
    <w:p w14:paraId="1B99EF35" w14:textId="77777777" w:rsidR="00DA0A15" w:rsidRDefault="00DA0A15" w:rsidP="00AF4712"/>
    <w:p w14:paraId="1003C35A" w14:textId="77777777" w:rsidR="00AF4712" w:rsidRDefault="00AF4712" w:rsidP="00AF4712"/>
    <w:p w14:paraId="2A1B0A60" w14:textId="7B6A12B5" w:rsidR="00AF4712" w:rsidRPr="00AF4712" w:rsidRDefault="00AF4712" w:rsidP="00AF4712">
      <w:r>
        <w:t xml:space="preserve">  Fenge, L.-A. (2009) “Professional Doctorates-A Better Route for Researching </w:t>
      </w:r>
      <w:proofErr w:type="gramStart"/>
      <w:r>
        <w:t>Professionals?,</w:t>
      </w:r>
      <w:proofErr w:type="gramEnd"/>
      <w:r>
        <w:t>” Social work education, 28(2), pp. 165–176. Available at: https://doi.org/10.1080/02615470701865733.</w:t>
      </w:r>
    </w:p>
    <w:sectPr w:rsidR="00AF4712" w:rsidRPr="00AF471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altName w:val="Times New Roman PSMT"/>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Open Sans">
    <w:panose1 w:val="020B0606030504020204"/>
    <w:charset w:val="00"/>
    <w:family w:val="swiss"/>
    <w:pitch w:val="variable"/>
    <w:sig w:usb0="E00002EF" w:usb1="4000205B" w:usb2="00000028"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4712"/>
    <w:rsid w:val="000030F1"/>
    <w:rsid w:val="001C1AFD"/>
    <w:rsid w:val="001D232E"/>
    <w:rsid w:val="003D2938"/>
    <w:rsid w:val="005212D5"/>
    <w:rsid w:val="00AF4712"/>
    <w:rsid w:val="00DA0A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042830"/>
  <w15:chartTrackingRefBased/>
  <w15:docId w15:val="{4D18C6AB-120E-5041-B1CB-6E2D371A28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F471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F471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F471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F471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F471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F4712"/>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F4712"/>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F4712"/>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F4712"/>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F471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F471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F471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F471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F471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F471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F471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F471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F4712"/>
    <w:rPr>
      <w:rFonts w:eastAsiaTheme="majorEastAsia" w:cstheme="majorBidi"/>
      <w:color w:val="272727" w:themeColor="text1" w:themeTint="D8"/>
    </w:rPr>
  </w:style>
  <w:style w:type="paragraph" w:styleId="Title">
    <w:name w:val="Title"/>
    <w:basedOn w:val="Normal"/>
    <w:next w:val="Normal"/>
    <w:link w:val="TitleChar"/>
    <w:uiPriority w:val="10"/>
    <w:qFormat/>
    <w:rsid w:val="00AF4712"/>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F471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F4712"/>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F471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F4712"/>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F4712"/>
    <w:rPr>
      <w:i/>
      <w:iCs/>
      <w:color w:val="404040" w:themeColor="text1" w:themeTint="BF"/>
    </w:rPr>
  </w:style>
  <w:style w:type="paragraph" w:styleId="ListParagraph">
    <w:name w:val="List Paragraph"/>
    <w:basedOn w:val="Normal"/>
    <w:uiPriority w:val="34"/>
    <w:qFormat/>
    <w:rsid w:val="00AF4712"/>
    <w:pPr>
      <w:ind w:left="720"/>
      <w:contextualSpacing/>
    </w:pPr>
  </w:style>
  <w:style w:type="character" w:styleId="IntenseEmphasis">
    <w:name w:val="Intense Emphasis"/>
    <w:basedOn w:val="DefaultParagraphFont"/>
    <w:uiPriority w:val="21"/>
    <w:qFormat/>
    <w:rsid w:val="00AF4712"/>
    <w:rPr>
      <w:i/>
      <w:iCs/>
      <w:color w:val="0F4761" w:themeColor="accent1" w:themeShade="BF"/>
    </w:rPr>
  </w:style>
  <w:style w:type="paragraph" w:styleId="IntenseQuote">
    <w:name w:val="Intense Quote"/>
    <w:basedOn w:val="Normal"/>
    <w:next w:val="Normal"/>
    <w:link w:val="IntenseQuoteChar"/>
    <w:uiPriority w:val="30"/>
    <w:qFormat/>
    <w:rsid w:val="00AF471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F4712"/>
    <w:rPr>
      <w:i/>
      <w:iCs/>
      <w:color w:val="0F4761" w:themeColor="accent1" w:themeShade="BF"/>
    </w:rPr>
  </w:style>
  <w:style w:type="character" w:styleId="IntenseReference">
    <w:name w:val="Intense Reference"/>
    <w:basedOn w:val="DefaultParagraphFont"/>
    <w:uiPriority w:val="32"/>
    <w:qFormat/>
    <w:rsid w:val="00AF4712"/>
    <w:rPr>
      <w:b/>
      <w:bCs/>
      <w:smallCaps/>
      <w:color w:val="0F4761" w:themeColor="accent1" w:themeShade="BF"/>
      <w:spacing w:val="5"/>
    </w:rPr>
  </w:style>
  <w:style w:type="paragraph" w:styleId="NormalWeb">
    <w:name w:val="Normal (Web)"/>
    <w:basedOn w:val="Normal"/>
    <w:uiPriority w:val="99"/>
    <w:semiHidden/>
    <w:unhideWhenUsed/>
    <w:rsid w:val="00AF4712"/>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AF4712"/>
  </w:style>
  <w:style w:type="character" w:customStyle="1" w:styleId="ref-lnk">
    <w:name w:val="ref-lnk"/>
    <w:basedOn w:val="DefaultParagraphFont"/>
    <w:rsid w:val="00AF4712"/>
  </w:style>
  <w:style w:type="character" w:styleId="Hyperlink">
    <w:name w:val="Hyperlink"/>
    <w:basedOn w:val="DefaultParagraphFont"/>
    <w:uiPriority w:val="99"/>
    <w:semiHidden/>
    <w:unhideWhenUsed/>
    <w:rsid w:val="00AF4712"/>
    <w:rPr>
      <w:color w:val="0000FF"/>
      <w:u w:val="single"/>
    </w:rPr>
  </w:style>
  <w:style w:type="character" w:customStyle="1" w:styleId="off-screen">
    <w:name w:val="off-screen"/>
    <w:basedOn w:val="DefaultParagraphFont"/>
    <w:rsid w:val="00AF47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andfonline-com.uwtsd.idm.oclc.org/doi/full/10.1080/02615470701865733" TargetMode="External"/><Relationship Id="rId13" Type="http://schemas.openxmlformats.org/officeDocument/2006/relationships/hyperlink" Target="https://www-tandfonline-com.uwtsd.idm.oclc.org/doi/full/10.1080/02615470701865733" TargetMode="External"/><Relationship Id="rId18" Type="http://schemas.openxmlformats.org/officeDocument/2006/relationships/hyperlink" Target="https://www-tandfonline-com.uwtsd.idm.oclc.org/doi/full/10.1080/02615470701865733" TargetMode="Externa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hyperlink" Target="https://www-tandfonline-com.uwtsd.idm.oclc.org/doi/full/10.1080/02615470701865733" TargetMode="External"/><Relationship Id="rId12" Type="http://schemas.openxmlformats.org/officeDocument/2006/relationships/hyperlink" Target="https://www-tandfonline-com.uwtsd.idm.oclc.org/doi/full/10.1080/02615470701865733" TargetMode="External"/><Relationship Id="rId17" Type="http://schemas.openxmlformats.org/officeDocument/2006/relationships/hyperlink" Target="https://www-tandfonline-com.uwtsd.idm.oclc.org/doi/full/10.1080/02615470701865733" TargetMode="External"/><Relationship Id="rId2" Type="http://schemas.openxmlformats.org/officeDocument/2006/relationships/settings" Target="settings.xml"/><Relationship Id="rId16" Type="http://schemas.openxmlformats.org/officeDocument/2006/relationships/hyperlink" Target="https://www-tandfonline-com.uwtsd.idm.oclc.org/doi/full/10.1080/02615470701865733" TargetMode="External"/><Relationship Id="rId20" Type="http://schemas.openxmlformats.org/officeDocument/2006/relationships/hyperlink" Target="https://www-tandfonline-com.uwtsd.idm.oclc.org/doi/full/10.1080/02615470701865733" TargetMode="External"/><Relationship Id="rId1" Type="http://schemas.openxmlformats.org/officeDocument/2006/relationships/styles" Target="styles.xml"/><Relationship Id="rId6" Type="http://schemas.openxmlformats.org/officeDocument/2006/relationships/hyperlink" Target="https://www-tandfonline-com.uwtsd.idm.oclc.org/doi/full/10.1080/02615470701865733" TargetMode="External"/><Relationship Id="rId11" Type="http://schemas.openxmlformats.org/officeDocument/2006/relationships/hyperlink" Target="https://www-tandfonline-com.uwtsd.idm.oclc.org/doi/full/10.1080/02615470701865733" TargetMode="External"/><Relationship Id="rId5" Type="http://schemas.openxmlformats.org/officeDocument/2006/relationships/hyperlink" Target="https://www-tandfonline-com.uwtsd.idm.oclc.org/doi/full/10.1080/02615470701865733" TargetMode="External"/><Relationship Id="rId15" Type="http://schemas.openxmlformats.org/officeDocument/2006/relationships/hyperlink" Target="https://www-tandfonline-com.uwtsd.idm.oclc.org/doi/full/10.1080/02615470701865733" TargetMode="External"/><Relationship Id="rId10" Type="http://schemas.openxmlformats.org/officeDocument/2006/relationships/hyperlink" Target="https://www-tandfonline-com.uwtsd.idm.oclc.org/doi/full/10.1080/02615470701865733" TargetMode="External"/><Relationship Id="rId19" Type="http://schemas.openxmlformats.org/officeDocument/2006/relationships/hyperlink" Target="https://www-tandfonline-com.uwtsd.idm.oclc.org/doi/full/10.1080/02615470701865733" TargetMode="External"/><Relationship Id="rId4" Type="http://schemas.openxmlformats.org/officeDocument/2006/relationships/hyperlink" Target="https://www-tandfonline-com.uwtsd.idm.oclc.org/doi/full/10.1080/02615470701865733" TargetMode="External"/><Relationship Id="rId9" Type="http://schemas.openxmlformats.org/officeDocument/2006/relationships/hyperlink" Target="https://www-tandfonline-com.uwtsd.idm.oclc.org/doi/full/10.1080/02615470701865733" TargetMode="External"/><Relationship Id="rId14" Type="http://schemas.openxmlformats.org/officeDocument/2006/relationships/hyperlink" Target="https://www-tandfonline-com.uwtsd.idm.oclc.org/doi/full/10.1080/02615470701865733"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2</Pages>
  <Words>1005</Words>
  <Characters>5733</Characters>
  <Application>Microsoft Office Word</Application>
  <DocSecurity>0</DocSecurity>
  <Lines>47</Lines>
  <Paragraphs>13</Paragraphs>
  <ScaleCrop>false</ScaleCrop>
  <Company/>
  <LinksUpToDate>false</LinksUpToDate>
  <CharactersWithSpaces>6725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Kylie Boon</dc:creator>
  <cp:keywords/>
  <dc:description/>
  <cp:lastModifiedBy>Kylie Boon</cp:lastModifiedBy>
  <cp:revision>1</cp:revision>
  <dcterms:created xsi:type="dcterms:W3CDTF">2026-08-26T18:27:00Z</dcterms:created>
  <dcterms:modified xsi:type="dcterms:W3CDTF">2026-08-29T11:21:00Z</dcterms:modified>
</cp:coreProperties>
</file>