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1A4BC7" w:themeColor="accent4" w:themeShade="BF"/>
  <w:body>
    <w:p w14:paraId="35811B4D" w14:textId="5C9E964B" w:rsidR="003A2F4E" w:rsidRDefault="004A2253" w:rsidP="006B3A19">
      <w:pPr>
        <w:shd w:val="clear" w:color="auto" w:fill="975CCB"/>
      </w:pPr>
      <w:r>
        <w:rPr>
          <w:noProof/>
        </w:rPr>
        <mc:AlternateContent>
          <mc:Choice Requires="wps">
            <w:drawing>
              <wp:anchor distT="0" distB="0" distL="114300" distR="114300" simplePos="0" relativeHeight="251661312" behindDoc="1" locked="0" layoutInCell="1" allowOverlap="1" wp14:anchorId="0AEA3811" wp14:editId="71479FE3">
                <wp:simplePos x="0" y="0"/>
                <wp:positionH relativeFrom="column">
                  <wp:posOffset>929640</wp:posOffset>
                </wp:positionH>
                <wp:positionV relativeFrom="topMargin">
                  <wp:posOffset>251460</wp:posOffset>
                </wp:positionV>
                <wp:extent cx="3474720" cy="617220"/>
                <wp:effectExtent l="0" t="0" r="0" b="0"/>
                <wp:wrapTight wrapText="bothSides">
                  <wp:wrapPolygon edited="0">
                    <wp:start x="237" y="0"/>
                    <wp:lineTo x="237" y="20667"/>
                    <wp:lineTo x="21197" y="20667"/>
                    <wp:lineTo x="21197" y="0"/>
                    <wp:lineTo x="237" y="0"/>
                  </wp:wrapPolygon>
                </wp:wrapTight>
                <wp:docPr id="1934647517" name="Text Box 1"/>
                <wp:cNvGraphicFramePr/>
                <a:graphic xmlns:a="http://schemas.openxmlformats.org/drawingml/2006/main">
                  <a:graphicData uri="http://schemas.microsoft.com/office/word/2010/wordprocessingShape">
                    <wps:wsp>
                      <wps:cNvSpPr txBox="1"/>
                      <wps:spPr>
                        <a:xfrm>
                          <a:off x="0" y="0"/>
                          <a:ext cx="3474720" cy="617220"/>
                        </a:xfrm>
                        <a:prstGeom prst="rect">
                          <a:avLst/>
                        </a:prstGeom>
                        <a:noFill/>
                        <a:ln>
                          <a:noFill/>
                        </a:ln>
                      </wps:spPr>
                      <wps:txbx>
                        <w:txbxContent>
                          <w:p w14:paraId="263662A4" w14:textId="79851105" w:rsidR="006B3A19" w:rsidRPr="004A2253" w:rsidRDefault="004A2253" w:rsidP="006B3A19">
                            <w:pPr>
                              <w:jc w:val="center"/>
                              <w:rPr>
                                <w:rFonts w:ascii="Times New Roman" w:hAnsi="Times New Roman" w:cs="Times New Roman"/>
                                <w:b/>
                                <w:sz w:val="52"/>
                                <w:szCs w:val="5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A2253">
                              <w:rPr>
                                <w:rFonts w:ascii="Times New Roman" w:hAnsi="Times New Roman" w:cs="Times New Roman"/>
                                <w:b/>
                                <w:sz w:val="52"/>
                                <w:szCs w:val="5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Swansea Co-Housing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A3811" id="_x0000_t202" coordsize="21600,21600" o:spt="202" path="m,l,21600r21600,l21600,xe">
                <v:stroke joinstyle="miter"/>
                <v:path gradientshapeok="t" o:connecttype="rect"/>
              </v:shapetype>
              <v:shape id="Text Box 1" o:spid="_x0000_s1026" type="#_x0000_t202" style="position:absolute;margin-left:73.2pt;margin-top:19.8pt;width:273.6pt;height:4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" filled="f" stroked="f">
                <v:fill o:detectmouseclick="t"/>
                <v:textbox>
                  <w:txbxContent>
                    <w:p w14:paraId="263662A4" w14:textId="79851105" w:rsidR="006B3A19" w:rsidRPr="004A2253" w:rsidRDefault="004A2253" w:rsidP="006B3A19">
                      <w:pPr>
                        <w:jc w:val="center"/>
                        <w:rPr>
                          <w:rFonts w:ascii="Times New Roman" w:hAnsi="Times New Roman" w:cs="Times New Roman"/>
                          <w:b/>
                          <w:sz w:val="52"/>
                          <w:szCs w:val="5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A2253">
                        <w:rPr>
                          <w:rFonts w:ascii="Times New Roman" w:hAnsi="Times New Roman" w:cs="Times New Roman"/>
                          <w:b/>
                          <w:sz w:val="52"/>
                          <w:szCs w:val="5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Swansea Co-Housing</w:t>
                      </w:r>
                    </w:p>
                  </w:txbxContent>
                </v:textbox>
                <w10:wrap type="tight" anchory="margin"/>
              </v:shape>
            </w:pict>
          </mc:Fallback>
        </mc:AlternateContent>
      </w:r>
      <w:r>
        <w:rPr>
          <w:noProof/>
        </w:rPr>
        <w:drawing>
          <wp:anchor distT="0" distB="0" distL="114300" distR="114300" simplePos="0" relativeHeight="251664384" behindDoc="1" locked="0" layoutInCell="1" allowOverlap="1" wp14:anchorId="790A28C9" wp14:editId="332CD56D">
            <wp:simplePos x="0" y="0"/>
            <wp:positionH relativeFrom="margin">
              <wp:posOffset>4549140</wp:posOffset>
            </wp:positionH>
            <wp:positionV relativeFrom="margin">
              <wp:posOffset>-548640</wp:posOffset>
            </wp:positionV>
            <wp:extent cx="1729740" cy="968375"/>
            <wp:effectExtent l="228600" t="228600" r="232410" b="231775"/>
            <wp:wrapTight wrapText="bothSides">
              <wp:wrapPolygon edited="0">
                <wp:start x="-2855" y="-5099"/>
                <wp:lineTo x="-2855" y="26345"/>
                <wp:lineTo x="24264" y="26345"/>
                <wp:lineTo x="24264" y="-5099"/>
                <wp:lineTo x="-2855" y="-5099"/>
              </wp:wrapPolygon>
            </wp:wrapTight>
            <wp:docPr id="20978715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29740" cy="968375"/>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7DDA4FBE" wp14:editId="1DCAC0F2">
            <wp:simplePos x="0" y="0"/>
            <wp:positionH relativeFrom="margin">
              <wp:posOffset>-777240</wp:posOffset>
            </wp:positionH>
            <wp:positionV relativeFrom="page">
              <wp:posOffset>411480</wp:posOffset>
            </wp:positionV>
            <wp:extent cx="1615440" cy="904240"/>
            <wp:effectExtent l="228600" t="228600" r="232410" b="219710"/>
            <wp:wrapTight wrapText="bothSides">
              <wp:wrapPolygon edited="0">
                <wp:start x="-3057" y="-5461"/>
                <wp:lineTo x="-3057" y="26393"/>
                <wp:lineTo x="24453" y="26393"/>
                <wp:lineTo x="24453" y="-5461"/>
                <wp:lineTo x="-3057" y="-5461"/>
              </wp:wrapPolygon>
            </wp:wrapTight>
            <wp:docPr id="457126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5440" cy="90424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5012A0C" w14:textId="7597AEB7" w:rsidR="006B3A19" w:rsidRDefault="006B3A19" w:rsidP="00F37E66">
      <w:pPr>
        <w:shd w:val="clear" w:color="auto" w:fill="C00000"/>
      </w:pPr>
    </w:p>
    <w:p w14:paraId="08B6D65F" w14:textId="1D3783C1" w:rsidR="006B3A19" w:rsidRDefault="006B3A19" w:rsidP="006B3A19">
      <w:pPr>
        <w:shd w:val="clear" w:color="auto" w:fill="975CCB"/>
      </w:pPr>
      <w:r>
        <w:rPr>
          <w:noProof/>
        </w:rPr>
        <mc:AlternateContent>
          <mc:Choice Requires="wps">
            <w:drawing>
              <wp:anchor distT="0" distB="0" distL="114300" distR="114300" simplePos="0" relativeHeight="251659264" behindDoc="0" locked="0" layoutInCell="1" allowOverlap="1" wp14:anchorId="50632700" wp14:editId="5A51B1D1">
                <wp:simplePos x="0" y="0"/>
                <wp:positionH relativeFrom="column">
                  <wp:posOffset>297180</wp:posOffset>
                </wp:positionH>
                <wp:positionV relativeFrom="paragraph">
                  <wp:posOffset>83820</wp:posOffset>
                </wp:positionV>
                <wp:extent cx="5250180" cy="1676400"/>
                <wp:effectExtent l="38100" t="38100" r="45720" b="38100"/>
                <wp:wrapNone/>
                <wp:docPr id="144594752" name="Text Box 1"/>
                <wp:cNvGraphicFramePr/>
                <a:graphic xmlns:a="http://schemas.openxmlformats.org/drawingml/2006/main">
                  <a:graphicData uri="http://schemas.microsoft.com/office/word/2010/wordprocessingShape">
                    <wps:wsp>
                      <wps:cNvSpPr txBox="1"/>
                      <wps:spPr>
                        <a:xfrm>
                          <a:off x="0" y="0"/>
                          <a:ext cx="5250180" cy="1676400"/>
                        </a:xfrm>
                        <a:prstGeom prst="rect">
                          <a:avLst/>
                        </a:prstGeom>
                        <a:solidFill>
                          <a:schemeClr val="accent6">
                            <a:lumMod val="50000"/>
                          </a:schemeClr>
                        </a:solidFill>
                        <a:ln w="76200">
                          <a:solidFill>
                            <a:prstClr val="black"/>
                          </a:solidFill>
                        </a:ln>
                      </wps:spPr>
                      <wps:txbx>
                        <w:txbxContent>
                          <w:p w14:paraId="0DD98CF4" w14:textId="77777777" w:rsidR="006B3A19" w:rsidRPr="007F7E59" w:rsidRDefault="006B3A19" w:rsidP="006B3A19">
                            <w:pPr>
                              <w:rPr>
                                <w:rFonts w:ascii="Times New Roman" w:hAnsi="Times New Roman" w:cs="Times New Roman"/>
                                <w:b/>
                                <w:bCs/>
                                <w:sz w:val="16"/>
                                <w:szCs w:val="16"/>
                                <w:highlight w:val="magenta"/>
                              </w:rPr>
                            </w:pPr>
                            <w:r w:rsidRPr="007F7E59">
                              <w:rPr>
                                <w:rFonts w:ascii="Times New Roman" w:hAnsi="Times New Roman" w:cs="Times New Roman"/>
                                <w:b/>
                                <w:bCs/>
                                <w:sz w:val="16"/>
                                <w:szCs w:val="16"/>
                                <w:highlight w:val="magenta"/>
                              </w:rPr>
                              <w:t>Overview of Swansea Co-Housing</w:t>
                            </w:r>
                          </w:p>
                          <w:p w14:paraId="05F82169" w14:textId="77777777" w:rsidR="006B3A19" w:rsidRPr="007F7E59" w:rsidRDefault="006B3A19" w:rsidP="006B3A19">
                            <w:pPr>
                              <w:rPr>
                                <w:rFonts w:ascii="Times New Roman" w:hAnsi="Times New Roman" w:cs="Times New Roman"/>
                                <w:b/>
                                <w:bCs/>
                                <w:sz w:val="16"/>
                                <w:szCs w:val="16"/>
                                <w:highlight w:val="magenta"/>
                              </w:rPr>
                            </w:pPr>
                            <w:r w:rsidRPr="007F7E59">
                              <w:rPr>
                                <w:rFonts w:ascii="Times New Roman" w:hAnsi="Times New Roman" w:cs="Times New Roman"/>
                                <w:b/>
                                <w:bCs/>
                                <w:sz w:val="16"/>
                                <w:szCs w:val="16"/>
                                <w:highlight w:val="magenta"/>
                              </w:rPr>
                              <w:t>Located in the centre of Swansea, Swansea Co-Housing is an innovative community development initiative aimed at establishing an inclusive, dynamic, and sustainable co-housing environment. Co-housing prioritises the establishment of robust social relationships, environmental responsibility, and a cooperative lifestyle. Swansea Co-Housing, rooted on sustainability principles, seeks to cultivate community cohesion, promote intergenerational engagement, and mitigate the environmental footprint of residential areas.</w:t>
                            </w:r>
                          </w:p>
                          <w:p w14:paraId="0DD135EC" w14:textId="605A5EEA" w:rsidR="006B3A19" w:rsidRPr="007F7E59" w:rsidRDefault="006B3A19" w:rsidP="006B3A19">
                            <w:pPr>
                              <w:rPr>
                                <w:rFonts w:ascii="Times New Roman" w:hAnsi="Times New Roman" w:cs="Times New Roman"/>
                                <w:b/>
                                <w:bCs/>
                                <w:sz w:val="16"/>
                                <w:szCs w:val="16"/>
                              </w:rPr>
                            </w:pPr>
                            <w:r w:rsidRPr="007F7E59">
                              <w:rPr>
                                <w:rFonts w:ascii="Times New Roman" w:hAnsi="Times New Roman" w:cs="Times New Roman"/>
                                <w:b/>
                                <w:bCs/>
                                <w:sz w:val="16"/>
                                <w:szCs w:val="16"/>
                                <w:highlight w:val="magenta"/>
                              </w:rPr>
                              <w:t>The Swansea Co-Housing project aims to develop high-quality residences that accommodate individuals of various ages and backgrounds while integrating seamlessly with Swansea's natural and urban environments. The focus is on rethinking community coexistence to enhance individual well-being, foster environmental stewardship, and develop skills vital for sustainable living. This project will enable Swansea to transform communal living and pioneer sustainable housing alternatives in South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32700" id="_x0000_s1027" type="#_x0000_t202" style="position:absolute;margin-left:23.4pt;margin-top:6.6pt;width:413.4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" fillcolor="#731a35 [1609]" strokeweight="6pt">
                <v:textbox>
                  <w:txbxContent>
                    <w:p w14:paraId="0DD98CF4" w14:textId="77777777" w:rsidR="006B3A19" w:rsidRPr="007F7E59" w:rsidRDefault="006B3A19" w:rsidP="006B3A19">
                      <w:pPr>
                        <w:rPr>
                          <w:rFonts w:ascii="Times New Roman" w:hAnsi="Times New Roman" w:cs="Times New Roman"/>
                          <w:b/>
                          <w:bCs/>
                          <w:sz w:val="16"/>
                          <w:szCs w:val="16"/>
                          <w:highlight w:val="magenta"/>
                        </w:rPr>
                      </w:pPr>
                      <w:r w:rsidRPr="007F7E59">
                        <w:rPr>
                          <w:rFonts w:ascii="Times New Roman" w:hAnsi="Times New Roman" w:cs="Times New Roman"/>
                          <w:b/>
                          <w:bCs/>
                          <w:sz w:val="16"/>
                          <w:szCs w:val="16"/>
                          <w:highlight w:val="magenta"/>
                        </w:rPr>
                        <w:t>Overview of Swansea Co-Housing</w:t>
                      </w:r>
                    </w:p>
                    <w:p w14:paraId="05F82169" w14:textId="77777777" w:rsidR="006B3A19" w:rsidRPr="007F7E59" w:rsidRDefault="006B3A19" w:rsidP="006B3A19">
                      <w:pPr>
                        <w:rPr>
                          <w:rFonts w:ascii="Times New Roman" w:hAnsi="Times New Roman" w:cs="Times New Roman"/>
                          <w:b/>
                          <w:bCs/>
                          <w:sz w:val="16"/>
                          <w:szCs w:val="16"/>
                          <w:highlight w:val="magenta"/>
                        </w:rPr>
                      </w:pPr>
                      <w:r w:rsidRPr="007F7E59">
                        <w:rPr>
                          <w:rFonts w:ascii="Times New Roman" w:hAnsi="Times New Roman" w:cs="Times New Roman"/>
                          <w:b/>
                          <w:bCs/>
                          <w:sz w:val="16"/>
                          <w:szCs w:val="16"/>
                          <w:highlight w:val="magenta"/>
                        </w:rPr>
                        <w:t>Located in the centre of Swansea, Swansea Co-Housing is an innovative community development initiative aimed at establishing an inclusive, dynamic, and sustainable co-housing environment. Co-housing prioritises the establishment of robust social relationships, environmental responsibility, and a cooperative lifestyle. Swansea Co-Housing, rooted on sustainability principles, seeks to cultivate community cohesion, promote intergenerational engagement, and mitigate the environmental footprint of residential areas.</w:t>
                      </w:r>
                    </w:p>
                    <w:p w14:paraId="0DD135EC" w14:textId="605A5EEA" w:rsidR="006B3A19" w:rsidRPr="007F7E59" w:rsidRDefault="006B3A19" w:rsidP="006B3A19">
                      <w:pPr>
                        <w:rPr>
                          <w:rFonts w:ascii="Times New Roman" w:hAnsi="Times New Roman" w:cs="Times New Roman"/>
                          <w:b/>
                          <w:bCs/>
                          <w:sz w:val="16"/>
                          <w:szCs w:val="16"/>
                        </w:rPr>
                      </w:pPr>
                      <w:r w:rsidRPr="007F7E59">
                        <w:rPr>
                          <w:rFonts w:ascii="Times New Roman" w:hAnsi="Times New Roman" w:cs="Times New Roman"/>
                          <w:b/>
                          <w:bCs/>
                          <w:sz w:val="16"/>
                          <w:szCs w:val="16"/>
                          <w:highlight w:val="magenta"/>
                        </w:rPr>
                        <w:t>The Swansea Co-Housing project aims to develop high-quality residences that accommodate individuals of various ages and backgrounds while integrating seamlessly with Swansea's natural and urban environments. The focus is on rethinking community coexistence to enhance individual well-being, foster environmental stewardship, and develop skills vital for sustainable living. This project will enable Swansea to transform communal living and pioneer sustainable housing alternatives in South Wales.</w:t>
                      </w:r>
                    </w:p>
                  </w:txbxContent>
                </v:textbox>
              </v:shape>
            </w:pict>
          </mc:Fallback>
        </mc:AlternateContent>
      </w:r>
    </w:p>
    <w:p w14:paraId="694A9CFA" w14:textId="75C6524F" w:rsidR="006B3A19" w:rsidRDefault="009F702A" w:rsidP="006B3A19">
      <w:pPr>
        <w:shd w:val="clear" w:color="auto" w:fill="975CCB"/>
      </w:pPr>
      <w:r>
        <w:rPr>
          <w:rFonts w:ascii="Times New Roman" w:hAnsi="Times New Roman" w:cs="Times New Roman"/>
          <w:noProof/>
          <w:sz w:val="16"/>
          <w:szCs w:val="16"/>
        </w:rPr>
        <w:drawing>
          <wp:anchor distT="0" distB="0" distL="114300" distR="114300" simplePos="0" relativeHeight="251674624" behindDoc="1" locked="0" layoutInCell="1" allowOverlap="1" wp14:anchorId="7F1E3C52" wp14:editId="54732F92">
            <wp:simplePos x="0" y="0"/>
            <wp:positionH relativeFrom="page">
              <wp:align>right</wp:align>
            </wp:positionH>
            <wp:positionV relativeFrom="page">
              <wp:posOffset>1981200</wp:posOffset>
            </wp:positionV>
            <wp:extent cx="901700" cy="506730"/>
            <wp:effectExtent l="38100" t="209550" r="107950" b="217170"/>
            <wp:wrapTight wrapText="bothSides">
              <wp:wrapPolygon edited="0">
                <wp:start x="0" y="-8932"/>
                <wp:lineTo x="-913" y="-7308"/>
                <wp:lineTo x="-913" y="18677"/>
                <wp:lineTo x="20079" y="28421"/>
                <wp:lineTo x="20535" y="30045"/>
                <wp:lineTo x="23273" y="30045"/>
                <wp:lineTo x="23730" y="-6496"/>
                <wp:lineTo x="1825" y="-8932"/>
                <wp:lineTo x="0" y="-8932"/>
              </wp:wrapPolygon>
            </wp:wrapTight>
            <wp:docPr id="2760588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1700" cy="50673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p>
    <w:p w14:paraId="6E7511F0" w14:textId="17B5A05C" w:rsidR="006B3A19" w:rsidRDefault="006B3A19" w:rsidP="006B3A19">
      <w:pPr>
        <w:shd w:val="clear" w:color="auto" w:fill="975CCB"/>
      </w:pPr>
    </w:p>
    <w:p w14:paraId="1C3E0C57" w14:textId="7FBF5D58" w:rsidR="006B3A19" w:rsidRDefault="009F702A" w:rsidP="00F37E66">
      <w:pPr>
        <w:shd w:val="clear" w:color="auto" w:fill="18567C" w:themeFill="accent3" w:themeFillShade="80"/>
      </w:pPr>
      <w:r>
        <w:rPr>
          <w:noProof/>
        </w:rPr>
        <w:drawing>
          <wp:anchor distT="0" distB="0" distL="114300" distR="114300" simplePos="0" relativeHeight="251673600" behindDoc="1" locked="0" layoutInCell="1" allowOverlap="1" wp14:anchorId="6524ADB0" wp14:editId="3430EFFB">
            <wp:simplePos x="0" y="0"/>
            <wp:positionH relativeFrom="margin">
              <wp:posOffset>-746760</wp:posOffset>
            </wp:positionH>
            <wp:positionV relativeFrom="page">
              <wp:posOffset>2575560</wp:posOffset>
            </wp:positionV>
            <wp:extent cx="888365" cy="499110"/>
            <wp:effectExtent l="266700" t="228600" r="216535" b="205740"/>
            <wp:wrapTight wrapText="bothSides">
              <wp:wrapPolygon edited="0">
                <wp:start x="18064" y="-9893"/>
                <wp:lineTo x="-6485" y="-8244"/>
                <wp:lineTo x="-5558" y="15664"/>
                <wp:lineTo x="-3242" y="29679"/>
                <wp:lineTo x="5558" y="29679"/>
                <wp:lineTo x="6021" y="28031"/>
                <wp:lineTo x="26402" y="18137"/>
                <wp:lineTo x="25475" y="4947"/>
                <wp:lineTo x="23159" y="-9893"/>
                <wp:lineTo x="18064" y="-9893"/>
              </wp:wrapPolygon>
            </wp:wrapTight>
            <wp:docPr id="2182087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8365" cy="49911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136C2BAB" w14:textId="046E9DFE" w:rsidR="006B3A19" w:rsidRPr="006B3A19" w:rsidRDefault="006B3A19" w:rsidP="006B3A19">
      <w:pPr>
        <w:shd w:val="clear" w:color="auto" w:fill="975CCB"/>
        <w:rPr>
          <w:rFonts w:ascii="Times New Roman" w:hAnsi="Times New Roman" w:cs="Times New Roman"/>
          <w:sz w:val="16"/>
          <w:szCs w:val="16"/>
        </w:rPr>
      </w:pPr>
    </w:p>
    <w:p w14:paraId="37D3EC3B" w14:textId="697121D1" w:rsidR="006B3A19" w:rsidRDefault="006B3A19" w:rsidP="006B3A19">
      <w:pPr>
        <w:shd w:val="clear" w:color="auto" w:fill="975CCB"/>
      </w:pPr>
    </w:p>
    <w:p w14:paraId="51019CD8" w14:textId="722F5861" w:rsidR="006B3A19" w:rsidRDefault="004A2253" w:rsidP="006B3A19">
      <w:pPr>
        <w:shd w:val="clear" w:color="auto" w:fill="975CCB"/>
      </w:pPr>
      <w:r>
        <w:rPr>
          <w:noProof/>
        </w:rPr>
        <mc:AlternateContent>
          <mc:Choice Requires="wps">
            <w:drawing>
              <wp:anchor distT="0" distB="0" distL="114300" distR="114300" simplePos="0" relativeHeight="251662336" behindDoc="0" locked="0" layoutInCell="1" allowOverlap="1" wp14:anchorId="4AF08E12" wp14:editId="0C83DF98">
                <wp:simplePos x="0" y="0"/>
                <wp:positionH relativeFrom="column">
                  <wp:posOffset>-769620</wp:posOffset>
                </wp:positionH>
                <wp:positionV relativeFrom="paragraph">
                  <wp:posOffset>196215</wp:posOffset>
                </wp:positionV>
                <wp:extent cx="7261860" cy="2430780"/>
                <wp:effectExtent l="38100" t="38100" r="34290" b="45720"/>
                <wp:wrapNone/>
                <wp:docPr id="1377054687" name="Text Box 2"/>
                <wp:cNvGraphicFramePr/>
                <a:graphic xmlns:a="http://schemas.openxmlformats.org/drawingml/2006/main">
                  <a:graphicData uri="http://schemas.microsoft.com/office/word/2010/wordprocessingShape">
                    <wps:wsp>
                      <wps:cNvSpPr txBox="1"/>
                      <wps:spPr>
                        <a:xfrm>
                          <a:off x="0" y="0"/>
                          <a:ext cx="7261860" cy="2430780"/>
                        </a:xfrm>
                        <a:prstGeom prst="rect">
                          <a:avLst/>
                        </a:prstGeom>
                        <a:solidFill>
                          <a:srgbClr val="DC3939"/>
                        </a:solidFill>
                        <a:ln w="76200">
                          <a:solidFill>
                            <a:prstClr val="black"/>
                          </a:solidFill>
                        </a:ln>
                      </wps:spPr>
                      <wps:txbx>
                        <w:txbxContent>
                          <w:p w14:paraId="6586CEE2" w14:textId="3F7CB8B6" w:rsidR="004A2253" w:rsidRPr="004A2253" w:rsidRDefault="004A2253" w:rsidP="004A2253">
                            <w:pPr>
                              <w:rPr>
                                <w:rFonts w:ascii="Times New Roman" w:hAnsi="Times New Roman" w:cs="Times New Roman"/>
                                <w:b/>
                                <w:bCs/>
                                <w:sz w:val="20"/>
                                <w:szCs w:val="20"/>
                              </w:rPr>
                            </w:pPr>
                            <w:r w:rsidRPr="004A2253">
                              <w:rPr>
                                <w:rFonts w:ascii="Times New Roman" w:hAnsi="Times New Roman" w:cs="Times New Roman"/>
                                <w:b/>
                                <w:bCs/>
                                <w:sz w:val="20"/>
                                <w:szCs w:val="20"/>
                                <w:highlight w:val="magenta"/>
                              </w:rPr>
                              <w:t>What is Co-Housing?</w:t>
                            </w:r>
                          </w:p>
                          <w:p w14:paraId="4AF94170" w14:textId="59F34ABB"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Co-housing is a housing type designed to encourage intentional communal living, in which private dwellings are created around shared spaces that stimulate residents' sense of belonging and collaboration. Each household has its own private apartment, replete with necessities like a private kitchen, while the community shares larger amenities like eating areas, recreational spaces, and laundry facilities.</w:t>
                            </w:r>
                          </w:p>
                          <w:p w14:paraId="3EC41725" w14:textId="77777777"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This co-housing strategy strikes a mix between autonomous living and common spaces, encouraging both privacy and community connection. Swansea Co-Housing's layout and design help to achieve this balance by establishing a location where people may enjoy the comforts of their own houses while still being a part of a close community. To coincide with long-term sustainability goals, the design incorporates eco-friendly elements, low-impact building materials, and energy-efficient systems.</w:t>
                            </w:r>
                          </w:p>
                          <w:p w14:paraId="5F4877C3" w14:textId="77777777"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Co-housing not only meets housing needs, but it also provides a controlled setting for developing social connections, mutual support, and shared responsibility. This form of housing has been demonstrated to benefit occupants' mental health, promote social cohesion, and reduce isolation. Swansea Co-Housing aims to bring these benefits to the Swansea community by building a model for sustainable and inclusive living that promotes long-term community engagement and environmental awareness.</w:t>
                            </w:r>
                          </w:p>
                          <w:p w14:paraId="2A319C5B" w14:textId="77777777" w:rsidR="004A2253" w:rsidRDefault="004A22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8E12" id="Text Box 2" o:spid="_x0000_s1028" type="#_x0000_t202" style="position:absolute;margin-left:-60.6pt;margin-top:15.45pt;width:571.8pt;height:19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" fillcolor="#dc3939" strokeweight="6pt">
                <v:textbox>
                  <w:txbxContent>
                    <w:p w14:paraId="6586CEE2" w14:textId="3F7CB8B6" w:rsidR="004A2253" w:rsidRPr="004A2253" w:rsidRDefault="004A2253" w:rsidP="004A2253">
                      <w:pPr>
                        <w:rPr>
                          <w:rFonts w:ascii="Times New Roman" w:hAnsi="Times New Roman" w:cs="Times New Roman"/>
                          <w:b/>
                          <w:bCs/>
                          <w:sz w:val="20"/>
                          <w:szCs w:val="20"/>
                        </w:rPr>
                      </w:pPr>
                      <w:r w:rsidRPr="004A2253">
                        <w:rPr>
                          <w:rFonts w:ascii="Times New Roman" w:hAnsi="Times New Roman" w:cs="Times New Roman"/>
                          <w:b/>
                          <w:bCs/>
                          <w:sz w:val="20"/>
                          <w:szCs w:val="20"/>
                          <w:highlight w:val="magenta"/>
                        </w:rPr>
                        <w:t>What is Co-Housing?</w:t>
                      </w:r>
                    </w:p>
                    <w:p w14:paraId="4AF94170" w14:textId="59F34ABB"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Co-housing is a housing type designed to encourage intentional communal living, in which private dwellings are created around shared spaces that stimulate residents' sense of belonging and collaboration. Each household has its own private apartment, replete with necessities like a private kitchen, while the community shares larger amenities like eating areas, recreational spaces, and laundry facilities.</w:t>
                      </w:r>
                    </w:p>
                    <w:p w14:paraId="3EC41725" w14:textId="77777777"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This co-housing strategy strikes a mix between autonomous living and common spaces, encouraging both privacy and community connection. Swansea Co-Housing's layout and design help to achieve this balance by establishing a location where people may enjoy the comforts of their own houses while still being a part of a close community. To coincide with long-term sustainability goals, the design incorporates eco-friendly elements, low-impact building materials, and energy-efficient systems.</w:t>
                      </w:r>
                    </w:p>
                    <w:p w14:paraId="5F4877C3" w14:textId="77777777" w:rsidR="004A2253" w:rsidRPr="007F7E59" w:rsidRDefault="004A2253" w:rsidP="004A2253">
                      <w:pPr>
                        <w:rPr>
                          <w:rFonts w:ascii="Times New Roman" w:hAnsi="Times New Roman" w:cs="Times New Roman"/>
                          <w:b/>
                          <w:bCs/>
                          <w:sz w:val="20"/>
                          <w:szCs w:val="20"/>
                        </w:rPr>
                      </w:pPr>
                      <w:r w:rsidRPr="007F7E59">
                        <w:rPr>
                          <w:rFonts w:ascii="Times New Roman" w:hAnsi="Times New Roman" w:cs="Times New Roman"/>
                          <w:b/>
                          <w:bCs/>
                          <w:sz w:val="20"/>
                          <w:szCs w:val="20"/>
                        </w:rPr>
                        <w:t>Co-housing not only meets housing needs, but it also provides a controlled setting for developing social connections, mutual support, and shared responsibility. This form of housing has been demonstrated to benefit occupants' mental health, promote social cohesion, and reduce isolation. Swansea Co-Housing aims to bring these benefits to the Swansea community by building a model for sustainable and inclusive living that promotes long-term community engagement and environmental awareness.</w:t>
                      </w:r>
                    </w:p>
                    <w:p w14:paraId="2A319C5B" w14:textId="77777777" w:rsidR="004A2253" w:rsidRDefault="004A2253"/>
                  </w:txbxContent>
                </v:textbox>
              </v:shape>
            </w:pict>
          </mc:Fallback>
        </mc:AlternateContent>
      </w:r>
    </w:p>
    <w:p w14:paraId="5F11BEB3" w14:textId="143629F8" w:rsidR="006B3A19" w:rsidRDefault="006B3A19" w:rsidP="006B3A19">
      <w:pPr>
        <w:shd w:val="clear" w:color="auto" w:fill="975CCB"/>
      </w:pPr>
    </w:p>
    <w:p w14:paraId="5BE0C57E" w14:textId="337D3DBE" w:rsidR="006B3A19" w:rsidRDefault="006B3A19" w:rsidP="006B3A19">
      <w:pPr>
        <w:shd w:val="clear" w:color="auto" w:fill="975CCB"/>
      </w:pPr>
    </w:p>
    <w:p w14:paraId="3CFCA1D3" w14:textId="1B0739B3" w:rsidR="006B3A19" w:rsidRDefault="006B3A19" w:rsidP="006B3A19">
      <w:pPr>
        <w:shd w:val="clear" w:color="auto" w:fill="975CCB"/>
      </w:pPr>
    </w:p>
    <w:p w14:paraId="1A0F2046" w14:textId="62EDD488" w:rsidR="006B3A19" w:rsidRDefault="006B3A19" w:rsidP="006B3A19">
      <w:pPr>
        <w:shd w:val="clear" w:color="auto" w:fill="975CCB"/>
      </w:pPr>
    </w:p>
    <w:p w14:paraId="658F56B1" w14:textId="3B36E987" w:rsidR="006B3A19" w:rsidRDefault="006B3A19" w:rsidP="006B3A19">
      <w:pPr>
        <w:shd w:val="clear" w:color="auto" w:fill="975CCB"/>
      </w:pPr>
    </w:p>
    <w:p w14:paraId="0C748810" w14:textId="2CDCBA19" w:rsidR="006B3A19" w:rsidRDefault="006B3A19" w:rsidP="006B3A19">
      <w:pPr>
        <w:shd w:val="clear" w:color="auto" w:fill="975CCB"/>
      </w:pPr>
    </w:p>
    <w:p w14:paraId="740B92BE" w14:textId="4E6EF924" w:rsidR="006B3A19" w:rsidRDefault="006B3A19" w:rsidP="006B3A19">
      <w:pPr>
        <w:shd w:val="clear" w:color="auto" w:fill="975CCB"/>
      </w:pPr>
    </w:p>
    <w:p w14:paraId="36AB9D70" w14:textId="0AA580D7" w:rsidR="006B3A19" w:rsidRDefault="006B3A19" w:rsidP="006B3A19">
      <w:pPr>
        <w:shd w:val="clear" w:color="auto" w:fill="975CCB"/>
      </w:pPr>
    </w:p>
    <w:p w14:paraId="1EA09FD2" w14:textId="6EFB59AA" w:rsidR="006B3A19" w:rsidRDefault="007F7E59" w:rsidP="006B3A19">
      <w:pPr>
        <w:shd w:val="clear" w:color="auto" w:fill="975CCB"/>
      </w:pPr>
      <w:r>
        <w:rPr>
          <w:noProof/>
        </w:rPr>
        <mc:AlternateContent>
          <mc:Choice Requires="wps">
            <w:drawing>
              <wp:anchor distT="0" distB="0" distL="114300" distR="114300" simplePos="0" relativeHeight="251665408" behindDoc="0" locked="0" layoutInCell="1" allowOverlap="1" wp14:anchorId="0253D018" wp14:editId="0AAD024F">
                <wp:simplePos x="0" y="0"/>
                <wp:positionH relativeFrom="column">
                  <wp:posOffset>-716280</wp:posOffset>
                </wp:positionH>
                <wp:positionV relativeFrom="paragraph">
                  <wp:posOffset>269240</wp:posOffset>
                </wp:positionV>
                <wp:extent cx="7208520" cy="4564380"/>
                <wp:effectExtent l="38100" t="38100" r="30480" b="45720"/>
                <wp:wrapNone/>
                <wp:docPr id="90608750" name="Text Box 6"/>
                <wp:cNvGraphicFramePr/>
                <a:graphic xmlns:a="http://schemas.openxmlformats.org/drawingml/2006/main">
                  <a:graphicData uri="http://schemas.microsoft.com/office/word/2010/wordprocessingShape">
                    <wps:wsp>
                      <wps:cNvSpPr txBox="1"/>
                      <wps:spPr>
                        <a:xfrm>
                          <a:off x="0" y="0"/>
                          <a:ext cx="7208520" cy="4564380"/>
                        </a:xfrm>
                        <a:prstGeom prst="rect">
                          <a:avLst/>
                        </a:prstGeom>
                        <a:solidFill>
                          <a:srgbClr val="00B050"/>
                        </a:solidFill>
                        <a:ln w="76200">
                          <a:solidFill>
                            <a:prstClr val="black"/>
                          </a:solidFill>
                        </a:ln>
                      </wps:spPr>
                      <wps:txbx>
                        <w:txbxContent>
                          <w:p w14:paraId="44A76436"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Swansea Co-Housing: Key Aspects and Goals</w:t>
                            </w:r>
                          </w:p>
                          <w:p w14:paraId="28119089"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Intergenerational Harmony:</w:t>
                            </w:r>
                          </w:p>
                          <w:p w14:paraId="44E2AC3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Aims to foster intergenerational connections to strengthen social bonds and improve community health.</w:t>
                            </w:r>
                          </w:p>
                          <w:p w14:paraId="46F588A8"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Fosters relationships between different age groups, promoting understanding, respect, and learning.</w:t>
                            </w:r>
                          </w:p>
                          <w:p w14:paraId="5488643B"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Encourages mentorship, providing knowledge, wisdom, and life skills to younger members.</w:t>
                            </w:r>
                          </w:p>
                          <w:p w14:paraId="5720807D"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Impact on Well-being:</w:t>
                            </w:r>
                          </w:p>
                          <w:p w14:paraId="14EE212A"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Cross-generational relationships contribute to emotional and educational growth in children and provide a sense of belonging for older adults.</w:t>
                            </w:r>
                          </w:p>
                          <w:p w14:paraId="0E7B155D"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Intergenerational programs spark community-based activities, aligning with Swansea Co-Housing's commitment to tradition, sustainability, and environmental consciousness.</w:t>
                            </w:r>
                          </w:p>
                          <w:p w14:paraId="4F93761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Skills Development and Opportunities:</w:t>
                            </w:r>
                          </w:p>
                          <w:p w14:paraId="67262B9E"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Provides opportunities for skills development and training in sustainable construction and craftsmanship.</w:t>
                            </w:r>
                          </w:p>
                          <w:p w14:paraId="3E642F61"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Works with experts in conservation, eco-friendly construction, and innovative building techniques.</w:t>
                            </w:r>
                          </w:p>
                          <w:p w14:paraId="08C3126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Inclusivity in the Workforce:</w:t>
                            </w:r>
                          </w:p>
                          <w:p w14:paraId="3EA6DB88"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Focuses on increasing women’s participation in construction, promoting gender inclusivity in the building sector.</w:t>
                            </w:r>
                          </w:p>
                          <w:p w14:paraId="275A0A11"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Goals for the Community:</w:t>
                            </w:r>
                          </w:p>
                          <w:p w14:paraId="4440E70C"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Aims to create a skilled community knowledgeable in sustainable building practices and conservation efforts.</w:t>
                            </w:r>
                          </w:p>
                          <w:p w14:paraId="75C4CC1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Environmental Stewardship:</w:t>
                            </w:r>
                          </w:p>
                          <w:p w14:paraId="19D7AA7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Prioritizes low-impact construction materials, renewable energy sources, and sustainable infrastructure.</w:t>
                            </w:r>
                          </w:p>
                          <w:p w14:paraId="566851D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Long-term Environmental Goals:</w:t>
                            </w:r>
                          </w:p>
                          <w:p w14:paraId="421BBF84" w14:textId="7B19CCAD"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Incorporates renewable energy options, water conservation techniques, and waste reduction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3D018" id="Text Box 6" o:spid="_x0000_s1029" type="#_x0000_t202" style="position:absolute;margin-left:-56.4pt;margin-top:21.2pt;width:567.6pt;height:35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" fillcolor="#00b050" strokeweight="6pt">
                <v:textbox>
                  <w:txbxContent>
                    <w:p w14:paraId="44A76436"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Swansea Co-Housing: Key Aspects and Goals</w:t>
                      </w:r>
                    </w:p>
                    <w:p w14:paraId="28119089"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Intergenerational Harmony:</w:t>
                      </w:r>
                    </w:p>
                    <w:p w14:paraId="44E2AC3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Aims to foster intergenerational connections to strengthen social bonds and improve community health.</w:t>
                      </w:r>
                    </w:p>
                    <w:p w14:paraId="46F588A8"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Fosters relationships between different age groups, promoting understanding, respect, and learning.</w:t>
                      </w:r>
                    </w:p>
                    <w:p w14:paraId="5488643B"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Encourages mentorship, providing knowledge, wisdom, and life skills to younger members.</w:t>
                      </w:r>
                    </w:p>
                    <w:p w14:paraId="5720807D"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Impact on Well-being:</w:t>
                      </w:r>
                    </w:p>
                    <w:p w14:paraId="14EE212A"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Cross-generational relationships contribute to emotional and educational growth in children and provide a sense of belonging for older adults.</w:t>
                      </w:r>
                    </w:p>
                    <w:p w14:paraId="0E7B155D"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Intergenerational programs spark community-based activities, aligning with Swansea Co-Housing's commitment to tradition, sustainability, and environmental consciousness.</w:t>
                      </w:r>
                    </w:p>
                    <w:p w14:paraId="4F93761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Skills Development and Opportunities:</w:t>
                      </w:r>
                    </w:p>
                    <w:p w14:paraId="67262B9E"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Provides opportunities for skills development and training in sustainable construction and craftsmanship.</w:t>
                      </w:r>
                    </w:p>
                    <w:p w14:paraId="3E642F61"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Works with experts in conservation, eco-friendly construction, and innovative building techniques.</w:t>
                      </w:r>
                    </w:p>
                    <w:p w14:paraId="08C3126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Inclusivity in the Workforce:</w:t>
                      </w:r>
                    </w:p>
                    <w:p w14:paraId="3EA6DB88"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Focuses on increasing women’s participation in construction, promoting gender inclusivity in the building sector.</w:t>
                      </w:r>
                    </w:p>
                    <w:p w14:paraId="275A0A11"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Goals for the Community:</w:t>
                      </w:r>
                    </w:p>
                    <w:p w14:paraId="4440E70C"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Aims to create a skilled community knowledgeable in sustainable building practices and conservation efforts.</w:t>
                      </w:r>
                    </w:p>
                    <w:p w14:paraId="75C4CC1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Environmental Stewardship:</w:t>
                      </w:r>
                    </w:p>
                    <w:p w14:paraId="19D7AA77"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Prioritizes low-impact construction materials, renewable energy sources, and sustainable infrastructure.</w:t>
                      </w:r>
                    </w:p>
                    <w:p w14:paraId="566851DF" w14:textId="77777777"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Long-term Environmental Goals:</w:t>
                      </w:r>
                    </w:p>
                    <w:p w14:paraId="421BBF84" w14:textId="7B19CCAD" w:rsidR="007F7E59" w:rsidRPr="007F7E59" w:rsidRDefault="007F7E59" w:rsidP="007F7E59">
                      <w:pPr>
                        <w:rPr>
                          <w:rFonts w:ascii="Times New Roman" w:hAnsi="Times New Roman" w:cs="Times New Roman"/>
                          <w:b/>
                          <w:bCs/>
                          <w:color w:val="341D8B" w:themeColor="accent5" w:themeShade="80"/>
                          <w:sz w:val="16"/>
                          <w:szCs w:val="16"/>
                        </w:rPr>
                      </w:pPr>
                      <w:r w:rsidRPr="007F7E59">
                        <w:rPr>
                          <w:rFonts w:ascii="Times New Roman" w:hAnsi="Times New Roman" w:cs="Times New Roman"/>
                          <w:b/>
                          <w:bCs/>
                          <w:color w:val="341D8B" w:themeColor="accent5" w:themeShade="80"/>
                          <w:sz w:val="16"/>
                          <w:szCs w:val="16"/>
                        </w:rPr>
                        <w:t>• Incorporates renewable energy options, water conservation techniques, and waste reduction practices.</w:t>
                      </w:r>
                    </w:p>
                  </w:txbxContent>
                </v:textbox>
              </v:shape>
            </w:pict>
          </mc:Fallback>
        </mc:AlternateContent>
      </w:r>
    </w:p>
    <w:p w14:paraId="4BB89FA2" w14:textId="5311C335" w:rsidR="006B3A19" w:rsidRDefault="006B3A19" w:rsidP="006B3A19">
      <w:pPr>
        <w:shd w:val="clear" w:color="auto" w:fill="975CCB"/>
      </w:pPr>
    </w:p>
    <w:p w14:paraId="5C9390C8" w14:textId="72D8CCCC" w:rsidR="006B3A19" w:rsidRDefault="006B3A19" w:rsidP="006B3A19">
      <w:pPr>
        <w:shd w:val="clear" w:color="auto" w:fill="975CCB"/>
      </w:pPr>
    </w:p>
    <w:p w14:paraId="68DA9337" w14:textId="1433469C" w:rsidR="006B3A19" w:rsidRDefault="006B3A19" w:rsidP="006B3A19">
      <w:pPr>
        <w:shd w:val="clear" w:color="auto" w:fill="975CCB"/>
      </w:pPr>
    </w:p>
    <w:p w14:paraId="77AB132D" w14:textId="49267D9D" w:rsidR="006B3A19" w:rsidRDefault="006B3A19" w:rsidP="006B3A19">
      <w:pPr>
        <w:shd w:val="clear" w:color="auto" w:fill="975CCB"/>
      </w:pPr>
    </w:p>
    <w:p w14:paraId="4BFB0514" w14:textId="7B3658D8" w:rsidR="006B3A19" w:rsidRDefault="006B3A19" w:rsidP="006B3A19">
      <w:pPr>
        <w:shd w:val="clear" w:color="auto" w:fill="975CCB"/>
      </w:pPr>
    </w:p>
    <w:p w14:paraId="7DEDB534" w14:textId="4E707243" w:rsidR="006B3A19" w:rsidRDefault="006B3A19" w:rsidP="006B3A19">
      <w:pPr>
        <w:shd w:val="clear" w:color="auto" w:fill="975CCB"/>
      </w:pPr>
    </w:p>
    <w:p w14:paraId="713DC3E0" w14:textId="77777777" w:rsidR="006B3A19" w:rsidRDefault="006B3A19" w:rsidP="006B3A19">
      <w:pPr>
        <w:shd w:val="clear" w:color="auto" w:fill="975CCB"/>
      </w:pPr>
    </w:p>
    <w:p w14:paraId="6428662A" w14:textId="31F6446B" w:rsidR="006B3A19" w:rsidRDefault="006B3A19" w:rsidP="006B3A19">
      <w:pPr>
        <w:shd w:val="clear" w:color="auto" w:fill="975CCB"/>
      </w:pPr>
    </w:p>
    <w:p w14:paraId="5A832C80" w14:textId="66B6B322" w:rsidR="006B3A19" w:rsidRDefault="006B3A19" w:rsidP="006B3A19">
      <w:pPr>
        <w:shd w:val="clear" w:color="auto" w:fill="975CCB"/>
      </w:pPr>
    </w:p>
    <w:p w14:paraId="771AE499" w14:textId="21E3D00A" w:rsidR="006B3A19" w:rsidRDefault="006B3A19" w:rsidP="006B3A19">
      <w:pPr>
        <w:shd w:val="clear" w:color="auto" w:fill="975CCB"/>
      </w:pPr>
    </w:p>
    <w:p w14:paraId="4430AC4A" w14:textId="77777777" w:rsidR="006B3A19" w:rsidRDefault="006B3A19" w:rsidP="006B3A19">
      <w:pPr>
        <w:shd w:val="clear" w:color="auto" w:fill="975CCB"/>
      </w:pPr>
    </w:p>
    <w:p w14:paraId="4AED8690" w14:textId="77777777" w:rsidR="006B3A19" w:rsidRDefault="006B3A19" w:rsidP="006B3A19">
      <w:pPr>
        <w:shd w:val="clear" w:color="auto" w:fill="975CCB"/>
      </w:pPr>
    </w:p>
    <w:p w14:paraId="3F182189" w14:textId="77777777" w:rsidR="006B3A19" w:rsidRDefault="006B3A19" w:rsidP="006B3A19">
      <w:pPr>
        <w:shd w:val="clear" w:color="auto" w:fill="975CCB"/>
      </w:pPr>
    </w:p>
    <w:p w14:paraId="64AE7032" w14:textId="1A4ECB90" w:rsidR="006B3A19" w:rsidRDefault="00FE7509" w:rsidP="006B3A19">
      <w:pPr>
        <w:shd w:val="clear" w:color="auto" w:fill="975CCB"/>
      </w:pPr>
      <w:r>
        <w:rPr>
          <w:noProof/>
        </w:rPr>
        <w:lastRenderedPageBreak/>
        <w:drawing>
          <wp:anchor distT="0" distB="0" distL="114300" distR="114300" simplePos="0" relativeHeight="251675648" behindDoc="1" locked="0" layoutInCell="1" allowOverlap="1" wp14:anchorId="23F24F70" wp14:editId="5651AE35">
            <wp:simplePos x="0" y="0"/>
            <wp:positionH relativeFrom="page">
              <wp:posOffset>2251710</wp:posOffset>
            </wp:positionH>
            <wp:positionV relativeFrom="page">
              <wp:posOffset>205740</wp:posOffset>
            </wp:positionV>
            <wp:extent cx="2175510" cy="1242060"/>
            <wp:effectExtent l="209550" t="152400" r="148590" b="243840"/>
            <wp:wrapTight wrapText="bothSides">
              <wp:wrapPolygon edited="0">
                <wp:start x="946" y="-2650"/>
                <wp:lineTo x="-2081" y="-1988"/>
                <wp:lineTo x="-2081" y="21865"/>
                <wp:lineTo x="-378" y="24515"/>
                <wp:lineTo x="0" y="25509"/>
                <wp:lineTo x="20806" y="25509"/>
                <wp:lineTo x="21373" y="24515"/>
                <wp:lineTo x="22886" y="19546"/>
                <wp:lineTo x="22886" y="2650"/>
                <wp:lineTo x="20238" y="-1988"/>
                <wp:lineTo x="19860" y="-2650"/>
                <wp:lineTo x="946" y="-2650"/>
              </wp:wrapPolygon>
            </wp:wrapTight>
            <wp:docPr id="14519483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5510" cy="124206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14:sizeRelH relativeFrom="margin">
              <wp14:pctWidth>0</wp14:pctWidth>
            </wp14:sizeRelH>
            <wp14:sizeRelV relativeFrom="margin">
              <wp14:pctHeight>0</wp14:pctHeight>
            </wp14:sizeRelV>
          </wp:anchor>
        </w:drawing>
      </w:r>
      <w:r w:rsidR="00DE2550">
        <w:rPr>
          <w:noProof/>
        </w:rPr>
        <mc:AlternateContent>
          <mc:Choice Requires="wpg">
            <w:drawing>
              <wp:anchor distT="0" distB="0" distL="228600" distR="228600" simplePos="0" relativeHeight="251667456" behindDoc="1" locked="0" layoutInCell="1" allowOverlap="1" wp14:anchorId="621E8FE6" wp14:editId="1C4B842C">
                <wp:simplePos x="528034" y="592428"/>
                <wp:positionH relativeFrom="margin">
                  <wp:align>right</wp:align>
                </wp:positionH>
                <wp:positionV relativeFrom="margin">
                  <wp:align>top</wp:align>
                </wp:positionV>
                <wp:extent cx="1828800" cy="3649980"/>
                <wp:effectExtent l="0" t="0" r="6350" b="7620"/>
                <wp:wrapSquare wrapText="bothSides"/>
                <wp:docPr id="201" name="Group 207"/>
                <wp:cNvGraphicFramePr/>
                <a:graphic xmlns:a="http://schemas.openxmlformats.org/drawingml/2006/main">
                  <a:graphicData uri="http://schemas.microsoft.com/office/word/2010/wordprocessingGroup">
                    <wpg:wgp>
                      <wpg:cNvGrpSpPr/>
                      <wpg:grpSpPr>
                        <a:xfrm>
                          <a:off x="0" y="0"/>
                          <a:ext cx="1828800" cy="3649980"/>
                          <a:chOff x="0" y="0"/>
                          <a:chExt cx="1828800" cy="5844832"/>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491755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CBED31" w14:textId="0C081BB0" w:rsidR="00DE2550" w:rsidRPr="00F37E66" w:rsidRDefault="00DE2550" w:rsidP="00DE2550">
                              <w:pPr>
                                <w:rPr>
                                  <w:rFonts w:ascii="Times New Roman" w:hAnsi="Times New Roman" w:cs="Times New Roman"/>
                                  <w:color w:val="FFFFFF" w:themeColor="background1"/>
                                  <w:sz w:val="20"/>
                                  <w:szCs w:val="20"/>
                                </w:rPr>
                              </w:pPr>
                              <w:r w:rsidRPr="00F37E66">
                                <w:rPr>
                                  <w:rFonts w:ascii="Times New Roman" w:hAnsi="Times New Roman" w:cs="Times New Roman"/>
                                  <w:color w:val="FFFFFF" w:themeColor="background1"/>
                                  <w:sz w:val="20"/>
                                  <w:szCs w:val="20"/>
                                </w:rPr>
                                <w:t>Swansea Co-Housing's unique model, integrating sustainable building practices and intergenerational relationships, has been praised for its potential to enhance community bonds, reduce isolation, and promote well-being. The project's commitment to preserving local culture and heritage, as well as engaging community members in food-growing initiatives, skill-building workshops, and mentorship programs, contributes to long-term impact.</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19"/>
                            <a:ext cx="1828800" cy="780959"/>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799B40FC" w14:textId="39B259A1" w:rsidR="00DE2550" w:rsidRPr="00DE2550" w:rsidRDefault="00DE2550">
                              <w:pPr>
                                <w:pStyle w:val="NoSpacing"/>
                                <w:jc w:val="center"/>
                                <w:rPr>
                                  <w:rFonts w:ascii="Times New Roman" w:eastAsiaTheme="majorEastAsia" w:hAnsi="Times New Roman" w:cs="Times New Roman"/>
                                  <w:b/>
                                  <w:bCs/>
                                  <w:caps/>
                                  <w:color w:val="E32D91" w:themeColor="accent1"/>
                                  <w:sz w:val="20"/>
                                  <w:szCs w:val="20"/>
                                </w:rPr>
                              </w:pPr>
                              <w:r w:rsidRPr="00DE2550">
                                <w:rPr>
                                  <w:rFonts w:ascii="Times New Roman" w:eastAsiaTheme="majorEastAsia" w:hAnsi="Times New Roman" w:cs="Times New Roman"/>
                                  <w:b/>
                                  <w:bCs/>
                                  <w:caps/>
                                  <w:color w:val="E32D91" w:themeColor="accent1"/>
                                  <w:sz w:val="20"/>
                                  <w:szCs w:val="20"/>
                                </w:rPr>
                                <w:t>Community Impact and Evidence</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621E8FE6" id="Group 207" o:spid="_x0000_s1030" style="position:absolute;margin-left:92.8pt;margin-top:0;width:2in;height:287.4pt;z-index:-251649024;mso-width-percent:308;mso-wrap-distance-left:18pt;mso-wrap-distance-right:18pt;mso-position-horizontal:right;mso-position-horizontal-relative:margin;mso-position-vertical:top;mso-position-vertical-relative:margin;mso-width-percent:308;mso-width-relative:margin;mso-height-relative:margin" coordsize="18288,58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">
                <v:rect id="Rectangle 202" o:spid="_x0000_s1031"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e32d91 [3204]" stroked="f" strokeweight="1pt"/>
                <v:rect id="Rectangle 203" o:spid="_x0000_s1032" style="position:absolute;top:9272;width:18288;height:49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e32d91 [3204]" stroked="f" strokeweight="1pt">
                  <v:textbox inset=",14.4pt,8.64pt,18pt">
                    <w:txbxContent>
                      <w:p w14:paraId="3ACBED31" w14:textId="0C081BB0" w:rsidR="00DE2550" w:rsidRPr="00F37E66" w:rsidRDefault="00DE2550" w:rsidP="00DE2550">
                        <w:pPr>
                          <w:rPr>
                            <w:rFonts w:ascii="Times New Roman" w:hAnsi="Times New Roman" w:cs="Times New Roman"/>
                            <w:color w:val="FFFFFF" w:themeColor="background1"/>
                            <w:sz w:val="20"/>
                            <w:szCs w:val="20"/>
                          </w:rPr>
                        </w:pPr>
                        <w:r w:rsidRPr="00F37E66">
                          <w:rPr>
                            <w:rFonts w:ascii="Times New Roman" w:hAnsi="Times New Roman" w:cs="Times New Roman"/>
                            <w:color w:val="FFFFFF" w:themeColor="background1"/>
                            <w:sz w:val="20"/>
                            <w:szCs w:val="20"/>
                          </w:rPr>
                          <w:t>Swansea Co-Housing's unique model, integrating sustainable building practices and intergenerational relationships, has been praised for its potential to enhance community bonds, reduce isolation, and promote well-being. The project's commitment to preserving local culture and heritage, as well as engaging community members in food-growing initiatives, skill-building workshops, and mentorship programs, contributes to long-term impact.</w:t>
                        </w:r>
                      </w:p>
                    </w:txbxContent>
                  </v:textbox>
                </v:rect>
                <v:shape id="Text Box 204" o:spid="_x0000_s1033" type="#_x0000_t202" style="position:absolute;top:2318;width:18288;height:7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" fillcolor="#c830cc [3205]" stroked="f">
                  <v:textbox inset=",7.2pt,,7.2pt">
                    <w:txbxContent>
                      <w:p w14:paraId="799B40FC" w14:textId="39B259A1" w:rsidR="00DE2550" w:rsidRPr="00DE2550" w:rsidRDefault="00DE2550">
                        <w:pPr>
                          <w:pStyle w:val="NoSpacing"/>
                          <w:jc w:val="center"/>
                          <w:rPr>
                            <w:rFonts w:ascii="Times New Roman" w:eastAsiaTheme="majorEastAsia" w:hAnsi="Times New Roman" w:cs="Times New Roman"/>
                            <w:b/>
                            <w:bCs/>
                            <w:caps/>
                            <w:color w:val="E32D91" w:themeColor="accent1"/>
                            <w:sz w:val="20"/>
                            <w:szCs w:val="20"/>
                          </w:rPr>
                        </w:pPr>
                        <w:r w:rsidRPr="00DE2550">
                          <w:rPr>
                            <w:rFonts w:ascii="Times New Roman" w:eastAsiaTheme="majorEastAsia" w:hAnsi="Times New Roman" w:cs="Times New Roman"/>
                            <w:b/>
                            <w:bCs/>
                            <w:caps/>
                            <w:color w:val="E32D91" w:themeColor="accent1"/>
                            <w:sz w:val="20"/>
                            <w:szCs w:val="20"/>
                          </w:rPr>
                          <w:t>Community Impact and Evidence</w:t>
                        </w:r>
                      </w:p>
                    </w:txbxContent>
                  </v:textbox>
                </v:shape>
                <w10:wrap type="square" anchorx="margin" anchory="margin"/>
              </v:group>
            </w:pict>
          </mc:Fallback>
        </mc:AlternateContent>
      </w:r>
    </w:p>
    <w:p w14:paraId="5D6BB16B" w14:textId="4F0293DA" w:rsidR="006B3A19" w:rsidRDefault="006B3A19" w:rsidP="006B3A19">
      <w:pPr>
        <w:shd w:val="clear" w:color="auto" w:fill="975CCB"/>
      </w:pPr>
    </w:p>
    <w:p w14:paraId="2D4F9289" w14:textId="72AE0DA8" w:rsidR="006B3A19" w:rsidRDefault="006B3A19" w:rsidP="00F37E66">
      <w:pPr>
        <w:shd w:val="clear" w:color="auto" w:fill="C00000"/>
      </w:pPr>
    </w:p>
    <w:p w14:paraId="26ACA25C" w14:textId="451AF6FC" w:rsidR="006B3A19" w:rsidRDefault="006B3A19" w:rsidP="006B3A19">
      <w:pPr>
        <w:shd w:val="clear" w:color="auto" w:fill="975CCB"/>
      </w:pPr>
    </w:p>
    <w:p w14:paraId="156378CD" w14:textId="0684611E" w:rsidR="006B3A19" w:rsidRDefault="00F37E66" w:rsidP="006B3A19">
      <w:pPr>
        <w:shd w:val="clear" w:color="auto" w:fill="975CCB"/>
      </w:pPr>
      <w:r>
        <w:rPr>
          <w:noProof/>
        </w:rPr>
        <mc:AlternateContent>
          <mc:Choice Requires="wps">
            <w:drawing>
              <wp:anchor distT="45720" distB="45720" distL="182880" distR="182880" simplePos="0" relativeHeight="251669504" behindDoc="1" locked="0" layoutInCell="1" allowOverlap="0" wp14:anchorId="493C855B" wp14:editId="4A447D09">
                <wp:simplePos x="0" y="0"/>
                <wp:positionH relativeFrom="column">
                  <wp:posOffset>187325</wp:posOffset>
                </wp:positionH>
                <wp:positionV relativeFrom="paragraph">
                  <wp:posOffset>183515</wp:posOffset>
                </wp:positionV>
                <wp:extent cx="3026664" cy="2065866"/>
                <wp:effectExtent l="38100" t="38100" r="42545" b="4318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6664" cy="2065866"/>
                        </a:xfrm>
                        <a:prstGeom prst="rect">
                          <a:avLst/>
                        </a:prstGeom>
                        <a:solidFill>
                          <a:schemeClr val="tx2"/>
                        </a:solidFill>
                        <a:ln w="76200" cmpd="sng">
                          <a:solidFill>
                            <a:schemeClr val="tx2"/>
                          </a:solidFill>
                          <a:miter lim="800000"/>
                          <a:headEnd/>
                          <a:tailEnd/>
                        </a:ln>
                      </wps:spPr>
                      <wps:txbx>
                        <w:txbxContent>
                          <w:p w14:paraId="39A4007E" w14:textId="4F0F5422" w:rsidR="00F37E66" w:rsidRPr="00667D4F" w:rsidRDefault="00667D4F">
                            <w:pPr>
                              <w:spacing w:after="0"/>
                              <w:jc w:val="center"/>
                              <w:rPr>
                                <w:rFonts w:ascii="Times New Roman" w:hAnsi="Times New Roman" w:cs="Times New Roman"/>
                                <w:caps/>
                                <w:color w:val="FFFFFF" w:themeColor="background1"/>
                                <w:sz w:val="20"/>
                                <w:szCs w:val="20"/>
                              </w:rPr>
                            </w:pPr>
                            <w:r w:rsidRPr="00667D4F">
                              <w:rPr>
                                <w:rFonts w:ascii="Times New Roman" w:hAnsi="Times New Roman" w:cs="Times New Roman"/>
                                <w:b/>
                                <w:bCs/>
                                <w:caps/>
                                <w:color w:val="FFFF00"/>
                                <w:sz w:val="20"/>
                                <w:szCs w:val="20"/>
                              </w:rPr>
                              <w:t>Swansea Co-Housing offers various opportunities for participation, including skill-building workshops and intergenerational activities. It encourages community engagement through sharing expertise, environmental initiatives, and mentoring. Supporters can spread awareness about the project's mission and values, extending its impact and inspiring other local initiatives</w:t>
                            </w:r>
                            <w:r w:rsidRPr="00667D4F">
                              <w:rPr>
                                <w:rFonts w:ascii="Times New Roman" w:hAnsi="Times New Roman" w:cs="Times New Roman"/>
                                <w:caps/>
                                <w:color w:val="FFFF00"/>
                                <w:sz w:val="20"/>
                                <w:szCs w:val="20"/>
                              </w:rPr>
                              <w:t>.</w:t>
                            </w:r>
                          </w:p>
                        </w:txbxContent>
                      </wps:txbx>
                      <wps:bodyPr rot="0" vert="horz" wrap="square" lIns="182880" tIns="182880" rIns="182880" bIns="182880" anchor="ctr" anchorCtr="0" upright="1">
                        <a:spAutoFit/>
                      </wps:bodyPr>
                    </wps:wsp>
                  </a:graphicData>
                </a:graphic>
                <wp14:sizeRelH relativeFrom="page">
                  <wp14:pctWidth>39000</wp14:pctWidth>
                </wp14:sizeRelH>
                <wp14:sizeRelV relativeFrom="page">
                  <wp14:pctHeight>20000</wp14:pctHeight>
                </wp14:sizeRelV>
              </wp:anchor>
            </w:drawing>
          </mc:Choice>
          <mc:Fallback>
            <w:pict>
              <v:rect w14:anchorId="493C855B" id="Rectangle 4" o:spid="_x0000_s1034" style="position:absolute;margin-left:14.75pt;margin-top:14.45pt;width:238.3pt;height:162.65pt;z-index:-251646976;visibility:visible;mso-wrap-style:square;mso-width-percent:390;mso-height-percent:200;mso-wrap-distance-left:14.4pt;mso-wrap-distance-top:3.6pt;mso-wrap-distance-right:14.4pt;mso-wrap-distance-bottom:3.6pt;mso-position-horizontal:absolute;mso-position-horizontal-relative:text;mso-position-vertical:absolute;mso-position-vertical-relative:text;mso-width-percent:39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" o:allowoverlap="f" fillcolor="#454551 [3215]" strokecolor="#454551 [3215]" strokeweight="6pt">
                <v:textbox style="mso-fit-shape-to-text:t" inset="14.4pt,14.4pt,14.4pt,14.4pt">
                  <w:txbxContent>
                    <w:p w14:paraId="39A4007E" w14:textId="4F0F5422" w:rsidR="00F37E66" w:rsidRPr="00667D4F" w:rsidRDefault="00667D4F">
                      <w:pPr>
                        <w:spacing w:after="0"/>
                        <w:jc w:val="center"/>
                        <w:rPr>
                          <w:rFonts w:ascii="Times New Roman" w:hAnsi="Times New Roman" w:cs="Times New Roman"/>
                          <w:caps/>
                          <w:color w:val="FFFFFF" w:themeColor="background1"/>
                          <w:sz w:val="20"/>
                          <w:szCs w:val="20"/>
                        </w:rPr>
                      </w:pPr>
                      <w:r w:rsidRPr="00667D4F">
                        <w:rPr>
                          <w:rFonts w:ascii="Times New Roman" w:hAnsi="Times New Roman" w:cs="Times New Roman"/>
                          <w:b/>
                          <w:bCs/>
                          <w:caps/>
                          <w:color w:val="FFFF00"/>
                          <w:sz w:val="20"/>
                          <w:szCs w:val="20"/>
                        </w:rPr>
                        <w:t>Swansea Co-Housing offers various opportunities for participation, including skill-building workshops and intergenerational activities. It encourages community engagement through sharing expertise, environmental initiatives, and mentoring. Supporters can spread awareness about the project's mission and values, extending its impact and inspiring other local initiatives</w:t>
                      </w:r>
                      <w:r w:rsidRPr="00667D4F">
                        <w:rPr>
                          <w:rFonts w:ascii="Times New Roman" w:hAnsi="Times New Roman" w:cs="Times New Roman"/>
                          <w:caps/>
                          <w:color w:val="FFFF00"/>
                          <w:sz w:val="20"/>
                          <w:szCs w:val="20"/>
                        </w:rPr>
                        <w:t>.</w:t>
                      </w:r>
                    </w:p>
                  </w:txbxContent>
                </v:textbox>
                <w10:wrap type="square"/>
              </v:rect>
            </w:pict>
          </mc:Fallback>
        </mc:AlternateContent>
      </w:r>
    </w:p>
    <w:p w14:paraId="30FA16E3" w14:textId="686F4D61" w:rsidR="006B3A19" w:rsidRDefault="006B3A19" w:rsidP="006B3A19">
      <w:pPr>
        <w:shd w:val="clear" w:color="auto" w:fill="975CCB"/>
      </w:pPr>
    </w:p>
    <w:p w14:paraId="6ED22358" w14:textId="77777777" w:rsidR="006B3A19" w:rsidRDefault="006B3A19" w:rsidP="006B3A19">
      <w:pPr>
        <w:shd w:val="clear" w:color="auto" w:fill="975CCB"/>
      </w:pPr>
    </w:p>
    <w:p w14:paraId="18E4C7AB" w14:textId="583001B6" w:rsidR="006B3A19" w:rsidRDefault="006B3A19" w:rsidP="006B3A19">
      <w:pPr>
        <w:shd w:val="clear" w:color="auto" w:fill="975CCB"/>
      </w:pPr>
    </w:p>
    <w:p w14:paraId="186811A8" w14:textId="77777777" w:rsidR="006B3A19" w:rsidRDefault="006B3A19" w:rsidP="006B3A19">
      <w:pPr>
        <w:shd w:val="clear" w:color="auto" w:fill="975CCB"/>
      </w:pPr>
    </w:p>
    <w:p w14:paraId="451FDD7E" w14:textId="77777777" w:rsidR="006B3A19" w:rsidRDefault="006B3A19" w:rsidP="006B3A19">
      <w:pPr>
        <w:shd w:val="clear" w:color="auto" w:fill="975CCB"/>
      </w:pPr>
    </w:p>
    <w:p w14:paraId="5AA64C30" w14:textId="77777777" w:rsidR="006B3A19" w:rsidRDefault="006B3A19" w:rsidP="006B3A19">
      <w:pPr>
        <w:shd w:val="clear" w:color="auto" w:fill="975CCB"/>
      </w:pPr>
    </w:p>
    <w:p w14:paraId="14EAFB39" w14:textId="77777777" w:rsidR="006B3A19" w:rsidRPr="009F702A" w:rsidRDefault="006B3A19" w:rsidP="006B3A19">
      <w:pPr>
        <w:shd w:val="clear" w:color="auto" w:fill="975CCB"/>
        <w:rPr>
          <w14:textOutline w14:w="9525" w14:cap="rnd" w14:cmpd="sng" w14:algn="ctr">
            <w14:solidFill>
              <w14:schemeClr w14:val="tx2"/>
            </w14:solidFill>
            <w14:prstDash w14:val="solid"/>
            <w14:bevel/>
          </w14:textOutline>
        </w:rPr>
      </w:pPr>
    </w:p>
    <w:p w14:paraId="46183262" w14:textId="03B028E3" w:rsidR="006B3A19" w:rsidRDefault="006B3A19" w:rsidP="006B3A19">
      <w:pPr>
        <w:shd w:val="clear" w:color="auto" w:fill="975CCB"/>
      </w:pPr>
    </w:p>
    <w:p w14:paraId="3F7D3ACA" w14:textId="602E62D7" w:rsidR="006B3A19" w:rsidRDefault="006B3A19" w:rsidP="006B3A19">
      <w:pPr>
        <w:shd w:val="clear" w:color="auto" w:fill="975CCB"/>
      </w:pPr>
    </w:p>
    <w:p w14:paraId="74E85915" w14:textId="740AD173" w:rsidR="006B3A19" w:rsidRDefault="006B3A19" w:rsidP="00842F40">
      <w:pPr>
        <w:shd w:val="clear" w:color="auto" w:fill="003400"/>
      </w:pPr>
    </w:p>
    <w:p w14:paraId="0D863357" w14:textId="375A6885" w:rsidR="006B3A19" w:rsidRDefault="00842F40" w:rsidP="006B3A19">
      <w:pPr>
        <w:shd w:val="clear" w:color="auto" w:fill="975CCB"/>
      </w:pPr>
      <w:r>
        <w:rPr>
          <w:noProof/>
        </w:rPr>
        <mc:AlternateContent>
          <mc:Choice Requires="wps">
            <w:drawing>
              <wp:anchor distT="0" distB="0" distL="114300" distR="114300" simplePos="0" relativeHeight="251670528" behindDoc="0" locked="0" layoutInCell="1" allowOverlap="1" wp14:anchorId="4E085655" wp14:editId="36857E5F">
                <wp:simplePos x="0" y="0"/>
                <wp:positionH relativeFrom="margin">
                  <wp:posOffset>586740</wp:posOffset>
                </wp:positionH>
                <wp:positionV relativeFrom="paragraph">
                  <wp:posOffset>280035</wp:posOffset>
                </wp:positionV>
                <wp:extent cx="5920740" cy="3390900"/>
                <wp:effectExtent l="38100" t="38100" r="41910" b="38100"/>
                <wp:wrapNone/>
                <wp:docPr id="2018482318" name="Text Box 7"/>
                <wp:cNvGraphicFramePr/>
                <a:graphic xmlns:a="http://schemas.openxmlformats.org/drawingml/2006/main">
                  <a:graphicData uri="http://schemas.microsoft.com/office/word/2010/wordprocessingShape">
                    <wps:wsp>
                      <wps:cNvSpPr txBox="1"/>
                      <wps:spPr>
                        <a:xfrm>
                          <a:off x="0" y="0"/>
                          <a:ext cx="5920740" cy="3390900"/>
                        </a:xfrm>
                        <a:prstGeom prst="rect">
                          <a:avLst/>
                        </a:prstGeom>
                        <a:solidFill>
                          <a:srgbClr val="FF0000"/>
                        </a:solidFill>
                        <a:ln w="76200">
                          <a:solidFill>
                            <a:prstClr val="black"/>
                          </a:solidFill>
                        </a:ln>
                        <a:effectLst/>
                      </wps:spPr>
                      <wps:txbx>
                        <w:txbxContent>
                          <w:p w14:paraId="0A7A5621"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Elkington, J. (1998). Partnerships from cannibals with forks: The triple bottom line of 21st-century business. </w:t>
                            </w:r>
                            <w:r w:rsidRPr="00842F40">
                              <w:rPr>
                                <w:rFonts w:ascii="Times New Roman" w:hAnsi="Times New Roman" w:cs="Times New Roman"/>
                                <w:i/>
                                <w:iCs/>
                                <w:sz w:val="16"/>
                                <w:szCs w:val="16"/>
                              </w:rPr>
                              <w:t>Environmental Quality Management, 8(</w:t>
                            </w:r>
                            <w:r w:rsidRPr="00842F40">
                              <w:rPr>
                                <w:rFonts w:ascii="Times New Roman" w:hAnsi="Times New Roman" w:cs="Times New Roman"/>
                                <w:sz w:val="16"/>
                                <w:szCs w:val="16"/>
                              </w:rPr>
                              <w:t>1), 37-51.</w:t>
                            </w:r>
                          </w:p>
                          <w:p w14:paraId="47349F83"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Foster-Fishman, P., Nowell, B., Deacon, Z., Nievar, M. A., &amp; McCann, P. (2005). Using methods that matter: The impact of reflection, dialogue, and voice on community-building practice. </w:t>
                            </w:r>
                            <w:r w:rsidRPr="00842F40">
                              <w:rPr>
                                <w:rFonts w:ascii="Times New Roman" w:hAnsi="Times New Roman" w:cs="Times New Roman"/>
                                <w:i/>
                                <w:iCs/>
                                <w:sz w:val="16"/>
                                <w:szCs w:val="16"/>
                              </w:rPr>
                              <w:t>American Journal of Community Psychology, 36</w:t>
                            </w:r>
                            <w:r w:rsidRPr="00842F40">
                              <w:rPr>
                                <w:rFonts w:ascii="Times New Roman" w:hAnsi="Times New Roman" w:cs="Times New Roman"/>
                                <w:sz w:val="16"/>
                                <w:szCs w:val="16"/>
                              </w:rPr>
                              <w:t>(3–4), 275-291.</w:t>
                            </w:r>
                          </w:p>
                          <w:p w14:paraId="79BE9790" w14:textId="3A73436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Green, G. P., &amp; Haines, A. (2015). Asset building &amp; community development (4th ed.). SAGE Publications.</w:t>
                            </w:r>
                          </w:p>
                          <w:p w14:paraId="1FC95930"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Hart, S. L., &amp; Milstein, M. B. (2003). Creating sustainable value. </w:t>
                            </w:r>
                            <w:r w:rsidRPr="00842F40">
                              <w:rPr>
                                <w:rFonts w:ascii="Times New Roman" w:hAnsi="Times New Roman" w:cs="Times New Roman"/>
                                <w:i/>
                                <w:iCs/>
                                <w:sz w:val="16"/>
                                <w:szCs w:val="16"/>
                              </w:rPr>
                              <w:t>Academy of Management Executive, 17</w:t>
                            </w:r>
                            <w:r w:rsidRPr="00842F40">
                              <w:rPr>
                                <w:rFonts w:ascii="Times New Roman" w:hAnsi="Times New Roman" w:cs="Times New Roman"/>
                                <w:sz w:val="16"/>
                                <w:szCs w:val="16"/>
                              </w:rPr>
                              <w:t>(2), 56-67.</w:t>
                            </w:r>
                          </w:p>
                          <w:p w14:paraId="6BD92BF7"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Kretzmann, J. P., &amp; McKnight, J. L. (1993). </w:t>
                            </w:r>
                            <w:r w:rsidRPr="00842F40">
                              <w:rPr>
                                <w:rFonts w:ascii="Times New Roman" w:hAnsi="Times New Roman" w:cs="Times New Roman"/>
                                <w:i/>
                                <w:iCs/>
                                <w:sz w:val="16"/>
                                <w:szCs w:val="16"/>
                              </w:rPr>
                              <w:t>Building communities from the inside out: A path toward finding and mobilizing a community's assets.</w:t>
                            </w:r>
                            <w:r w:rsidRPr="00842F40">
                              <w:rPr>
                                <w:rFonts w:ascii="Times New Roman" w:hAnsi="Times New Roman" w:cs="Times New Roman"/>
                                <w:sz w:val="16"/>
                                <w:szCs w:val="16"/>
                              </w:rPr>
                              <w:t xml:space="preserve"> ACTA Publications.</w:t>
                            </w:r>
                          </w:p>
                          <w:p w14:paraId="7E3811C7"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Linnenluecke, M. K., &amp; Griffiths, A. (2010). Corporate sustainability and organizational culture</w:t>
                            </w:r>
                            <w:r w:rsidRPr="00842F40">
                              <w:rPr>
                                <w:rFonts w:ascii="Times New Roman" w:hAnsi="Times New Roman" w:cs="Times New Roman"/>
                                <w:i/>
                                <w:iCs/>
                                <w:sz w:val="16"/>
                                <w:szCs w:val="16"/>
                              </w:rPr>
                              <w:t>. Journal of World Business, 45(</w:t>
                            </w:r>
                            <w:r w:rsidRPr="00842F40">
                              <w:rPr>
                                <w:rFonts w:ascii="Times New Roman" w:hAnsi="Times New Roman" w:cs="Times New Roman"/>
                                <w:sz w:val="16"/>
                                <w:szCs w:val="16"/>
                              </w:rPr>
                              <w:t>4), 357-366.</w:t>
                            </w:r>
                          </w:p>
                          <w:p w14:paraId="01332B0F"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Mowen, M., &amp; Minor, M. S. (2001). Environmental marketing: Strategies, practice, theory, and research. </w:t>
                            </w:r>
                            <w:r w:rsidRPr="00842F40">
                              <w:rPr>
                                <w:rFonts w:ascii="Times New Roman" w:hAnsi="Times New Roman" w:cs="Times New Roman"/>
                                <w:i/>
                                <w:iCs/>
                                <w:sz w:val="16"/>
                                <w:szCs w:val="16"/>
                              </w:rPr>
                              <w:t>Psychology &amp; Marketing, 18</w:t>
                            </w:r>
                            <w:r w:rsidRPr="00842F40">
                              <w:rPr>
                                <w:rFonts w:ascii="Times New Roman" w:hAnsi="Times New Roman" w:cs="Times New Roman"/>
                                <w:sz w:val="16"/>
                                <w:szCs w:val="16"/>
                              </w:rPr>
                              <w:t>(10), 961-964.</w:t>
                            </w:r>
                          </w:p>
                          <w:p w14:paraId="74CF1EC2"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Porter, M. E., &amp; Kramer, M. R. (2006). Strategy and society: The link between competitive advantage and corporate social responsibility. </w:t>
                            </w:r>
                            <w:r w:rsidRPr="00842F40">
                              <w:rPr>
                                <w:rFonts w:ascii="Times New Roman" w:hAnsi="Times New Roman" w:cs="Times New Roman"/>
                                <w:i/>
                                <w:iCs/>
                                <w:sz w:val="16"/>
                                <w:szCs w:val="16"/>
                              </w:rPr>
                              <w:t>Harvard Business Review, 84(</w:t>
                            </w:r>
                            <w:r w:rsidRPr="00842F40">
                              <w:rPr>
                                <w:rFonts w:ascii="Times New Roman" w:hAnsi="Times New Roman" w:cs="Times New Roman"/>
                                <w:sz w:val="16"/>
                                <w:szCs w:val="16"/>
                              </w:rPr>
                              <w:t>12), 78-92.</w:t>
                            </w:r>
                          </w:p>
                          <w:p w14:paraId="39A22FB4"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Schmalleger, S., &amp; Wagner, M. (2006). </w:t>
                            </w:r>
                            <w:r w:rsidRPr="00842F40">
                              <w:rPr>
                                <w:rFonts w:ascii="Times New Roman" w:hAnsi="Times New Roman" w:cs="Times New Roman"/>
                                <w:i/>
                                <w:iCs/>
                                <w:sz w:val="16"/>
                                <w:szCs w:val="16"/>
                              </w:rPr>
                              <w:t>Managing the business case for sustainability: The integration of social, environmental, and economic performance</w:t>
                            </w:r>
                            <w:r w:rsidRPr="00842F40">
                              <w:rPr>
                                <w:rFonts w:ascii="Times New Roman" w:hAnsi="Times New Roman" w:cs="Times New Roman"/>
                                <w:sz w:val="16"/>
                                <w:szCs w:val="16"/>
                              </w:rPr>
                              <w:t>. Greenleaf Publishing.</w:t>
                            </w:r>
                          </w:p>
                          <w:p w14:paraId="6C657F95"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Sroufe, R. (2003). Sustainable enterprise: A micromarketing approach</w:t>
                            </w:r>
                            <w:r w:rsidRPr="00842F40">
                              <w:rPr>
                                <w:rFonts w:ascii="Times New Roman" w:hAnsi="Times New Roman" w:cs="Times New Roman"/>
                                <w:i/>
                                <w:iCs/>
                                <w:sz w:val="16"/>
                                <w:szCs w:val="16"/>
                              </w:rPr>
                              <w:t>. Journal of Micromarketing, 23</w:t>
                            </w:r>
                            <w:r w:rsidRPr="00842F40">
                              <w:rPr>
                                <w:rFonts w:ascii="Times New Roman" w:hAnsi="Times New Roman" w:cs="Times New Roman"/>
                                <w:sz w:val="16"/>
                                <w:szCs w:val="16"/>
                              </w:rPr>
                              <w:t>(2), 141-150.</w:t>
                            </w:r>
                          </w:p>
                          <w:p w14:paraId="7E9EC348" w14:textId="77777777" w:rsidR="00842F40" w:rsidRDefault="00842F40" w:rsidP="00842F40">
                            <w:r w:rsidRPr="00842F40">
                              <w:rPr>
                                <w:rFonts w:ascii="Times New Roman" w:hAnsi="Times New Roman" w:cs="Times New Roman"/>
                                <w:sz w:val="16"/>
                                <w:szCs w:val="16"/>
                              </w:rPr>
                              <w:t xml:space="preserve">Stead, J. G., &amp; Stead, W. E. (2004). </w:t>
                            </w:r>
                            <w:r w:rsidRPr="00842F40">
                              <w:rPr>
                                <w:rFonts w:ascii="Times New Roman" w:hAnsi="Times New Roman" w:cs="Times New Roman"/>
                                <w:i/>
                                <w:iCs/>
                                <w:sz w:val="16"/>
                                <w:szCs w:val="16"/>
                              </w:rPr>
                              <w:t>Sustainable strategic management</w:t>
                            </w:r>
                            <w:r w:rsidRPr="00842F40">
                              <w:rPr>
                                <w:rFonts w:ascii="Times New Roman" w:hAnsi="Times New Roman" w:cs="Times New Roman"/>
                                <w:sz w:val="16"/>
                                <w:szCs w:val="16"/>
                              </w:rPr>
                              <w:t>. M.E. Sharpe</w:t>
                            </w:r>
                            <w:r>
                              <w:t>.</w:t>
                            </w:r>
                          </w:p>
                          <w:p w14:paraId="715840FD" w14:textId="77777777" w:rsidR="00842F40" w:rsidRDefault="00842F40" w:rsidP="00842F40"/>
                          <w:p w14:paraId="586C3F77" w14:textId="03C8FDC9" w:rsidR="00842F40" w:rsidRDefault="00842F40" w:rsidP="00842F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85655" id="Text Box 7" o:spid="_x0000_s1035" type="#_x0000_t202" style="position:absolute;margin-left:46.2pt;margin-top:22.05pt;width:466.2pt;height:26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" fillcolor="red" strokeweight="6pt">
                <v:textbox>
                  <w:txbxContent>
                    <w:p w14:paraId="0A7A5621"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Elkington, J. (1998). Partnerships from cannibals with forks: The triple bottom line of 21st-century business. </w:t>
                      </w:r>
                      <w:r w:rsidRPr="00842F40">
                        <w:rPr>
                          <w:rFonts w:ascii="Times New Roman" w:hAnsi="Times New Roman" w:cs="Times New Roman"/>
                          <w:i/>
                          <w:iCs/>
                          <w:sz w:val="16"/>
                          <w:szCs w:val="16"/>
                        </w:rPr>
                        <w:t>Environmental Quality Management, 8(</w:t>
                      </w:r>
                      <w:r w:rsidRPr="00842F40">
                        <w:rPr>
                          <w:rFonts w:ascii="Times New Roman" w:hAnsi="Times New Roman" w:cs="Times New Roman"/>
                          <w:sz w:val="16"/>
                          <w:szCs w:val="16"/>
                        </w:rPr>
                        <w:t>1), 37-51.</w:t>
                      </w:r>
                    </w:p>
                    <w:p w14:paraId="47349F83"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Foster-Fishman, P., Nowell, B., Deacon, Z., Nievar, M. A., &amp; McCann, P. (2005). Using methods that matter: The impact of reflection, dialogue, and voice on community-building practice. </w:t>
                      </w:r>
                      <w:r w:rsidRPr="00842F40">
                        <w:rPr>
                          <w:rFonts w:ascii="Times New Roman" w:hAnsi="Times New Roman" w:cs="Times New Roman"/>
                          <w:i/>
                          <w:iCs/>
                          <w:sz w:val="16"/>
                          <w:szCs w:val="16"/>
                        </w:rPr>
                        <w:t>American Journal of Community Psychology, 36</w:t>
                      </w:r>
                      <w:r w:rsidRPr="00842F40">
                        <w:rPr>
                          <w:rFonts w:ascii="Times New Roman" w:hAnsi="Times New Roman" w:cs="Times New Roman"/>
                          <w:sz w:val="16"/>
                          <w:szCs w:val="16"/>
                        </w:rPr>
                        <w:t>(3–4), 275-291.</w:t>
                      </w:r>
                    </w:p>
                    <w:p w14:paraId="79BE9790" w14:textId="3A73436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Green, G. P., &amp; Haines, A. (2015). Asset building &amp; community development (4th ed.). SAGE Publications.</w:t>
                      </w:r>
                    </w:p>
                    <w:p w14:paraId="1FC95930"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Hart, S. L., &amp; Milstein, M. B. (2003). Creating sustainable value. </w:t>
                      </w:r>
                      <w:r w:rsidRPr="00842F40">
                        <w:rPr>
                          <w:rFonts w:ascii="Times New Roman" w:hAnsi="Times New Roman" w:cs="Times New Roman"/>
                          <w:i/>
                          <w:iCs/>
                          <w:sz w:val="16"/>
                          <w:szCs w:val="16"/>
                        </w:rPr>
                        <w:t>Academy of Management Executive, 17</w:t>
                      </w:r>
                      <w:r w:rsidRPr="00842F40">
                        <w:rPr>
                          <w:rFonts w:ascii="Times New Roman" w:hAnsi="Times New Roman" w:cs="Times New Roman"/>
                          <w:sz w:val="16"/>
                          <w:szCs w:val="16"/>
                        </w:rPr>
                        <w:t>(2), 56-67.</w:t>
                      </w:r>
                    </w:p>
                    <w:p w14:paraId="6BD92BF7"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Kretzmann, J. P., &amp; McKnight, J. L. (1993). </w:t>
                      </w:r>
                      <w:r w:rsidRPr="00842F40">
                        <w:rPr>
                          <w:rFonts w:ascii="Times New Roman" w:hAnsi="Times New Roman" w:cs="Times New Roman"/>
                          <w:i/>
                          <w:iCs/>
                          <w:sz w:val="16"/>
                          <w:szCs w:val="16"/>
                        </w:rPr>
                        <w:t>Building communities from the inside out: A path toward finding and mobilizing a community's assets.</w:t>
                      </w:r>
                      <w:r w:rsidRPr="00842F40">
                        <w:rPr>
                          <w:rFonts w:ascii="Times New Roman" w:hAnsi="Times New Roman" w:cs="Times New Roman"/>
                          <w:sz w:val="16"/>
                          <w:szCs w:val="16"/>
                        </w:rPr>
                        <w:t xml:space="preserve"> ACTA Publications.</w:t>
                      </w:r>
                    </w:p>
                    <w:p w14:paraId="7E3811C7"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Linnenluecke, M. K., &amp; Griffiths, A. (2010). Corporate sustainability and organizational culture</w:t>
                      </w:r>
                      <w:r w:rsidRPr="00842F40">
                        <w:rPr>
                          <w:rFonts w:ascii="Times New Roman" w:hAnsi="Times New Roman" w:cs="Times New Roman"/>
                          <w:i/>
                          <w:iCs/>
                          <w:sz w:val="16"/>
                          <w:szCs w:val="16"/>
                        </w:rPr>
                        <w:t>. Journal of World Business, 45(</w:t>
                      </w:r>
                      <w:r w:rsidRPr="00842F40">
                        <w:rPr>
                          <w:rFonts w:ascii="Times New Roman" w:hAnsi="Times New Roman" w:cs="Times New Roman"/>
                          <w:sz w:val="16"/>
                          <w:szCs w:val="16"/>
                        </w:rPr>
                        <w:t>4), 357-366.</w:t>
                      </w:r>
                    </w:p>
                    <w:p w14:paraId="01332B0F"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Mowen, M., &amp; Minor, M. S. (2001). Environmental marketing: Strategies, practice, theory, and research. </w:t>
                      </w:r>
                      <w:r w:rsidRPr="00842F40">
                        <w:rPr>
                          <w:rFonts w:ascii="Times New Roman" w:hAnsi="Times New Roman" w:cs="Times New Roman"/>
                          <w:i/>
                          <w:iCs/>
                          <w:sz w:val="16"/>
                          <w:szCs w:val="16"/>
                        </w:rPr>
                        <w:t>Psychology &amp; Marketing, 18</w:t>
                      </w:r>
                      <w:r w:rsidRPr="00842F40">
                        <w:rPr>
                          <w:rFonts w:ascii="Times New Roman" w:hAnsi="Times New Roman" w:cs="Times New Roman"/>
                          <w:sz w:val="16"/>
                          <w:szCs w:val="16"/>
                        </w:rPr>
                        <w:t>(10), 961-964.</w:t>
                      </w:r>
                    </w:p>
                    <w:p w14:paraId="74CF1EC2"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Porter, M. E., &amp; Kramer, M. R. (2006). Strategy and society: The link between competitive advantage and corporate social responsibility. </w:t>
                      </w:r>
                      <w:r w:rsidRPr="00842F40">
                        <w:rPr>
                          <w:rFonts w:ascii="Times New Roman" w:hAnsi="Times New Roman" w:cs="Times New Roman"/>
                          <w:i/>
                          <w:iCs/>
                          <w:sz w:val="16"/>
                          <w:szCs w:val="16"/>
                        </w:rPr>
                        <w:t>Harvard Business Review, 84(</w:t>
                      </w:r>
                      <w:r w:rsidRPr="00842F40">
                        <w:rPr>
                          <w:rFonts w:ascii="Times New Roman" w:hAnsi="Times New Roman" w:cs="Times New Roman"/>
                          <w:sz w:val="16"/>
                          <w:szCs w:val="16"/>
                        </w:rPr>
                        <w:t>12), 78-92.</w:t>
                      </w:r>
                    </w:p>
                    <w:p w14:paraId="39A22FB4"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 xml:space="preserve">Schmalleger, S., &amp; Wagner, M. (2006). </w:t>
                      </w:r>
                      <w:r w:rsidRPr="00842F40">
                        <w:rPr>
                          <w:rFonts w:ascii="Times New Roman" w:hAnsi="Times New Roman" w:cs="Times New Roman"/>
                          <w:i/>
                          <w:iCs/>
                          <w:sz w:val="16"/>
                          <w:szCs w:val="16"/>
                        </w:rPr>
                        <w:t>Managing the business case for sustainability: The integration of social, environmental, and economic performance</w:t>
                      </w:r>
                      <w:r w:rsidRPr="00842F40">
                        <w:rPr>
                          <w:rFonts w:ascii="Times New Roman" w:hAnsi="Times New Roman" w:cs="Times New Roman"/>
                          <w:sz w:val="16"/>
                          <w:szCs w:val="16"/>
                        </w:rPr>
                        <w:t>. Greenleaf Publishing.</w:t>
                      </w:r>
                    </w:p>
                    <w:p w14:paraId="6C657F95" w14:textId="77777777" w:rsidR="00842F40" w:rsidRPr="00842F40" w:rsidRDefault="00842F40" w:rsidP="00842F40">
                      <w:pPr>
                        <w:rPr>
                          <w:rFonts w:ascii="Times New Roman" w:hAnsi="Times New Roman" w:cs="Times New Roman"/>
                          <w:sz w:val="16"/>
                          <w:szCs w:val="16"/>
                        </w:rPr>
                      </w:pPr>
                      <w:r w:rsidRPr="00842F40">
                        <w:rPr>
                          <w:rFonts w:ascii="Times New Roman" w:hAnsi="Times New Roman" w:cs="Times New Roman"/>
                          <w:sz w:val="16"/>
                          <w:szCs w:val="16"/>
                        </w:rPr>
                        <w:t>Sroufe, R. (2003). Sustainable enterprise: A micromarketing approach</w:t>
                      </w:r>
                      <w:r w:rsidRPr="00842F40">
                        <w:rPr>
                          <w:rFonts w:ascii="Times New Roman" w:hAnsi="Times New Roman" w:cs="Times New Roman"/>
                          <w:i/>
                          <w:iCs/>
                          <w:sz w:val="16"/>
                          <w:szCs w:val="16"/>
                        </w:rPr>
                        <w:t>. Journal of Micromarketing, 23</w:t>
                      </w:r>
                      <w:r w:rsidRPr="00842F40">
                        <w:rPr>
                          <w:rFonts w:ascii="Times New Roman" w:hAnsi="Times New Roman" w:cs="Times New Roman"/>
                          <w:sz w:val="16"/>
                          <w:szCs w:val="16"/>
                        </w:rPr>
                        <w:t>(2), 141-150.</w:t>
                      </w:r>
                    </w:p>
                    <w:p w14:paraId="7E9EC348" w14:textId="77777777" w:rsidR="00842F40" w:rsidRDefault="00842F40" w:rsidP="00842F40">
                      <w:r w:rsidRPr="00842F40">
                        <w:rPr>
                          <w:rFonts w:ascii="Times New Roman" w:hAnsi="Times New Roman" w:cs="Times New Roman"/>
                          <w:sz w:val="16"/>
                          <w:szCs w:val="16"/>
                        </w:rPr>
                        <w:t xml:space="preserve">Stead, J. G., &amp; Stead, W. E. (2004). </w:t>
                      </w:r>
                      <w:r w:rsidRPr="00842F40">
                        <w:rPr>
                          <w:rFonts w:ascii="Times New Roman" w:hAnsi="Times New Roman" w:cs="Times New Roman"/>
                          <w:i/>
                          <w:iCs/>
                          <w:sz w:val="16"/>
                          <w:szCs w:val="16"/>
                        </w:rPr>
                        <w:t>Sustainable strategic management</w:t>
                      </w:r>
                      <w:r w:rsidRPr="00842F40">
                        <w:rPr>
                          <w:rFonts w:ascii="Times New Roman" w:hAnsi="Times New Roman" w:cs="Times New Roman"/>
                          <w:sz w:val="16"/>
                          <w:szCs w:val="16"/>
                        </w:rPr>
                        <w:t>. M.E. Sharpe</w:t>
                      </w:r>
                      <w:r>
                        <w:t>.</w:t>
                      </w:r>
                    </w:p>
                    <w:p w14:paraId="715840FD" w14:textId="77777777" w:rsidR="00842F40" w:rsidRDefault="00842F40" w:rsidP="00842F40"/>
                    <w:p w14:paraId="586C3F77" w14:textId="03C8FDC9" w:rsidR="00842F40" w:rsidRDefault="00842F40" w:rsidP="00842F40"/>
                  </w:txbxContent>
                </v:textbox>
                <w10:wrap anchorx="margin"/>
              </v:shape>
            </w:pict>
          </mc:Fallback>
        </mc:AlternateContent>
      </w:r>
    </w:p>
    <w:p w14:paraId="05E9BAE1" w14:textId="6C46F88F" w:rsidR="006B3A19" w:rsidRDefault="006B3A19" w:rsidP="006B3A19">
      <w:pPr>
        <w:shd w:val="clear" w:color="auto" w:fill="975CCB"/>
      </w:pPr>
    </w:p>
    <w:p w14:paraId="59A8A1A2" w14:textId="3444D083" w:rsidR="006B3A19" w:rsidRDefault="006B3A19" w:rsidP="006B3A19">
      <w:pPr>
        <w:shd w:val="clear" w:color="auto" w:fill="975CCB"/>
      </w:pPr>
    </w:p>
    <w:p w14:paraId="7CE3E9C3" w14:textId="1910364E" w:rsidR="006B3A19" w:rsidRDefault="006B3A19" w:rsidP="006B3A19">
      <w:pPr>
        <w:shd w:val="clear" w:color="auto" w:fill="975CCB"/>
      </w:pPr>
    </w:p>
    <w:p w14:paraId="68814A58" w14:textId="4B1AE1C0" w:rsidR="006B3A19" w:rsidRDefault="006B3A19" w:rsidP="00842F40">
      <w:pPr>
        <w:shd w:val="clear" w:color="auto" w:fill="341D8B" w:themeFill="accent5" w:themeFillShade="80"/>
      </w:pPr>
    </w:p>
    <w:p w14:paraId="086F9220" w14:textId="13762AF3" w:rsidR="006B3A19" w:rsidRDefault="006B3A19" w:rsidP="006B3A19">
      <w:pPr>
        <w:shd w:val="clear" w:color="auto" w:fill="975CCB"/>
      </w:pPr>
    </w:p>
    <w:p w14:paraId="74EEA485" w14:textId="77777777" w:rsidR="006B3A19" w:rsidRDefault="006B3A19" w:rsidP="006B3A19">
      <w:pPr>
        <w:shd w:val="clear" w:color="auto" w:fill="975CCB"/>
      </w:pPr>
    </w:p>
    <w:p w14:paraId="33B2DBEE" w14:textId="32B91BE0" w:rsidR="006B3A19" w:rsidRPr="00842F40" w:rsidRDefault="006B3A19" w:rsidP="00842F40">
      <w:pPr>
        <w:shd w:val="clear" w:color="auto" w:fill="B3186D" w:themeFill="accent1" w:themeFillShade="BF"/>
        <w:rPr>
          <w:color w:val="FFFF00"/>
        </w:rPr>
      </w:pPr>
    </w:p>
    <w:p w14:paraId="35201429" w14:textId="77777777" w:rsidR="006B3A19" w:rsidRDefault="006B3A19" w:rsidP="006B3A19">
      <w:pPr>
        <w:shd w:val="clear" w:color="auto" w:fill="975CCB"/>
      </w:pPr>
    </w:p>
    <w:p w14:paraId="126986F9" w14:textId="7B296B58" w:rsidR="006B3A19" w:rsidRDefault="006B3A19" w:rsidP="006B3A19">
      <w:pPr>
        <w:shd w:val="clear" w:color="auto" w:fill="975CCB"/>
      </w:pPr>
    </w:p>
    <w:p w14:paraId="422B11C0" w14:textId="44D606A0" w:rsidR="006B3A19" w:rsidRDefault="006B3A19" w:rsidP="00842F40">
      <w:pPr>
        <w:shd w:val="clear" w:color="auto" w:fill="003400"/>
      </w:pPr>
    </w:p>
    <w:p w14:paraId="16D77BE8" w14:textId="6CE55CB9" w:rsidR="006B3A19" w:rsidRDefault="006B3A19" w:rsidP="006B3A19">
      <w:pPr>
        <w:shd w:val="clear" w:color="auto" w:fill="975CCB"/>
      </w:pPr>
    </w:p>
    <w:p w14:paraId="540D4FBF" w14:textId="137A7D65" w:rsidR="006B3A19" w:rsidRDefault="009F702A" w:rsidP="006B3A19">
      <w:pPr>
        <w:shd w:val="clear" w:color="auto" w:fill="975CCB"/>
      </w:pPr>
      <w:r>
        <w:rPr>
          <w:noProof/>
        </w:rPr>
        <w:drawing>
          <wp:anchor distT="0" distB="0" distL="114300" distR="114300" simplePos="0" relativeHeight="251671552" behindDoc="1" locked="0" layoutInCell="1" allowOverlap="1" wp14:anchorId="674D4649" wp14:editId="5F05A8F4">
            <wp:simplePos x="0" y="0"/>
            <wp:positionH relativeFrom="margin">
              <wp:posOffset>-754380</wp:posOffset>
            </wp:positionH>
            <wp:positionV relativeFrom="page">
              <wp:posOffset>9006840</wp:posOffset>
            </wp:positionV>
            <wp:extent cx="2430780" cy="1452245"/>
            <wp:effectExtent l="228600" t="228600" r="236220" b="224155"/>
            <wp:wrapTight wrapText="bothSides">
              <wp:wrapPolygon edited="0">
                <wp:start x="-2031" y="-3400"/>
                <wp:lineTo x="-2031" y="24651"/>
                <wp:lineTo x="23530" y="24651"/>
                <wp:lineTo x="23530" y="-3400"/>
                <wp:lineTo x="-2031" y="-3400"/>
              </wp:wrapPolygon>
            </wp:wrapTight>
            <wp:docPr id="6128312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0780" cy="1452245"/>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643E353" w14:textId="77BDE94F" w:rsidR="006B3A19" w:rsidRDefault="009F702A" w:rsidP="006B3A19">
      <w:pPr>
        <w:shd w:val="clear" w:color="auto" w:fill="975CCB"/>
      </w:pPr>
      <w:r>
        <w:rPr>
          <w:noProof/>
        </w:rPr>
        <w:drawing>
          <wp:anchor distT="0" distB="0" distL="114300" distR="114300" simplePos="0" relativeHeight="251672576" behindDoc="1" locked="0" layoutInCell="1" allowOverlap="1" wp14:anchorId="20A04396" wp14:editId="0E78439A">
            <wp:simplePos x="0" y="0"/>
            <wp:positionH relativeFrom="margin">
              <wp:posOffset>2575560</wp:posOffset>
            </wp:positionH>
            <wp:positionV relativeFrom="page">
              <wp:posOffset>9113520</wp:posOffset>
            </wp:positionV>
            <wp:extent cx="3840480" cy="1370330"/>
            <wp:effectExtent l="190500" t="171450" r="179070" b="191770"/>
            <wp:wrapTight wrapText="bothSides">
              <wp:wrapPolygon edited="0">
                <wp:start x="-857" y="-2703"/>
                <wp:lineTo x="-1071" y="2703"/>
                <wp:lineTo x="-1071" y="22221"/>
                <wp:lineTo x="-750" y="24323"/>
                <wp:lineTo x="22179" y="24323"/>
                <wp:lineTo x="22286" y="23722"/>
                <wp:lineTo x="22500" y="22221"/>
                <wp:lineTo x="22393" y="-2703"/>
                <wp:lineTo x="-857" y="-2703"/>
              </wp:wrapPolygon>
            </wp:wrapTight>
            <wp:docPr id="1238518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0480" cy="13703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6C54A9F2" w14:textId="29030C35" w:rsidR="006B3A19" w:rsidRDefault="006B3A19" w:rsidP="006B3A19">
      <w:pPr>
        <w:shd w:val="clear" w:color="auto" w:fill="975CCB"/>
      </w:pPr>
    </w:p>
    <w:p w14:paraId="5EDC6621" w14:textId="11154327" w:rsidR="006B3A19" w:rsidRDefault="006B3A19" w:rsidP="006B3A19">
      <w:pPr>
        <w:shd w:val="clear" w:color="auto" w:fill="975CCB"/>
      </w:pPr>
    </w:p>
    <w:sectPr w:rsidR="006B3A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A19"/>
    <w:rsid w:val="003A2F4E"/>
    <w:rsid w:val="004A2253"/>
    <w:rsid w:val="00667D4F"/>
    <w:rsid w:val="006B3A19"/>
    <w:rsid w:val="007A1C6A"/>
    <w:rsid w:val="007F7E59"/>
    <w:rsid w:val="00842F40"/>
    <w:rsid w:val="008F5A8C"/>
    <w:rsid w:val="009652AE"/>
    <w:rsid w:val="009F702A"/>
    <w:rsid w:val="00DA5D03"/>
    <w:rsid w:val="00DE2550"/>
    <w:rsid w:val="00F37E66"/>
    <w:rsid w:val="00FE7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BE07E"/>
  <w15:chartTrackingRefBased/>
  <w15:docId w15:val="{98FF0C6B-7EF1-494C-A6D9-24EFA10F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A19"/>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6B3A19"/>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6B3A19"/>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6B3A19"/>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6B3A19"/>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6B3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A19"/>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6B3A19"/>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6B3A19"/>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6B3A19"/>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6B3A19"/>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6B3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A19"/>
    <w:rPr>
      <w:rFonts w:eastAsiaTheme="majorEastAsia" w:cstheme="majorBidi"/>
      <w:color w:val="272727" w:themeColor="text1" w:themeTint="D8"/>
    </w:rPr>
  </w:style>
  <w:style w:type="paragraph" w:styleId="Title">
    <w:name w:val="Title"/>
    <w:basedOn w:val="Normal"/>
    <w:next w:val="Normal"/>
    <w:link w:val="TitleChar"/>
    <w:uiPriority w:val="10"/>
    <w:qFormat/>
    <w:rsid w:val="006B3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3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A19"/>
    <w:pPr>
      <w:spacing w:before="160"/>
      <w:jc w:val="center"/>
    </w:pPr>
    <w:rPr>
      <w:i/>
      <w:iCs/>
      <w:color w:val="404040" w:themeColor="text1" w:themeTint="BF"/>
    </w:rPr>
  </w:style>
  <w:style w:type="character" w:customStyle="1" w:styleId="QuoteChar">
    <w:name w:val="Quote Char"/>
    <w:basedOn w:val="DefaultParagraphFont"/>
    <w:link w:val="Quote"/>
    <w:uiPriority w:val="29"/>
    <w:rsid w:val="006B3A19"/>
    <w:rPr>
      <w:i/>
      <w:iCs/>
      <w:color w:val="404040" w:themeColor="text1" w:themeTint="BF"/>
    </w:rPr>
  </w:style>
  <w:style w:type="paragraph" w:styleId="ListParagraph">
    <w:name w:val="List Paragraph"/>
    <w:basedOn w:val="Normal"/>
    <w:uiPriority w:val="34"/>
    <w:qFormat/>
    <w:rsid w:val="006B3A19"/>
    <w:pPr>
      <w:ind w:left="720"/>
      <w:contextualSpacing/>
    </w:pPr>
  </w:style>
  <w:style w:type="character" w:styleId="IntenseEmphasis">
    <w:name w:val="Intense Emphasis"/>
    <w:basedOn w:val="DefaultParagraphFont"/>
    <w:uiPriority w:val="21"/>
    <w:qFormat/>
    <w:rsid w:val="006B3A19"/>
    <w:rPr>
      <w:i/>
      <w:iCs/>
      <w:color w:val="B3186D" w:themeColor="accent1" w:themeShade="BF"/>
    </w:rPr>
  </w:style>
  <w:style w:type="paragraph" w:styleId="IntenseQuote">
    <w:name w:val="Intense Quote"/>
    <w:basedOn w:val="Normal"/>
    <w:next w:val="Normal"/>
    <w:link w:val="IntenseQuoteChar"/>
    <w:uiPriority w:val="30"/>
    <w:qFormat/>
    <w:rsid w:val="006B3A19"/>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6B3A19"/>
    <w:rPr>
      <w:i/>
      <w:iCs/>
      <w:color w:val="B3186D" w:themeColor="accent1" w:themeShade="BF"/>
    </w:rPr>
  </w:style>
  <w:style w:type="character" w:styleId="IntenseReference">
    <w:name w:val="Intense Reference"/>
    <w:basedOn w:val="DefaultParagraphFont"/>
    <w:uiPriority w:val="32"/>
    <w:qFormat/>
    <w:rsid w:val="006B3A19"/>
    <w:rPr>
      <w:b/>
      <w:bCs/>
      <w:smallCaps/>
      <w:color w:val="B3186D" w:themeColor="accent1" w:themeShade="BF"/>
      <w:spacing w:val="5"/>
    </w:rPr>
  </w:style>
  <w:style w:type="paragraph" w:styleId="NoSpacing">
    <w:name w:val="No Spacing"/>
    <w:link w:val="NoSpacingChar"/>
    <w:uiPriority w:val="1"/>
    <w:qFormat/>
    <w:rsid w:val="00DE25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255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2024-11-12T18:20:00Z</dcterms:created>
  <dcterms:modified xsi:type="dcterms:W3CDTF">2024-11-12T20:13:00Z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47884c53-7c08-4e07-9e7b-fdba695142dc</vt:lpwstr>
  </property>
</Properties>
</file>