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jc w:val="left"/>
      </w:pPr>
      <w:r>
        <w:rPr>
          <w:rFonts w:ascii="Segoe UI" w:hAnsi="Segoe UI" w:eastAsia="Segoe UI" w:cs="Segoe UI"/>
          <w:i w:val="0"/>
          <w:iCs w:val="0"/>
          <w:caps w:val="0"/>
          <w:color w:val="212529"/>
          <w:spacing w:val="0"/>
          <w:kern w:val="0"/>
          <w:sz w:val="18"/>
          <w:szCs w:val="18"/>
          <w:u w:val="none"/>
          <w:lang w:val="en-US" w:eastAsia="zh-CN" w:bidi="ar"/>
        </w:rPr>
        <w:fldChar w:fldCharType="begin"/>
      </w:r>
      <w:r>
        <w:rPr>
          <w:rFonts w:ascii="Segoe UI" w:hAnsi="Segoe UI" w:eastAsia="Segoe UI" w:cs="Segoe UI"/>
          <w:i w:val="0"/>
          <w:iCs w:val="0"/>
          <w:caps w:val="0"/>
          <w:color w:val="212529"/>
          <w:spacing w:val="0"/>
          <w:kern w:val="0"/>
          <w:sz w:val="18"/>
          <w:szCs w:val="18"/>
          <w:u w:val="none"/>
          <w:lang w:val="en-US" w:eastAsia="zh-CN" w:bidi="ar"/>
        </w:rPr>
        <w:instrText xml:space="preserve"> HYPERLINK "https://moodle.uwtsd.ac.uk/course/view.php?id=2711" </w:instrText>
      </w:r>
      <w:r>
        <w:rPr>
          <w:rFonts w:ascii="Segoe UI" w:hAnsi="Segoe UI" w:eastAsia="Segoe UI" w:cs="Segoe UI"/>
          <w:i w:val="0"/>
          <w:iCs w:val="0"/>
          <w:caps w:val="0"/>
          <w:color w:val="212529"/>
          <w:spacing w:val="0"/>
          <w:kern w:val="0"/>
          <w:sz w:val="18"/>
          <w:szCs w:val="18"/>
          <w:u w:val="none"/>
          <w:lang w:val="en-US" w:eastAsia="zh-CN" w:bidi="ar"/>
        </w:rPr>
        <w:fldChar w:fldCharType="separate"/>
      </w:r>
    </w:p>
    <w:p>
      <w:pPr>
        <w:pStyle w:val="2"/>
        <w:keepNext w:val="0"/>
        <w:keepLines w:val="0"/>
        <w:widowControl/>
        <w:suppressLineNumbers w:val="0"/>
        <w:spacing w:before="0" w:beforeAutospacing="0" w:line="14" w:lineRule="atLeast"/>
        <w:jc w:val="left"/>
        <w:rPr>
          <w:sz w:val="72"/>
          <w:szCs w:val="72"/>
        </w:rPr>
      </w:pPr>
      <w:r>
        <w:rPr>
          <w:rStyle w:val="5"/>
          <w:i w:val="0"/>
          <w:iCs w:val="0"/>
          <w:caps w:val="0"/>
          <w:color w:val="212529"/>
          <w:spacing w:val="0"/>
          <w:sz w:val="72"/>
          <w:szCs w:val="72"/>
          <w:u w:val="none"/>
        </w:rPr>
        <w:t xml:space="preserve"> Marketing</w:t>
      </w:r>
      <w:r>
        <w:rPr>
          <w:rStyle w:val="5"/>
          <w:rFonts w:hint="eastAsia"/>
          <w:i w:val="0"/>
          <w:iCs w:val="0"/>
          <w:caps w:val="0"/>
          <w:color w:val="212529"/>
          <w:spacing w:val="0"/>
          <w:sz w:val="72"/>
          <w:szCs w:val="72"/>
          <w:u w:val="none"/>
          <w:lang w:val="en-US" w:eastAsia="zh-CN"/>
        </w:rPr>
        <w:t xml:space="preserve"> </w:t>
      </w:r>
      <w:r>
        <w:rPr>
          <w:rStyle w:val="5"/>
          <w:i w:val="0"/>
          <w:iCs w:val="0"/>
          <w:caps w:val="0"/>
          <w:color w:val="212529"/>
          <w:spacing w:val="0"/>
          <w:sz w:val="72"/>
          <w:szCs w:val="72"/>
          <w:u w:val="none"/>
        </w:rPr>
        <w:t>Management</w:t>
      </w:r>
    </w:p>
    <w:p>
      <w:pPr>
        <w:keepNext w:val="0"/>
        <w:keepLines w:val="0"/>
        <w:widowControl/>
        <w:suppressLineNumbers w:val="0"/>
        <w:jc w:val="left"/>
      </w:pPr>
      <w:r>
        <w:rPr>
          <w:rFonts w:hint="default" w:ascii="Segoe UI" w:hAnsi="Segoe UI" w:eastAsia="Segoe UI" w:cs="Segoe UI"/>
          <w:i w:val="0"/>
          <w:iCs w:val="0"/>
          <w:caps w:val="0"/>
          <w:color w:val="212529"/>
          <w:spacing w:val="0"/>
          <w:kern w:val="0"/>
          <w:sz w:val="18"/>
          <w:szCs w:val="18"/>
          <w:u w:val="none"/>
          <w:lang w:val="en-US" w:eastAsia="zh-CN" w:bidi="ar"/>
        </w:rPr>
        <w:fldChar w:fldCharType="end"/>
      </w:r>
    </w:p>
    <w:p>
      <w:pPr>
        <w:pStyle w:val="2"/>
        <w:bidi w:val="0"/>
        <w:jc w:val="center"/>
        <w:rPr>
          <w:rFonts w:hint="default" w:ascii="Times New Roman Bold" w:hAnsi="Times New Roman Bold" w:cs="Times New Roman Bold"/>
          <w:b/>
          <w:bCs/>
          <w:sz w:val="52"/>
          <w:szCs w:val="52"/>
        </w:rPr>
      </w:pPr>
    </w:p>
    <w:p>
      <w:pPr>
        <w:rPr>
          <w:rFonts w:hint="default" w:ascii="Times New Roman Bold" w:hAnsi="Times New Roman Bold" w:cs="Times New Roman Bold"/>
          <w:b/>
          <w:bCs/>
          <w:sz w:val="52"/>
          <w:szCs w:val="52"/>
        </w:rPr>
      </w:pPr>
    </w:p>
    <w:p>
      <w:pPr>
        <w:rPr>
          <w:rFonts w:hint="default" w:ascii="Times New Roman Bold" w:hAnsi="Times New Roman Bold" w:cs="Times New Roman Bold"/>
          <w:b/>
          <w:bCs/>
          <w:sz w:val="32"/>
          <w:szCs w:val="32"/>
        </w:rPr>
      </w:pPr>
    </w:p>
    <w:p>
      <w:pPr>
        <w:rPr>
          <w:rFonts w:hint="eastAsia" w:ascii="Times New Roman Bold" w:hAnsi="Times New Roman Bold" w:cs="Times New Roman Bold"/>
          <w:b/>
          <w:bCs/>
          <w:sz w:val="32"/>
          <w:szCs w:val="32"/>
          <w:lang w:val="en-US" w:eastAsia="zh-CN"/>
        </w:rPr>
      </w:pPr>
    </w:p>
    <w:p>
      <w:pPr>
        <w:rPr>
          <w:rFonts w:hint="eastAsia" w:ascii="Times New Roman Bold" w:hAnsi="Times New Roman Bold" w:cs="Times New Roman Bold"/>
          <w:b/>
          <w:bCs/>
          <w:sz w:val="32"/>
          <w:szCs w:val="32"/>
          <w:lang w:val="en-US" w:eastAsia="zh-CN"/>
        </w:rPr>
      </w:pPr>
    </w:p>
    <w:p>
      <w:pPr>
        <w:rPr>
          <w:rFonts w:hint="eastAsia" w:ascii="Times New Roman Bold" w:hAnsi="Times New Roman Bold" w:cs="Times New Roman Bold"/>
          <w:b/>
          <w:bCs/>
          <w:sz w:val="32"/>
          <w:szCs w:val="32"/>
          <w:lang w:val="en-US" w:eastAsia="zh-CN"/>
        </w:rPr>
      </w:pPr>
    </w:p>
    <w:p>
      <w:pPr>
        <w:rPr>
          <w:rFonts w:hint="eastAsia" w:ascii="Times New Roman Bold" w:hAnsi="Times New Roman Bold" w:cs="Times New Roman Bold"/>
          <w:b/>
          <w:bCs/>
          <w:sz w:val="32"/>
          <w:szCs w:val="32"/>
          <w:lang w:val="en-US" w:eastAsia="zh-CN"/>
        </w:rPr>
      </w:pPr>
    </w:p>
    <w:p>
      <w:pPr>
        <w:rPr>
          <w:rFonts w:hint="eastAsia" w:ascii="Times New Roman Bold" w:hAnsi="Times New Roman Bold" w:cs="Times New Roman Bold"/>
          <w:b/>
          <w:bCs/>
          <w:sz w:val="32"/>
          <w:szCs w:val="32"/>
          <w:lang w:val="en-US" w:eastAsia="zh-CN"/>
        </w:rPr>
      </w:pPr>
    </w:p>
    <w:p>
      <w:pPr>
        <w:keepNext w:val="0"/>
        <w:keepLines w:val="0"/>
        <w:widowControl/>
        <w:suppressLineNumbers w:val="0"/>
        <w:jc w:val="left"/>
        <w:rPr>
          <w:rFonts w:hint="eastAsia" w:ascii="Times New Roman Bold" w:hAnsi="Times New Roman Bold" w:cs="Times New Roman Bold"/>
          <w:b/>
          <w:bCs/>
          <w:sz w:val="32"/>
          <w:szCs w:val="32"/>
          <w:lang w:val="en-US" w:eastAsia="zh-CN"/>
        </w:rPr>
      </w:pPr>
      <w:r>
        <w:rPr>
          <w:rFonts w:hint="eastAsia" w:ascii="Times New Roman Bold" w:hAnsi="Times New Roman Bold" w:cs="Times New Roman Bold"/>
          <w:b/>
          <w:bCs/>
          <w:sz w:val="32"/>
          <w:szCs w:val="32"/>
          <w:lang w:val="en-US" w:eastAsia="zh-CN"/>
        </w:rPr>
        <w:t>MODULE NAME:</w:t>
      </w:r>
      <w:r>
        <w:rPr>
          <w:rFonts w:hint="eastAsia" w:ascii="Times New Roman Bold" w:hAnsi="Times New Roman Bold" w:cs="Times New Roman Bold" w:eastAsiaTheme="minorEastAsia"/>
          <w:b/>
          <w:bCs/>
          <w:kern w:val="2"/>
          <w:sz w:val="32"/>
          <w:szCs w:val="32"/>
          <w:lang w:val="en-US" w:eastAsia="zh-CN" w:bidi="ar-SA"/>
        </w:rPr>
        <w:t>Marketing Management (BMMB7012)</w:t>
      </w:r>
    </w:p>
    <w:p>
      <w:pPr>
        <w:rPr>
          <w:rFonts w:hint="eastAsia" w:ascii="Times New Roman Bold" w:hAnsi="Times New Roman Bold" w:cs="Times New Roman Bold"/>
          <w:b/>
          <w:bCs/>
          <w:sz w:val="32"/>
          <w:szCs w:val="32"/>
          <w:lang w:val="en-US" w:eastAsia="zh-CN"/>
        </w:rPr>
      </w:pPr>
      <w:r>
        <w:rPr>
          <w:rFonts w:hint="eastAsia" w:ascii="Times New Roman Bold" w:hAnsi="Times New Roman Bold" w:cs="Times New Roman Bold"/>
          <w:b/>
          <w:bCs/>
          <w:sz w:val="32"/>
          <w:szCs w:val="32"/>
          <w:lang w:val="en-US" w:eastAsia="zh-CN"/>
        </w:rPr>
        <w:t>NAME:Tao Hu</w:t>
      </w:r>
    </w:p>
    <w:p>
      <w:pPr>
        <w:rPr>
          <w:rFonts w:hint="eastAsia" w:ascii="Times New Roman Bold" w:hAnsi="Times New Roman Bold" w:cs="Times New Roman Bold"/>
          <w:b/>
          <w:bCs/>
          <w:sz w:val="32"/>
          <w:szCs w:val="32"/>
          <w:lang w:val="en-US" w:eastAsia="zh-CN"/>
        </w:rPr>
      </w:pPr>
      <w:r>
        <w:rPr>
          <w:rFonts w:hint="eastAsia" w:ascii="Times New Roman Bold" w:hAnsi="Times New Roman Bold" w:cs="Times New Roman Bold"/>
          <w:b/>
          <w:bCs/>
          <w:sz w:val="32"/>
          <w:szCs w:val="32"/>
          <w:lang w:val="en-US" w:eastAsia="zh-CN"/>
        </w:rPr>
        <w:t>STUDENT NUMBER:2218853</w:t>
      </w:r>
    </w:p>
    <w:p>
      <w:pPr>
        <w:rPr>
          <w:rFonts w:hint="eastAsia" w:ascii="Times New Roman Bold" w:hAnsi="Times New Roman Bold" w:cs="Times New Roman Bold"/>
          <w:b/>
          <w:bCs/>
          <w:sz w:val="32"/>
          <w:szCs w:val="32"/>
          <w:lang w:val="en-US" w:eastAsia="zh-CN"/>
        </w:rPr>
      </w:pPr>
    </w:p>
    <w:p>
      <w:pPr>
        <w:rPr>
          <w:rFonts w:hint="eastAsia" w:ascii="Times New Roman Bold" w:hAnsi="Times New Roman Bold" w:cs="Times New Roman Bold"/>
          <w:b/>
          <w:bCs/>
          <w:sz w:val="32"/>
          <w:szCs w:val="32"/>
          <w:lang w:val="en-US" w:eastAsia="zh-CN"/>
        </w:rPr>
      </w:pPr>
    </w:p>
    <w:p>
      <w:pPr>
        <w:rPr>
          <w:rFonts w:hint="eastAsia" w:ascii="Times New Roman Bold" w:hAnsi="Times New Roman Bold" w:cs="Times New Roman Bold"/>
          <w:b/>
          <w:bCs/>
          <w:sz w:val="32"/>
          <w:szCs w:val="32"/>
          <w:lang w:val="en-US" w:eastAsia="zh-CN"/>
        </w:rPr>
      </w:pPr>
    </w:p>
    <w:p>
      <w:pPr>
        <w:rPr>
          <w:rFonts w:hint="eastAsia" w:ascii="Times New Roman Bold" w:hAnsi="Times New Roman Bold" w:cs="Times New Roman Bold"/>
          <w:b/>
          <w:bCs/>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Tesla's Macro Environment</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1 Introduction</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Tesla is an electric vehicle and energy company in the United States, which mainly produces and sells electric vehicles, solar panels and energy storage equipment, and is a benchmark enterprise leading the driverless industry. It has a huge share of 79% in the American electric vehicle market (IEA, 2022). This study mainly uses PESTEL, Porter's Five Forces, SWOT and other tools to analyze Tesla's environment.</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rPr>
        <w:t xml:space="preserve">2 PESTLE </w:t>
      </w:r>
      <w:r>
        <w:rPr>
          <w:rFonts w:hint="eastAsia" w:ascii="Times New Roman" w:hAnsi="Times New Roman" w:cs="Times New Roman"/>
          <w:b/>
          <w:bCs/>
          <w:sz w:val="24"/>
          <w:szCs w:val="24"/>
          <w:lang w:val="en-US" w:eastAsia="zh-CN"/>
        </w:rPr>
        <w:t>A</w:t>
      </w:r>
      <w:r>
        <w:rPr>
          <w:rFonts w:hint="default" w:ascii="Times New Roman" w:hAnsi="Times New Roman" w:cs="Times New Roman"/>
          <w:b/>
          <w:bCs/>
          <w:sz w:val="24"/>
          <w:szCs w:val="24"/>
        </w:rPr>
        <w:t xml:space="preserve">nalysis of </w:t>
      </w:r>
      <w:r>
        <w:rPr>
          <w:rFonts w:hint="eastAsia" w:ascii="Times New Roman" w:hAnsi="Times New Roman" w:cs="Times New Roman"/>
          <w:b/>
          <w:bCs/>
          <w:sz w:val="24"/>
          <w:szCs w:val="24"/>
          <w:lang w:val="en-US" w:eastAsia="zh-CN"/>
        </w:rPr>
        <w:t>M</w:t>
      </w:r>
      <w:r>
        <w:rPr>
          <w:rFonts w:hint="default" w:ascii="Times New Roman" w:hAnsi="Times New Roman" w:cs="Times New Roman"/>
          <w:b/>
          <w:bCs/>
          <w:sz w:val="24"/>
          <w:szCs w:val="24"/>
        </w:rPr>
        <w:t xml:space="preserve">acro </w:t>
      </w:r>
      <w:r>
        <w:rPr>
          <w:rFonts w:hint="eastAsia" w:ascii="Times New Roman" w:hAnsi="Times New Roman" w:cs="Times New Roman"/>
          <w:b/>
          <w:bCs/>
          <w:sz w:val="24"/>
          <w:szCs w:val="24"/>
          <w:lang w:val="en-US" w:eastAsia="zh-CN"/>
        </w:rPr>
        <w:t>E</w:t>
      </w:r>
      <w:r>
        <w:rPr>
          <w:rFonts w:hint="default" w:ascii="Times New Roman" w:hAnsi="Times New Roman" w:cs="Times New Roman"/>
          <w:b/>
          <w:bCs/>
          <w:sz w:val="24"/>
          <w:szCs w:val="24"/>
        </w:rPr>
        <w:t>nvironment</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rPr>
        <w:t>2.1 Politics</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Due to the growing energy crisis and environmental crisis, countries have introduced many policies to support electric vehicles. For example, the United States has invested 2 billion dollars in the research and development of electric vehicles, which has significantly improved the market share of electric vehicles and also provided great help for the development of electric vehicles. Japan regards the technology development of new energy vehicles as the core development module, and has formulated development plans such as "2030 Energy Strategy" (Calearo&amp;Marinelli, 2020). The Chinese government has implemented policies such as policy support and car purchase subsidies (Tamara, et al., 2020). In addition, Germany provides a subsidy of 3000 Euros per vehicle, Sweden provides a tax preference of 10000 SEK, and Norway is exempt from all registration taxes, import VAT and road taxes on pure electric vehicles (Gong, et al., 2020). The above policies represent the government's attitude towards electric vehicles. It can be said that this positive policy environment is very beneficial to Tesla.</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sz w:val="24"/>
          <w:szCs w:val="24"/>
        </w:rPr>
      </w:pPr>
      <w:r>
        <w:rPr>
          <w:rFonts w:hint="default" w:ascii="Times New Roman" w:hAnsi="Times New Roman" w:cs="Times New Roman"/>
          <w:b/>
          <w:bCs/>
          <w:sz w:val="24"/>
          <w:szCs w:val="24"/>
          <w:lang w:val="en-US" w:eastAsia="zh-CN"/>
        </w:rPr>
        <w:t>2.2 Economic</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sz w:val="24"/>
          <w:szCs w:val="24"/>
        </w:rPr>
      </w:pPr>
      <w:r>
        <w:rPr>
          <w:rFonts w:hint="default" w:ascii="Times New Roman" w:hAnsi="Times New Roman" w:cs="Times New Roman"/>
          <w:sz w:val="24"/>
          <w:szCs w:val="24"/>
        </w:rPr>
        <w:t>The automobile industry is an industry with high investment and high consumption, and the economic development situation will have an impact on the development of the automobile industry (Li, 2020). On the one hand, with the development of economy, cars have been gradually popularized from luxury consumption to ordinary consumer goods. On the other hand, in 2008, the subprime mortgage crisis in the United States spread from the financial field to all walks of life, making Detroit, the city of automobiles, into a depression, which had a very negative impact on the development of the automobile industry. In the following ten years, the global economy has gradually warmed up. However, close to the outbreak of COVID-19, it has once again had a severe impact on the global economy. Due to the high cost of automobile production, the cars that have been produced cannot be sold as expected, and the invested funds are difficult to recover, leading to the tight capital chain and slow liquidity of automobile enterprises. However, although Tesla has also received COVID-19, the growth rate of its electric vehicle sales in 2020 has reached more than 35% (Ouerghi, 2021).</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2.3 Society</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From the perspective of the whole society, the income level of consumers has been rising, making cars from luxury consumption to mass consumption. However, mass consumption behavior is characterized by diversity, which requires automobile brand marketing to be strengthened. For electric vehicles, as they have just entered the market, they are still new brands and lack a corresponding mature consumer market. Therefore, the social environment poses greater challenges to Tesla. However, in a survey of 10 large and medium-sized cities in China, nearly 70% of ordinary consumers among 3400 respondents said that they could accept small pure electric vehicles with a single charging mileage of 100-160 km (Huang et al., 2021). This has provided a solid mass foundation for Tesla's brand marketing.</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2.4 Technology</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Technological innovation has brought about the Internet of Vehicles, which enables cars and roads to live in harmony, effectively reducing traffic jams and traffic accidents; BMW's head up display function helps the driver to know all the data of his car without lowering his head in the high-speed driving environment; Tesla no longer uses gasoline engines, but instead uses pure electric power, making full use of solar energy, effectively avoiding pollution and contributing to the energy crisis</w:t>
      </w:r>
      <w:r>
        <w:rPr>
          <w:rFonts w:hint="eastAsia"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lang w:val="en-US" w:eastAsia="zh-CN"/>
        </w:rPr>
        <w:t xml:space="preserve">(Sun, 2020); The birth of Google's driverless car brings the application of high-tech to the extreme. It uses cameras, radars and rangefinders to check the traffic conditions where it is. Google's driverless car can start, drive and stop without a driver, which is incomparable to traditional car manufacturers. It can be seen that the development of science and technology has brought good opportunities for electric vehicles. This is also very beneficial for Tesla. Tesla has made full use of these scientific and technological means to meet the demand for clean energy on the basis of ensuring vehicle safety performance. The problem of driving range is also being overcome gradually, especially in terms of batteries, which </w:t>
      </w:r>
      <w:r>
        <w:rPr>
          <w:rFonts w:hint="eastAsia" w:ascii="Times New Roman" w:hAnsi="Times New Roman" w:cs="Times New Roman"/>
          <w:b w:val="0"/>
          <w:bCs w:val="0"/>
          <w:sz w:val="24"/>
          <w:szCs w:val="24"/>
          <w:lang w:val="en-US" w:eastAsia="zh-CN"/>
        </w:rPr>
        <w:t>is</w:t>
      </w:r>
      <w:r>
        <w:rPr>
          <w:rFonts w:hint="default" w:ascii="Times New Roman" w:hAnsi="Times New Roman" w:cs="Times New Roman"/>
          <w:b w:val="0"/>
          <w:bCs w:val="0"/>
          <w:sz w:val="24"/>
          <w:szCs w:val="24"/>
          <w:lang w:val="en-US" w:eastAsia="zh-CN"/>
        </w:rPr>
        <w:t xml:space="preserve"> leading in technology (high energy density+low attenuation) and low in cost.</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2.5 Ecology</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In the context of the global ecological crisis, governments of all countries attach great importance to environmental issues, and have strengthened the regulation of pollution, carbon emissions and material shortages (Frost&amp;Sullivan, 2020). From the perspective of government supervision, the higher the environmental protection level of the company, the more support it will get from the government. This situation is very favorable for Tesla. In the process of producing and selling electric vehicles, Tesla has also complied with relevant specifications and used a series of environmentally sensitive products, such as solar panels. At present, Tesla is able to cope with climate change and effectively control the use of resources.</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 xml:space="preserve">2.6 </w:t>
      </w:r>
      <w:r>
        <w:rPr>
          <w:rFonts w:hint="default" w:ascii="Times New Roman" w:hAnsi="Times New Roman" w:eastAsia="Helvetica" w:cs="Times New Roman"/>
          <w:b/>
          <w:bCs/>
          <w:i w:val="0"/>
          <w:iCs w:val="0"/>
          <w:caps w:val="0"/>
          <w:color w:val="333333"/>
          <w:spacing w:val="0"/>
          <w:sz w:val="24"/>
          <w:szCs w:val="24"/>
          <w:shd w:val="clear" w:fill="FFFFFF"/>
        </w:rPr>
        <w:t>Legal</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Tesla's business has expanded to many countries around the world. Therefore, Tesla should not only comply with its own laws and regulations, but also maintain the laws and policies of other countries related to its business. At present, Tesla has promoted environmentally friendly vehicles in many countries (Matthews et al., 2020). From the actual situation, legal factors will not significantly restrict Tesla's overseas business.</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3. Analysis of Porter's Five Forces</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3.1 Threats from new entrants</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Affected by air pollution, the state strongly supports new energy vehicles, which greatly reduces the threshold for potential entrants (Ziemba, 2020). However, it is not easy to enter the electric vehicle market. This is because the electric vehicle industry is just emerging, the relevant core technologies are not mature and have not reached the level of popularity, and the scale of industrialization is not large. Therefore, new entrants must complete the follow-up technology research and development, which is a large investment. In addition, the technology research and development has a large risk, leading to the new entrants can not form a scale effect. Moreover, various countries have also formulated corresponding quality standards for electric vehicles, which is difficult for new enterprises to reach the standard. At the same time, in the sales process, we also face many difficulties such as new brands. In addition to R&amp;D investment, new entrants also need some initial investment, and subsidies provided by governments of various countries often need to be on the basis of finished products. Therefore, before large-scale products are available, such new entrants lack the ability to resist risks, and the production cost of electric vehicles is higher, making it difficult for such new entrants to form a higher competitive advantage than existing electric vehicle enterprises (Xue, et al., 2021). On the whole, potential entrants pose little threat.</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3.2 Supplier's bargaining power</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Some parts used in electric vehicles are common to traditional vehicles, such as the structure of automobiles. There are many suppliers of related parts, and most of them have achieved standardization and scale effect. Therefore, their prices are relatively low, and the bargaining power of suppliers is weak. Other parts of electric vehicles need to be provided by newly established manufacturers specializing in the production of electric vehicle parts, such as power supply (Barry, 2020). Because such suppliers have been established for a short time, but the investment in fixed assets is large, the conversion cost is high, and the technical level of suppliers is high, the number of suppliers is small. Therefore, such suppliers have strong bargaining power.</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3.3 Customers' bargaining power</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Due to the existence of substitutes, electric vehicles are difficult to become the only choice for consumers. Compared with electric cars, more consumers will choose traditional cars. This has led consumers to pay close attention to the price of electric vehicles. However, electric vehicles are subject to the production costs that are difficult to reduce, so their prices remain high. Therefore, compared with traditional cars, consumers tend to choose traditional cars, so consumers have strong bargaining power. In response to this situation, countries have implemented some supportive policies, such as tax subsidies, hoping to promote consumers to choose electric vehicles. However, from the actual situation, this did not really mobilize the enthusiasm of consumers, nor did it significantly affect consumer choice (Goel et al., 2021). This is because compared with environmental protection, consumers pay more attention to the price of electric vehicles. Although many consumers have the awareness of environmental protection (Austmann</w:t>
      </w:r>
      <w:r>
        <w:rPr>
          <w:rFonts w:hint="eastAsia"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lang w:val="en-US" w:eastAsia="zh-CN"/>
        </w:rPr>
        <w:t>&amp;</w:t>
      </w:r>
      <w:r>
        <w:rPr>
          <w:rFonts w:hint="eastAsia"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lang w:val="en-US" w:eastAsia="zh-CN"/>
        </w:rPr>
        <w:t>Vigne, 2021), this awareness of environmental protection is not enough to dictate that consumers must buy electric vehicles. Therefore, it is difficult for the government to intervene in the purchase intention of consumers through some publicity means (Jing, 2020). After all, environmental awareness cannot bring consumers real wealth. Therefore, consumers have strong bargaining power.</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3.4 Threat of alternatives</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Up to now, in the global automotive market, the consumption of traditional cars still dominates, which means that traditional cars will always compete with electric vehicles to seize market share. The traditional car is the most powerful alternative to electric vehicles. On the one hand, the price of traditional vehicles is relatively fair, while electric vehicles are subject to insufficient production costs and demand, making it difficult to reduce their prices (Zhao, 2021). On the other hand, gasoline is the main power source of traditional cars. For consumers, the main cost of using traditional cars is gasoline, and the current oil price is at a high level (Group, 2021). The power source of electric vehicles is electricity. At present, the price of electricity is much cheaper than that of gasoline. From this perspective, electric vehicles seem to have more advantages. However, compared with their sales prices, the difference between oil prices and electricity bills is less important. At the same time, there are gas stations everywhere in various cities, and consumers using traditional cars can easily find places to refuel. It is not easy for consumers who use electric vehicles to find a place to charge. In addition, lithium battery technology is not stable enough to truly ensure the safety performance of electric vehicles, which will also lead consumers to prefer alternatives (Dave, 2020). In addition, consumers are only responsible for the economic cost of purchasing traditional cars when they give up electric cars and choose traditional cars. Although environmental pollution will increase in this process, the cost will be shared by the whole society, rather than being borne by a single consumer, so the conversion cost is low. Of course, bicycles, electric bicycles, buses and taxis are also substitutes for electric vehicles. The choice of these means of transport is more economic. Therefore, the threat of substitutes is high.</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3.5 Competition of Existing Competitors</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Countries have limited the number of electric vehicle enterprises through government intervention (Weatherby&amp;Somner, 2019), making electric vehicle enterprises few. Especially compared with traditional enterprises, the number of enterprises is very small. This also determines that the existing competition will not be too fierce. Because there are few electric vehicle enterprises and the scale effect has not been realized, it is difficult for each enterprise to compete in price. As far as the current situation is concerned, these automobile enterprises are facing high production costs, and none of them can take the lead in obtaining cost advantages. Therefore, the strategy that these enterprises can adopt is mainly differentiation. Therefore, the focus of enterprise competition also focuses on R&amp;D (Jaiswal, et al., 2021), and R&amp;D strength mainly depends on the enterprise's financial strength. For Tess, it has a certain financial strength, so its R&amp;D ability is also strong, and has obtained some leading technologies, so its competitiveness is strong.</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 xml:space="preserve">4 SWOT </w:t>
      </w:r>
      <w:r>
        <w:rPr>
          <w:rFonts w:hint="eastAsia" w:ascii="Times New Roman" w:hAnsi="Times New Roman" w:cs="Times New Roman"/>
          <w:b/>
          <w:bCs/>
          <w:sz w:val="24"/>
          <w:szCs w:val="24"/>
          <w:lang w:val="en-US" w:eastAsia="zh-CN"/>
        </w:rPr>
        <w:t>A</w:t>
      </w:r>
      <w:r>
        <w:rPr>
          <w:rFonts w:hint="default" w:ascii="Times New Roman" w:hAnsi="Times New Roman" w:cs="Times New Roman"/>
          <w:b/>
          <w:bCs/>
          <w:sz w:val="24"/>
          <w:szCs w:val="24"/>
          <w:lang w:val="en-US" w:eastAsia="zh-CN"/>
        </w:rPr>
        <w:t xml:space="preserve">nalysis of </w:t>
      </w:r>
      <w:r>
        <w:rPr>
          <w:rFonts w:hint="eastAsia" w:ascii="Times New Roman" w:hAnsi="Times New Roman" w:cs="Times New Roman"/>
          <w:b/>
          <w:bCs/>
          <w:sz w:val="24"/>
          <w:szCs w:val="24"/>
          <w:lang w:val="en-US" w:eastAsia="zh-CN"/>
        </w:rPr>
        <w:t>M</w:t>
      </w:r>
      <w:r>
        <w:rPr>
          <w:rFonts w:hint="default" w:ascii="Times New Roman" w:hAnsi="Times New Roman" w:cs="Times New Roman"/>
          <w:b/>
          <w:bCs/>
          <w:sz w:val="24"/>
          <w:szCs w:val="24"/>
          <w:lang w:val="en-US" w:eastAsia="zh-CN"/>
        </w:rPr>
        <w:t xml:space="preserve">icro </w:t>
      </w:r>
      <w:r>
        <w:rPr>
          <w:rFonts w:hint="eastAsia" w:ascii="Times New Roman" w:hAnsi="Times New Roman" w:cs="Times New Roman"/>
          <w:b/>
          <w:bCs/>
          <w:sz w:val="24"/>
          <w:szCs w:val="24"/>
          <w:lang w:val="en-US" w:eastAsia="zh-CN"/>
        </w:rPr>
        <w:t>E</w:t>
      </w:r>
      <w:r>
        <w:rPr>
          <w:rFonts w:hint="default" w:ascii="Times New Roman" w:hAnsi="Times New Roman" w:cs="Times New Roman"/>
          <w:b/>
          <w:bCs/>
          <w:sz w:val="24"/>
          <w:szCs w:val="24"/>
          <w:lang w:val="en-US" w:eastAsia="zh-CN"/>
        </w:rPr>
        <w:t>nvironment</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4.1 Strengths</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2009 Climate Conference again clarified the harm of vehicle exhaust to the environment, and strictly limited the emission of vehicle exhaust, which made electric vehicles show great advantages. For example, the biggest feature of Yadi E6 is zero emission and zero pollution. Nissan Leaf, an evolving fuel cell technology, has finally achieved a key step in the zero emission era on Leaf (Shimizu, et al., 2020). Tesla has also achieved "zero pollution and zero emission". Therefore, this is the biggest advantage of electric vehicles. Tesla makes full use of solar energy (Kocieniewski&amp;Finch, 2022), which also makes it more advantageous. First of all, because Tesla entered the market early, its brand has been recognized by consumers; Secondly, Tesla has been innovating, which will keep it competitive and lead it in terms of automatic driving technology, mileage and efficiency; Finally, Tesla has many charging piles and can realize free fast charging.</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4.2 Weaknesses</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The disadvantages of electric vehicles are mainly reflected in the convenience of charging, endurance and use cost. In terms of charging convenience, all countries are trying to solve the charging problem of electric vehicles. For example, the U.S. government encourages National Power to develop intelligent charging systems to avoid peak electricity consumption for electric vehicles. The Portuguese government cooperated with PBP to introduce nearly 10000 special service points to solve the charging problem of pure electric vehicles. The construction of charging stations and charging piles led by the Chinese government has laid the foundation for solving the charging problem (Chen et al., 2020). Car enterprises are also striving to build charging stations. For example, Tesla has built 8 charging piles in Hangzhou, which can provide a Tesla with a 270 km range within 30 minutes (Teng, et al., 2020). However, compared with gas stations, the number of charging piles is still far from enough. In terms of endurance, Tesla, BMW and BYD have all invested huge human and material resources in research and development to extend the endurance mileage of electric vehicles. For example, the upgraded version of Tesla's Roadster model has increased the range to an amazing 400km, but it still fails to catch up with the level of traditional cars. In terms of use costs, the government and car companies are trying to help consumers reduce costs. For example, when purchasing cars, all countries have provided car subsidies or exempted taxes. In terms of maintenance costs, Ford Focus Electric Vehicles and Tesla Model S do not even need maintenance, thus minimizing the use cost of electric vehicles (Gu et al., 2021). However, the price and use cost of electric vehicles </w:t>
      </w:r>
      <w:r>
        <w:rPr>
          <w:rFonts w:hint="eastAsia" w:ascii="Times New Roman" w:hAnsi="Times New Roman" w:cs="Times New Roman"/>
          <w:b w:val="0"/>
          <w:bCs w:val="0"/>
          <w:sz w:val="24"/>
          <w:szCs w:val="24"/>
          <w:lang w:val="en-US" w:eastAsia="zh-CN"/>
        </w:rPr>
        <w:t>is</w:t>
      </w:r>
      <w:r>
        <w:rPr>
          <w:rFonts w:hint="default" w:ascii="Times New Roman" w:hAnsi="Times New Roman" w:cs="Times New Roman"/>
          <w:b w:val="0"/>
          <w:bCs w:val="0"/>
          <w:sz w:val="24"/>
          <w:szCs w:val="24"/>
          <w:lang w:val="en-US" w:eastAsia="zh-CN"/>
        </w:rPr>
        <w:t xml:space="preserve"> still unacceptable to most consumers.In addition to these disadvantages, Tesla also faces problems such as security performance being questioned. It is not unfavorable that Tesla has opened all its patents to the outside world.</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4.3 Opportunity</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In recent years, global warming, increasing haze days, PM2.5 explosion and other ecological and environmental problems </w:t>
      </w:r>
      <w:r>
        <w:rPr>
          <w:rFonts w:hint="eastAsia" w:ascii="Times New Roman" w:hAnsi="Times New Roman" w:cs="Times New Roman"/>
          <w:b w:val="0"/>
          <w:bCs w:val="0"/>
          <w:sz w:val="24"/>
          <w:szCs w:val="24"/>
          <w:lang w:val="en-US" w:eastAsia="zh-CN"/>
        </w:rPr>
        <w:t>has</w:t>
      </w:r>
      <w:r>
        <w:rPr>
          <w:rFonts w:hint="default" w:ascii="Times New Roman" w:hAnsi="Times New Roman" w:cs="Times New Roman"/>
          <w:b w:val="0"/>
          <w:bCs w:val="0"/>
          <w:sz w:val="24"/>
          <w:szCs w:val="24"/>
          <w:lang w:val="en-US" w:eastAsia="zh-CN"/>
        </w:rPr>
        <w:t xml:space="preserve"> made people deeply experience the energy and environmental crisis (Environmental Pollution, 2020). The promotion of new energy vehicles is urgent. At the same time, oil is one of the most widely used energy sources and the focus of many countries. The Middle East is the largest oil producing region in the world. Every Middle East war will lead to an oil crisis. As the fuel for more than 90% of cars in the current market, the most obvious changes brought by the oil crisis to car consumption are the soaring oil prices, the soaring cost of car use (Ghazanfari, 2020), and the weakening of car purchase intentions. Under the energy and environmental crisis, the market has put forward an urgent demand for zero pollution and zero emission new energy vehicles, which is also an important development opportunity for Tesla's birth and promotion.</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4.4 Threats</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All kinds of competitors continue to split up their small market shares (Park et al., 2020). Among all competitors, Nissan Leaf and Mitsubishi Outlander plug-in hybrid version are the most powerful. In 2021, Nissan Leaf and Mitsubishi Outlander plug-in hybrid version will rank first and second in the annual sales of electric vehicles. Tesla Motors followed, ranking third. In the second tier are several brands of Japanese and American cars, including Toyota Prius Plug in Hybrid Vehicle, Chevrolet Volta Plug in Hybrid Vehicle, Ford Fusion Energi Plug in Hybrid Vehicle, and BMW i3 Pure Electric Vehicle. Relying on their own brand advantages, they have occupied a certain market share (Lu, et al., 2020). China's five models, including BYD Qin, BYD e6 and Chery QQ3 EV, also rank among the top 20 in global electric vehicle sales in 2020 (Hai, et al., 2021). The growing number of competitors, the increasingly fierce market competition and the disappearance of incentive policies pose a certain threat to Tesla.</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5 Conclusion</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To sum up, first of all, Tesla is in a favorable macro environment. Governments of all countries support the development of electric vehicles in policy; COVID-19 has caused another downturn in the economy, but its impact on auto enterprises will not last for a long time; Although consumers' demands are unpredictable, Tesla has </w:t>
      </w:r>
      <w:r>
        <w:rPr>
          <w:rFonts w:hint="default" w:ascii="Times New Roman" w:hAnsi="Times New Roman" w:cs="Times New Roman"/>
          <w:b w:val="0"/>
          <w:bCs w:val="0"/>
          <w:sz w:val="24"/>
          <w:szCs w:val="24"/>
          <w:lang w:val="en-US" w:eastAsia="zh-CN"/>
        </w:rPr>
        <w:t>already</w:t>
      </w:r>
      <w:r>
        <w:rPr>
          <w:rFonts w:hint="eastAsia"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lang w:val="en-US" w:eastAsia="zh-CN"/>
        </w:rPr>
        <w:t>a certain customer base; In terms of technology, Tesla is in the lead. Secondly, Tesla is also facing severe challenges due to its medium environment. Although the threat of new entrants is low, the bargaining power of suppliers and consumers is relatively high. Although the competition between existing enterprises has not reached a high level, the threat of substitutes is high. Finally, Tesla's microenvironment is also very favorable to it. Its advantages are very obvious, and its d</w:t>
      </w:r>
      <w:bookmarkStart w:id="0" w:name="_GoBack"/>
      <w:bookmarkEnd w:id="0"/>
      <w:r>
        <w:rPr>
          <w:rFonts w:hint="default" w:ascii="Times New Roman" w:hAnsi="Times New Roman" w:cs="Times New Roman"/>
          <w:b w:val="0"/>
          <w:bCs w:val="0"/>
          <w:sz w:val="24"/>
          <w:szCs w:val="24"/>
          <w:lang w:val="en-US" w:eastAsia="zh-CN"/>
        </w:rPr>
        <w:t>isadvantages are being constantly remedied by the government. At the same time, Tesla is in the midst of good development opportunities. Although there is a high threat, as long as Tesla forms and maintains its competitive advantage, it may occupy a leading position.</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References:</w:t>
      </w:r>
    </w:p>
    <w:p>
      <w:pPr>
        <w:keepNext w:val="0"/>
        <w:keepLines w:val="0"/>
        <w:pageBreakBefore w:val="0"/>
        <w:widowControl w:val="0"/>
        <w:kinsoku/>
        <w:wordWrap/>
        <w:overflowPunct/>
        <w:topLinePunct w:val="0"/>
        <w:autoSpaceDE/>
        <w:autoSpaceDN/>
        <w:bidi w:val="0"/>
        <w:adjustRightInd/>
        <w:snapToGrid/>
        <w:spacing w:line="480" w:lineRule="auto"/>
        <w:ind w:left="480" w:hanging="480" w:hangingChars="20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Austmann, L. M. , &amp;  Vigne, S. A. . (2021). Does environmental awareness fuel the electric vehicle market? a twitter keyword analysis. Energy Economics(2), 10.</w:t>
      </w:r>
    </w:p>
    <w:p>
      <w:pPr>
        <w:keepNext w:val="0"/>
        <w:keepLines w:val="0"/>
        <w:pageBreakBefore w:val="0"/>
        <w:widowControl w:val="0"/>
        <w:kinsoku/>
        <w:wordWrap/>
        <w:overflowPunct/>
        <w:topLinePunct w:val="0"/>
        <w:autoSpaceDE/>
        <w:autoSpaceDN/>
        <w:bidi w:val="0"/>
        <w:adjustRightInd/>
        <w:snapToGrid/>
        <w:spacing w:line="480" w:lineRule="auto"/>
        <w:ind w:left="480" w:hanging="480" w:hangingChars="20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Calearo, L., &amp; Marinelli, M. (2020). Profitability of frequency regulation by electric vehicles in Denmark and Japan considering battery degradation costs. World Electric Vehicle Journal, 11(3), 48.</w:t>
      </w:r>
    </w:p>
    <w:p>
      <w:pPr>
        <w:keepNext w:val="0"/>
        <w:keepLines w:val="0"/>
        <w:pageBreakBefore w:val="0"/>
        <w:widowControl w:val="0"/>
        <w:kinsoku/>
        <w:wordWrap/>
        <w:overflowPunct/>
        <w:topLinePunct w:val="0"/>
        <w:autoSpaceDE/>
        <w:autoSpaceDN/>
        <w:bidi w:val="0"/>
        <w:adjustRightInd/>
        <w:snapToGrid/>
        <w:spacing w:line="480" w:lineRule="auto"/>
        <w:ind w:left="480" w:hanging="480" w:hangingChars="20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Chen, T., Zhang, X. P., Wang, J., Li, J., Wu, C., Hu, M., &amp; Bian, H. (2020). A review on electric vehicle charging infrastructure development in the UK. Journal of Modern Power Systems and Clean Energy, 8(2), 193-205.</w:t>
      </w:r>
    </w:p>
    <w:p>
      <w:pPr>
        <w:keepNext w:val="0"/>
        <w:keepLines w:val="0"/>
        <w:pageBreakBefore w:val="0"/>
        <w:widowControl w:val="0"/>
        <w:kinsoku/>
        <w:wordWrap/>
        <w:overflowPunct/>
        <w:topLinePunct w:val="0"/>
        <w:autoSpaceDE/>
        <w:autoSpaceDN/>
        <w:bidi w:val="0"/>
        <w:adjustRightInd/>
        <w:snapToGrid/>
        <w:spacing w:line="480" w:lineRule="auto"/>
        <w:ind w:left="480" w:hanging="480" w:hangingChars="20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Dave,M.(2020).PREPARING FOR AN ELECTRIC VEHICLE FUTURE. Motor Age(1).</w:t>
      </w:r>
    </w:p>
    <w:p>
      <w:pPr>
        <w:keepNext w:val="0"/>
        <w:keepLines w:val="0"/>
        <w:pageBreakBefore w:val="0"/>
        <w:widowControl w:val="0"/>
        <w:kinsoku/>
        <w:wordWrap/>
        <w:overflowPunct/>
        <w:topLinePunct w:val="0"/>
        <w:autoSpaceDE/>
        <w:autoSpaceDN/>
        <w:bidi w:val="0"/>
        <w:adjustRightInd/>
        <w:snapToGrid/>
        <w:spacing w:line="480" w:lineRule="auto"/>
        <w:ind w:left="480" w:hanging="480" w:hangingChars="20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Environmental Pollution.(2020).Reports Outline Environmental Pollution Study Results from Chang'an University (Construction of electric vehicle driving cycle for studying electric vehicle energy consumption and equivalent emissions). Ecology, Environment &amp; Conservation. </w:t>
      </w:r>
    </w:p>
    <w:p>
      <w:pPr>
        <w:keepNext w:val="0"/>
        <w:keepLines w:val="0"/>
        <w:pageBreakBefore w:val="0"/>
        <w:widowControl w:val="0"/>
        <w:kinsoku/>
        <w:wordWrap/>
        <w:overflowPunct/>
        <w:topLinePunct w:val="0"/>
        <w:autoSpaceDE/>
        <w:autoSpaceDN/>
        <w:bidi w:val="0"/>
        <w:adjustRightInd/>
        <w:snapToGrid/>
        <w:spacing w:line="480" w:lineRule="auto"/>
        <w:ind w:left="480" w:hanging="480" w:hangingChars="20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IEA. (2022). Global EV Outlook 2022. San Jose State University. College of Business. Mineta Transportation Institute. Retrieved October from </w:t>
      </w:r>
      <w:r>
        <w:rPr>
          <w:rFonts w:hint="default" w:ascii="Times New Roman" w:hAnsi="Times New Roman" w:cs="Times New Roman"/>
          <w:b w:val="0"/>
          <w:bCs w:val="0"/>
          <w:color w:val="auto"/>
          <w:sz w:val="24"/>
          <w:szCs w:val="24"/>
          <w:u w:val="none"/>
          <w:lang w:val="en-US" w:eastAsia="zh-CN"/>
        </w:rPr>
        <w:t>https://www.iea.org/data-and-statistics/data-product/global-ev-outlook-2022</w:t>
      </w:r>
      <w:r>
        <w:rPr>
          <w:rFonts w:hint="eastAsia" w:ascii="Times New Roman" w:hAnsi="Times New Roman" w:cs="Times New Roman"/>
          <w:b w:val="0"/>
          <w:bCs w:val="0"/>
          <w:color w:val="auto"/>
          <w:sz w:val="24"/>
          <w:szCs w:val="24"/>
          <w:u w:val="none"/>
          <w:lang w:val="en-US" w:eastAsia="zh-CN"/>
        </w:rPr>
        <w:t>.</w:t>
      </w:r>
    </w:p>
    <w:p>
      <w:pPr>
        <w:keepNext w:val="0"/>
        <w:keepLines w:val="0"/>
        <w:pageBreakBefore w:val="0"/>
        <w:widowControl w:val="0"/>
        <w:kinsoku/>
        <w:wordWrap/>
        <w:overflowPunct/>
        <w:topLinePunct w:val="0"/>
        <w:autoSpaceDE/>
        <w:autoSpaceDN/>
        <w:bidi w:val="0"/>
        <w:adjustRightInd/>
        <w:snapToGrid/>
        <w:spacing w:line="480" w:lineRule="auto"/>
        <w:ind w:left="480" w:hanging="480" w:hangingChars="20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Frost &amp;Sullivan(2020); Global Electric Vehicle Sales Increase with Implementation of Stringent Emission Norms, Says Frost &amp; Sullivan. Medical Letter on the CDC &amp; FDA.</w:t>
      </w:r>
    </w:p>
    <w:p>
      <w:pPr>
        <w:keepNext w:val="0"/>
        <w:keepLines w:val="0"/>
        <w:pageBreakBefore w:val="0"/>
        <w:widowControl w:val="0"/>
        <w:kinsoku/>
        <w:wordWrap/>
        <w:overflowPunct/>
        <w:topLinePunct w:val="0"/>
        <w:autoSpaceDE/>
        <w:autoSpaceDN/>
        <w:bidi w:val="0"/>
        <w:adjustRightInd/>
        <w:snapToGrid/>
        <w:spacing w:line="480" w:lineRule="auto"/>
        <w:ind w:left="480" w:hanging="480" w:hangingChars="20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Ghazanfari, A. (2020). The impact of the Covid-19 pandemic and crude oil price crisis on the price of automobile fuels in European countries. Diverse Journal of Multidisciplinary Research, 2(6), 10-19.</w:t>
      </w:r>
    </w:p>
    <w:p>
      <w:pPr>
        <w:keepNext w:val="0"/>
        <w:keepLines w:val="0"/>
        <w:pageBreakBefore w:val="0"/>
        <w:widowControl w:val="0"/>
        <w:kinsoku/>
        <w:wordWrap/>
        <w:overflowPunct/>
        <w:topLinePunct w:val="0"/>
        <w:autoSpaceDE/>
        <w:autoSpaceDN/>
        <w:bidi w:val="0"/>
        <w:adjustRightInd/>
        <w:snapToGrid/>
        <w:spacing w:line="480" w:lineRule="auto"/>
        <w:ind w:left="480" w:hanging="480" w:hangingChars="20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Goel, P., Sharma, N., Mathiyazhagan, K., &amp; Vimal, K. E. K. (2021). Government is trying but consumers are not buying: A barrier analysis for electric vehicle sales in India. Sustainable Production and Consumption, 28, 71-90.</w:t>
      </w:r>
    </w:p>
    <w:p>
      <w:pPr>
        <w:keepNext w:val="0"/>
        <w:keepLines w:val="0"/>
        <w:pageBreakBefore w:val="0"/>
        <w:widowControl w:val="0"/>
        <w:kinsoku/>
        <w:wordWrap/>
        <w:overflowPunct/>
        <w:topLinePunct w:val="0"/>
        <w:autoSpaceDE/>
        <w:autoSpaceDN/>
        <w:bidi w:val="0"/>
        <w:adjustRightInd/>
        <w:snapToGrid/>
        <w:spacing w:line="480" w:lineRule="auto"/>
        <w:ind w:left="480" w:hanging="480" w:hangingChars="20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Gong, S., Ardeshiri, A., &amp; Rashidi, T. H. (2020). Impact of government incentives on the market penetration of electric vehicles in Australia. Transportation Research Part D: Transport and Environment, 83, 1.</w:t>
      </w:r>
    </w:p>
    <w:p>
      <w:pPr>
        <w:keepNext w:val="0"/>
        <w:keepLines w:val="0"/>
        <w:pageBreakBefore w:val="0"/>
        <w:widowControl w:val="0"/>
        <w:kinsoku/>
        <w:wordWrap/>
        <w:overflowPunct/>
        <w:topLinePunct w:val="0"/>
        <w:autoSpaceDE/>
        <w:autoSpaceDN/>
        <w:bidi w:val="0"/>
        <w:adjustRightInd/>
        <w:snapToGrid/>
        <w:spacing w:line="480" w:lineRule="auto"/>
        <w:ind w:left="480" w:hanging="480" w:hangingChars="20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Group, R. . (2021). Globaldata report:fuel demand worldwide will not drop despite anticipated electric vehicle market surge. Refining &amp; Petrochemicals Middle East(4), 14.</w:t>
      </w:r>
    </w:p>
    <w:p>
      <w:pPr>
        <w:keepNext w:val="0"/>
        <w:keepLines w:val="0"/>
        <w:pageBreakBefore w:val="0"/>
        <w:widowControl w:val="0"/>
        <w:kinsoku/>
        <w:wordWrap/>
        <w:overflowPunct/>
        <w:topLinePunct w:val="0"/>
        <w:autoSpaceDE/>
        <w:autoSpaceDN/>
        <w:bidi w:val="0"/>
        <w:adjustRightInd/>
        <w:snapToGrid/>
        <w:spacing w:line="480" w:lineRule="auto"/>
        <w:ind w:left="480" w:hanging="480" w:hangingChars="20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Gu, X., Zhou, L., Huang, H., Shi, X., &amp; Ieromonachou, P. (2021). Electric vehicle battery secondary use under government subsidy: A closed-loop supply chain perspective. International Journal of Production Economics, 234, 1.</w:t>
      </w:r>
    </w:p>
    <w:p>
      <w:pPr>
        <w:keepNext w:val="0"/>
        <w:keepLines w:val="0"/>
        <w:pageBreakBefore w:val="0"/>
        <w:widowControl w:val="0"/>
        <w:kinsoku/>
        <w:wordWrap/>
        <w:overflowPunct/>
        <w:topLinePunct w:val="0"/>
        <w:autoSpaceDE/>
        <w:autoSpaceDN/>
        <w:bidi w:val="0"/>
        <w:adjustRightInd/>
        <w:snapToGrid/>
        <w:spacing w:line="480" w:lineRule="auto"/>
        <w:ind w:left="480" w:hanging="480" w:hangingChars="20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Hai,F.J.,Xi,Y.&amp; Zhao,l.S.(2021).Research on Consumer purchasing Preference and Marketing Strategy of Electric vehicle industry in China..(eds.)Proceedings of 3rd International Conference on Innovations in Economic Management and Social Science (IEMSS 2021)(pp.178-187)..</w:t>
      </w:r>
    </w:p>
    <w:p>
      <w:pPr>
        <w:keepNext w:val="0"/>
        <w:keepLines w:val="0"/>
        <w:pageBreakBefore w:val="0"/>
        <w:widowControl w:val="0"/>
        <w:kinsoku/>
        <w:wordWrap/>
        <w:overflowPunct/>
        <w:topLinePunct w:val="0"/>
        <w:autoSpaceDE/>
        <w:autoSpaceDN/>
        <w:bidi w:val="0"/>
        <w:adjustRightInd/>
        <w:snapToGrid/>
        <w:spacing w:line="480" w:lineRule="auto"/>
        <w:ind w:left="480" w:hanging="480" w:hangingChars="20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Huang, X., Lin, Y., Zhou, F., Lim, M. K., &amp; Chen, S. (2021). Agent-based modelling for market acceptance of electric vehicles: evidence from China. Sustainable Production and Consumption, 28, 206-217.</w:t>
      </w:r>
    </w:p>
    <w:p>
      <w:pPr>
        <w:keepNext w:val="0"/>
        <w:keepLines w:val="0"/>
        <w:pageBreakBefore w:val="0"/>
        <w:widowControl w:val="0"/>
        <w:kinsoku/>
        <w:wordWrap/>
        <w:overflowPunct/>
        <w:topLinePunct w:val="0"/>
        <w:autoSpaceDE/>
        <w:autoSpaceDN/>
        <w:bidi w:val="0"/>
        <w:adjustRightInd/>
        <w:snapToGrid/>
        <w:spacing w:line="480" w:lineRule="auto"/>
        <w:ind w:left="480" w:hanging="480" w:hangingChars="20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Jaiswal, D. ,  Kant, R. ,  Singh, P. K. , &amp;  Yadav, R. . (2021). Investigating the role of electric vehicle knowledge in consumer adoption: evidence from an emerging market. Benchmarking An International Journal, ahead-of-print.</w:t>
      </w:r>
    </w:p>
    <w:p>
      <w:pPr>
        <w:keepNext w:val="0"/>
        <w:keepLines w:val="0"/>
        <w:pageBreakBefore w:val="0"/>
        <w:widowControl w:val="0"/>
        <w:kinsoku/>
        <w:wordWrap/>
        <w:overflowPunct/>
        <w:topLinePunct w:val="0"/>
        <w:autoSpaceDE/>
        <w:autoSpaceDN/>
        <w:bidi w:val="0"/>
        <w:adjustRightInd/>
        <w:snapToGrid/>
        <w:spacing w:line="480" w:lineRule="auto"/>
        <w:ind w:left="480" w:hanging="480" w:hangingChars="20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Jing, N. . (2020). Research on Tesla's Customer Care Innovation. 2020 Management Science Informatization and Economic Innovation Development Conference (MSIEID).</w:t>
      </w:r>
    </w:p>
    <w:p>
      <w:pPr>
        <w:keepNext w:val="0"/>
        <w:keepLines w:val="0"/>
        <w:pageBreakBefore w:val="0"/>
        <w:widowControl w:val="0"/>
        <w:kinsoku/>
        <w:wordWrap/>
        <w:overflowPunct/>
        <w:topLinePunct w:val="0"/>
        <w:autoSpaceDE/>
        <w:autoSpaceDN/>
        <w:bidi w:val="0"/>
        <w:adjustRightInd/>
        <w:snapToGrid/>
        <w:spacing w:line="480" w:lineRule="auto"/>
        <w:ind w:left="480" w:hanging="480" w:hangingChars="20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Kocieniewski, D. , &amp;  Finch, G. . (2022). Tesla-backed startup made solar power a burden for the poorest (1). Environment &amp; Energy Report(Apr.).</w:t>
      </w:r>
    </w:p>
    <w:p>
      <w:pPr>
        <w:keepNext w:val="0"/>
        <w:keepLines w:val="0"/>
        <w:pageBreakBefore w:val="0"/>
        <w:widowControl w:val="0"/>
        <w:kinsoku/>
        <w:wordWrap/>
        <w:overflowPunct/>
        <w:topLinePunct w:val="0"/>
        <w:autoSpaceDE/>
        <w:autoSpaceDN/>
        <w:bidi w:val="0"/>
        <w:adjustRightInd/>
        <w:snapToGrid/>
        <w:spacing w:line="480" w:lineRule="auto"/>
        <w:ind w:left="480" w:hanging="480" w:hangingChars="20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Li,J.T.(2020).Prediction of the Future of Electric Vehicle in the US Market based on Tesla Inc.'s Case..(eds.)Proceedings of 2020 International Conference on Economic Development and Innovation (EDI 2020)(pp.207-215).BCP.</w:t>
      </w:r>
    </w:p>
    <w:p>
      <w:pPr>
        <w:keepNext w:val="0"/>
        <w:keepLines w:val="0"/>
        <w:pageBreakBefore w:val="0"/>
        <w:widowControl w:val="0"/>
        <w:kinsoku/>
        <w:wordWrap/>
        <w:overflowPunct/>
        <w:topLinePunct w:val="0"/>
        <w:autoSpaceDE/>
        <w:autoSpaceDN/>
        <w:bidi w:val="0"/>
        <w:adjustRightInd/>
        <w:snapToGrid/>
        <w:spacing w:line="480" w:lineRule="auto"/>
        <w:ind w:left="480" w:hanging="480" w:hangingChars="20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Lu, S. ,  Han, B. ,  Xue, F. ,  Jiang, L. , &amp;  Feng, X. . (2020). Stochastic bidding strategy of electric vehicles and energy storage systems in uncertain reserve market. IET Renewable Power Generation, 14(1).</w:t>
      </w:r>
    </w:p>
    <w:p>
      <w:pPr>
        <w:keepNext w:val="0"/>
        <w:keepLines w:val="0"/>
        <w:pageBreakBefore w:val="0"/>
        <w:widowControl w:val="0"/>
        <w:kinsoku/>
        <w:wordWrap/>
        <w:overflowPunct/>
        <w:topLinePunct w:val="0"/>
        <w:autoSpaceDE/>
        <w:autoSpaceDN/>
        <w:bidi w:val="0"/>
        <w:adjustRightInd/>
        <w:snapToGrid/>
        <w:spacing w:line="480" w:lineRule="auto"/>
        <w:ind w:left="480" w:hanging="480" w:hangingChars="20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Matthews, T., Hirve, M., Pan, Y., Dang, D., Rawar, E., &amp; Daim, T. U. (2020). Tesla Energy. In Innovation Management in the Intelligent World,233-249.</w:t>
      </w:r>
    </w:p>
    <w:p>
      <w:pPr>
        <w:keepNext w:val="0"/>
        <w:keepLines w:val="0"/>
        <w:pageBreakBefore w:val="0"/>
        <w:widowControl w:val="0"/>
        <w:kinsoku/>
        <w:wordWrap/>
        <w:overflowPunct/>
        <w:topLinePunct w:val="0"/>
        <w:autoSpaceDE/>
        <w:autoSpaceDN/>
        <w:bidi w:val="0"/>
        <w:adjustRightInd/>
        <w:snapToGrid/>
        <w:spacing w:line="480" w:lineRule="auto"/>
        <w:ind w:left="480" w:hanging="480" w:hangingChars="20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Ouerghi, D. . (2021). Tesla's ev sales increase over 35% in 2020 despite covid-19 setbacks. Metal Bulletin Daily(2).</w:t>
      </w:r>
    </w:p>
    <w:p>
      <w:pPr>
        <w:keepNext w:val="0"/>
        <w:keepLines w:val="0"/>
        <w:pageBreakBefore w:val="0"/>
        <w:widowControl w:val="0"/>
        <w:kinsoku/>
        <w:wordWrap/>
        <w:overflowPunct/>
        <w:topLinePunct w:val="0"/>
        <w:autoSpaceDE/>
        <w:autoSpaceDN/>
        <w:bidi w:val="0"/>
        <w:adjustRightInd/>
        <w:snapToGrid/>
        <w:spacing w:line="480" w:lineRule="auto"/>
        <w:ind w:left="480" w:hanging="480" w:hangingChars="20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Pareek, S., Sujil, A., Ratra, S., &amp; Kumar, R. (2020, February). Electric vehicle charging station Challenges and opportunities: a future perspective. In 2020 International Conference on Emerging Trends in Communication, Control and Computing (ICONC3) (pp. 1-6). IEEE.</w:t>
      </w:r>
    </w:p>
    <w:p>
      <w:pPr>
        <w:keepNext w:val="0"/>
        <w:keepLines w:val="0"/>
        <w:pageBreakBefore w:val="0"/>
        <w:widowControl w:val="0"/>
        <w:kinsoku/>
        <w:wordWrap/>
        <w:overflowPunct/>
        <w:topLinePunct w:val="0"/>
        <w:autoSpaceDE/>
        <w:autoSpaceDN/>
        <w:bidi w:val="0"/>
        <w:adjustRightInd/>
        <w:snapToGrid/>
        <w:spacing w:line="480" w:lineRule="auto"/>
        <w:ind w:left="480" w:hanging="480" w:hangingChars="20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Shimizu, O., Nagai, S., Fujita, T., &amp; Fujimoto, H. (2020). Potential for CO2 reduction by dynamic wireless power transfer for passenger vehicles in Japan. Energies, 13(13), 33.</w:t>
      </w:r>
    </w:p>
    <w:p>
      <w:pPr>
        <w:keepNext w:val="0"/>
        <w:keepLines w:val="0"/>
        <w:pageBreakBefore w:val="0"/>
        <w:widowControl w:val="0"/>
        <w:kinsoku/>
        <w:wordWrap/>
        <w:overflowPunct/>
        <w:topLinePunct w:val="0"/>
        <w:autoSpaceDE/>
        <w:autoSpaceDN/>
        <w:bidi w:val="0"/>
        <w:adjustRightInd/>
        <w:snapToGrid/>
        <w:spacing w:line="480" w:lineRule="auto"/>
        <w:ind w:left="480" w:hanging="480" w:hangingChars="20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Sun, Y. K. (2020). Promising all-solid-state batteries for future electric vehicles. ACS Energy Letters, 5(10), 3221-3223.</w:t>
      </w:r>
    </w:p>
    <w:p>
      <w:pPr>
        <w:keepNext w:val="0"/>
        <w:keepLines w:val="0"/>
        <w:pageBreakBefore w:val="0"/>
        <w:widowControl w:val="0"/>
        <w:kinsoku/>
        <w:wordWrap/>
        <w:overflowPunct/>
        <w:topLinePunct w:val="0"/>
        <w:autoSpaceDE/>
        <w:autoSpaceDN/>
        <w:bidi w:val="0"/>
        <w:adjustRightInd/>
        <w:snapToGrid/>
        <w:spacing w:line="480" w:lineRule="auto"/>
        <w:ind w:left="480" w:hanging="480" w:hangingChars="20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Tamara L. Sheldon &amp; Rubal D.(2020).Effectiveness of China's plug-in electric vehicle subsidy. Energy Economics(prepublish). doi:10.1016/j.eneco.2020.104773.</w:t>
      </w:r>
    </w:p>
    <w:p>
      <w:pPr>
        <w:keepNext w:val="0"/>
        <w:keepLines w:val="0"/>
        <w:pageBreakBefore w:val="0"/>
        <w:widowControl w:val="0"/>
        <w:kinsoku/>
        <w:wordWrap/>
        <w:overflowPunct/>
        <w:topLinePunct w:val="0"/>
        <w:autoSpaceDE/>
        <w:autoSpaceDN/>
        <w:bidi w:val="0"/>
        <w:adjustRightInd/>
        <w:snapToGrid/>
        <w:spacing w:line="480" w:lineRule="auto"/>
        <w:ind w:left="480" w:hanging="480" w:hangingChars="20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Teng, F., Ding, Z., Hu, Z., &amp; Sarikprueck, P. (2020). Technical review on advanced approaches for electric vehicle charging demand management, Part I: Applications in electric power market and renewable energy integration. IEEE Transactions on Industry Applications, 56(5), 5684-5694.</w:t>
      </w:r>
    </w:p>
    <w:p>
      <w:pPr>
        <w:keepNext w:val="0"/>
        <w:keepLines w:val="0"/>
        <w:pageBreakBefore w:val="0"/>
        <w:widowControl w:val="0"/>
        <w:kinsoku/>
        <w:wordWrap/>
        <w:overflowPunct/>
        <w:topLinePunct w:val="0"/>
        <w:autoSpaceDE/>
        <w:autoSpaceDN/>
        <w:bidi w:val="0"/>
        <w:adjustRightInd/>
        <w:snapToGrid/>
        <w:spacing w:line="480" w:lineRule="auto"/>
        <w:ind w:left="480" w:hanging="480" w:hangingChars="20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Weatherby, T. &amp; Somner,J.(2019).Promoting electric vehicle uptake, a job for the NHS?. Clinical medicine (London, England)(6). doi:10.7861/clinmed.2019-0236.</w:t>
      </w:r>
    </w:p>
    <w:p>
      <w:pPr>
        <w:keepNext w:val="0"/>
        <w:keepLines w:val="0"/>
        <w:pageBreakBefore w:val="0"/>
        <w:widowControl w:val="0"/>
        <w:kinsoku/>
        <w:wordWrap/>
        <w:overflowPunct/>
        <w:topLinePunct w:val="0"/>
        <w:autoSpaceDE/>
        <w:autoSpaceDN/>
        <w:bidi w:val="0"/>
        <w:adjustRightInd/>
        <w:snapToGrid/>
        <w:spacing w:line="480" w:lineRule="auto"/>
        <w:ind w:left="480" w:hanging="480" w:hangingChars="20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Xue, C. ,  Zhou, H. ,  Wu, Q. ,  Wu, X. , &amp;  Xu, X. . (2021). Impact of incentive policies and other socio-economic factors on electric vehicle market share: a panel data analysis from the 20 countries. Sustainability, 13.</w:t>
      </w:r>
    </w:p>
    <w:p>
      <w:pPr>
        <w:keepNext w:val="0"/>
        <w:keepLines w:val="0"/>
        <w:pageBreakBefore w:val="0"/>
        <w:widowControl w:val="0"/>
        <w:kinsoku/>
        <w:wordWrap/>
        <w:overflowPunct/>
        <w:topLinePunct w:val="0"/>
        <w:autoSpaceDE/>
        <w:autoSpaceDN/>
        <w:bidi w:val="0"/>
        <w:adjustRightInd/>
        <w:snapToGrid/>
        <w:spacing w:line="480" w:lineRule="auto"/>
        <w:ind w:left="480" w:hanging="480" w:hangingChars="20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Zhao, T. (2021). Analysis of New Energy Vehicle Pricing from the Perspective of Management Economics——Taking Tesla as an Example. In 2021 2nd International Conference on Internet and E-Business,134-138.</w:t>
      </w:r>
    </w:p>
    <w:p>
      <w:pPr>
        <w:keepNext w:val="0"/>
        <w:keepLines w:val="0"/>
        <w:pageBreakBefore w:val="0"/>
        <w:widowControl w:val="0"/>
        <w:kinsoku/>
        <w:wordWrap/>
        <w:overflowPunct/>
        <w:topLinePunct w:val="0"/>
        <w:autoSpaceDE/>
        <w:autoSpaceDN/>
        <w:bidi w:val="0"/>
        <w:adjustRightInd/>
        <w:snapToGrid/>
        <w:spacing w:line="480" w:lineRule="auto"/>
        <w:ind w:left="480" w:hanging="480" w:hangingChars="20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Ziemba, P. (2020). Multi-criteria stochastic selection of electric vehicles for the sustainable development of local government and state administration units in Poland. Energies, 13(23), 62.</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b w:val="0"/>
          <w:bCs w:val="0"/>
          <w:sz w:val="24"/>
          <w:szCs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 w:name="Times New Roman Bold">
    <w:altName w:val="Times New Roman"/>
    <w:panose1 w:val="02020503050405090304"/>
    <w:charset w:val="00"/>
    <w:family w:val="roman"/>
    <w:pitch w:val="default"/>
    <w:sig w:usb0="00000000" w:usb1="00000000" w:usb2="00000001" w:usb3="00000000" w:csb0="400001BF" w:csb1="DFF70000"/>
  </w:font>
  <w:font w:name="Segoe UI">
    <w:panose1 w:val="020B0502040204020203"/>
    <w:charset w:val="00"/>
    <w:family w:val="auto"/>
    <w:pitch w:val="default"/>
    <w:sig w:usb0="E4002EFF" w:usb1="C000E47F"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U1NmFkYjM2ZjVlNjlhYTExODFlMTExZDY5YzQ0NzkifQ=="/>
  </w:docVars>
  <w:rsids>
    <w:rsidRoot w:val="00000000"/>
    <w:rsid w:val="06471FDD"/>
    <w:rsid w:val="0DC2312F"/>
    <w:rsid w:val="11025AA5"/>
    <w:rsid w:val="116D386B"/>
    <w:rsid w:val="1CC41839"/>
    <w:rsid w:val="288011CF"/>
    <w:rsid w:val="29426E0B"/>
    <w:rsid w:val="2E403FCD"/>
    <w:rsid w:val="3D807F9A"/>
    <w:rsid w:val="4B2739CD"/>
    <w:rsid w:val="4F0A6967"/>
    <w:rsid w:val="5B494045"/>
    <w:rsid w:val="67052690"/>
    <w:rsid w:val="6B1F4E70"/>
    <w:rsid w:val="6C8E1A8E"/>
    <w:rsid w:val="6CCE7B68"/>
    <w:rsid w:val="7B526A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character" w:styleId="5">
    <w:name w:val="Hyperlink"/>
    <w:basedOn w:val="4"/>
    <w:qFormat/>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8</TotalTime>
  <ScaleCrop>false</ScaleCrop>
  <LinksUpToDate>false</LinksUpToDate>
  <CharactersWithSpaces>0</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2022-12-13T10:31:00Z</dcterms:created>
  <dc:creator>wanga</dc:creator>
  <cp:lastModifiedBy>〃</cp:lastModifiedBy>
  <dcterms:modified xsi:type="dcterms:W3CDTF">2022-12-14T15:18:49Z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EAA054B1F4204004BAA2F55DA88FEB30</vt:lpwstr>
  </property>
</Properties>
</file>