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DAF8F0" w14:textId="77777777" w:rsidR="009C0F13" w:rsidRDefault="009C0F13" w:rsidP="009C0F13">
      <w:pPr>
        <w:spacing w:line="360" w:lineRule="auto"/>
        <w:rPr>
          <w:rFonts w:ascii="Times New Roman" w:eastAsia="Times New Roman" w:hAnsi="Times New Roman" w:cs="Times New Roman"/>
          <w:b/>
          <w:sz w:val="32"/>
          <w:szCs w:val="32"/>
        </w:rPr>
      </w:pPr>
    </w:p>
    <w:p w14:paraId="2B8CE2E2" w14:textId="77777777" w:rsidR="009C0F13" w:rsidRDefault="009C0F13" w:rsidP="009C0F13">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Code: LCBB6002</w:t>
      </w:r>
    </w:p>
    <w:p w14:paraId="56E8CDD2" w14:textId="77777777" w:rsidR="009C0F13" w:rsidRDefault="009C0F13" w:rsidP="009C0F13">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Name: International Financial Management</w:t>
      </w:r>
    </w:p>
    <w:p w14:paraId="3C2CC356" w14:textId="77777777" w:rsidR="009C0F13" w:rsidRDefault="009C0F13" w:rsidP="009C0F13">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Name and ID: Laura-</w:t>
      </w:r>
      <w:proofErr w:type="spellStart"/>
      <w:r>
        <w:rPr>
          <w:rFonts w:ascii="Times New Roman" w:eastAsia="Times New Roman" w:hAnsi="Times New Roman" w:cs="Times New Roman"/>
          <w:b/>
          <w:sz w:val="32"/>
          <w:szCs w:val="32"/>
        </w:rPr>
        <w:t>Andreea</w:t>
      </w:r>
      <w:proofErr w:type="spellEnd"/>
      <w:r>
        <w:rPr>
          <w:rFonts w:ascii="Times New Roman" w:eastAsia="Times New Roman" w:hAnsi="Times New Roman" w:cs="Times New Roman"/>
          <w:b/>
          <w:sz w:val="32"/>
          <w:szCs w:val="32"/>
        </w:rPr>
        <w:t xml:space="preserve"> </w:t>
      </w:r>
      <w:proofErr w:type="spellStart"/>
      <w:r>
        <w:rPr>
          <w:rFonts w:ascii="Times New Roman" w:eastAsia="Times New Roman" w:hAnsi="Times New Roman" w:cs="Times New Roman"/>
          <w:b/>
          <w:sz w:val="32"/>
          <w:szCs w:val="32"/>
        </w:rPr>
        <w:t>Doru</w:t>
      </w:r>
      <w:proofErr w:type="spellEnd"/>
      <w:r>
        <w:rPr>
          <w:rFonts w:ascii="Times New Roman" w:eastAsia="Times New Roman" w:hAnsi="Times New Roman" w:cs="Times New Roman"/>
          <w:b/>
          <w:sz w:val="32"/>
          <w:szCs w:val="32"/>
        </w:rPr>
        <w:t xml:space="preserve"> (2125338)</w:t>
      </w:r>
    </w:p>
    <w:p w14:paraId="1C4E901D" w14:textId="77777777" w:rsidR="009C0F13" w:rsidRDefault="009C0F13" w:rsidP="009C0F13">
      <w:pPr>
        <w:spacing w:after="80"/>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Assessment 1</w:t>
      </w:r>
    </w:p>
    <w:p w14:paraId="0CFB6229" w14:textId="77777777" w:rsidR="009C0F13" w:rsidRDefault="009C0F13" w:rsidP="009C0F13">
      <w:pPr>
        <w:spacing w:after="80"/>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Written Report</w:t>
      </w:r>
    </w:p>
    <w:p w14:paraId="22F16629" w14:textId="77777777" w:rsidR="009C0F13" w:rsidRDefault="009C0F13" w:rsidP="009C0F13">
      <w:pPr>
        <w:spacing w:after="80"/>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Word Count: </w:t>
      </w:r>
      <w:r>
        <w:rPr>
          <w:rFonts w:ascii="Times New Roman" w:eastAsia="Times New Roman" w:hAnsi="Times New Roman" w:cs="Times New Roman"/>
          <w:sz w:val="32"/>
          <w:szCs w:val="32"/>
        </w:rPr>
        <w:t>1500</w:t>
      </w:r>
    </w:p>
    <w:p w14:paraId="21E8ED44" w14:textId="77777777" w:rsidR="009C0F13" w:rsidRDefault="009C0F13" w:rsidP="009C0F13">
      <w:pPr>
        <w:rPr>
          <w:rFonts w:ascii="Times New Roman" w:eastAsia="Times New Roman" w:hAnsi="Times New Roman" w:cs="Times New Roman"/>
          <w:b/>
          <w:sz w:val="32"/>
          <w:szCs w:val="32"/>
        </w:rPr>
      </w:pPr>
      <w:r>
        <w:br w:type="page"/>
      </w:r>
    </w:p>
    <w:p w14:paraId="7FE31048" w14:textId="77777777" w:rsidR="009C0F13" w:rsidRDefault="009C0F13" w:rsidP="009C0F13">
      <w:pPr>
        <w:keepNext/>
        <w:keepLines/>
        <w:pBdr>
          <w:top w:val="nil"/>
          <w:left w:val="nil"/>
          <w:bottom w:val="nil"/>
          <w:right w:val="nil"/>
          <w:between w:val="nil"/>
        </w:pBdr>
        <w:spacing w:before="24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Table of Contents</w:t>
      </w:r>
    </w:p>
    <w:sdt>
      <w:sdtPr>
        <w:id w:val="-842012807"/>
        <w:docPartObj>
          <w:docPartGallery w:val="Table of Contents"/>
          <w:docPartUnique/>
        </w:docPartObj>
      </w:sdtPr>
      <w:sdtContent>
        <w:p w14:paraId="44F49E68" w14:textId="77777777" w:rsidR="009C0F13" w:rsidRDefault="009C0F13" w:rsidP="009C0F13">
          <w:pPr>
            <w:widowControl w:val="0"/>
            <w:tabs>
              <w:tab w:val="right" w:pos="12000"/>
            </w:tabs>
            <w:spacing w:before="60" w:line="240" w:lineRule="auto"/>
            <w:rPr>
              <w:rFonts w:ascii="Times New Roman" w:eastAsia="Times New Roman" w:hAnsi="Times New Roman" w:cs="Times New Roman"/>
              <w:b/>
              <w:color w:val="000000"/>
              <w:sz w:val="24"/>
              <w:szCs w:val="24"/>
            </w:rPr>
          </w:pPr>
          <w:r>
            <w:fldChar w:fldCharType="begin"/>
          </w:r>
          <w:r>
            <w:instrText xml:space="preserve"> TOC \h \u \z \t "Heading 1,1,Heading 2,2,Heading 3,3,"</w:instrText>
          </w:r>
          <w:r>
            <w:fldChar w:fldCharType="separate"/>
          </w:r>
          <w:hyperlink w:anchor="_heading=h.30j0zll">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t>3</w:t>
            </w:r>
          </w:hyperlink>
        </w:p>
        <w:p w14:paraId="776DC62F" w14:textId="77777777" w:rsidR="009C0F13" w:rsidRDefault="00000000" w:rsidP="009C0F13">
          <w:pPr>
            <w:widowControl w:val="0"/>
            <w:tabs>
              <w:tab w:val="right" w:pos="12000"/>
            </w:tabs>
            <w:spacing w:before="60" w:line="240" w:lineRule="auto"/>
            <w:rPr>
              <w:rFonts w:ascii="Times New Roman" w:eastAsia="Times New Roman" w:hAnsi="Times New Roman" w:cs="Times New Roman"/>
              <w:b/>
              <w:color w:val="000000"/>
              <w:sz w:val="24"/>
              <w:szCs w:val="24"/>
            </w:rPr>
          </w:pPr>
          <w:hyperlink w:anchor="_heading=h.5p2s6scye8im">
            <w:r w:rsidR="009C0F13">
              <w:rPr>
                <w:rFonts w:ascii="Times New Roman" w:eastAsia="Times New Roman" w:hAnsi="Times New Roman" w:cs="Times New Roman"/>
                <w:color w:val="000000"/>
                <w:sz w:val="24"/>
                <w:szCs w:val="24"/>
              </w:rPr>
              <w:t>International Financial Management for managing a foreign operation</w:t>
            </w:r>
            <w:r w:rsidR="009C0F13">
              <w:rPr>
                <w:rFonts w:ascii="Times New Roman" w:eastAsia="Times New Roman" w:hAnsi="Times New Roman" w:cs="Times New Roman"/>
                <w:color w:val="000000"/>
                <w:sz w:val="24"/>
                <w:szCs w:val="24"/>
              </w:rPr>
              <w:tab/>
              <w:t>3</w:t>
            </w:r>
          </w:hyperlink>
        </w:p>
        <w:p w14:paraId="4958E113" w14:textId="77777777" w:rsidR="009C0F13" w:rsidRDefault="00000000" w:rsidP="009C0F13">
          <w:pPr>
            <w:widowControl w:val="0"/>
            <w:tabs>
              <w:tab w:val="right" w:pos="12000"/>
            </w:tabs>
            <w:spacing w:before="60" w:line="240" w:lineRule="auto"/>
            <w:rPr>
              <w:rFonts w:ascii="Times New Roman" w:eastAsia="Times New Roman" w:hAnsi="Times New Roman" w:cs="Times New Roman"/>
              <w:b/>
              <w:color w:val="000000"/>
              <w:sz w:val="24"/>
              <w:szCs w:val="24"/>
            </w:rPr>
          </w:pPr>
          <w:hyperlink w:anchor="_heading=h.1fob9te">
            <w:r w:rsidR="009C0F13">
              <w:rPr>
                <w:rFonts w:ascii="Times New Roman" w:eastAsia="Times New Roman" w:hAnsi="Times New Roman" w:cs="Times New Roman"/>
                <w:color w:val="000000"/>
                <w:sz w:val="24"/>
                <w:szCs w:val="24"/>
              </w:rPr>
              <w:t>Evaluation of methods for financing international business</w:t>
            </w:r>
            <w:r w:rsidR="009C0F13">
              <w:rPr>
                <w:rFonts w:ascii="Times New Roman" w:eastAsia="Times New Roman" w:hAnsi="Times New Roman" w:cs="Times New Roman"/>
                <w:color w:val="000000"/>
                <w:sz w:val="24"/>
                <w:szCs w:val="24"/>
              </w:rPr>
              <w:tab/>
              <w:t>4</w:t>
            </w:r>
          </w:hyperlink>
        </w:p>
        <w:p w14:paraId="71BF743C" w14:textId="77777777" w:rsidR="009C0F13" w:rsidRDefault="00000000" w:rsidP="009C0F13">
          <w:pPr>
            <w:widowControl w:val="0"/>
            <w:tabs>
              <w:tab w:val="right" w:pos="12000"/>
            </w:tabs>
            <w:spacing w:before="60" w:line="240" w:lineRule="auto"/>
            <w:rPr>
              <w:rFonts w:ascii="Times New Roman" w:eastAsia="Times New Roman" w:hAnsi="Times New Roman" w:cs="Times New Roman"/>
              <w:b/>
              <w:color w:val="000000"/>
              <w:sz w:val="24"/>
              <w:szCs w:val="24"/>
            </w:rPr>
          </w:pPr>
          <w:hyperlink w:anchor="_heading=h.3znysh7">
            <w:r w:rsidR="009C0F13">
              <w:rPr>
                <w:rFonts w:ascii="Times New Roman" w:eastAsia="Times New Roman" w:hAnsi="Times New Roman" w:cs="Times New Roman"/>
                <w:color w:val="000000"/>
                <w:sz w:val="24"/>
                <w:szCs w:val="24"/>
              </w:rPr>
              <w:t>Structure of the International Financial Model</w:t>
            </w:r>
            <w:r w:rsidR="009C0F13">
              <w:rPr>
                <w:rFonts w:ascii="Times New Roman" w:eastAsia="Times New Roman" w:hAnsi="Times New Roman" w:cs="Times New Roman"/>
                <w:color w:val="000000"/>
                <w:sz w:val="24"/>
                <w:szCs w:val="24"/>
              </w:rPr>
              <w:tab/>
              <w:t>6</w:t>
            </w:r>
          </w:hyperlink>
        </w:p>
        <w:p w14:paraId="58DB15EF" w14:textId="77777777" w:rsidR="009C0F13" w:rsidRDefault="00000000" w:rsidP="009C0F13">
          <w:pPr>
            <w:widowControl w:val="0"/>
            <w:tabs>
              <w:tab w:val="right" w:pos="12000"/>
            </w:tabs>
            <w:spacing w:before="60" w:line="240" w:lineRule="auto"/>
            <w:rPr>
              <w:rFonts w:ascii="Times New Roman" w:eastAsia="Times New Roman" w:hAnsi="Times New Roman" w:cs="Times New Roman"/>
              <w:b/>
              <w:color w:val="000000"/>
              <w:sz w:val="24"/>
              <w:szCs w:val="24"/>
            </w:rPr>
          </w:pPr>
          <w:hyperlink w:anchor="_heading=h.a60nee9c1gyj">
            <w:r w:rsidR="009C0F13">
              <w:rPr>
                <w:rFonts w:ascii="Times New Roman" w:eastAsia="Times New Roman" w:hAnsi="Times New Roman" w:cs="Times New Roman"/>
                <w:color w:val="000000"/>
                <w:sz w:val="24"/>
                <w:szCs w:val="24"/>
              </w:rPr>
              <w:t>Conclusion</w:t>
            </w:r>
            <w:r w:rsidR="009C0F13">
              <w:rPr>
                <w:rFonts w:ascii="Times New Roman" w:eastAsia="Times New Roman" w:hAnsi="Times New Roman" w:cs="Times New Roman"/>
                <w:color w:val="000000"/>
                <w:sz w:val="24"/>
                <w:szCs w:val="24"/>
              </w:rPr>
              <w:tab/>
              <w:t>7</w:t>
            </w:r>
          </w:hyperlink>
        </w:p>
        <w:p w14:paraId="67E560A4" w14:textId="77777777" w:rsidR="009C0F13" w:rsidRDefault="00000000" w:rsidP="009C0F13">
          <w:pPr>
            <w:widowControl w:val="0"/>
            <w:tabs>
              <w:tab w:val="right" w:pos="12000"/>
            </w:tabs>
            <w:spacing w:before="60" w:line="240" w:lineRule="auto"/>
            <w:rPr>
              <w:rFonts w:ascii="Times New Roman" w:eastAsia="Times New Roman" w:hAnsi="Times New Roman" w:cs="Times New Roman"/>
              <w:b/>
              <w:color w:val="000000"/>
              <w:sz w:val="24"/>
              <w:szCs w:val="24"/>
            </w:rPr>
          </w:pPr>
          <w:hyperlink w:anchor="_heading=h.2et92p0">
            <w:r w:rsidR="009C0F13">
              <w:rPr>
                <w:rFonts w:ascii="Times New Roman" w:eastAsia="Times New Roman" w:hAnsi="Times New Roman" w:cs="Times New Roman"/>
                <w:color w:val="000000"/>
                <w:sz w:val="24"/>
                <w:szCs w:val="24"/>
                <w:highlight w:val="white"/>
              </w:rPr>
              <w:t>Referencing</w:t>
            </w:r>
            <w:r w:rsidR="009C0F13">
              <w:rPr>
                <w:rFonts w:ascii="Times New Roman" w:eastAsia="Times New Roman" w:hAnsi="Times New Roman" w:cs="Times New Roman"/>
                <w:color w:val="000000"/>
                <w:sz w:val="24"/>
                <w:szCs w:val="24"/>
                <w:highlight w:val="white"/>
              </w:rPr>
              <w:tab/>
              <w:t>8</w:t>
            </w:r>
          </w:hyperlink>
          <w:r w:rsidR="009C0F13">
            <w:fldChar w:fldCharType="end"/>
          </w:r>
        </w:p>
      </w:sdtContent>
    </w:sdt>
    <w:p w14:paraId="65B96637" w14:textId="77777777" w:rsidR="009C0F13" w:rsidRDefault="009C0F13" w:rsidP="009C0F13">
      <w:pPr>
        <w:spacing w:line="360" w:lineRule="auto"/>
        <w:jc w:val="both"/>
        <w:rPr>
          <w:rFonts w:ascii="Times New Roman" w:eastAsia="Times New Roman" w:hAnsi="Times New Roman" w:cs="Times New Roman"/>
          <w:b/>
          <w:sz w:val="32"/>
          <w:szCs w:val="32"/>
        </w:rPr>
      </w:pPr>
      <w:bookmarkStart w:id="0" w:name="_heading=h.gjdgxs" w:colFirst="0" w:colLast="0"/>
      <w:bookmarkEnd w:id="0"/>
      <w:r>
        <w:br w:type="page"/>
      </w:r>
    </w:p>
    <w:p w14:paraId="149348BD" w14:textId="77777777" w:rsidR="009C0F13" w:rsidRDefault="009C0F13" w:rsidP="009C0F13">
      <w:pPr>
        <w:pStyle w:val="Heading1"/>
      </w:pPr>
      <w:bookmarkStart w:id="1" w:name="_heading=h.30j0zll" w:colFirst="0" w:colLast="0"/>
      <w:bookmarkEnd w:id="1"/>
      <w:r>
        <w:lastRenderedPageBreak/>
        <w:t xml:space="preserve">Introduction </w:t>
      </w:r>
    </w:p>
    <w:p w14:paraId="715A3EB1" w14:textId="77777777" w:rsidR="009C0F13" w:rsidRDefault="009C0F13" w:rsidP="009C0F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Foreign exchange is also known as currency risk. There is the possibility of potential financial loss due to the instability of exchange rates of different currencies. This fact can affect businesses that are involved in the international market and trade overseas. This factor is also important and effectively impacts international investors, exporters, and importers. There are three types of foreign exchange risk: the first one is transaction risk, economic risk and the last is translation risk. Exchange rates fluctuate because of the supply and demand of currency. This report is mainly aimed at evaluating various strategies that various multinational organizations often apply within their management system to mitigate the exposure to foreign exchange risk based on International Financial Management theories.</w:t>
      </w:r>
    </w:p>
    <w:p w14:paraId="2E2409CF" w14:textId="77777777" w:rsidR="009C0F13" w:rsidRDefault="009C0F13" w:rsidP="009C0F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697B218" wp14:editId="24980ED9">
            <wp:extent cx="3416273" cy="2148111"/>
            <wp:effectExtent l="25400" t="25400" r="25400" b="25400"/>
            <wp:docPr id="3" name="image1.png" descr="A diagram of a model&#10;&#10;Description automatically generated"/>
            <wp:cNvGraphicFramePr/>
            <a:graphic xmlns:a="http://schemas.openxmlformats.org/drawingml/2006/main">
              <a:graphicData uri="http://schemas.openxmlformats.org/drawingml/2006/picture">
                <pic:pic xmlns:pic="http://schemas.openxmlformats.org/drawingml/2006/picture">
                  <pic:nvPicPr>
                    <pic:cNvPr id="3" name="image1.png" descr="A diagram of a model&#10;&#10;Description automatically generated"/>
                    <pic:cNvPicPr preferRelativeResize="0"/>
                  </pic:nvPicPr>
                  <pic:blipFill>
                    <a:blip r:embed="rId6"/>
                    <a:srcRect/>
                    <a:stretch>
                      <a:fillRect/>
                    </a:stretch>
                  </pic:blipFill>
                  <pic:spPr>
                    <a:xfrm>
                      <a:off x="0" y="0"/>
                      <a:ext cx="3416273" cy="2148111"/>
                    </a:xfrm>
                    <a:prstGeom prst="rect">
                      <a:avLst/>
                    </a:prstGeom>
                    <a:ln w="25400">
                      <a:solidFill>
                        <a:srgbClr val="000000"/>
                      </a:solidFill>
                      <a:prstDash val="solid"/>
                    </a:ln>
                  </pic:spPr>
                </pic:pic>
              </a:graphicData>
            </a:graphic>
          </wp:inline>
        </w:drawing>
      </w:r>
    </w:p>
    <w:p w14:paraId="37990744" w14:textId="77777777" w:rsidR="009C0F13" w:rsidRDefault="009C0F13" w:rsidP="009C0F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DCF Model</w:t>
      </w:r>
    </w:p>
    <w:p w14:paraId="04B896F8" w14:textId="77777777" w:rsidR="009C0F13" w:rsidRDefault="009C0F13" w:rsidP="009C0F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w:t>
      </w:r>
      <w:proofErr w:type="spellStart"/>
      <w:r>
        <w:rPr>
          <w:rFonts w:ascii="Times New Roman" w:eastAsia="Times New Roman" w:hAnsi="Times New Roman" w:cs="Times New Roman"/>
          <w:sz w:val="24"/>
          <w:szCs w:val="24"/>
        </w:rPr>
        <w:t>Nyim</w:t>
      </w:r>
      <w:proofErr w:type="spellEnd"/>
      <w:r>
        <w:rPr>
          <w:rFonts w:ascii="Times New Roman" w:eastAsia="Times New Roman" w:hAnsi="Times New Roman" w:cs="Times New Roman"/>
          <w:sz w:val="24"/>
          <w:szCs w:val="24"/>
        </w:rPr>
        <w:t>, 2024)</w:t>
      </w:r>
    </w:p>
    <w:p w14:paraId="388464B6" w14:textId="6ECA9982" w:rsidR="009C0F13" w:rsidRDefault="009C0F13" w:rsidP="009C0F13">
      <w:pPr>
        <w:pStyle w:val="Heading1"/>
      </w:pPr>
      <w:bookmarkStart w:id="2" w:name="_heading=h.5p2s6scye8im" w:colFirst="0" w:colLast="0"/>
      <w:bookmarkEnd w:id="2"/>
      <w:r>
        <w:t xml:space="preserve">International Financial Management for managing a foreign </w:t>
      </w:r>
      <w:r w:rsidR="00BC4E3C">
        <w:t>operation.</w:t>
      </w:r>
      <w:r>
        <w:t xml:space="preserve"> </w:t>
      </w:r>
    </w:p>
    <w:p w14:paraId="4A1871EF" w14:textId="77777777" w:rsidR="009C0F13" w:rsidRDefault="009C0F13" w:rsidP="009C0F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Many multinational corporations venture into foreign countries through unprecedented investment. Multinational corporations follow their business expansion in many global South countries including Brazil, Russia, India, China, Vietnam, and other countries due to lower exchange rates and more affordability of employees. Global South countries receive large-scale foreign direct investment. Entry into foreign markets is mediated by the rules and regulations of WTO.</w:t>
      </w:r>
    </w:p>
    <w:p w14:paraId="26D7B32B" w14:textId="77777777" w:rsidR="009C0F13" w:rsidRDefault="009C0F13" w:rsidP="009C0F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primary factors linked to entering foreign markets, as per Dang et al. (2020), are operational problems, competitive intensity, operational problems, and uncertainty and hazards related to the timing of entry. Trade between countries or individuals is the distinguishing characteristic of the </w:t>
      </w:r>
      <w:r>
        <w:rPr>
          <w:rFonts w:ascii="Times New Roman" w:eastAsia="Times New Roman" w:hAnsi="Times New Roman" w:cs="Times New Roman"/>
          <w:sz w:val="24"/>
          <w:szCs w:val="24"/>
        </w:rPr>
        <w:lastRenderedPageBreak/>
        <w:t>international financial market. Under specific provisions, assets are traded among agents as well as institutions in international financial trade, which is governed by a set of rules and institutions. Numerous multinational corporations implement the discounted cash flow model, which entails investing based on anticipated future cash flows.  The DCF model is employed by analysts to ascertain the value of an investment by analysing projections and the anticipated revenue it will bring in in the future. The present value of anticipated future cash flows is determined through discounted cash flow analysis, which employs a discount rate (</w:t>
      </w:r>
      <w:proofErr w:type="spellStart"/>
      <w:r>
        <w:rPr>
          <w:rFonts w:ascii="Times New Roman" w:eastAsia="Times New Roman" w:hAnsi="Times New Roman" w:cs="Times New Roman"/>
          <w:sz w:val="24"/>
          <w:szCs w:val="24"/>
        </w:rPr>
        <w:t>Nikolaieva</w:t>
      </w:r>
      <w:proofErr w:type="spellEnd"/>
      <w:r>
        <w:rPr>
          <w:rFonts w:ascii="Times New Roman" w:eastAsia="Times New Roman" w:hAnsi="Times New Roman" w:cs="Times New Roman"/>
          <w:sz w:val="24"/>
          <w:szCs w:val="24"/>
        </w:rPr>
        <w:t xml:space="preserve"> et al., 2020). </w:t>
      </w:r>
    </w:p>
    <w:p w14:paraId="3C014E31" w14:textId="77777777" w:rsidR="009C0F13" w:rsidRDefault="009C0F13" w:rsidP="009C0F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Investors use the present value of money to assess the future cash flows of investment. The model emphasizes generating higher revenue compared to the current investment. Discounted cash flow analysis is an integral tool for understanding what investors might receive from an investment and considering the value of money through adjusting time-based inflation. The time value of money is variable as currency values fluctuate. DCF analysis emphasizes paying money in the present times with receiving more money in the future. International financial management follows international business-government relations (IBGR) to maintain interaction between stakeholders including host governments (Doh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w:t>
      </w:r>
    </w:p>
    <w:p w14:paraId="192171EA" w14:textId="77777777" w:rsidR="009C0F13" w:rsidRDefault="009C0F13" w:rsidP="009C0F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Multinational companies must focus extensively on government relations as taxation is an important factor for business growth. Unfavourable taxation and the probability of regime changes affect business values and increase future uncertainty. Additionally, businesses are looking for markets that have a high potential for business opportunity exploitation and lack considerable competition is a major aspect of entering new markets. International financial management became more relevant in the 90s when many countries transitioned from a socialist economy to a liberalized economy (</w:t>
      </w:r>
      <w:proofErr w:type="spellStart"/>
      <w:r>
        <w:rPr>
          <w:rFonts w:ascii="Times New Roman" w:eastAsia="Times New Roman" w:hAnsi="Times New Roman" w:cs="Times New Roman"/>
          <w:sz w:val="24"/>
          <w:szCs w:val="24"/>
        </w:rPr>
        <w:t>Dabrowski</w:t>
      </w:r>
      <w:proofErr w:type="spellEnd"/>
      <w:r>
        <w:rPr>
          <w:rFonts w:ascii="Times New Roman" w:eastAsia="Times New Roman" w:hAnsi="Times New Roman" w:cs="Times New Roman"/>
          <w:sz w:val="24"/>
          <w:szCs w:val="24"/>
        </w:rPr>
        <w:t>, 2020). Many multinational firms have rapidly entered these countries through direct investment and opportunities. Furthermore, FDI has helped many governments to maintain stability by following WTO guidelines. It has been found owner and personal characteristic differences are also a significant factor for risk management strategies.</w:t>
      </w:r>
    </w:p>
    <w:p w14:paraId="331BD5C1" w14:textId="77777777" w:rsidR="009C0F13" w:rsidRDefault="009C0F13" w:rsidP="009C0F13">
      <w:pPr>
        <w:pStyle w:val="Heading1"/>
      </w:pPr>
      <w:bookmarkStart w:id="3" w:name="_heading=h.1fob9te" w:colFirst="0" w:colLast="0"/>
      <w:bookmarkEnd w:id="3"/>
      <w:r>
        <w:t xml:space="preserve">Evaluation of methods for financing international business </w:t>
      </w:r>
    </w:p>
    <w:p w14:paraId="4DE42C59" w14:textId="77777777" w:rsidR="009C0F13" w:rsidRDefault="009C0F13" w:rsidP="009C0F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Stakeholders are the individuals who are the major internal part of a project or teamwork. The stakeholder analysis process follows identifying people, levels of participation, interest, and influence in the project. In the context of international financial management, financial institution plays an important role as a mediator that lends money to clients or businesses in exchange for collateral. Commercial banks, investment banks, and other financial institutions play a pivotal role </w:t>
      </w:r>
      <w:r>
        <w:rPr>
          <w:rFonts w:ascii="Times New Roman" w:eastAsia="Times New Roman" w:hAnsi="Times New Roman" w:cs="Times New Roman"/>
          <w:sz w:val="24"/>
          <w:szCs w:val="24"/>
        </w:rPr>
        <w:lastRenderedPageBreak/>
        <w:t>in financing business operations and maintaining cash flow across different business entities across different locations (</w:t>
      </w:r>
      <w:proofErr w:type="spellStart"/>
      <w:r>
        <w:rPr>
          <w:rFonts w:ascii="Times New Roman" w:eastAsia="Times New Roman" w:hAnsi="Times New Roman" w:cs="Times New Roman"/>
          <w:sz w:val="24"/>
          <w:szCs w:val="24"/>
        </w:rPr>
        <w:t>Prebanić</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Vukomanović</w:t>
      </w:r>
      <w:proofErr w:type="spellEnd"/>
      <w:r>
        <w:rPr>
          <w:rFonts w:ascii="Times New Roman" w:eastAsia="Times New Roman" w:hAnsi="Times New Roman" w:cs="Times New Roman"/>
          <w:sz w:val="24"/>
          <w:szCs w:val="24"/>
        </w:rPr>
        <w:t xml:space="preserve">, 2023). International financing is the branch of financial economics that is concerned with maintaining monetary relationships at the global level. It helps to examine the dynamics of foreign direct investment, balance of payments, allocation of funds, and balance of payments. International financing encourages monetary mediates inflow and outflow of finance between two or more countries. The source of international financing consists of three main bodies including commercial banks, international agencies development banks, and international capital markets. </w:t>
      </w:r>
    </w:p>
    <w:p w14:paraId="45862700" w14:textId="77777777" w:rsidR="009C0F13" w:rsidRDefault="009C0F13" w:rsidP="009C0F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87E6349" wp14:editId="23B3DA29">
            <wp:extent cx="3333750" cy="1888964"/>
            <wp:effectExtent l="25400" t="25400" r="25400" b="25400"/>
            <wp:docPr id="4" name="image2.png" descr="A diagram of a financial system&#10;&#10;Description automatically generated"/>
            <wp:cNvGraphicFramePr/>
            <a:graphic xmlns:a="http://schemas.openxmlformats.org/drawingml/2006/main">
              <a:graphicData uri="http://schemas.openxmlformats.org/drawingml/2006/picture">
                <pic:pic xmlns:pic="http://schemas.openxmlformats.org/drawingml/2006/picture">
                  <pic:nvPicPr>
                    <pic:cNvPr id="4" name="image2.png" descr="A diagram of a financial system&#10;&#10;Description automatically generated"/>
                    <pic:cNvPicPr preferRelativeResize="0"/>
                  </pic:nvPicPr>
                  <pic:blipFill>
                    <a:blip r:embed="rId7"/>
                    <a:srcRect b="11430"/>
                    <a:stretch>
                      <a:fillRect/>
                    </a:stretch>
                  </pic:blipFill>
                  <pic:spPr>
                    <a:xfrm>
                      <a:off x="0" y="0"/>
                      <a:ext cx="3333750" cy="1888964"/>
                    </a:xfrm>
                    <a:prstGeom prst="rect">
                      <a:avLst/>
                    </a:prstGeom>
                    <a:ln w="25400">
                      <a:solidFill>
                        <a:srgbClr val="000000"/>
                      </a:solidFill>
                      <a:prstDash val="solid"/>
                    </a:ln>
                  </pic:spPr>
                </pic:pic>
              </a:graphicData>
            </a:graphic>
          </wp:inline>
        </w:drawing>
      </w:r>
    </w:p>
    <w:p w14:paraId="46930E94" w14:textId="77777777" w:rsidR="009C0F13" w:rsidRDefault="009C0F13" w:rsidP="009C0F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Sources of International Financing </w:t>
      </w:r>
    </w:p>
    <w:p w14:paraId="12A32CF8" w14:textId="77777777" w:rsidR="009C0F13" w:rsidRDefault="009C0F13" w:rsidP="009C0F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(Geeks for Geeks, 2022)</w:t>
      </w:r>
    </w:p>
    <w:p w14:paraId="1900DA79" w14:textId="77777777" w:rsidR="009C0F13" w:rsidRDefault="009C0F13" w:rsidP="009C0F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Commercial banks are financial institutions that operate business at the domestic level rather than the global level. On the other hand, commercial banks avail loans in foreign currency. Loans are generally provided for non-trade operations. Commercial banks are important for maintaining the import-export industry (</w:t>
      </w:r>
      <w:proofErr w:type="spellStart"/>
      <w:r>
        <w:rPr>
          <w:rFonts w:ascii="Times New Roman" w:eastAsia="Times New Roman" w:hAnsi="Times New Roman" w:cs="Times New Roman"/>
          <w:sz w:val="24"/>
          <w:szCs w:val="24"/>
        </w:rPr>
        <w:t>Olarewaju</w:t>
      </w:r>
      <w:proofErr w:type="spellEnd"/>
      <w:r>
        <w:rPr>
          <w:rFonts w:ascii="Times New Roman" w:eastAsia="Times New Roman" w:hAnsi="Times New Roman" w:cs="Times New Roman"/>
          <w:sz w:val="24"/>
          <w:szCs w:val="24"/>
        </w:rPr>
        <w:t xml:space="preserve">, 2020). An international finance institution is generally established by the collaboration of more than one country and adheres to international laws. The IFI follows the international mechanism for international cooperation in the global financial system context. International capital banks provide stockbroking services and offer financial solutions in a broad spectrum of professional firms and advisory businesses. International finance activities involve various ranges of uncertainty in their revenue. An unsteady and unpredictable stream of revenue impacts the financial sustainment of a business. For many business organizations, there is a high range of risks for the international scale of business such as political instability, inflation, social unrest, and other kinds of risks that can negatively impact the business </w:t>
      </w:r>
      <w:r>
        <w:rPr>
          <w:rFonts w:ascii="Times New Roman" w:eastAsia="Times New Roman" w:hAnsi="Times New Roman" w:cs="Times New Roman"/>
          <w:sz w:val="24"/>
          <w:szCs w:val="24"/>
        </w:rPr>
        <w:lastRenderedPageBreak/>
        <w:t xml:space="preserve">revenue. International financial management offers different risk management strategies such as hedging and political risk insurance. </w:t>
      </w:r>
    </w:p>
    <w:p w14:paraId="50CA0629" w14:textId="77777777" w:rsidR="009C0F13" w:rsidRDefault="009C0F13" w:rsidP="009C0F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Hedge fund follows buying foreign currency, buying options on the currency market, and buying the future. Hedge funding is damage control in revenue and profits. Political risk insurance follows acquiring political risk insurance to protect their equity investment and loans from specific government actions. For example, the U.S. Securities and Exchange Commission (SEC) takes actions to mitigate the political risks they face in foreign countries. </w:t>
      </w:r>
    </w:p>
    <w:p w14:paraId="715B2131" w14:textId="77777777" w:rsidR="009C0F13" w:rsidRDefault="009C0F13" w:rsidP="009C0F13">
      <w:pPr>
        <w:pStyle w:val="Heading1"/>
      </w:pPr>
      <w:bookmarkStart w:id="4" w:name="_heading=h.3znysh7" w:colFirst="0" w:colLast="0"/>
      <w:bookmarkEnd w:id="4"/>
      <w:r>
        <w:t>Structure of the International Financial Model</w:t>
      </w:r>
    </w:p>
    <w:p w14:paraId="50154DE2" w14:textId="77777777" w:rsidR="009C0F13" w:rsidRDefault="009C0F13" w:rsidP="009C0F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 international financial management, capital structure follows maintaining equilibrium between the debt and the company’s equity. For long-term operations, evaluation of the structure concerns on focusing ROI which is higher than base investment (</w:t>
      </w:r>
      <w:proofErr w:type="spellStart"/>
      <w:r>
        <w:rPr>
          <w:rFonts w:ascii="Times New Roman" w:eastAsia="Times New Roman" w:hAnsi="Times New Roman" w:cs="Times New Roman"/>
          <w:sz w:val="24"/>
          <w:szCs w:val="24"/>
        </w:rPr>
        <w:t>Thusini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2022). Evaluation of international financial structure is categorized into two groups internal factors and external factors. Internal factors follow assessing the business's size, current market capitalization, and nature. A firm's age and market prospect are also an important factor that affects any business's capital structure. External factors associated with government policies and regulations lie beyond the realm of business's control. These external factors consist of taxation policy, currency fluctuation, and market competition intensity. A business's capital structure needs to correlate with all legal requirements to prevent the hassle. Modigliani-Miller theory is another capital structure theory that highlights two critical elements for business stability including the absence of corporate taxes and the presence of corporate taxes (</w:t>
      </w:r>
      <w:proofErr w:type="spellStart"/>
      <w:r>
        <w:rPr>
          <w:rFonts w:ascii="Times New Roman" w:eastAsia="Times New Roman" w:hAnsi="Times New Roman" w:cs="Times New Roman"/>
          <w:sz w:val="24"/>
          <w:szCs w:val="24"/>
        </w:rPr>
        <w:t>Brusov</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Filatova</w:t>
      </w:r>
      <w:proofErr w:type="spellEnd"/>
      <w:r>
        <w:rPr>
          <w:rFonts w:ascii="Times New Roman" w:eastAsia="Times New Roman" w:hAnsi="Times New Roman" w:cs="Times New Roman"/>
          <w:sz w:val="24"/>
          <w:szCs w:val="24"/>
        </w:rPr>
        <w:t xml:space="preserve">, 2023). The absence of corporate taxes refers to the liability to pay taxes to the government and the presence of corporate tax suggests the degree of liability as a debt to the bank. </w:t>
      </w:r>
    </w:p>
    <w:p w14:paraId="5C59C552" w14:textId="77777777" w:rsidR="009C0F13" w:rsidRDefault="009C0F13" w:rsidP="009C0F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Currency and exchange rate management are collective policies that decide the value of one country's currency and its link with another currency in the economic zone. This value is known as the currency exchange rate. The three main types of currency exchange rate systems are floating exchange rate, fixed exchange rate, and managed floating exchange rate. </w:t>
      </w:r>
      <w:r>
        <w:rPr>
          <w:rFonts w:ascii="Times New Roman" w:eastAsia="Times New Roman" w:hAnsi="Times New Roman" w:cs="Times New Roman"/>
          <w:b/>
          <w:sz w:val="24"/>
          <w:szCs w:val="24"/>
        </w:rPr>
        <w:t>Floating exchange rate,</w:t>
      </w:r>
      <w:r>
        <w:rPr>
          <w:rFonts w:ascii="Times New Roman" w:eastAsia="Times New Roman" w:hAnsi="Times New Roman" w:cs="Times New Roman"/>
          <w:sz w:val="24"/>
          <w:szCs w:val="24"/>
        </w:rPr>
        <w:t xml:space="preserve"> in this system the market decides the value of the currency of one country that is mainly focused on supply and demand (</w:t>
      </w:r>
      <w:proofErr w:type="spellStart"/>
      <w:r>
        <w:rPr>
          <w:rFonts w:ascii="Times New Roman" w:eastAsia="Times New Roman" w:hAnsi="Times New Roman" w:cs="Times New Roman"/>
          <w:color w:val="222222"/>
          <w:sz w:val="24"/>
          <w:szCs w:val="24"/>
          <w:highlight w:val="white"/>
        </w:rPr>
        <w:t>Montfaucon</w:t>
      </w:r>
      <w:proofErr w:type="spellEnd"/>
      <w:r>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i/>
          <w:color w:val="222222"/>
          <w:sz w:val="24"/>
          <w:szCs w:val="24"/>
          <w:highlight w:val="white"/>
        </w:rPr>
        <w:t xml:space="preserve"> 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sz w:val="24"/>
          <w:szCs w:val="24"/>
        </w:rPr>
        <w:t xml:space="preserve">. The government and the central bank of that country do not interfere, and the market activity goes on freely. </w:t>
      </w:r>
      <w:r>
        <w:rPr>
          <w:rFonts w:ascii="Times New Roman" w:eastAsia="Times New Roman" w:hAnsi="Times New Roman" w:cs="Times New Roman"/>
          <w:b/>
          <w:sz w:val="24"/>
          <w:szCs w:val="24"/>
        </w:rPr>
        <w:t>Fixed exchange rate,</w:t>
      </w:r>
      <w:r>
        <w:rPr>
          <w:rFonts w:ascii="Times New Roman" w:eastAsia="Times New Roman" w:hAnsi="Times New Roman" w:cs="Times New Roman"/>
          <w:sz w:val="24"/>
          <w:szCs w:val="24"/>
        </w:rPr>
        <w:t xml:space="preserve"> in this aspect the currency is fixed with the value of another thing; it can be a currency, a set of currency, or gold. The official exchange rate does not fluctuate based on the market and it can improve the </w:t>
      </w:r>
      <w:r>
        <w:rPr>
          <w:rFonts w:ascii="Times New Roman" w:eastAsia="Times New Roman" w:hAnsi="Times New Roman" w:cs="Times New Roman"/>
          <w:sz w:val="24"/>
          <w:szCs w:val="24"/>
        </w:rPr>
        <w:lastRenderedPageBreak/>
        <w:t xml:space="preserve">aspect of international trade and international investment. Fixed exchange rates allow better control over the inflation in the country. </w:t>
      </w:r>
      <w:r>
        <w:rPr>
          <w:rFonts w:ascii="Times New Roman" w:eastAsia="Times New Roman" w:hAnsi="Times New Roman" w:cs="Times New Roman"/>
          <w:b/>
          <w:sz w:val="24"/>
          <w:szCs w:val="24"/>
        </w:rPr>
        <w:t>Managed floating exchange rate</w:t>
      </w:r>
      <w:r>
        <w:rPr>
          <w:rFonts w:ascii="Times New Roman" w:eastAsia="Times New Roman" w:hAnsi="Times New Roman" w:cs="Times New Roman"/>
          <w:sz w:val="24"/>
          <w:szCs w:val="24"/>
        </w:rPr>
        <w:t xml:space="preserve"> in these aspects implies a combination of both the system's fixed exchange rate and the floating exchange rate in this system the primary bank of the country participates in the purchase and sale of foreign currencies (</w:t>
      </w:r>
      <w:proofErr w:type="spellStart"/>
      <w:r>
        <w:rPr>
          <w:rFonts w:ascii="Times New Roman" w:eastAsia="Times New Roman" w:hAnsi="Times New Roman" w:cs="Times New Roman"/>
          <w:color w:val="222222"/>
          <w:sz w:val="24"/>
          <w:szCs w:val="24"/>
          <w:highlight w:val="white"/>
        </w:rPr>
        <w:t>Albagl</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The IFRS standards rules for businesses include a statement of financial position, a statement of comprehensive income, and a statement of change in equity.</w:t>
      </w:r>
    </w:p>
    <w:p w14:paraId="7AF3BC0B" w14:textId="77777777" w:rsidR="009C0F13" w:rsidRDefault="009C0F13" w:rsidP="009C0F13">
      <w:pPr>
        <w:spacing w:line="360" w:lineRule="auto"/>
        <w:jc w:val="both"/>
        <w:rPr>
          <w:rFonts w:ascii="Times New Roman" w:eastAsia="Times New Roman" w:hAnsi="Times New Roman" w:cs="Times New Roman"/>
          <w:sz w:val="24"/>
          <w:szCs w:val="24"/>
        </w:rPr>
      </w:pPr>
    </w:p>
    <w:p w14:paraId="7381E95B" w14:textId="77777777" w:rsidR="009C0F13" w:rsidRDefault="009C0F13" w:rsidP="009C0F13">
      <w:pPr>
        <w:pStyle w:val="Heading1"/>
      </w:pPr>
      <w:bookmarkStart w:id="5" w:name="_heading=h.a60nee9c1gyj" w:colFirst="0" w:colLast="0"/>
      <w:bookmarkEnd w:id="5"/>
      <w:r>
        <w:t>Conclusion</w:t>
      </w:r>
    </w:p>
    <w:p w14:paraId="59E22F89" w14:textId="77777777" w:rsidR="009C0F13" w:rsidRDefault="009C0F13" w:rsidP="009C0F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report effectively evaluates the strategies that multinational organizations employ to mitigate the vulnerability of foreign exchange risk with the help of International Financial Management theories. International financing also encourages the monitoring of mediates inflow and outflow of finance between two or more countries. The source of international financing consists mainly of three bodies that include commercial banks, International Agencies Development banks, and international capital markets. There is a high range of risks for international business such as political instability, inflation, social unrest, and other kinds of risks that can negatively impact the business revenue. International financial management offers different risk management strategies such as Hedging and political risk insurance.</w:t>
      </w:r>
      <w:r>
        <w:br w:type="page"/>
      </w:r>
    </w:p>
    <w:p w14:paraId="55466EC3" w14:textId="77777777" w:rsidR="009C0F13" w:rsidRDefault="009C0F13" w:rsidP="009C0F13">
      <w:pPr>
        <w:pStyle w:val="Heading1"/>
        <w:rPr>
          <w:highlight w:val="white"/>
        </w:rPr>
      </w:pPr>
      <w:bookmarkStart w:id="6" w:name="_heading=h.2et92p0" w:colFirst="0" w:colLast="0"/>
      <w:bookmarkEnd w:id="6"/>
      <w:r>
        <w:rPr>
          <w:highlight w:val="white"/>
        </w:rPr>
        <w:lastRenderedPageBreak/>
        <w:t xml:space="preserve">Referencing </w:t>
      </w:r>
    </w:p>
    <w:p w14:paraId="0A14206F" w14:textId="77777777" w:rsidR="009C0F13" w:rsidRDefault="009C0F13" w:rsidP="009C0F13">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Albagli</w:t>
      </w:r>
      <w:proofErr w:type="spellEnd"/>
      <w:r>
        <w:rPr>
          <w:rFonts w:ascii="Times New Roman" w:eastAsia="Times New Roman" w:hAnsi="Times New Roman" w:cs="Times New Roman"/>
          <w:color w:val="222222"/>
          <w:sz w:val="24"/>
          <w:szCs w:val="24"/>
          <w:highlight w:val="white"/>
        </w:rPr>
        <w:t xml:space="preserve">, E., </w:t>
      </w:r>
      <w:proofErr w:type="spellStart"/>
      <w:r>
        <w:rPr>
          <w:rFonts w:ascii="Times New Roman" w:eastAsia="Times New Roman" w:hAnsi="Times New Roman" w:cs="Times New Roman"/>
          <w:color w:val="222222"/>
          <w:sz w:val="24"/>
          <w:szCs w:val="24"/>
          <w:highlight w:val="white"/>
        </w:rPr>
        <w:t>Calani</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Hadzi-Vaskov</w:t>
      </w:r>
      <w:proofErr w:type="spellEnd"/>
      <w:r>
        <w:rPr>
          <w:rFonts w:ascii="Times New Roman" w:eastAsia="Times New Roman" w:hAnsi="Times New Roman" w:cs="Times New Roman"/>
          <w:color w:val="222222"/>
          <w:sz w:val="24"/>
          <w:szCs w:val="24"/>
          <w:highlight w:val="white"/>
        </w:rPr>
        <w:t xml:space="preserve">, M., Marcel, M., and Ricci, M.L.A., 2020. </w:t>
      </w:r>
      <w:r>
        <w:rPr>
          <w:rFonts w:ascii="Times New Roman" w:eastAsia="Times New Roman" w:hAnsi="Times New Roman" w:cs="Times New Roman"/>
          <w:i/>
          <w:color w:val="222222"/>
          <w:sz w:val="24"/>
          <w:szCs w:val="24"/>
          <w:highlight w:val="white"/>
        </w:rPr>
        <w:t xml:space="preserve">Comfort in floating: Taking stock of twenty years of freely floating exchange rate in </w:t>
      </w:r>
      <w:proofErr w:type="spellStart"/>
      <w:r>
        <w:rPr>
          <w:rFonts w:ascii="Times New Roman" w:eastAsia="Times New Roman" w:hAnsi="Times New Roman" w:cs="Times New Roman"/>
          <w:i/>
          <w:color w:val="222222"/>
          <w:sz w:val="24"/>
          <w:szCs w:val="24"/>
          <w:highlight w:val="white"/>
        </w:rPr>
        <w:t>chile</w:t>
      </w:r>
      <w:proofErr w:type="spellEnd"/>
      <w:r>
        <w:rPr>
          <w:rFonts w:ascii="Times New Roman" w:eastAsia="Times New Roman" w:hAnsi="Times New Roman" w:cs="Times New Roman"/>
          <w:color w:val="222222"/>
          <w:sz w:val="24"/>
          <w:szCs w:val="24"/>
          <w:highlight w:val="white"/>
        </w:rPr>
        <w:t>. International Monetary Fund.</w:t>
      </w:r>
    </w:p>
    <w:p w14:paraId="412D03E3" w14:textId="77777777" w:rsidR="009C0F13" w:rsidRDefault="009C0F13" w:rsidP="009C0F13">
      <w:pPr>
        <w:spacing w:before="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Brusov</w:t>
      </w:r>
      <w:proofErr w:type="spellEnd"/>
      <w:r>
        <w:rPr>
          <w:rFonts w:ascii="Times New Roman" w:eastAsia="Times New Roman" w:hAnsi="Times New Roman" w:cs="Times New Roman"/>
          <w:color w:val="222222"/>
          <w:sz w:val="24"/>
          <w:szCs w:val="24"/>
          <w:highlight w:val="white"/>
        </w:rPr>
        <w:t xml:space="preserve">, P. and </w:t>
      </w:r>
      <w:proofErr w:type="spellStart"/>
      <w:r>
        <w:rPr>
          <w:rFonts w:ascii="Times New Roman" w:eastAsia="Times New Roman" w:hAnsi="Times New Roman" w:cs="Times New Roman"/>
          <w:color w:val="222222"/>
          <w:sz w:val="24"/>
          <w:szCs w:val="24"/>
          <w:highlight w:val="white"/>
        </w:rPr>
        <w:t>Filatova</w:t>
      </w:r>
      <w:proofErr w:type="spellEnd"/>
      <w:r>
        <w:rPr>
          <w:rFonts w:ascii="Times New Roman" w:eastAsia="Times New Roman" w:hAnsi="Times New Roman" w:cs="Times New Roman"/>
          <w:color w:val="222222"/>
          <w:sz w:val="24"/>
          <w:szCs w:val="24"/>
          <w:highlight w:val="white"/>
        </w:rPr>
        <w:t xml:space="preserve">, T., 2023. Capital structure theory: Past, present, future. </w:t>
      </w:r>
      <w:r>
        <w:rPr>
          <w:rFonts w:ascii="Times New Roman" w:eastAsia="Times New Roman" w:hAnsi="Times New Roman" w:cs="Times New Roman"/>
          <w:i/>
          <w:color w:val="222222"/>
          <w:sz w:val="24"/>
          <w:szCs w:val="24"/>
          <w:highlight w:val="white"/>
        </w:rPr>
        <w:t>Mathematics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w:t>
      </w:r>
      <w:r>
        <w:rPr>
          <w:rFonts w:ascii="Times New Roman" w:eastAsia="Times New Roman" w:hAnsi="Times New Roman" w:cs="Times New Roman"/>
          <w:color w:val="222222"/>
          <w:sz w:val="24"/>
          <w:szCs w:val="24"/>
          <w:highlight w:val="white"/>
        </w:rPr>
        <w:t>(3), p.616.</w:t>
      </w:r>
    </w:p>
    <w:p w14:paraId="76FAF2D4" w14:textId="77777777" w:rsidR="009C0F13" w:rsidRDefault="009C0F13" w:rsidP="009C0F13">
      <w:pPr>
        <w:spacing w:before="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Dabrowski</w:t>
      </w:r>
      <w:proofErr w:type="spellEnd"/>
      <w:r>
        <w:rPr>
          <w:rFonts w:ascii="Times New Roman" w:eastAsia="Times New Roman" w:hAnsi="Times New Roman" w:cs="Times New Roman"/>
          <w:color w:val="222222"/>
          <w:sz w:val="24"/>
          <w:szCs w:val="24"/>
          <w:highlight w:val="white"/>
        </w:rPr>
        <w:t xml:space="preserve">, M., 2020. Transition to a market economy: A retrospective comparison of China with countries of the former Soviet bloc. </w:t>
      </w:r>
      <w:r>
        <w:rPr>
          <w:rFonts w:ascii="Times New Roman" w:eastAsia="Times New Roman" w:hAnsi="Times New Roman" w:cs="Times New Roman"/>
          <w:i/>
          <w:color w:val="222222"/>
          <w:sz w:val="24"/>
          <w:szCs w:val="24"/>
          <w:highlight w:val="white"/>
        </w:rPr>
        <w:t xml:space="preserve">Acta </w:t>
      </w:r>
      <w:proofErr w:type="spellStart"/>
      <w:r>
        <w:rPr>
          <w:rFonts w:ascii="Times New Roman" w:eastAsia="Times New Roman" w:hAnsi="Times New Roman" w:cs="Times New Roman"/>
          <w:i/>
          <w:color w:val="222222"/>
          <w:sz w:val="24"/>
          <w:szCs w:val="24"/>
          <w:highlight w:val="white"/>
        </w:rPr>
        <w:t>Oeconomica</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70</w:t>
      </w:r>
      <w:r>
        <w:rPr>
          <w:rFonts w:ascii="Times New Roman" w:eastAsia="Times New Roman" w:hAnsi="Times New Roman" w:cs="Times New Roman"/>
          <w:color w:val="222222"/>
          <w:sz w:val="24"/>
          <w:szCs w:val="24"/>
          <w:highlight w:val="white"/>
        </w:rPr>
        <w:t>(S), pp.15-45.</w:t>
      </w:r>
    </w:p>
    <w:p w14:paraId="1442A747" w14:textId="77777777" w:rsidR="009C0F13" w:rsidRDefault="009C0F13" w:rsidP="009C0F13">
      <w:pPr>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Dang, Q.T., </w:t>
      </w:r>
      <w:proofErr w:type="spellStart"/>
      <w:r>
        <w:rPr>
          <w:rFonts w:ascii="Times New Roman" w:eastAsia="Times New Roman" w:hAnsi="Times New Roman" w:cs="Times New Roman"/>
          <w:color w:val="222222"/>
          <w:sz w:val="24"/>
          <w:szCs w:val="24"/>
          <w:highlight w:val="white"/>
        </w:rPr>
        <w:t>Jasovska</w:t>
      </w:r>
      <w:proofErr w:type="spellEnd"/>
      <w:r>
        <w:rPr>
          <w:rFonts w:ascii="Times New Roman" w:eastAsia="Times New Roman" w:hAnsi="Times New Roman" w:cs="Times New Roman"/>
          <w:color w:val="222222"/>
          <w:sz w:val="24"/>
          <w:szCs w:val="24"/>
          <w:highlight w:val="white"/>
        </w:rPr>
        <w:t xml:space="preserve">, P. and </w:t>
      </w:r>
      <w:proofErr w:type="spellStart"/>
      <w:r>
        <w:rPr>
          <w:rFonts w:ascii="Times New Roman" w:eastAsia="Times New Roman" w:hAnsi="Times New Roman" w:cs="Times New Roman"/>
          <w:color w:val="222222"/>
          <w:sz w:val="24"/>
          <w:szCs w:val="24"/>
          <w:highlight w:val="white"/>
        </w:rPr>
        <w:t>Rammal</w:t>
      </w:r>
      <w:proofErr w:type="spellEnd"/>
      <w:r>
        <w:rPr>
          <w:rFonts w:ascii="Times New Roman" w:eastAsia="Times New Roman" w:hAnsi="Times New Roman" w:cs="Times New Roman"/>
          <w:color w:val="222222"/>
          <w:sz w:val="24"/>
          <w:szCs w:val="24"/>
          <w:highlight w:val="white"/>
        </w:rPr>
        <w:t xml:space="preserve">, H.G., 2020. International business-government relations: The risk management strategies of MNEs in emerging economies. </w:t>
      </w:r>
      <w:r>
        <w:rPr>
          <w:rFonts w:ascii="Times New Roman" w:eastAsia="Times New Roman" w:hAnsi="Times New Roman" w:cs="Times New Roman"/>
          <w:i/>
          <w:color w:val="222222"/>
          <w:sz w:val="24"/>
          <w:szCs w:val="24"/>
          <w:highlight w:val="white"/>
        </w:rPr>
        <w:t>Journal of World Business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55</w:t>
      </w:r>
      <w:r>
        <w:rPr>
          <w:rFonts w:ascii="Times New Roman" w:eastAsia="Times New Roman" w:hAnsi="Times New Roman" w:cs="Times New Roman"/>
          <w:color w:val="222222"/>
          <w:sz w:val="24"/>
          <w:szCs w:val="24"/>
          <w:highlight w:val="white"/>
        </w:rPr>
        <w:t>(1), p.101042.</w:t>
      </w:r>
    </w:p>
    <w:p w14:paraId="5C1816CC" w14:textId="77777777" w:rsidR="009C0F13" w:rsidRDefault="009C0F13" w:rsidP="009C0F13">
      <w:pPr>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Doh, J.P., </w:t>
      </w:r>
      <w:proofErr w:type="spellStart"/>
      <w:r>
        <w:rPr>
          <w:rFonts w:ascii="Times New Roman" w:eastAsia="Times New Roman" w:hAnsi="Times New Roman" w:cs="Times New Roman"/>
          <w:color w:val="222222"/>
          <w:sz w:val="24"/>
          <w:szCs w:val="24"/>
          <w:highlight w:val="white"/>
        </w:rPr>
        <w:t>Dahan</w:t>
      </w:r>
      <w:proofErr w:type="spellEnd"/>
      <w:r>
        <w:rPr>
          <w:rFonts w:ascii="Times New Roman" w:eastAsia="Times New Roman" w:hAnsi="Times New Roman" w:cs="Times New Roman"/>
          <w:color w:val="222222"/>
          <w:sz w:val="24"/>
          <w:szCs w:val="24"/>
          <w:highlight w:val="white"/>
        </w:rPr>
        <w:t xml:space="preserve">, N.M. and </w:t>
      </w:r>
      <w:proofErr w:type="spellStart"/>
      <w:r>
        <w:rPr>
          <w:rFonts w:ascii="Times New Roman" w:eastAsia="Times New Roman" w:hAnsi="Times New Roman" w:cs="Times New Roman"/>
          <w:color w:val="222222"/>
          <w:sz w:val="24"/>
          <w:szCs w:val="24"/>
          <w:highlight w:val="white"/>
        </w:rPr>
        <w:t>Casario</w:t>
      </w:r>
      <w:proofErr w:type="spellEnd"/>
      <w:r>
        <w:rPr>
          <w:rFonts w:ascii="Times New Roman" w:eastAsia="Times New Roman" w:hAnsi="Times New Roman" w:cs="Times New Roman"/>
          <w:color w:val="222222"/>
          <w:sz w:val="24"/>
          <w:szCs w:val="24"/>
          <w:highlight w:val="white"/>
        </w:rPr>
        <w:t xml:space="preserve">, M., 2022. MNEs and the practice of international business diplomacy. </w:t>
      </w:r>
      <w:r>
        <w:rPr>
          <w:rFonts w:ascii="Times New Roman" w:eastAsia="Times New Roman" w:hAnsi="Times New Roman" w:cs="Times New Roman"/>
          <w:i/>
          <w:color w:val="222222"/>
          <w:sz w:val="24"/>
          <w:szCs w:val="24"/>
          <w:highlight w:val="white"/>
        </w:rPr>
        <w:t>International Business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31</w:t>
      </w:r>
      <w:r>
        <w:rPr>
          <w:rFonts w:ascii="Times New Roman" w:eastAsia="Times New Roman" w:hAnsi="Times New Roman" w:cs="Times New Roman"/>
          <w:color w:val="222222"/>
          <w:sz w:val="24"/>
          <w:szCs w:val="24"/>
          <w:highlight w:val="white"/>
        </w:rPr>
        <w:t>(1), p.101926.</w:t>
      </w:r>
    </w:p>
    <w:p w14:paraId="232F7F4E" w14:textId="77777777" w:rsidR="009C0F13" w:rsidRDefault="009C0F13" w:rsidP="009C0F13">
      <w:pP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Geeks for Geeks (2022). </w:t>
      </w:r>
      <w:r>
        <w:rPr>
          <w:rFonts w:ascii="Times New Roman" w:eastAsia="Times New Roman" w:hAnsi="Times New Roman" w:cs="Times New Roman"/>
          <w:i/>
          <w:color w:val="222222"/>
          <w:sz w:val="24"/>
          <w:szCs w:val="24"/>
          <w:highlight w:val="white"/>
        </w:rPr>
        <w:t>International Financing: Meaning and Sources of International Financing</w:t>
      </w:r>
      <w:r>
        <w:rPr>
          <w:rFonts w:ascii="Times New Roman" w:eastAsia="Times New Roman" w:hAnsi="Times New Roman" w:cs="Times New Roman"/>
          <w:color w:val="222222"/>
          <w:sz w:val="24"/>
          <w:szCs w:val="24"/>
          <w:highlight w:val="white"/>
        </w:rPr>
        <w:t xml:space="preserve">. [online] </w:t>
      </w:r>
      <w:proofErr w:type="spellStart"/>
      <w:r>
        <w:rPr>
          <w:rFonts w:ascii="Times New Roman" w:eastAsia="Times New Roman" w:hAnsi="Times New Roman" w:cs="Times New Roman"/>
          <w:color w:val="222222"/>
          <w:sz w:val="24"/>
          <w:szCs w:val="24"/>
          <w:highlight w:val="white"/>
        </w:rPr>
        <w:t>GeeksforGeeks</w:t>
      </w:r>
      <w:proofErr w:type="spellEnd"/>
      <w:r>
        <w:rPr>
          <w:rFonts w:ascii="Times New Roman" w:eastAsia="Times New Roman" w:hAnsi="Times New Roman" w:cs="Times New Roman"/>
          <w:color w:val="222222"/>
          <w:sz w:val="24"/>
          <w:szCs w:val="24"/>
          <w:highlight w:val="white"/>
        </w:rPr>
        <w:t xml:space="preserve">. Available at: </w:t>
      </w:r>
      <w:hyperlink r:id="rId8">
        <w:r>
          <w:rPr>
            <w:rFonts w:ascii="Times New Roman" w:eastAsia="Times New Roman" w:hAnsi="Times New Roman" w:cs="Times New Roman"/>
            <w:color w:val="1155CC"/>
            <w:sz w:val="24"/>
            <w:szCs w:val="24"/>
            <w:highlight w:val="white"/>
            <w:u w:val="single"/>
          </w:rPr>
          <w:t>https://www.geeksforgeeks.org/international-financing-meaning-and-sources-of-international-financing/</w:t>
        </w:r>
      </w:hyperlink>
      <w:r>
        <w:rPr>
          <w:rFonts w:ascii="Times New Roman" w:eastAsia="Times New Roman" w:hAnsi="Times New Roman" w:cs="Times New Roman"/>
          <w:color w:val="222222"/>
          <w:sz w:val="24"/>
          <w:szCs w:val="24"/>
          <w:highlight w:val="white"/>
        </w:rPr>
        <w:t xml:space="preserve">. </w:t>
      </w:r>
    </w:p>
    <w:p w14:paraId="70339C17" w14:textId="77777777" w:rsidR="009C0F13" w:rsidRDefault="009C0F13" w:rsidP="009C0F13">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Montfaucon</w:t>
      </w:r>
      <w:proofErr w:type="spellEnd"/>
      <w:r>
        <w:rPr>
          <w:rFonts w:ascii="Times New Roman" w:eastAsia="Times New Roman" w:hAnsi="Times New Roman" w:cs="Times New Roman"/>
          <w:color w:val="222222"/>
          <w:sz w:val="24"/>
          <w:szCs w:val="24"/>
          <w:highlight w:val="white"/>
        </w:rPr>
        <w:t xml:space="preserve">, A.F., Sato, K., Shrestha, N. and Parsons, C., 2021. Exchange rate pass-through and invoicing currency choice between fixed and floating exchange rate regimes: Evidence from Malawi’s transaction-level data. </w:t>
      </w:r>
      <w:r>
        <w:rPr>
          <w:rFonts w:ascii="Times New Roman" w:eastAsia="Times New Roman" w:hAnsi="Times New Roman" w:cs="Times New Roman"/>
          <w:i/>
          <w:color w:val="222222"/>
          <w:sz w:val="24"/>
          <w:szCs w:val="24"/>
          <w:highlight w:val="white"/>
        </w:rPr>
        <w:t>Economic Analysis and Policy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72</w:t>
      </w:r>
      <w:r>
        <w:rPr>
          <w:rFonts w:ascii="Times New Roman" w:eastAsia="Times New Roman" w:hAnsi="Times New Roman" w:cs="Times New Roman"/>
          <w:color w:val="222222"/>
          <w:sz w:val="24"/>
          <w:szCs w:val="24"/>
          <w:highlight w:val="white"/>
        </w:rPr>
        <w:t>, pp.562-577.</w:t>
      </w:r>
    </w:p>
    <w:p w14:paraId="06F80682" w14:textId="77777777" w:rsidR="009C0F13" w:rsidRDefault="009C0F13" w:rsidP="009C0F13">
      <w:pPr>
        <w:spacing w:before="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Nikolaieva</w:t>
      </w:r>
      <w:proofErr w:type="spellEnd"/>
      <w:r>
        <w:rPr>
          <w:rFonts w:ascii="Times New Roman" w:eastAsia="Times New Roman" w:hAnsi="Times New Roman" w:cs="Times New Roman"/>
          <w:color w:val="222222"/>
          <w:sz w:val="24"/>
          <w:szCs w:val="24"/>
          <w:highlight w:val="white"/>
        </w:rPr>
        <w:t xml:space="preserve">, O., </w:t>
      </w:r>
      <w:proofErr w:type="spellStart"/>
      <w:r>
        <w:rPr>
          <w:rFonts w:ascii="Times New Roman" w:eastAsia="Times New Roman" w:hAnsi="Times New Roman" w:cs="Times New Roman"/>
          <w:color w:val="222222"/>
          <w:sz w:val="24"/>
          <w:szCs w:val="24"/>
          <w:highlight w:val="white"/>
        </w:rPr>
        <w:t>Petrova</w:t>
      </w:r>
      <w:proofErr w:type="spellEnd"/>
      <w:r>
        <w:rPr>
          <w:rFonts w:ascii="Times New Roman" w:eastAsia="Times New Roman" w:hAnsi="Times New Roman" w:cs="Times New Roman"/>
          <w:color w:val="222222"/>
          <w:sz w:val="24"/>
          <w:szCs w:val="24"/>
          <w:highlight w:val="white"/>
        </w:rPr>
        <w:t xml:space="preserve">, A. and Lutsenko, R., 2020. Forecasting of the Stock Rate of Leading World Companies Using Econometric Methods and DCF Analysis. </w:t>
      </w:r>
      <w:r>
        <w:rPr>
          <w:rFonts w:ascii="Times New Roman" w:eastAsia="Times New Roman" w:hAnsi="Times New Roman" w:cs="Times New Roman"/>
          <w:i/>
          <w:color w:val="222222"/>
          <w:sz w:val="24"/>
          <w:szCs w:val="24"/>
          <w:highlight w:val="white"/>
        </w:rPr>
        <w:t>International Journal of Innovative Technologies in Economy</w:t>
      </w:r>
      <w:r>
        <w:rPr>
          <w:rFonts w:ascii="Times New Roman" w:eastAsia="Times New Roman" w:hAnsi="Times New Roman" w:cs="Times New Roman"/>
          <w:color w:val="222222"/>
          <w:sz w:val="24"/>
          <w:szCs w:val="24"/>
          <w:highlight w:val="white"/>
        </w:rPr>
        <w:t>, (2 (29)), pp.33-41.</w:t>
      </w:r>
    </w:p>
    <w:p w14:paraId="741E6F48" w14:textId="77777777" w:rsidR="009C0F13" w:rsidRDefault="009C0F13" w:rsidP="009C0F13">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Nyim</w:t>
      </w:r>
      <w:proofErr w:type="spellEnd"/>
      <w:r>
        <w:rPr>
          <w:rFonts w:ascii="Times New Roman" w:eastAsia="Times New Roman" w:hAnsi="Times New Roman" w:cs="Times New Roman"/>
          <w:color w:val="222222"/>
          <w:sz w:val="24"/>
          <w:szCs w:val="24"/>
          <w:highlight w:val="white"/>
        </w:rPr>
        <w:t xml:space="preserve"> (2024). </w:t>
      </w:r>
      <w:r>
        <w:rPr>
          <w:rFonts w:ascii="Times New Roman" w:eastAsia="Times New Roman" w:hAnsi="Times New Roman" w:cs="Times New Roman"/>
          <w:i/>
          <w:color w:val="222222"/>
          <w:sz w:val="24"/>
          <w:szCs w:val="24"/>
          <w:highlight w:val="white"/>
        </w:rPr>
        <w:t>DCF Model: The Complete Guide to Building a Discounted Cash Flow Model</w:t>
      </w:r>
      <w:r>
        <w:rPr>
          <w:rFonts w:ascii="Times New Roman" w:eastAsia="Times New Roman" w:hAnsi="Times New Roman" w:cs="Times New Roman"/>
          <w:color w:val="222222"/>
          <w:sz w:val="24"/>
          <w:szCs w:val="24"/>
          <w:highlight w:val="white"/>
        </w:rPr>
        <w:t xml:space="preserve">. [online] training-nyc.com. Available at: </w:t>
      </w:r>
      <w:hyperlink r:id="rId9">
        <w:r>
          <w:rPr>
            <w:rFonts w:ascii="Times New Roman" w:eastAsia="Times New Roman" w:hAnsi="Times New Roman" w:cs="Times New Roman"/>
            <w:color w:val="1155CC"/>
            <w:sz w:val="24"/>
            <w:szCs w:val="24"/>
            <w:highlight w:val="white"/>
            <w:u w:val="single"/>
          </w:rPr>
          <w:t>https://training-nyc.com/learn/financial-modeling/dcf-modeling</w:t>
        </w:r>
      </w:hyperlink>
      <w:r>
        <w:rPr>
          <w:rFonts w:ascii="Times New Roman" w:eastAsia="Times New Roman" w:hAnsi="Times New Roman" w:cs="Times New Roman"/>
          <w:color w:val="222222"/>
          <w:sz w:val="24"/>
          <w:szCs w:val="24"/>
          <w:highlight w:val="white"/>
        </w:rPr>
        <w:t xml:space="preserve">. </w:t>
      </w:r>
    </w:p>
    <w:p w14:paraId="4EA016FD" w14:textId="77777777" w:rsidR="009C0F13" w:rsidRDefault="009C0F13" w:rsidP="009C0F13">
      <w:pPr>
        <w:spacing w:before="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Olarewaju</w:t>
      </w:r>
      <w:proofErr w:type="spellEnd"/>
      <w:r>
        <w:rPr>
          <w:rFonts w:ascii="Times New Roman" w:eastAsia="Times New Roman" w:hAnsi="Times New Roman" w:cs="Times New Roman"/>
          <w:color w:val="222222"/>
          <w:sz w:val="24"/>
          <w:szCs w:val="24"/>
          <w:highlight w:val="white"/>
        </w:rPr>
        <w:t xml:space="preserve">, O.M., 2020. Investigating the factors affecting nonperforming loans in commercial banks: The case of African lower middle‐income countries. </w:t>
      </w:r>
      <w:r>
        <w:rPr>
          <w:rFonts w:ascii="Times New Roman" w:eastAsia="Times New Roman" w:hAnsi="Times New Roman" w:cs="Times New Roman"/>
          <w:i/>
          <w:color w:val="222222"/>
          <w:sz w:val="24"/>
          <w:szCs w:val="24"/>
          <w:highlight w:val="white"/>
        </w:rPr>
        <w:t>African Development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32</w:t>
      </w:r>
      <w:r>
        <w:rPr>
          <w:rFonts w:ascii="Times New Roman" w:eastAsia="Times New Roman" w:hAnsi="Times New Roman" w:cs="Times New Roman"/>
          <w:color w:val="222222"/>
          <w:sz w:val="24"/>
          <w:szCs w:val="24"/>
          <w:highlight w:val="white"/>
        </w:rPr>
        <w:t>(4), pp.744-757.</w:t>
      </w:r>
    </w:p>
    <w:p w14:paraId="6E9ECF3C" w14:textId="77777777" w:rsidR="009C0F13" w:rsidRDefault="009C0F13" w:rsidP="009C0F13">
      <w:pPr>
        <w:spacing w:before="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lastRenderedPageBreak/>
        <w:t>Prebanić</w:t>
      </w:r>
      <w:proofErr w:type="spellEnd"/>
      <w:r>
        <w:rPr>
          <w:rFonts w:ascii="Times New Roman" w:eastAsia="Times New Roman" w:hAnsi="Times New Roman" w:cs="Times New Roman"/>
          <w:color w:val="222222"/>
          <w:sz w:val="24"/>
          <w:szCs w:val="24"/>
          <w:highlight w:val="white"/>
        </w:rPr>
        <w:t xml:space="preserve">, K.R. and </w:t>
      </w:r>
      <w:proofErr w:type="spellStart"/>
      <w:r>
        <w:rPr>
          <w:rFonts w:ascii="Times New Roman" w:eastAsia="Times New Roman" w:hAnsi="Times New Roman" w:cs="Times New Roman"/>
          <w:color w:val="222222"/>
          <w:sz w:val="24"/>
          <w:szCs w:val="24"/>
          <w:highlight w:val="white"/>
        </w:rPr>
        <w:t>Vukomanović</w:t>
      </w:r>
      <w:proofErr w:type="spellEnd"/>
      <w:r>
        <w:rPr>
          <w:rFonts w:ascii="Times New Roman" w:eastAsia="Times New Roman" w:hAnsi="Times New Roman" w:cs="Times New Roman"/>
          <w:color w:val="222222"/>
          <w:sz w:val="24"/>
          <w:szCs w:val="24"/>
          <w:highlight w:val="white"/>
        </w:rPr>
        <w:t xml:space="preserve">, M., 2023. Exploring stakeholder engagement process as the success factor for infrastructure projects. </w:t>
      </w:r>
      <w:r>
        <w:rPr>
          <w:rFonts w:ascii="Times New Roman" w:eastAsia="Times New Roman" w:hAnsi="Times New Roman" w:cs="Times New Roman"/>
          <w:i/>
          <w:color w:val="222222"/>
          <w:sz w:val="24"/>
          <w:szCs w:val="24"/>
          <w:highlight w:val="white"/>
        </w:rPr>
        <w:t>Buildings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w:t>
      </w:r>
      <w:r>
        <w:rPr>
          <w:rFonts w:ascii="Times New Roman" w:eastAsia="Times New Roman" w:hAnsi="Times New Roman" w:cs="Times New Roman"/>
          <w:color w:val="222222"/>
          <w:sz w:val="24"/>
          <w:szCs w:val="24"/>
          <w:highlight w:val="white"/>
        </w:rPr>
        <w:t>(7), p.1785.</w:t>
      </w:r>
    </w:p>
    <w:p w14:paraId="5D811D24" w14:textId="77777777" w:rsidR="009C0F13" w:rsidRDefault="009C0F13" w:rsidP="009C0F13">
      <w:pPr>
        <w:spacing w:before="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Thusini</w:t>
      </w:r>
      <w:proofErr w:type="spellEnd"/>
      <w:r>
        <w:rPr>
          <w:rFonts w:ascii="Times New Roman" w:eastAsia="Times New Roman" w:hAnsi="Times New Roman" w:cs="Times New Roman"/>
          <w:color w:val="222222"/>
          <w:sz w:val="24"/>
          <w:szCs w:val="24"/>
          <w:highlight w:val="white"/>
        </w:rPr>
        <w:t xml:space="preserve">, S.T., </w:t>
      </w:r>
      <w:proofErr w:type="spellStart"/>
      <w:r>
        <w:rPr>
          <w:rFonts w:ascii="Times New Roman" w:eastAsia="Times New Roman" w:hAnsi="Times New Roman" w:cs="Times New Roman"/>
          <w:color w:val="222222"/>
          <w:sz w:val="24"/>
          <w:szCs w:val="24"/>
          <w:highlight w:val="white"/>
        </w:rPr>
        <w:t>Milenova</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Nahabedian</w:t>
      </w:r>
      <w:proofErr w:type="spellEnd"/>
      <w:r>
        <w:rPr>
          <w:rFonts w:ascii="Times New Roman" w:eastAsia="Times New Roman" w:hAnsi="Times New Roman" w:cs="Times New Roman"/>
          <w:color w:val="222222"/>
          <w:sz w:val="24"/>
          <w:szCs w:val="24"/>
          <w:highlight w:val="white"/>
        </w:rPr>
        <w:t xml:space="preserve">, N., Grey, B., Soukup, T., Chua, K.C. and Henderson, C., 2022. The development of the concept of return-on-investment from large-scale quality improvement programmes in healthcare: an integrative systematic literature review. </w:t>
      </w:r>
      <w:r>
        <w:rPr>
          <w:rFonts w:ascii="Times New Roman" w:eastAsia="Times New Roman" w:hAnsi="Times New Roman" w:cs="Times New Roman"/>
          <w:i/>
          <w:color w:val="222222"/>
          <w:sz w:val="24"/>
          <w:szCs w:val="24"/>
          <w:highlight w:val="white"/>
        </w:rPr>
        <w:t>BMC health services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22</w:t>
      </w:r>
      <w:r>
        <w:rPr>
          <w:rFonts w:ascii="Times New Roman" w:eastAsia="Times New Roman" w:hAnsi="Times New Roman" w:cs="Times New Roman"/>
          <w:color w:val="222222"/>
          <w:sz w:val="24"/>
          <w:szCs w:val="24"/>
          <w:highlight w:val="white"/>
        </w:rPr>
        <w:t>(1), p.1492.</w:t>
      </w:r>
    </w:p>
    <w:p w14:paraId="3D47E118" w14:textId="77777777" w:rsidR="009C0F13" w:rsidRDefault="009C0F13" w:rsidP="009C0F13">
      <w:pPr>
        <w:widowControl w:val="0"/>
        <w:rPr>
          <w:rFonts w:ascii="Times New Roman" w:eastAsia="Times New Roman" w:hAnsi="Times New Roman" w:cs="Times New Roman"/>
          <w:sz w:val="24"/>
          <w:szCs w:val="24"/>
        </w:rPr>
      </w:pPr>
    </w:p>
    <w:p w14:paraId="09932898" w14:textId="77777777" w:rsidR="009C0F13" w:rsidRDefault="009C0F13" w:rsidP="009C0F13">
      <w:pPr>
        <w:spacing w:after="240" w:line="360" w:lineRule="auto"/>
        <w:jc w:val="both"/>
        <w:rPr>
          <w:rFonts w:ascii="Times New Roman" w:eastAsia="Times New Roman" w:hAnsi="Times New Roman" w:cs="Times New Roman"/>
          <w:color w:val="222222"/>
          <w:sz w:val="24"/>
          <w:szCs w:val="24"/>
          <w:highlight w:val="white"/>
        </w:rPr>
      </w:pPr>
    </w:p>
    <w:p w14:paraId="6D88FEA5" w14:textId="77777777" w:rsidR="009C0F13" w:rsidRDefault="009C0F13" w:rsidP="009C0F13">
      <w:pPr>
        <w:spacing w:before="200" w:line="360" w:lineRule="auto"/>
        <w:jc w:val="both"/>
        <w:rPr>
          <w:rFonts w:ascii="Times New Roman" w:eastAsia="Times New Roman" w:hAnsi="Times New Roman" w:cs="Times New Roman"/>
          <w:color w:val="222222"/>
          <w:sz w:val="24"/>
          <w:szCs w:val="24"/>
          <w:highlight w:val="white"/>
        </w:rPr>
      </w:pPr>
    </w:p>
    <w:p w14:paraId="3B9DFF52" w14:textId="77777777" w:rsidR="009C0F13" w:rsidRDefault="009C0F13" w:rsidP="009C0F13">
      <w:pPr>
        <w:spacing w:line="360" w:lineRule="auto"/>
        <w:jc w:val="both"/>
        <w:rPr>
          <w:rFonts w:ascii="Times New Roman" w:eastAsia="Times New Roman" w:hAnsi="Times New Roman" w:cs="Times New Roman"/>
          <w:color w:val="222222"/>
          <w:sz w:val="24"/>
          <w:szCs w:val="24"/>
          <w:highlight w:val="white"/>
        </w:rPr>
      </w:pPr>
    </w:p>
    <w:p w14:paraId="3758BE89" w14:textId="77777777" w:rsidR="009C0F13" w:rsidRDefault="009C0F13" w:rsidP="009C0F13">
      <w:pPr>
        <w:spacing w:line="360" w:lineRule="auto"/>
        <w:jc w:val="both"/>
        <w:rPr>
          <w:rFonts w:ascii="Times New Roman" w:eastAsia="Times New Roman" w:hAnsi="Times New Roman" w:cs="Times New Roman"/>
          <w:sz w:val="24"/>
          <w:szCs w:val="24"/>
        </w:rPr>
      </w:pPr>
    </w:p>
    <w:p w14:paraId="62926E20" w14:textId="77777777" w:rsidR="009C0F13" w:rsidRDefault="009C0F13" w:rsidP="009C0F13"/>
    <w:p w14:paraId="75C302D4" w14:textId="77777777" w:rsidR="009C0F13" w:rsidRDefault="009C0F13"/>
    <w:sectPr w:rsidR="009C0F13">
      <w:headerReference w:type="default" r:id="rId10"/>
      <w:footerReference w:type="defaul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D80440" w14:textId="77777777" w:rsidR="00C21B28" w:rsidRDefault="00C21B28">
      <w:pPr>
        <w:spacing w:line="240" w:lineRule="auto"/>
      </w:pPr>
      <w:r>
        <w:separator/>
      </w:r>
    </w:p>
  </w:endnote>
  <w:endnote w:type="continuationSeparator" w:id="0">
    <w:p w14:paraId="4C53FCAC" w14:textId="77777777" w:rsidR="00C21B28" w:rsidRDefault="00C21B2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CC694B" w14:textId="77777777" w:rsidR="00EB7705" w:rsidRDefault="00000000">
    <w:pPr>
      <w:jc w:val="right"/>
      <w:rPr>
        <w:rFonts w:ascii="Times New Roman" w:eastAsia="Times New Roman" w:hAnsi="Times New Roman" w:cs="Times New Roman"/>
      </w:rPr>
    </w:pPr>
    <w:r>
      <w:rPr>
        <w:rFonts w:ascii="Times New Roman" w:eastAsia="Times New Roman" w:hAnsi="Times New Roman" w:cs="Times New Roman"/>
      </w:rPr>
      <w:fldChar w:fldCharType="begin"/>
    </w:r>
    <w:r>
      <w:rPr>
        <w:rFonts w:ascii="Times New Roman" w:eastAsia="Times New Roman" w:hAnsi="Times New Roman" w:cs="Times New Roman"/>
      </w:rPr>
      <w:instrText>PAGE</w:instrText>
    </w:r>
    <w:r>
      <w:rPr>
        <w:rFonts w:ascii="Times New Roman" w:eastAsia="Times New Roman" w:hAnsi="Times New Roman" w:cs="Times New Roman"/>
      </w:rPr>
      <w:fldChar w:fldCharType="separate"/>
    </w:r>
    <w:r>
      <w:rPr>
        <w:rFonts w:ascii="Times New Roman" w:eastAsia="Times New Roman" w:hAnsi="Times New Roman" w:cs="Times New Roman"/>
        <w:noProof/>
      </w:rPr>
      <w:t>1</w:t>
    </w:r>
    <w:r>
      <w:rPr>
        <w:rFonts w:ascii="Times New Roman" w:eastAsia="Times New Roman" w:hAnsi="Times New Roman" w:cs="Times New Roman"/>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1378FA" w14:textId="77777777" w:rsidR="00C21B28" w:rsidRDefault="00C21B28">
      <w:pPr>
        <w:spacing w:line="240" w:lineRule="auto"/>
      </w:pPr>
      <w:r>
        <w:separator/>
      </w:r>
    </w:p>
  </w:footnote>
  <w:footnote w:type="continuationSeparator" w:id="0">
    <w:p w14:paraId="3E467118" w14:textId="77777777" w:rsidR="00C21B28" w:rsidRDefault="00C21B2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C52D70" w14:textId="77777777" w:rsidR="00EB7705" w:rsidRDefault="00000000">
    <w:pPr>
      <w:jc w:val="righ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0F13"/>
    <w:rsid w:val="009C0F13"/>
    <w:rsid w:val="00BC4E3C"/>
    <w:rsid w:val="00C21B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B2AA4BC"/>
  <w15:chartTrackingRefBased/>
  <w15:docId w15:val="{9DAAB45A-4CFC-4B40-BB17-DF3F1FF88F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0F13"/>
    <w:pPr>
      <w:spacing w:line="276" w:lineRule="auto"/>
    </w:pPr>
    <w:rPr>
      <w:rFonts w:ascii="Arial" w:eastAsia="Arial" w:hAnsi="Arial" w:cs="Arial"/>
      <w:kern w:val="0"/>
      <w:sz w:val="22"/>
      <w:szCs w:val="22"/>
      <w:lang w:eastAsia="en-GB"/>
      <w14:ligatures w14:val="none"/>
    </w:rPr>
  </w:style>
  <w:style w:type="paragraph" w:styleId="Heading1">
    <w:name w:val="heading 1"/>
    <w:basedOn w:val="Normal"/>
    <w:next w:val="Normal"/>
    <w:link w:val="Heading1Char"/>
    <w:uiPriority w:val="9"/>
    <w:qFormat/>
    <w:rsid w:val="009C0F13"/>
    <w:pPr>
      <w:spacing w:line="360" w:lineRule="auto"/>
      <w:jc w:val="both"/>
      <w:outlineLvl w:val="0"/>
    </w:pPr>
    <w:rPr>
      <w:rFonts w:ascii="Times New Roman" w:eastAsia="Times New Roman" w:hAnsi="Times New Roman" w:cs="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0F13"/>
    <w:rPr>
      <w:rFonts w:ascii="Times New Roman" w:eastAsia="Times New Roman" w:hAnsi="Times New Roman" w:cs="Times New Roman"/>
      <w:b/>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eeksforgeeks.org/international-financing-meaning-and-sources-of-international-financing/"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training-nyc.com/learn/financial-modeling/dcf-model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9</Pages>
  <Words>2108</Words>
  <Characters>12019</Characters>
  <Application>Microsoft Office Word</Application>
  <DocSecurity>0</DocSecurity>
  <Lines>100</Lines>
  <Paragraphs>28</Paragraphs>
  <ScaleCrop>false</ScaleCrop>
  <Company/>
  <LinksUpToDate>false</LinksUpToDate>
  <CharactersWithSpaces>14099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Andreea Doru (2125338)</dc:creator>
  <cp:keywords/>
  <dc:description/>
  <cp:lastModifiedBy>Laura Andreea Doru (2125338)</cp:lastModifiedBy>
  <cp:revision>2</cp:revision>
  <dcterms:created xsi:type="dcterms:W3CDTF">2024-08-21T09:04:00Z</dcterms:created>
  <dcterms:modified xsi:type="dcterms:W3CDTF">2024-08-21T09:07:00Z</dcterms:modified>
</cp:coreProperties>
</file>