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7E2B7" w14:textId="77777777" w:rsidR="0091602C" w:rsidRDefault="0091602C"/>
    <w:p w14:paraId="3A690C04" w14:textId="77777777" w:rsidR="0091602C" w:rsidRDefault="0091602C"/>
    <w:p w14:paraId="5C0E8F94" w14:textId="41A39E4E" w:rsidR="00B263D8" w:rsidRDefault="00B263D8" w:rsidP="00B263D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0DF0703D" wp14:editId="02DF0A87">
            <wp:simplePos x="0" y="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35A6FC2E" w14:textId="77777777" w:rsidR="00B263D8" w:rsidRDefault="00B263D8" w:rsidP="00B263D8">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263D8" w14:paraId="495F6F47" w14:textId="77777777" w:rsidTr="00B263D8">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2253B43" w14:textId="77777777" w:rsidR="00B263D8" w:rsidRDefault="00B263D8">
            <w:pPr>
              <w:pStyle w:val="Heading4"/>
              <w:rPr>
                <w:rFonts w:ascii="Arial" w:hAnsi="Arial" w:cs="Arial"/>
                <w:b/>
                <w:lang w:eastAsia="en-US"/>
              </w:rPr>
            </w:pPr>
            <w:r>
              <w:rPr>
                <w:rFonts w:ascii="Arial" w:hAnsi="Arial" w:cs="Arial"/>
                <w:b/>
                <w:lang w:eastAsia="en-US"/>
              </w:rPr>
              <w:t xml:space="preserve">LEVEL 6 ASSESSMENT SPECIFICATION </w:t>
            </w:r>
          </w:p>
        </w:tc>
      </w:tr>
    </w:tbl>
    <w:p w14:paraId="6D3CCCE2" w14:textId="77777777" w:rsidR="00B263D8" w:rsidRDefault="00B263D8" w:rsidP="00B263D8">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263D8" w14:paraId="740301A8"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08CEEFD" w14:textId="77777777" w:rsidR="00B263D8" w:rsidRDefault="00B263D8">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49B94789" w14:textId="599BA1C5" w:rsidR="00B263D8" w:rsidRDefault="00DB6BB6">
            <w:pPr>
              <w:spacing w:before="120" w:after="120"/>
              <w:jc w:val="both"/>
              <w:rPr>
                <w:rFonts w:ascii="Arial" w:hAnsi="Arial" w:cs="Arial"/>
                <w:b/>
              </w:rPr>
            </w:pPr>
            <w:r>
              <w:rPr>
                <w:rFonts w:ascii="Arial" w:hAnsi="Arial" w:cs="Arial"/>
                <w:b/>
              </w:rPr>
              <w:t>Cameron Grant</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3FA34A0" w14:textId="77777777" w:rsidR="00B263D8" w:rsidRDefault="00B263D8">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10C1C082" w14:textId="6F7A8679" w:rsidR="00B263D8" w:rsidRDefault="00DB6BB6">
            <w:pPr>
              <w:spacing w:before="120" w:after="120"/>
              <w:jc w:val="both"/>
              <w:rPr>
                <w:rFonts w:ascii="Arial" w:hAnsi="Arial" w:cs="Arial"/>
                <w:b/>
              </w:rPr>
            </w:pPr>
            <w:r>
              <w:rPr>
                <w:rFonts w:ascii="Arial" w:hAnsi="Arial" w:cs="Arial"/>
                <w:b/>
              </w:rPr>
              <w:t>1900913</w:t>
            </w:r>
          </w:p>
        </w:tc>
      </w:tr>
      <w:tr w:rsidR="00B263D8" w14:paraId="5582A849"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2638058" w14:textId="77777777" w:rsidR="00B263D8" w:rsidRDefault="00B263D8">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E3F829E" w14:textId="77777777" w:rsidR="00B263D8" w:rsidRDefault="00B263D8">
            <w:pPr>
              <w:spacing w:before="120" w:after="120"/>
              <w:jc w:val="both"/>
              <w:rPr>
                <w:rFonts w:ascii="Arial" w:hAnsi="Arial" w:cs="Arial"/>
                <w:b/>
              </w:rPr>
            </w:pPr>
            <w:r>
              <w:rPr>
                <w:rFonts w:ascii="Arial" w:hAnsi="Arial" w:cs="Arial"/>
                <w:b/>
              </w:rPr>
              <w:t>Outdoor Adventure Education</w:t>
            </w:r>
          </w:p>
        </w:tc>
      </w:tr>
      <w:tr w:rsidR="00B263D8" w14:paraId="7FB55644"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07EDDE7" w14:textId="77777777" w:rsidR="00B263D8" w:rsidRDefault="00B263D8">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6E13912D" w14:textId="77777777" w:rsidR="00B263D8" w:rsidRDefault="00B263D8">
            <w:pPr>
              <w:pStyle w:val="fixed"/>
              <w:rPr>
                <w:rFonts w:ascii="Arial" w:eastAsia="Arial" w:hAnsi="Arial" w:cs="Arial"/>
                <w:sz w:val="22"/>
                <w:szCs w:val="22"/>
              </w:rPr>
            </w:pPr>
            <w:r>
              <w:rPr>
                <w:rFonts w:ascii="Arial" w:eastAsia="Arial" w:hAnsi="Arial" w:cs="Arial"/>
                <w:sz w:val="22"/>
                <w:szCs w:val="22"/>
              </w:rPr>
              <w:t>Critical Incidents in Adventurous Activities</w:t>
            </w:r>
          </w:p>
        </w:tc>
      </w:tr>
      <w:tr w:rsidR="00B263D8" w14:paraId="729D00AE"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ABB76B2" w14:textId="77777777" w:rsidR="00B263D8" w:rsidRDefault="00B263D8">
            <w:pPr>
              <w:spacing w:before="120" w:after="120"/>
              <w:jc w:val="both"/>
              <w:rPr>
                <w:rFonts w:ascii="Arial" w:eastAsia="Times New Roman"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4C57E94" w14:textId="77777777" w:rsidR="00B263D8" w:rsidRDefault="00B263D8">
            <w:pPr>
              <w:spacing w:before="120" w:after="120"/>
              <w:jc w:val="both"/>
              <w:rPr>
                <w:rFonts w:ascii="Arial" w:hAnsi="Arial" w:cs="Arial"/>
                <w:b/>
              </w:rPr>
            </w:pPr>
            <w:r>
              <w:rPr>
                <w:rFonts w:ascii="Arial" w:hAnsi="Arial" w:cs="Arial"/>
                <w:b/>
              </w:rPr>
              <w:t>BMOE6001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795CD88" w14:textId="77777777" w:rsidR="00B263D8" w:rsidRDefault="00B263D8">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68FAA51C" w14:textId="77777777" w:rsidR="00B263D8" w:rsidRDefault="00B263D8">
            <w:pPr>
              <w:spacing w:before="120" w:after="120"/>
              <w:jc w:val="both"/>
              <w:rPr>
                <w:rFonts w:ascii="Arial" w:hAnsi="Arial" w:cs="Arial"/>
                <w:b/>
              </w:rPr>
            </w:pPr>
            <w:r>
              <w:rPr>
                <w:rFonts w:ascii="Arial" w:hAnsi="Arial" w:cs="Arial"/>
                <w:b/>
              </w:rPr>
              <w:t>50%</w:t>
            </w:r>
          </w:p>
        </w:tc>
      </w:tr>
      <w:tr w:rsidR="00B263D8" w14:paraId="5C698366"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C30076E" w14:textId="77777777" w:rsidR="00B263D8" w:rsidRDefault="00B263D8">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2999AFF3" w14:textId="77777777" w:rsidR="00B263D8" w:rsidRDefault="00B263D8">
            <w:pPr>
              <w:spacing w:before="120" w:after="120"/>
              <w:jc w:val="both"/>
              <w:rPr>
                <w:rFonts w:ascii="Arial" w:hAnsi="Arial" w:cs="Arial"/>
                <w:b/>
              </w:rPr>
            </w:pPr>
            <w:r>
              <w:rPr>
                <w:rFonts w:ascii="Arial" w:hAnsi="Arial" w:cs="Arial"/>
                <w:b/>
              </w:rPr>
              <w:t>Graham Harvey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7FFBE78" w14:textId="77777777" w:rsidR="00B263D8" w:rsidRDefault="00B263D8">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793AB61E" w14:textId="77777777" w:rsidR="00B263D8" w:rsidRDefault="00B263D8">
            <w:pPr>
              <w:spacing w:before="120" w:after="120"/>
              <w:jc w:val="both"/>
              <w:rPr>
                <w:rFonts w:ascii="Arial" w:hAnsi="Arial" w:cs="Arial"/>
                <w:b/>
              </w:rPr>
            </w:pPr>
            <w:r>
              <w:rPr>
                <w:rFonts w:ascii="Arial" w:hAnsi="Arial" w:cs="Arial"/>
                <w:b/>
              </w:rPr>
              <w:t>Denise Leonard</w:t>
            </w:r>
          </w:p>
        </w:tc>
      </w:tr>
      <w:tr w:rsidR="00B263D8" w14:paraId="5B29D92A"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6E2CC7A" w14:textId="77777777" w:rsidR="00B263D8" w:rsidRDefault="00B263D8">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55CB37CA" w14:textId="77777777" w:rsidR="00B263D8" w:rsidRDefault="00B263D8">
            <w:pPr>
              <w:spacing w:before="120" w:after="120"/>
              <w:jc w:val="both"/>
              <w:rPr>
                <w:rFonts w:ascii="Arial" w:hAnsi="Arial" w:cs="Arial"/>
                <w:b/>
              </w:rPr>
            </w:pPr>
            <w:r>
              <w:rPr>
                <w:rFonts w:ascii="Arial" w:hAnsi="Arial" w:cs="Arial"/>
                <w:b/>
              </w:rPr>
              <w:t xml:space="preserve">Critical Incident Portfolio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028278E" w14:textId="77777777" w:rsidR="00B263D8" w:rsidRDefault="00B263D8">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4F82775C" w14:textId="77777777" w:rsidR="00B263D8" w:rsidRDefault="00B263D8">
            <w:pPr>
              <w:spacing w:before="120" w:after="120"/>
              <w:jc w:val="both"/>
              <w:rPr>
                <w:rFonts w:ascii="Arial" w:hAnsi="Arial" w:cs="Arial"/>
                <w:b/>
              </w:rPr>
            </w:pPr>
            <w:r>
              <w:rPr>
                <w:rFonts w:ascii="Arial" w:hAnsi="Arial" w:cs="Arial"/>
                <w:b/>
              </w:rPr>
              <w:t>2,500</w:t>
            </w:r>
          </w:p>
        </w:tc>
      </w:tr>
      <w:tr w:rsidR="00B263D8" w14:paraId="49FE9149"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F7D0ACE" w14:textId="77777777" w:rsidR="00B263D8" w:rsidRDefault="00B263D8">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2B1465EA" w14:textId="77777777" w:rsidR="00B263D8" w:rsidRDefault="00B263D8">
            <w:pPr>
              <w:spacing w:before="120" w:after="120"/>
              <w:jc w:val="both"/>
              <w:rPr>
                <w:rFonts w:ascii="Arial" w:hAnsi="Arial" w:cs="Arial"/>
                <w:b/>
              </w:rPr>
            </w:pPr>
            <w:r>
              <w:rPr>
                <w:rFonts w:ascii="Arial" w:hAnsi="Arial" w:cs="Arial"/>
                <w:b/>
              </w:rPr>
              <w:t>21</w:t>
            </w:r>
            <w:r>
              <w:rPr>
                <w:rFonts w:ascii="Arial" w:hAnsi="Arial" w:cs="Arial"/>
                <w:b/>
                <w:vertAlign w:val="superscript"/>
              </w:rPr>
              <w:t>st</w:t>
            </w:r>
            <w:r>
              <w:rPr>
                <w:rFonts w:ascii="Arial" w:hAnsi="Arial" w:cs="Arial"/>
                <w:b/>
              </w:rPr>
              <w:t xml:space="preserve"> January 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8969D32" w14:textId="77777777" w:rsidR="00B263D8" w:rsidRDefault="00B263D8">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5519632D" w14:textId="77777777" w:rsidR="00B263D8" w:rsidRDefault="00B263D8">
            <w:pPr>
              <w:spacing w:before="120" w:after="120"/>
              <w:jc w:val="both"/>
              <w:rPr>
                <w:rFonts w:ascii="Arial" w:hAnsi="Arial" w:cs="Arial"/>
                <w:b/>
              </w:rPr>
            </w:pPr>
            <w:r>
              <w:rPr>
                <w:rFonts w:ascii="Arial" w:hAnsi="Arial" w:cs="Arial"/>
                <w:b/>
              </w:rPr>
              <w:t>22</w:t>
            </w:r>
            <w:r>
              <w:rPr>
                <w:rFonts w:ascii="Arial" w:hAnsi="Arial" w:cs="Arial"/>
                <w:b/>
                <w:vertAlign w:val="superscript"/>
              </w:rPr>
              <w:t>nd</w:t>
            </w:r>
            <w:r>
              <w:rPr>
                <w:rFonts w:ascii="Arial" w:hAnsi="Arial" w:cs="Arial"/>
                <w:b/>
              </w:rPr>
              <w:t xml:space="preserve"> February 2021</w:t>
            </w:r>
          </w:p>
        </w:tc>
      </w:tr>
      <w:tr w:rsidR="00B263D8" w14:paraId="3CFD15D3"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618727D" w14:textId="77777777" w:rsidR="00B263D8" w:rsidRDefault="00B263D8">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32ECFE80" w14:textId="77777777" w:rsidR="00B263D8" w:rsidRDefault="00B263D8">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EC4D37" w14:textId="77777777" w:rsidR="00B263D8" w:rsidRDefault="00B263D8">
            <w:pPr>
              <w:spacing w:before="120" w:after="120"/>
              <w:jc w:val="both"/>
              <w:rPr>
                <w:rFonts w:ascii="Arial" w:hAnsi="Arial" w:cs="Arial"/>
                <w:b/>
              </w:rPr>
            </w:pPr>
            <w:r>
              <w:rPr>
                <w:rFonts w:ascii="Arial" w:hAnsi="Arial" w:cs="Arial"/>
                <w:b/>
              </w:rPr>
              <w:t xml:space="preserve">Alternative submission method (if applicable): </w:t>
            </w:r>
          </w:p>
          <w:p w14:paraId="2C5B1338" w14:textId="77777777" w:rsidR="00B263D8" w:rsidRDefault="00B263D8">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B263D8" w14:paraId="01CC73F5" w14:textId="77777777" w:rsidTr="00B263D8">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43B0842" w14:textId="77777777" w:rsidR="00B263D8" w:rsidRDefault="00B263D8">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77B8A630" w14:textId="77777777" w:rsidR="00B263D8" w:rsidRDefault="00B263D8">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AE2133F" w14:textId="77777777" w:rsidR="0091602C" w:rsidRDefault="0091602C"/>
    <w:p w14:paraId="211ACFDD" w14:textId="77777777" w:rsidR="0091602C" w:rsidRDefault="0091602C"/>
    <w:p w14:paraId="060A0C99" w14:textId="77777777" w:rsidR="0091602C" w:rsidRDefault="0091602C"/>
    <w:p w14:paraId="2AA86915" w14:textId="77777777" w:rsidR="0091602C" w:rsidRDefault="0091602C"/>
    <w:p w14:paraId="1FDDF647" w14:textId="2ED01D23" w:rsidR="0091602C" w:rsidRDefault="0091602C">
      <w:r>
        <w:rPr>
          <w:noProof/>
        </w:rPr>
        <w:drawing>
          <wp:anchor distT="0" distB="0" distL="114300" distR="114300" simplePos="0" relativeHeight="251658240" behindDoc="1" locked="0" layoutInCell="1" allowOverlap="1" wp14:anchorId="6E2AA5C9" wp14:editId="63A72142">
            <wp:simplePos x="0" y="0"/>
            <wp:positionH relativeFrom="margin">
              <wp:align>center</wp:align>
            </wp:positionH>
            <wp:positionV relativeFrom="paragraph">
              <wp:posOffset>0</wp:posOffset>
            </wp:positionV>
            <wp:extent cx="5388610" cy="7626800"/>
            <wp:effectExtent l="0" t="0" r="2540" b="0"/>
            <wp:wrapTight wrapText="bothSides">
              <wp:wrapPolygon edited="0">
                <wp:start x="0" y="0"/>
                <wp:lineTo x="0" y="21528"/>
                <wp:lineTo x="21534" y="21528"/>
                <wp:lineTo x="21534" y="0"/>
                <wp:lineTo x="0" y="0"/>
              </wp:wrapPolygon>
            </wp:wrapTight>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88610" cy="7626800"/>
                    </a:xfrm>
                    <a:prstGeom prst="rect">
                      <a:avLst/>
                    </a:prstGeom>
                    <a:noFill/>
                    <a:ln>
                      <a:noFill/>
                    </a:ln>
                  </pic:spPr>
                </pic:pic>
              </a:graphicData>
            </a:graphic>
          </wp:anchor>
        </w:drawing>
      </w:r>
    </w:p>
    <w:p w14:paraId="00FAA6CE" w14:textId="5E66759B" w:rsidR="0091602C" w:rsidRDefault="0091602C"/>
    <w:p w14:paraId="1BBA972C" w14:textId="604640FC" w:rsidR="0091602C" w:rsidRDefault="0091602C"/>
    <w:p w14:paraId="0237E0C3" w14:textId="34B64AD1" w:rsidR="0091602C" w:rsidRDefault="0091602C"/>
    <w:p w14:paraId="506113B0" w14:textId="5EB7346E" w:rsidR="0091602C" w:rsidRDefault="0091602C">
      <w:pPr>
        <w:rPr>
          <w:noProof/>
        </w:rPr>
      </w:pPr>
      <w:r>
        <w:rPr>
          <w:noProof/>
        </w:rPr>
        <w:drawing>
          <wp:inline distT="0" distB="0" distL="0" distR="0" wp14:anchorId="46C10C1D" wp14:editId="6A5B6831">
            <wp:extent cx="5731510" cy="8112125"/>
            <wp:effectExtent l="0" t="0" r="2540" b="317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35635B72" w14:textId="1AD1B6BE" w:rsidR="0091602C" w:rsidRDefault="0091602C" w:rsidP="0091602C">
      <w:pPr>
        <w:rPr>
          <w:noProof/>
        </w:rPr>
      </w:pPr>
    </w:p>
    <w:p w14:paraId="7A5C5CC7" w14:textId="3BE878D9" w:rsidR="0091602C" w:rsidRDefault="0091602C" w:rsidP="0091602C">
      <w:pPr>
        <w:tabs>
          <w:tab w:val="left" w:pos="1404"/>
        </w:tabs>
      </w:pPr>
      <w:r>
        <w:tab/>
      </w:r>
    </w:p>
    <w:p w14:paraId="6070E151" w14:textId="4AC4C070" w:rsidR="0091602C" w:rsidRDefault="0091602C" w:rsidP="0091602C">
      <w:pPr>
        <w:tabs>
          <w:tab w:val="left" w:pos="1404"/>
        </w:tabs>
      </w:pPr>
      <w:r>
        <w:rPr>
          <w:noProof/>
        </w:rPr>
        <w:drawing>
          <wp:inline distT="0" distB="0" distL="0" distR="0" wp14:anchorId="1088F306" wp14:editId="4C95906F">
            <wp:extent cx="5731510" cy="8112125"/>
            <wp:effectExtent l="0" t="0" r="2540" b="317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16935316" w14:textId="76F6EC23" w:rsidR="0091602C" w:rsidRDefault="0091602C" w:rsidP="0091602C">
      <w:pPr>
        <w:tabs>
          <w:tab w:val="left" w:pos="1404"/>
        </w:tabs>
      </w:pPr>
    </w:p>
    <w:p w14:paraId="79CDE808" w14:textId="6B4B7BB5" w:rsidR="0040710E" w:rsidRDefault="0040710E" w:rsidP="0091602C">
      <w:pPr>
        <w:tabs>
          <w:tab w:val="left" w:pos="1404"/>
        </w:tabs>
      </w:pPr>
    </w:p>
    <w:p w14:paraId="600C6670" w14:textId="7E569CDF" w:rsidR="0040710E" w:rsidRDefault="0040710E" w:rsidP="0091602C">
      <w:pPr>
        <w:tabs>
          <w:tab w:val="left" w:pos="1404"/>
        </w:tabs>
      </w:pPr>
      <w:r>
        <w:rPr>
          <w:noProof/>
        </w:rPr>
        <w:drawing>
          <wp:inline distT="0" distB="0" distL="0" distR="0" wp14:anchorId="36CCBCC0" wp14:editId="76078498">
            <wp:extent cx="5731510" cy="8112125"/>
            <wp:effectExtent l="0" t="0" r="2540" b="317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070370D2" w14:textId="2FCAAF51" w:rsidR="0040710E" w:rsidRDefault="0040710E" w:rsidP="0091602C">
      <w:pPr>
        <w:tabs>
          <w:tab w:val="left" w:pos="1404"/>
        </w:tabs>
      </w:pPr>
      <w:r>
        <w:rPr>
          <w:noProof/>
        </w:rPr>
        <w:lastRenderedPageBreak/>
        <w:drawing>
          <wp:inline distT="0" distB="0" distL="0" distR="0" wp14:anchorId="5E227B0B" wp14:editId="40845557">
            <wp:extent cx="5731510" cy="8112125"/>
            <wp:effectExtent l="0" t="0" r="2540" b="3175"/>
            <wp:docPr id="5" name="Picture 5" descr="A picture containing text, food,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food, chees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0DB47F8F" w14:textId="3B2DD6EE" w:rsidR="0040710E" w:rsidRDefault="0040710E" w:rsidP="0091602C">
      <w:pPr>
        <w:tabs>
          <w:tab w:val="left" w:pos="1404"/>
        </w:tabs>
      </w:pPr>
    </w:p>
    <w:p w14:paraId="689B2BD2" w14:textId="77777777" w:rsidR="0040710E" w:rsidRDefault="0040710E" w:rsidP="0091602C">
      <w:pPr>
        <w:tabs>
          <w:tab w:val="left" w:pos="1404"/>
        </w:tabs>
      </w:pPr>
    </w:p>
    <w:p w14:paraId="2495F8E5" w14:textId="0B23EC6B" w:rsidR="0040710E" w:rsidRDefault="00B263D8" w:rsidP="0091602C">
      <w:pPr>
        <w:tabs>
          <w:tab w:val="left" w:pos="1404"/>
        </w:tabs>
      </w:pPr>
      <w:r>
        <w:rPr>
          <w:noProof/>
        </w:rPr>
        <w:lastRenderedPageBreak/>
        <w:drawing>
          <wp:inline distT="0" distB="0" distL="0" distR="0" wp14:anchorId="7C318DA0" wp14:editId="32BF1EEF">
            <wp:extent cx="5731510" cy="8112125"/>
            <wp:effectExtent l="0" t="0" r="2540" b="3175"/>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4C01A470" w14:textId="61D3136F" w:rsidR="0040710E" w:rsidRDefault="0040710E" w:rsidP="0091602C">
      <w:pPr>
        <w:tabs>
          <w:tab w:val="left" w:pos="1404"/>
        </w:tabs>
      </w:pPr>
    </w:p>
    <w:p w14:paraId="5EC9224F" w14:textId="3717A748" w:rsidR="0040710E" w:rsidRDefault="0040710E" w:rsidP="0091602C">
      <w:pPr>
        <w:tabs>
          <w:tab w:val="left" w:pos="1404"/>
        </w:tabs>
      </w:pPr>
    </w:p>
    <w:p w14:paraId="217958AA" w14:textId="0887F2C8" w:rsidR="0040710E" w:rsidRDefault="00B263D8" w:rsidP="0091602C">
      <w:pPr>
        <w:tabs>
          <w:tab w:val="left" w:pos="1404"/>
        </w:tabs>
      </w:pPr>
      <w:r>
        <w:rPr>
          <w:noProof/>
        </w:rPr>
        <w:lastRenderedPageBreak/>
        <w:drawing>
          <wp:inline distT="0" distB="0" distL="0" distR="0" wp14:anchorId="6279A06F" wp14:editId="4E85C67D">
            <wp:extent cx="5731510" cy="8112125"/>
            <wp:effectExtent l="0" t="0" r="2540" b="317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2A2231FC" w14:textId="517AC6AA" w:rsidR="0040710E" w:rsidRDefault="0040710E" w:rsidP="0091602C">
      <w:pPr>
        <w:tabs>
          <w:tab w:val="left" w:pos="1404"/>
        </w:tabs>
      </w:pPr>
    </w:p>
    <w:p w14:paraId="4291D4A6" w14:textId="42710591" w:rsidR="0040710E" w:rsidRDefault="0040710E" w:rsidP="0091602C">
      <w:pPr>
        <w:tabs>
          <w:tab w:val="left" w:pos="1404"/>
        </w:tabs>
      </w:pPr>
    </w:p>
    <w:p w14:paraId="04EF6A9D" w14:textId="435699C0" w:rsidR="0040710E" w:rsidRDefault="00B263D8" w:rsidP="0091602C">
      <w:pPr>
        <w:tabs>
          <w:tab w:val="left" w:pos="1404"/>
        </w:tabs>
      </w:pPr>
      <w:r>
        <w:rPr>
          <w:noProof/>
        </w:rPr>
        <w:lastRenderedPageBreak/>
        <w:drawing>
          <wp:inline distT="0" distB="0" distL="0" distR="0" wp14:anchorId="6C553077" wp14:editId="62252392">
            <wp:extent cx="5731510" cy="8112125"/>
            <wp:effectExtent l="0" t="0" r="2540" b="317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0FEDD615" w14:textId="74985219" w:rsidR="0040710E" w:rsidRDefault="0040710E" w:rsidP="0091602C">
      <w:pPr>
        <w:tabs>
          <w:tab w:val="left" w:pos="1404"/>
        </w:tabs>
      </w:pPr>
    </w:p>
    <w:p w14:paraId="5A72A2EE" w14:textId="6F954FA3" w:rsidR="0040710E" w:rsidRDefault="0040710E" w:rsidP="0091602C">
      <w:pPr>
        <w:tabs>
          <w:tab w:val="left" w:pos="1404"/>
        </w:tabs>
      </w:pPr>
    </w:p>
    <w:p w14:paraId="4E1D09F0" w14:textId="050941F1" w:rsidR="0040710E" w:rsidRDefault="00B263D8" w:rsidP="0091602C">
      <w:pPr>
        <w:tabs>
          <w:tab w:val="left" w:pos="1404"/>
        </w:tabs>
      </w:pPr>
      <w:r>
        <w:rPr>
          <w:noProof/>
        </w:rPr>
        <w:lastRenderedPageBreak/>
        <w:drawing>
          <wp:inline distT="0" distB="0" distL="0" distR="0" wp14:anchorId="4F337E36" wp14:editId="7EABAB1D">
            <wp:extent cx="5731510" cy="8112125"/>
            <wp:effectExtent l="0" t="0" r="2540" b="317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37F5C88F" w14:textId="271A731C" w:rsidR="0040710E" w:rsidRDefault="0040710E" w:rsidP="0091602C">
      <w:pPr>
        <w:tabs>
          <w:tab w:val="left" w:pos="1404"/>
        </w:tabs>
      </w:pPr>
    </w:p>
    <w:p w14:paraId="127FBA3C" w14:textId="7F7844DE" w:rsidR="0040710E" w:rsidRDefault="0040710E" w:rsidP="0091602C">
      <w:pPr>
        <w:tabs>
          <w:tab w:val="left" w:pos="1404"/>
        </w:tabs>
      </w:pPr>
    </w:p>
    <w:p w14:paraId="43F6F2EE" w14:textId="62AA40A5" w:rsidR="0040710E" w:rsidRDefault="00B263D8" w:rsidP="0091602C">
      <w:pPr>
        <w:tabs>
          <w:tab w:val="left" w:pos="1404"/>
        </w:tabs>
      </w:pPr>
      <w:r>
        <w:rPr>
          <w:noProof/>
        </w:rPr>
        <w:lastRenderedPageBreak/>
        <w:drawing>
          <wp:inline distT="0" distB="0" distL="0" distR="0" wp14:anchorId="387EF5A6" wp14:editId="1813CFB7">
            <wp:extent cx="5731510" cy="8112125"/>
            <wp:effectExtent l="0" t="0" r="2540" b="317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6D6234AC" w14:textId="27356721" w:rsidR="0040710E" w:rsidRDefault="00B263D8" w:rsidP="0091602C">
      <w:pPr>
        <w:tabs>
          <w:tab w:val="left" w:pos="1404"/>
        </w:tabs>
      </w:pPr>
      <w:r>
        <w:rPr>
          <w:noProof/>
        </w:rPr>
        <w:lastRenderedPageBreak/>
        <w:drawing>
          <wp:inline distT="0" distB="0" distL="0" distR="0" wp14:anchorId="24138C1A" wp14:editId="006A324C">
            <wp:extent cx="5731510" cy="8112125"/>
            <wp:effectExtent l="0" t="0" r="2540" b="3175"/>
            <wp:docPr id="11" name="Picture 11"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newspap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67B87857" w14:textId="2408D58A" w:rsidR="0040710E" w:rsidRDefault="0040710E" w:rsidP="0091602C">
      <w:pPr>
        <w:tabs>
          <w:tab w:val="left" w:pos="1404"/>
        </w:tabs>
      </w:pPr>
    </w:p>
    <w:p w14:paraId="0EDA606E" w14:textId="77777777" w:rsidR="0040710E" w:rsidRDefault="0040710E" w:rsidP="0091602C">
      <w:pPr>
        <w:tabs>
          <w:tab w:val="left" w:pos="1404"/>
        </w:tabs>
      </w:pPr>
    </w:p>
    <w:p w14:paraId="6192EC7B" w14:textId="1E10EC83" w:rsidR="0040710E" w:rsidRDefault="00B263D8" w:rsidP="0091602C">
      <w:pPr>
        <w:tabs>
          <w:tab w:val="left" w:pos="1404"/>
        </w:tabs>
      </w:pPr>
      <w:r>
        <w:rPr>
          <w:noProof/>
        </w:rPr>
        <w:lastRenderedPageBreak/>
        <w:drawing>
          <wp:inline distT="0" distB="0" distL="0" distR="0" wp14:anchorId="628E2471" wp14:editId="6B831030">
            <wp:extent cx="5731510" cy="8112125"/>
            <wp:effectExtent l="0" t="0" r="2540" b="3175"/>
            <wp:docPr id="12" name="Picture 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0A4E26CC" w14:textId="73332557" w:rsidR="00B263D8" w:rsidRDefault="00B263D8" w:rsidP="0091602C">
      <w:pPr>
        <w:tabs>
          <w:tab w:val="left" w:pos="1404"/>
        </w:tabs>
      </w:pPr>
    </w:p>
    <w:p w14:paraId="0C2C7484" w14:textId="207EB3D0" w:rsidR="00B263D8" w:rsidRDefault="00B263D8" w:rsidP="0091602C">
      <w:pPr>
        <w:tabs>
          <w:tab w:val="left" w:pos="1404"/>
        </w:tabs>
      </w:pPr>
    </w:p>
    <w:p w14:paraId="37C4ED75" w14:textId="7820E3B0" w:rsidR="00B263D8" w:rsidRDefault="00B263D8" w:rsidP="0091602C">
      <w:pPr>
        <w:tabs>
          <w:tab w:val="left" w:pos="1404"/>
        </w:tabs>
      </w:pPr>
      <w:r>
        <w:rPr>
          <w:noProof/>
        </w:rPr>
        <w:lastRenderedPageBreak/>
        <w:drawing>
          <wp:inline distT="0" distB="0" distL="0" distR="0" wp14:anchorId="1B745868" wp14:editId="08A3347A">
            <wp:extent cx="5731510" cy="8112125"/>
            <wp:effectExtent l="0" t="0" r="2540" b="3175"/>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20CBE00F" w14:textId="5C2B2C67" w:rsidR="00B263D8" w:rsidRDefault="00B263D8" w:rsidP="0091602C">
      <w:pPr>
        <w:tabs>
          <w:tab w:val="left" w:pos="1404"/>
        </w:tabs>
      </w:pPr>
    </w:p>
    <w:p w14:paraId="7F5359EF" w14:textId="3BAE22F4" w:rsidR="00B263D8" w:rsidRDefault="00B263D8" w:rsidP="0091602C">
      <w:pPr>
        <w:tabs>
          <w:tab w:val="left" w:pos="1404"/>
        </w:tabs>
      </w:pPr>
    </w:p>
    <w:p w14:paraId="227FD1AB" w14:textId="576DA438" w:rsidR="00B263D8" w:rsidRDefault="00B263D8" w:rsidP="0091602C">
      <w:pPr>
        <w:tabs>
          <w:tab w:val="left" w:pos="1404"/>
        </w:tabs>
      </w:pPr>
      <w:r>
        <w:rPr>
          <w:noProof/>
        </w:rPr>
        <w:lastRenderedPageBreak/>
        <w:drawing>
          <wp:inline distT="0" distB="0" distL="0" distR="0" wp14:anchorId="101C4372" wp14:editId="11A3E3FA">
            <wp:extent cx="5731510" cy="8112125"/>
            <wp:effectExtent l="0" t="0" r="2540" b="317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2441CD3D" w14:textId="458A49B7" w:rsidR="00B263D8" w:rsidRDefault="00B263D8" w:rsidP="0091602C">
      <w:pPr>
        <w:tabs>
          <w:tab w:val="left" w:pos="1404"/>
        </w:tabs>
      </w:pPr>
    </w:p>
    <w:p w14:paraId="653ACEB0" w14:textId="1C1834A5" w:rsidR="00B263D8" w:rsidRDefault="00B263D8" w:rsidP="0091602C">
      <w:pPr>
        <w:tabs>
          <w:tab w:val="left" w:pos="1404"/>
        </w:tabs>
      </w:pPr>
    </w:p>
    <w:p w14:paraId="67A85756" w14:textId="402B5D54" w:rsidR="00B263D8" w:rsidRDefault="00B263D8" w:rsidP="0091602C">
      <w:pPr>
        <w:tabs>
          <w:tab w:val="left" w:pos="1404"/>
        </w:tabs>
      </w:pPr>
    </w:p>
    <w:p w14:paraId="5AA8263F" w14:textId="77777777" w:rsidR="00B263D8" w:rsidRDefault="00B263D8" w:rsidP="0091602C">
      <w:pPr>
        <w:tabs>
          <w:tab w:val="left" w:pos="1404"/>
        </w:tabs>
      </w:pPr>
    </w:p>
    <w:p w14:paraId="0F626D35" w14:textId="3F1DB7DF" w:rsidR="00B263D8" w:rsidRDefault="00B263D8" w:rsidP="0091602C">
      <w:pPr>
        <w:tabs>
          <w:tab w:val="left" w:pos="1404"/>
        </w:tabs>
      </w:pPr>
      <w:r>
        <w:rPr>
          <w:noProof/>
        </w:rPr>
        <w:drawing>
          <wp:inline distT="0" distB="0" distL="0" distR="0" wp14:anchorId="7223CAF0" wp14:editId="3B7DFC38">
            <wp:extent cx="5731510" cy="8112125"/>
            <wp:effectExtent l="0" t="0" r="2540" b="3175"/>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75F37FE6" w14:textId="4A849373" w:rsidR="00B263D8" w:rsidRDefault="004120B5" w:rsidP="0091602C">
      <w:pPr>
        <w:tabs>
          <w:tab w:val="left" w:pos="1404"/>
        </w:tabs>
        <w:rPr>
          <w:rFonts w:ascii="Times New Roman" w:hAnsi="Times New Roman" w:cs="Times New Roman"/>
          <w:sz w:val="30"/>
          <w:szCs w:val="30"/>
        </w:rPr>
      </w:pPr>
      <w:r>
        <w:rPr>
          <w:rFonts w:ascii="Times New Roman" w:hAnsi="Times New Roman" w:cs="Times New Roman"/>
          <w:sz w:val="30"/>
          <w:szCs w:val="30"/>
        </w:rPr>
        <w:lastRenderedPageBreak/>
        <w:t>R</w:t>
      </w:r>
      <w:r w:rsidRPr="004120B5">
        <w:rPr>
          <w:rFonts w:ascii="Times New Roman" w:hAnsi="Times New Roman" w:cs="Times New Roman"/>
          <w:sz w:val="30"/>
          <w:szCs w:val="30"/>
        </w:rPr>
        <w:t>eferences</w:t>
      </w:r>
      <w:r>
        <w:rPr>
          <w:rFonts w:ascii="Times New Roman" w:hAnsi="Times New Roman" w:cs="Times New Roman"/>
          <w:sz w:val="30"/>
          <w:szCs w:val="30"/>
        </w:rPr>
        <w:t>:</w:t>
      </w:r>
    </w:p>
    <w:p w14:paraId="61292781" w14:textId="03A6D07C"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rPr>
        <w:t xml:space="preserve">British Canoeing (2017)  White Water Safety and Rescue Training Course Notes. Available at: </w:t>
      </w:r>
      <w:r w:rsidRPr="004120B5">
        <w:rPr>
          <w:rStyle w:val="HTMLCite"/>
          <w:rFonts w:ascii="Times New Roman" w:hAnsi="Times New Roman" w:cs="Times New Roman"/>
          <w:sz w:val="20"/>
          <w:szCs w:val="20"/>
          <w:shd w:val="clear" w:color="auto" w:fill="FFFFFF"/>
        </w:rPr>
        <w:t xml:space="preserve">https://cani.org.uk/download/british-canoeing-whitewater-safety-and... </w:t>
      </w:r>
      <w:r w:rsidRPr="004120B5">
        <w:rPr>
          <w:rFonts w:ascii="Times New Roman" w:hAnsi="Times New Roman" w:cs="Times New Roman"/>
          <w:sz w:val="20"/>
          <w:szCs w:val="20"/>
        </w:rPr>
        <w:t>(Accessed 13/01/22)</w:t>
      </w:r>
    </w:p>
    <w:p w14:paraId="02DD7056" w14:textId="77777777" w:rsidR="004120B5" w:rsidRPr="004120B5" w:rsidRDefault="004120B5" w:rsidP="004120B5">
      <w:pPr>
        <w:tabs>
          <w:tab w:val="left" w:pos="6972"/>
        </w:tabs>
        <w:spacing w:line="360" w:lineRule="auto"/>
        <w:rPr>
          <w:rFonts w:ascii="Times New Roman" w:hAnsi="Times New Roman" w:cs="Times New Roman"/>
          <w:color w:val="303030"/>
          <w:sz w:val="20"/>
          <w:szCs w:val="20"/>
          <w:shd w:val="clear" w:color="auto" w:fill="FFFFFF"/>
        </w:rPr>
      </w:pPr>
      <w:r w:rsidRPr="004120B5">
        <w:rPr>
          <w:rFonts w:ascii="Times New Roman" w:hAnsi="Times New Roman" w:cs="Times New Roman"/>
          <w:color w:val="303030"/>
          <w:sz w:val="20"/>
          <w:szCs w:val="20"/>
          <w:shd w:val="clear" w:color="auto" w:fill="FFFFFF"/>
        </w:rPr>
        <w:t xml:space="preserve">Director General Department of Occupational Safety and Health (2008) </w:t>
      </w:r>
      <w:r w:rsidRPr="004120B5">
        <w:rPr>
          <w:rFonts w:ascii="Times New Roman" w:hAnsi="Times New Roman" w:cs="Times New Roman"/>
          <w:i/>
          <w:iCs/>
          <w:color w:val="303030"/>
          <w:sz w:val="20"/>
          <w:szCs w:val="20"/>
          <w:shd w:val="clear" w:color="auto" w:fill="FFFFFF"/>
        </w:rPr>
        <w:t>Guidelines for Hazard Identification, Risk Assessment and Risk Control (HIRARC)</w:t>
      </w:r>
      <w:r w:rsidRPr="004120B5">
        <w:rPr>
          <w:rFonts w:ascii="Times New Roman" w:hAnsi="Times New Roman" w:cs="Times New Roman"/>
          <w:color w:val="303030"/>
          <w:sz w:val="20"/>
          <w:szCs w:val="20"/>
          <w:shd w:val="clear" w:color="auto" w:fill="FFFFFF"/>
        </w:rPr>
        <w:t>. p. 1 - 34. Available at: </w:t>
      </w:r>
      <w:hyperlink r:id="rId23" w:history="1">
        <w:r w:rsidRPr="004120B5">
          <w:rPr>
            <w:rFonts w:ascii="Times New Roman" w:hAnsi="Times New Roman" w:cs="Times New Roman"/>
            <w:color w:val="2F4A8B"/>
            <w:sz w:val="20"/>
            <w:szCs w:val="20"/>
            <w:u w:val="single"/>
            <w:shd w:val="clear" w:color="auto" w:fill="FFFFFF"/>
          </w:rPr>
          <w:t>http://www.dosh.gov.my/index.php?option=com_docman&amp;task=cat_view&amp;gid=15&amp;Itemid=179&amp;lang=en</w:t>
        </w:r>
      </w:hyperlink>
      <w:r w:rsidRPr="004120B5">
        <w:rPr>
          <w:rFonts w:ascii="Times New Roman" w:hAnsi="Times New Roman" w:cs="Times New Roman"/>
          <w:color w:val="2F4A8B"/>
          <w:sz w:val="20"/>
          <w:szCs w:val="20"/>
          <w:u w:val="single"/>
          <w:shd w:val="clear" w:color="auto" w:fill="FFFFFF"/>
        </w:rPr>
        <w:t xml:space="preserve"> </w:t>
      </w:r>
      <w:bookmarkStart w:id="0" w:name="_Hlk93589533"/>
      <w:r w:rsidRPr="004120B5">
        <w:rPr>
          <w:rFonts w:ascii="Times New Roman" w:hAnsi="Times New Roman" w:cs="Times New Roman"/>
          <w:sz w:val="20"/>
          <w:szCs w:val="20"/>
        </w:rPr>
        <w:t>Accessed (13/01/2022)</w:t>
      </w:r>
      <w:bookmarkEnd w:id="0"/>
    </w:p>
    <w:p w14:paraId="042B3903"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rPr>
        <w:t xml:space="preserve">Froelicher, C., Wienand A. (2021) 'I just surrendered': How an Aussie survived disaster and found closure 20 years on. (SBS German).  Available at: </w:t>
      </w:r>
      <w:hyperlink r:id="rId24" w:history="1">
        <w:r w:rsidRPr="004120B5">
          <w:rPr>
            <w:rStyle w:val="Hyperlink"/>
            <w:rFonts w:ascii="Times New Roman" w:hAnsi="Times New Roman" w:cs="Times New Roman"/>
            <w:sz w:val="20"/>
            <w:szCs w:val="20"/>
          </w:rPr>
          <w:t>https://www.sbs.com.au/language/english/i-just-surrendered-how-an-aussie-survived-disaster-and-found-closure-20-years-on</w:t>
        </w:r>
      </w:hyperlink>
      <w:r w:rsidRPr="004120B5">
        <w:rPr>
          <w:rFonts w:ascii="Times New Roman" w:hAnsi="Times New Roman" w:cs="Times New Roman"/>
          <w:sz w:val="20"/>
          <w:szCs w:val="20"/>
        </w:rPr>
        <w:t xml:space="preserve"> (Accessed 13/01/22)</w:t>
      </w:r>
    </w:p>
    <w:p w14:paraId="0936CA30" w14:textId="77777777" w:rsidR="004120B5" w:rsidRPr="004120B5" w:rsidRDefault="004120B5" w:rsidP="004120B5">
      <w:pPr>
        <w:spacing w:line="360" w:lineRule="auto"/>
        <w:rPr>
          <w:rFonts w:ascii="Times New Roman" w:hAnsi="Times New Roman" w:cs="Times New Roman"/>
          <w:color w:val="333333"/>
          <w:spacing w:val="4"/>
          <w:sz w:val="20"/>
          <w:szCs w:val="20"/>
          <w:shd w:val="clear" w:color="auto" w:fill="FCFCFC"/>
        </w:rPr>
      </w:pPr>
      <w:r w:rsidRPr="004120B5">
        <w:rPr>
          <w:rFonts w:ascii="Times New Roman" w:hAnsi="Times New Roman" w:cs="Times New Roman"/>
          <w:sz w:val="20"/>
          <w:szCs w:val="20"/>
        </w:rPr>
        <w:t>Gilbert, C., Journée, B., Laroche, H. and Bieder, C. (2018) ‘</w:t>
      </w:r>
      <w:r w:rsidRPr="004120B5">
        <w:rPr>
          <w:rFonts w:ascii="Times New Roman" w:eastAsia="Times New Roman" w:hAnsi="Times New Roman" w:cs="Times New Roman"/>
          <w:color w:val="2E2E2E"/>
          <w:sz w:val="20"/>
          <w:szCs w:val="20"/>
          <w:lang w:eastAsia="en-GB"/>
        </w:rPr>
        <w:t xml:space="preserve">Safety Cultures, Safety Models’. </w:t>
      </w:r>
      <w:r w:rsidRPr="004120B5">
        <w:rPr>
          <w:rFonts w:ascii="Times New Roman" w:eastAsia="Times New Roman" w:hAnsi="Times New Roman" w:cs="Times New Roman"/>
          <w:i/>
          <w:iCs/>
          <w:color w:val="2E2E2E"/>
          <w:sz w:val="20"/>
          <w:szCs w:val="20"/>
          <w:lang w:eastAsia="en-GB"/>
        </w:rPr>
        <w:t>Springer Briefs in Applied Sciences and Technology</w:t>
      </w:r>
      <w:r w:rsidRPr="004120B5">
        <w:rPr>
          <w:rFonts w:ascii="Times New Roman" w:eastAsia="Times New Roman" w:hAnsi="Times New Roman" w:cs="Times New Roman"/>
          <w:color w:val="2E2E2E"/>
          <w:sz w:val="20"/>
          <w:szCs w:val="20"/>
          <w:lang w:eastAsia="en-GB"/>
        </w:rPr>
        <w:t xml:space="preserve">, Springer, Cham. Pp.81-92 DOI: </w:t>
      </w:r>
      <w:hyperlink r:id="rId25" w:history="1">
        <w:r w:rsidRPr="004120B5">
          <w:rPr>
            <w:rStyle w:val="Hyperlink"/>
            <w:rFonts w:ascii="Times New Roman" w:hAnsi="Times New Roman" w:cs="Times New Roman"/>
            <w:spacing w:val="4"/>
            <w:sz w:val="20"/>
            <w:szCs w:val="20"/>
            <w:shd w:val="clear" w:color="auto" w:fill="FCFCFC"/>
          </w:rPr>
          <w:t>https://doi.org/10.1007/978-3-319-95129-4_8</w:t>
        </w:r>
      </w:hyperlink>
    </w:p>
    <w:p w14:paraId="15F75059"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rPr>
        <w:t xml:space="preserve">Giroud, T. (2019) Safety still a question 20 years after Interlaken canyoning accident. (Swissinfo). Available at: </w:t>
      </w:r>
      <w:hyperlink r:id="rId26" w:history="1">
        <w:r w:rsidRPr="004120B5">
          <w:rPr>
            <w:rStyle w:val="Hyperlink"/>
            <w:rFonts w:ascii="Times New Roman" w:hAnsi="Times New Roman" w:cs="Times New Roman"/>
            <w:sz w:val="20"/>
            <w:szCs w:val="20"/>
          </w:rPr>
          <w:t>https://www.swissinfo.ch/eng/risk-sports_safety-still-a-question-20-years-after-interlaken-canyoning-accident/45105312</w:t>
        </w:r>
      </w:hyperlink>
      <w:r w:rsidRPr="004120B5">
        <w:rPr>
          <w:rFonts w:ascii="Times New Roman" w:hAnsi="Times New Roman" w:cs="Times New Roman"/>
          <w:sz w:val="20"/>
          <w:szCs w:val="20"/>
        </w:rPr>
        <w:t xml:space="preserve"> </w:t>
      </w:r>
      <w:bookmarkStart w:id="1" w:name="_Hlk93591801"/>
      <w:r w:rsidRPr="004120B5">
        <w:rPr>
          <w:rFonts w:ascii="Times New Roman" w:hAnsi="Times New Roman" w:cs="Times New Roman"/>
          <w:sz w:val="20"/>
          <w:szCs w:val="20"/>
        </w:rPr>
        <w:t>(Accessed 13/01/22)</w:t>
      </w:r>
      <w:bookmarkEnd w:id="1"/>
    </w:p>
    <w:p w14:paraId="4BD22466"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rPr>
        <w:t xml:space="preserve">Haddock, C (1993) </w:t>
      </w:r>
      <w:r w:rsidRPr="004120B5">
        <w:rPr>
          <w:rFonts w:ascii="Times New Roman" w:hAnsi="Times New Roman" w:cs="Times New Roman"/>
          <w:i/>
          <w:iCs/>
          <w:sz w:val="20"/>
          <w:szCs w:val="20"/>
        </w:rPr>
        <w:t>managing risks in outdoor activities</w:t>
      </w:r>
      <w:r w:rsidRPr="004120B5">
        <w:rPr>
          <w:rFonts w:ascii="Times New Roman" w:hAnsi="Times New Roman" w:cs="Times New Roman"/>
          <w:sz w:val="20"/>
          <w:szCs w:val="20"/>
        </w:rPr>
        <w:t>. Wellington, NZ: NZMSC</w:t>
      </w:r>
    </w:p>
    <w:p w14:paraId="57CB4D99"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rPr>
        <w:t xml:space="preserve">Head, M. (1999) Profit drive blamed for Swiss canyon tragedy. (World Socialist Web Site). Available at: </w:t>
      </w:r>
      <w:hyperlink r:id="rId27" w:history="1">
        <w:r w:rsidRPr="004120B5">
          <w:rPr>
            <w:rStyle w:val="Hyperlink"/>
            <w:rFonts w:ascii="Times New Roman" w:hAnsi="Times New Roman" w:cs="Times New Roman"/>
            <w:sz w:val="20"/>
            <w:szCs w:val="20"/>
          </w:rPr>
          <w:t>https://www.wsws.org/en/articles/1999/08/swss-a06.html</w:t>
        </w:r>
      </w:hyperlink>
      <w:r w:rsidRPr="004120B5">
        <w:rPr>
          <w:rFonts w:ascii="Times New Roman" w:hAnsi="Times New Roman" w:cs="Times New Roman"/>
          <w:sz w:val="20"/>
          <w:szCs w:val="20"/>
        </w:rPr>
        <w:t xml:space="preserve"> </w:t>
      </w:r>
      <w:bookmarkStart w:id="2" w:name="_Hlk93591360"/>
      <w:r w:rsidRPr="004120B5">
        <w:rPr>
          <w:rFonts w:ascii="Times New Roman" w:hAnsi="Times New Roman" w:cs="Times New Roman"/>
          <w:sz w:val="20"/>
          <w:szCs w:val="20"/>
        </w:rPr>
        <w:t>(Accessed 13/01/22)</w:t>
      </w:r>
    </w:p>
    <w:bookmarkEnd w:id="2"/>
    <w:p w14:paraId="2D6CB9AE" w14:textId="77777777" w:rsidR="004120B5" w:rsidRPr="004120B5" w:rsidRDefault="004120B5" w:rsidP="004120B5">
      <w:pPr>
        <w:pStyle w:val="NormalWeb"/>
        <w:spacing w:before="200" w:beforeAutospacing="0" w:after="0" w:afterAutospacing="0" w:line="360" w:lineRule="auto"/>
        <w:rPr>
          <w:sz w:val="20"/>
          <w:szCs w:val="20"/>
          <w:lang w:val="fr-FR"/>
        </w:rPr>
      </w:pPr>
      <w:r w:rsidRPr="004120B5">
        <w:rPr>
          <w:rFonts w:eastAsia="+mn-ea"/>
          <w:color w:val="000000"/>
          <w:kern w:val="24"/>
          <w:sz w:val="20"/>
          <w:szCs w:val="20"/>
          <w:lang w:val="de-DE"/>
        </w:rPr>
        <w:t xml:space="preserve">Johnson, J., Mannberg, A., Hendrikx, J., Hetland, A., &amp; Stephensen, M. (2020). </w:t>
      </w:r>
      <w:r w:rsidRPr="004120B5">
        <w:rPr>
          <w:rFonts w:eastAsia="+mn-ea"/>
          <w:i/>
          <w:iCs/>
          <w:color w:val="000000"/>
          <w:kern w:val="24"/>
          <w:sz w:val="20"/>
          <w:szCs w:val="20"/>
        </w:rPr>
        <w:t>Rethinking the heuristic traps paradigm in avalanche education: Past, present and future</w:t>
      </w:r>
      <w:r w:rsidRPr="004120B5">
        <w:rPr>
          <w:rFonts w:eastAsia="+mn-ea"/>
          <w:color w:val="000000"/>
          <w:kern w:val="24"/>
          <w:sz w:val="20"/>
          <w:szCs w:val="20"/>
        </w:rPr>
        <w:t xml:space="preserve">. </w:t>
      </w:r>
      <w:r w:rsidRPr="004120B5">
        <w:rPr>
          <w:rFonts w:eastAsia="+mn-ea"/>
          <w:color w:val="000000"/>
          <w:kern w:val="24"/>
          <w:sz w:val="20"/>
          <w:szCs w:val="20"/>
          <w:lang w:val="fr-FR"/>
        </w:rPr>
        <w:t>Cogent Social Sciences. 6(1),  DOI: 1807111</w:t>
      </w:r>
    </w:p>
    <w:p w14:paraId="3F1C0C8C"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lang w:val="fr-FR"/>
        </w:rPr>
        <w:t xml:space="preserve">Larouzee, J. and Le Coze, J-C. </w:t>
      </w:r>
      <w:r w:rsidRPr="004120B5">
        <w:rPr>
          <w:rFonts w:ascii="Times New Roman" w:hAnsi="Times New Roman" w:cs="Times New Roman"/>
          <w:sz w:val="20"/>
          <w:szCs w:val="20"/>
        </w:rPr>
        <w:t xml:space="preserve">(2020) ‘Good and bad reasons: The Swiss cheese model and its critics’ , Safety Science. (126) (Online) Available at: </w:t>
      </w:r>
      <w:hyperlink r:id="rId28" w:history="1">
        <w:r w:rsidRPr="004120B5">
          <w:rPr>
            <w:rStyle w:val="Hyperlink"/>
            <w:rFonts w:ascii="Times New Roman" w:hAnsi="Times New Roman" w:cs="Times New Roman"/>
            <w:sz w:val="20"/>
            <w:szCs w:val="20"/>
          </w:rPr>
          <w:t>https://doi.org/10.1016/j.ssci.2020.104660</w:t>
        </w:r>
      </w:hyperlink>
      <w:r w:rsidRPr="004120B5">
        <w:rPr>
          <w:rFonts w:ascii="Times New Roman" w:hAnsi="Times New Roman" w:cs="Times New Roman"/>
          <w:sz w:val="20"/>
          <w:szCs w:val="20"/>
        </w:rPr>
        <w:t xml:space="preserve">. </w:t>
      </w:r>
      <w:bookmarkStart w:id="3" w:name="_Hlk93588737"/>
      <w:r w:rsidRPr="004120B5">
        <w:rPr>
          <w:rFonts w:ascii="Times New Roman" w:hAnsi="Times New Roman" w:cs="Times New Roman"/>
          <w:sz w:val="20"/>
          <w:szCs w:val="20"/>
        </w:rPr>
        <w:t>Accessed (13/01/2022)</w:t>
      </w:r>
      <w:bookmarkEnd w:id="3"/>
    </w:p>
    <w:p w14:paraId="321A2383"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color w:val="2E2E2E"/>
          <w:sz w:val="20"/>
          <w:szCs w:val="20"/>
        </w:rPr>
        <w:t>Leland, J. (1999) A wall of black water. (Newsweek). Available at:</w:t>
      </w:r>
      <w:r w:rsidRPr="004120B5">
        <w:rPr>
          <w:rFonts w:ascii="Times New Roman" w:hAnsi="Times New Roman" w:cs="Times New Roman"/>
          <w:sz w:val="20"/>
          <w:szCs w:val="20"/>
        </w:rPr>
        <w:t xml:space="preserve"> </w:t>
      </w:r>
      <w:hyperlink r:id="rId29" w:history="1">
        <w:r w:rsidRPr="004120B5">
          <w:rPr>
            <w:rStyle w:val="Hyperlink"/>
            <w:rFonts w:ascii="Times New Roman" w:hAnsi="Times New Roman" w:cs="Times New Roman"/>
            <w:sz w:val="20"/>
            <w:szCs w:val="20"/>
          </w:rPr>
          <w:t>https://www.wsws.org/en/articles/1999/08/swss-a06.html</w:t>
        </w:r>
      </w:hyperlink>
      <w:r w:rsidRPr="004120B5">
        <w:rPr>
          <w:rFonts w:ascii="Times New Roman" w:hAnsi="Times New Roman" w:cs="Times New Roman"/>
          <w:color w:val="2E2E2E"/>
          <w:sz w:val="20"/>
          <w:szCs w:val="20"/>
        </w:rPr>
        <w:t xml:space="preserve"> </w:t>
      </w:r>
      <w:bookmarkStart w:id="4" w:name="_Hlk93591578"/>
      <w:r w:rsidRPr="004120B5">
        <w:rPr>
          <w:rFonts w:ascii="Times New Roman" w:hAnsi="Times New Roman" w:cs="Times New Roman"/>
          <w:sz w:val="20"/>
          <w:szCs w:val="20"/>
        </w:rPr>
        <w:t>(Accessed 13/01/22)</w:t>
      </w:r>
    </w:p>
    <w:bookmarkEnd w:id="4"/>
    <w:p w14:paraId="2FD12B76" w14:textId="77777777" w:rsidR="004120B5" w:rsidRPr="004120B5" w:rsidRDefault="004120B5" w:rsidP="004120B5">
      <w:pPr>
        <w:spacing w:after="0" w:line="360" w:lineRule="auto"/>
        <w:rPr>
          <w:rFonts w:ascii="Times New Roman" w:eastAsia="Times New Roman" w:hAnsi="Times New Roman" w:cs="Times New Roman"/>
          <w:color w:val="2E2E2E"/>
          <w:sz w:val="20"/>
          <w:szCs w:val="20"/>
          <w:lang w:eastAsia="en-GB"/>
        </w:rPr>
      </w:pPr>
      <w:r w:rsidRPr="004120B5">
        <w:rPr>
          <w:rFonts w:ascii="Times New Roman" w:hAnsi="Times New Roman" w:cs="Times New Roman"/>
          <w:sz w:val="20"/>
          <w:szCs w:val="20"/>
        </w:rPr>
        <w:t>Leveson, N. (2011) ‘</w:t>
      </w:r>
      <w:r w:rsidRPr="004120B5">
        <w:rPr>
          <w:rFonts w:ascii="Times New Roman" w:eastAsia="Times New Roman" w:hAnsi="Times New Roman" w:cs="Times New Roman"/>
          <w:color w:val="2E2E2E"/>
          <w:sz w:val="20"/>
          <w:szCs w:val="20"/>
          <w:lang w:eastAsia="en-GB"/>
        </w:rPr>
        <w:t>Applying systems thinking to analyse and learn from events’</w:t>
      </w:r>
      <w:r w:rsidRPr="004120B5">
        <w:rPr>
          <w:rFonts w:ascii="Times New Roman" w:hAnsi="Times New Roman" w:cs="Times New Roman"/>
          <w:sz w:val="20"/>
          <w:szCs w:val="20"/>
        </w:rPr>
        <w:t xml:space="preserve">. </w:t>
      </w:r>
      <w:r w:rsidRPr="004120B5">
        <w:rPr>
          <w:rFonts w:ascii="Times New Roman" w:eastAsia="Times New Roman" w:hAnsi="Times New Roman" w:cs="Times New Roman"/>
          <w:color w:val="2E2E2E"/>
          <w:sz w:val="20"/>
          <w:szCs w:val="20"/>
          <w:lang w:eastAsia="en-GB"/>
        </w:rPr>
        <w:t>Safety Sci., 49(1), pp. 55-64</w:t>
      </w:r>
    </w:p>
    <w:p w14:paraId="067D23AA"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rPr>
        <w:t>Li Y, Thumbleby, H. (2014) ‘Hot cheese: a processed Swiss cheese mode’. Royal College of Physicians of Edinburgh. (44) pp.116-121. DOI: http://dx.doi.org/10.4997/JRCPE.2014.205</w:t>
      </w:r>
    </w:p>
    <w:p w14:paraId="09CDE36A" w14:textId="77777777" w:rsidR="004120B5" w:rsidRPr="004120B5" w:rsidRDefault="004120B5" w:rsidP="004120B5">
      <w:pPr>
        <w:spacing w:line="360" w:lineRule="auto"/>
        <w:rPr>
          <w:rFonts w:ascii="Times New Roman" w:hAnsi="Times New Roman" w:cs="Times New Roman"/>
          <w:color w:val="2E2E2E"/>
          <w:sz w:val="20"/>
          <w:szCs w:val="20"/>
        </w:rPr>
      </w:pPr>
      <w:r w:rsidRPr="004120B5">
        <w:rPr>
          <w:rFonts w:ascii="Times New Roman" w:hAnsi="Times New Roman" w:cs="Times New Roman"/>
          <w:color w:val="2E2E2E"/>
          <w:sz w:val="20"/>
          <w:szCs w:val="20"/>
        </w:rPr>
        <w:t>Luxhøj, J.T., Kauffeld, K., (2003) ‘Evaluating the Effect of Technology Insertion into the National Airspace System’. The Rutgers Scholar – An Electronic Bulletin of Undergraduate Research, (5).</w:t>
      </w:r>
    </w:p>
    <w:p w14:paraId="3A9A04E4"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color w:val="303030"/>
          <w:sz w:val="20"/>
          <w:szCs w:val="20"/>
          <w:shd w:val="clear" w:color="auto" w:fill="FFFFFF"/>
        </w:rPr>
        <w:t>Perneger T. V. (2005). The Swiss cheese model of safety incidents: are there holes in the metaphor?. </w:t>
      </w:r>
      <w:r w:rsidRPr="004120B5">
        <w:rPr>
          <w:rFonts w:ascii="Times New Roman" w:hAnsi="Times New Roman" w:cs="Times New Roman"/>
          <w:i/>
          <w:iCs/>
          <w:color w:val="303030"/>
          <w:sz w:val="20"/>
          <w:szCs w:val="20"/>
          <w:shd w:val="clear" w:color="auto" w:fill="FFFFFF"/>
        </w:rPr>
        <w:t>BMC health services research</w:t>
      </w:r>
      <w:r w:rsidRPr="004120B5">
        <w:rPr>
          <w:rFonts w:ascii="Times New Roman" w:hAnsi="Times New Roman" w:cs="Times New Roman"/>
          <w:color w:val="303030"/>
          <w:sz w:val="20"/>
          <w:szCs w:val="20"/>
          <w:shd w:val="clear" w:color="auto" w:fill="FFFFFF"/>
        </w:rPr>
        <w:t>, </w:t>
      </w:r>
      <w:r w:rsidRPr="004120B5">
        <w:rPr>
          <w:rFonts w:ascii="Times New Roman" w:hAnsi="Times New Roman" w:cs="Times New Roman"/>
          <w:i/>
          <w:iCs/>
          <w:color w:val="303030"/>
          <w:sz w:val="20"/>
          <w:szCs w:val="20"/>
          <w:shd w:val="clear" w:color="auto" w:fill="FFFFFF"/>
        </w:rPr>
        <w:t>5</w:t>
      </w:r>
      <w:r w:rsidRPr="004120B5">
        <w:rPr>
          <w:rFonts w:ascii="Times New Roman" w:hAnsi="Times New Roman" w:cs="Times New Roman"/>
          <w:color w:val="303030"/>
          <w:sz w:val="20"/>
          <w:szCs w:val="20"/>
          <w:shd w:val="clear" w:color="auto" w:fill="FFFFFF"/>
        </w:rPr>
        <w:t xml:space="preserve">, (71). Available at: </w:t>
      </w:r>
      <w:hyperlink r:id="rId30" w:history="1">
        <w:r w:rsidRPr="004120B5">
          <w:rPr>
            <w:rStyle w:val="Hyperlink"/>
            <w:rFonts w:ascii="Times New Roman" w:hAnsi="Times New Roman" w:cs="Times New Roman"/>
            <w:sz w:val="20"/>
            <w:szCs w:val="20"/>
            <w:shd w:val="clear" w:color="auto" w:fill="FFFFFF"/>
          </w:rPr>
          <w:t>https://doi.org/10.1186/1472-6963-5-71</w:t>
        </w:r>
      </w:hyperlink>
      <w:r w:rsidRPr="004120B5">
        <w:rPr>
          <w:rFonts w:ascii="Times New Roman" w:hAnsi="Times New Roman" w:cs="Times New Roman"/>
          <w:color w:val="303030"/>
          <w:sz w:val="20"/>
          <w:szCs w:val="20"/>
          <w:shd w:val="clear" w:color="auto" w:fill="FFFFFF"/>
        </w:rPr>
        <w:t xml:space="preserve">  Accessed </w:t>
      </w:r>
      <w:r w:rsidRPr="004120B5">
        <w:rPr>
          <w:rFonts w:ascii="Times New Roman" w:hAnsi="Times New Roman" w:cs="Times New Roman"/>
          <w:sz w:val="20"/>
          <w:szCs w:val="20"/>
        </w:rPr>
        <w:t>(13/01/2022)</w:t>
      </w:r>
    </w:p>
    <w:p w14:paraId="41BA7F30"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rPr>
        <w:t>Reason, J., Hollnagel, E. and Paries, J. (2006) ‘Revisiting the “Swiss Cheese” Model of Accidents’. Journal of clinical engineering. (27) pp. 110-115</w:t>
      </w:r>
    </w:p>
    <w:p w14:paraId="2AAE1E8B"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eastAsia="Times New Roman" w:hAnsi="Times New Roman" w:cs="Times New Roman"/>
          <w:color w:val="000000"/>
          <w:sz w:val="20"/>
          <w:szCs w:val="20"/>
          <w:lang w:eastAsia="en-GB"/>
        </w:rPr>
        <w:lastRenderedPageBreak/>
        <w:t>The BMJ (2000) ‘Human error: models and management’, </w:t>
      </w:r>
      <w:r w:rsidRPr="004120B5">
        <w:rPr>
          <w:rFonts w:ascii="Times New Roman" w:eastAsia="Times New Roman" w:hAnsi="Times New Roman" w:cs="Times New Roman"/>
          <w:i/>
          <w:iCs/>
          <w:color w:val="000000"/>
          <w:sz w:val="20"/>
          <w:szCs w:val="20"/>
          <w:lang w:eastAsia="en-GB"/>
        </w:rPr>
        <w:t>BMJ</w:t>
      </w:r>
      <w:r w:rsidRPr="004120B5">
        <w:rPr>
          <w:rFonts w:ascii="Times New Roman" w:eastAsia="Times New Roman" w:hAnsi="Times New Roman" w:cs="Times New Roman"/>
          <w:color w:val="000000"/>
          <w:sz w:val="20"/>
          <w:szCs w:val="20"/>
          <w:lang w:eastAsia="en-GB"/>
        </w:rPr>
        <w:t>, 320(7237), pp. 768-770. Available at:</w:t>
      </w:r>
      <w:r w:rsidRPr="004120B5">
        <w:rPr>
          <w:rFonts w:ascii="Times New Roman" w:hAnsi="Times New Roman" w:cs="Times New Roman"/>
          <w:sz w:val="20"/>
          <w:szCs w:val="20"/>
        </w:rPr>
        <w:t xml:space="preserve"> </w:t>
      </w:r>
      <w:hyperlink r:id="rId31" w:history="1">
        <w:r w:rsidRPr="004120B5">
          <w:rPr>
            <w:rFonts w:ascii="Times New Roman" w:hAnsi="Times New Roman" w:cs="Times New Roman"/>
            <w:color w:val="0000FF"/>
            <w:sz w:val="20"/>
            <w:szCs w:val="20"/>
            <w:u w:val="single"/>
          </w:rPr>
          <w:t>Human error: models and management | The BMJ</w:t>
        </w:r>
      </w:hyperlink>
    </w:p>
    <w:p w14:paraId="74D6869F" w14:textId="77777777" w:rsidR="004120B5" w:rsidRPr="004120B5" w:rsidRDefault="004120B5" w:rsidP="004120B5">
      <w:pPr>
        <w:spacing w:line="360" w:lineRule="auto"/>
        <w:rPr>
          <w:rFonts w:ascii="Times New Roman" w:hAnsi="Times New Roman" w:cs="Times New Roman"/>
          <w:sz w:val="20"/>
          <w:szCs w:val="20"/>
        </w:rPr>
      </w:pPr>
      <w:r w:rsidRPr="004120B5">
        <w:rPr>
          <w:rFonts w:ascii="Times New Roman" w:hAnsi="Times New Roman" w:cs="Times New Roman"/>
          <w:sz w:val="20"/>
          <w:szCs w:val="20"/>
        </w:rPr>
        <w:t>Underwood, P. and Watson, P. (2013) ‘</w:t>
      </w:r>
      <w:r w:rsidRPr="004120B5">
        <w:rPr>
          <w:rFonts w:ascii="Times New Roman" w:eastAsia="Times New Roman" w:hAnsi="Times New Roman" w:cs="Times New Roman"/>
          <w:color w:val="2E2E2E"/>
          <w:sz w:val="20"/>
          <w:szCs w:val="20"/>
          <w:lang w:eastAsia="en-GB"/>
        </w:rPr>
        <w:t>Systemic accident analysis: examining the gap between research and practice’</w:t>
      </w:r>
      <w:r w:rsidRPr="004120B5">
        <w:rPr>
          <w:rFonts w:ascii="Times New Roman" w:hAnsi="Times New Roman" w:cs="Times New Roman"/>
          <w:sz w:val="20"/>
          <w:szCs w:val="20"/>
        </w:rPr>
        <w:t xml:space="preserve"> </w:t>
      </w:r>
      <w:r w:rsidRPr="004120B5">
        <w:rPr>
          <w:rFonts w:ascii="Times New Roman" w:eastAsia="Times New Roman" w:hAnsi="Times New Roman" w:cs="Times New Roman"/>
          <w:color w:val="2E2E2E"/>
          <w:sz w:val="20"/>
          <w:szCs w:val="20"/>
          <w:lang w:eastAsia="en-GB"/>
        </w:rPr>
        <w:t>Acc. Anal. Prevent., (55), pp. 154-164</w:t>
      </w:r>
    </w:p>
    <w:p w14:paraId="64F77094" w14:textId="77777777" w:rsidR="004120B5" w:rsidRPr="004120B5" w:rsidRDefault="004120B5" w:rsidP="004120B5">
      <w:pPr>
        <w:spacing w:line="360" w:lineRule="auto"/>
        <w:rPr>
          <w:rFonts w:ascii="Times New Roman" w:eastAsia="+mn-ea" w:hAnsi="Times New Roman" w:cs="Times New Roman"/>
          <w:color w:val="000000"/>
          <w:kern w:val="24"/>
          <w:sz w:val="20"/>
          <w:szCs w:val="20"/>
        </w:rPr>
      </w:pPr>
      <w:r w:rsidRPr="004120B5">
        <w:rPr>
          <w:rFonts w:ascii="Times New Roman" w:eastAsia="+mn-ea" w:hAnsi="Times New Roman" w:cs="Times New Roman"/>
          <w:color w:val="000000"/>
          <w:kern w:val="24"/>
          <w:sz w:val="20"/>
          <w:szCs w:val="20"/>
        </w:rPr>
        <w:t xml:space="preserve">World Health Organisation (2006) </w:t>
      </w:r>
      <w:r w:rsidRPr="004120B5">
        <w:rPr>
          <w:rFonts w:ascii="Times New Roman" w:eastAsia="+mn-ea" w:hAnsi="Times New Roman" w:cs="Times New Roman"/>
          <w:i/>
          <w:iCs/>
          <w:color w:val="000000"/>
          <w:kern w:val="24"/>
          <w:sz w:val="20"/>
          <w:szCs w:val="20"/>
        </w:rPr>
        <w:t>Stress Management in Emergency Deployment</w:t>
      </w:r>
      <w:r w:rsidRPr="004120B5">
        <w:rPr>
          <w:rFonts w:ascii="Times New Roman" w:eastAsia="+mn-ea" w:hAnsi="Times New Roman" w:cs="Times New Roman"/>
          <w:color w:val="000000"/>
          <w:kern w:val="24"/>
          <w:sz w:val="20"/>
          <w:szCs w:val="20"/>
        </w:rPr>
        <w:t xml:space="preserve">. available at </w:t>
      </w:r>
      <w:hyperlink r:id="rId32" w:history="1">
        <w:r w:rsidRPr="004120B5">
          <w:rPr>
            <w:rFonts w:ascii="Times New Roman" w:eastAsia="+mn-ea" w:hAnsi="Times New Roman" w:cs="Times New Roman"/>
            <w:color w:val="000000"/>
            <w:kern w:val="24"/>
            <w:sz w:val="20"/>
            <w:szCs w:val="20"/>
            <w:u w:val="single"/>
          </w:rPr>
          <w:t>http://www.who.int/en/</w:t>
        </w:r>
      </w:hyperlink>
      <w:r w:rsidRPr="004120B5">
        <w:rPr>
          <w:rFonts w:ascii="Times New Roman" w:eastAsia="+mn-ea" w:hAnsi="Times New Roman" w:cs="Times New Roman"/>
          <w:color w:val="000000"/>
          <w:kern w:val="24"/>
          <w:sz w:val="20"/>
          <w:szCs w:val="20"/>
        </w:rPr>
        <w:t xml:space="preserve">  (accessed on 13th January 2022)</w:t>
      </w:r>
    </w:p>
    <w:p w14:paraId="0BFDB969" w14:textId="1FBEB183" w:rsidR="004120B5" w:rsidRPr="004120B5" w:rsidRDefault="004120B5" w:rsidP="0091602C">
      <w:pPr>
        <w:tabs>
          <w:tab w:val="left" w:pos="1404"/>
        </w:tabs>
        <w:rPr>
          <w:rFonts w:ascii="Times New Roman" w:hAnsi="Times New Roman" w:cs="Times New Roman"/>
          <w:sz w:val="20"/>
          <w:szCs w:val="20"/>
        </w:rPr>
      </w:pPr>
    </w:p>
    <w:p w14:paraId="71ACA330" w14:textId="77777777" w:rsidR="004120B5" w:rsidRPr="004120B5" w:rsidRDefault="004120B5" w:rsidP="0091602C">
      <w:pPr>
        <w:tabs>
          <w:tab w:val="left" w:pos="1404"/>
        </w:tabs>
        <w:rPr>
          <w:rFonts w:ascii="Times New Roman" w:hAnsi="Times New Roman" w:cs="Times New Roman"/>
          <w:sz w:val="20"/>
          <w:szCs w:val="20"/>
        </w:rPr>
      </w:pPr>
    </w:p>
    <w:sectPr w:rsidR="004120B5" w:rsidRPr="004120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A9E0C" w14:textId="77777777" w:rsidR="002F082C" w:rsidRDefault="002F082C" w:rsidP="0091602C">
      <w:pPr>
        <w:spacing w:after="0" w:line="240" w:lineRule="auto"/>
      </w:pPr>
      <w:r>
        <w:separator/>
      </w:r>
    </w:p>
  </w:endnote>
  <w:endnote w:type="continuationSeparator" w:id="0">
    <w:p w14:paraId="68EBD0FF" w14:textId="77777777" w:rsidR="002F082C" w:rsidRDefault="002F082C" w:rsidP="00916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5CC22" w14:textId="77777777" w:rsidR="002F082C" w:rsidRDefault="002F082C" w:rsidP="0091602C">
      <w:pPr>
        <w:spacing w:after="0" w:line="240" w:lineRule="auto"/>
      </w:pPr>
      <w:r>
        <w:separator/>
      </w:r>
    </w:p>
  </w:footnote>
  <w:footnote w:type="continuationSeparator" w:id="0">
    <w:p w14:paraId="273548D8" w14:textId="77777777" w:rsidR="002F082C" w:rsidRDefault="002F082C" w:rsidP="009160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02C"/>
    <w:rsid w:val="002F082C"/>
    <w:rsid w:val="0040710E"/>
    <w:rsid w:val="004120B5"/>
    <w:rsid w:val="00714903"/>
    <w:rsid w:val="0091602C"/>
    <w:rsid w:val="00B263D8"/>
    <w:rsid w:val="00DB6BB6"/>
    <w:rsid w:val="00F3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B0E33"/>
  <w15:chartTrackingRefBased/>
  <w15:docId w15:val="{35CD2A24-00FF-4E2C-9BA2-F1373CF1E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B263D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B263D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91602C"/>
    <w:pPr>
      <w:tabs>
        <w:tab w:val="center" w:pos="4513"/>
        <w:tab w:val="right" w:pos="9026"/>
      </w:tabs>
      <w:spacing w:after="0" w:line="240" w:lineRule="auto"/>
    </w:pPr>
  </w:style>
  <w:style w:type="character" w:customStyle="1" w:styleId="HeaderChar">
    <w:name w:val="Header Char"/>
    <w:basedOn w:val="DefaultParagraphFont"/>
    <w:link w:val="Header"/>
    <w:rsid w:val="0091602C"/>
  </w:style>
  <w:style w:type="paragraph" w:styleId="Footer">
    <w:name w:val="footer"/>
    <w:basedOn w:val="Normal"/>
    <w:link w:val="FooterChar"/>
    <w:uiPriority w:val="99"/>
    <w:unhideWhenUsed/>
    <w:rsid w:val="00916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02C"/>
  </w:style>
  <w:style w:type="character" w:customStyle="1" w:styleId="Heading2Char">
    <w:name w:val="Heading 2 Char"/>
    <w:basedOn w:val="DefaultParagraphFont"/>
    <w:link w:val="Heading2"/>
    <w:semiHidden/>
    <w:rsid w:val="00B263D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B263D8"/>
    <w:rPr>
      <w:rFonts w:ascii="Times New Roman" w:eastAsia="Times New Roman" w:hAnsi="Times New Roman" w:cs="Times New Roman"/>
      <w:sz w:val="40"/>
      <w:szCs w:val="20"/>
      <w:lang w:eastAsia="en-GB"/>
    </w:rPr>
  </w:style>
  <w:style w:type="character" w:customStyle="1" w:styleId="fixedChar">
    <w:name w:val="fixed Char"/>
    <w:basedOn w:val="DefaultParagraphFont"/>
    <w:link w:val="fixed"/>
    <w:locked/>
    <w:rsid w:val="00B263D8"/>
    <w:rPr>
      <w:b/>
      <w:bCs/>
      <w:sz w:val="24"/>
      <w:szCs w:val="24"/>
    </w:rPr>
  </w:style>
  <w:style w:type="paragraph" w:customStyle="1" w:styleId="fixed">
    <w:name w:val="fixed"/>
    <w:basedOn w:val="Normal"/>
    <w:next w:val="Normal"/>
    <w:link w:val="fixedChar"/>
    <w:qFormat/>
    <w:rsid w:val="00B263D8"/>
    <w:pPr>
      <w:spacing w:line="256" w:lineRule="auto"/>
      <w:ind w:left="3600" w:hanging="3600"/>
    </w:pPr>
    <w:rPr>
      <w:b/>
      <w:bCs/>
      <w:sz w:val="24"/>
      <w:szCs w:val="24"/>
    </w:rPr>
  </w:style>
  <w:style w:type="character" w:styleId="Hyperlink">
    <w:name w:val="Hyperlink"/>
    <w:basedOn w:val="DefaultParagraphFont"/>
    <w:uiPriority w:val="99"/>
    <w:unhideWhenUsed/>
    <w:rsid w:val="004120B5"/>
    <w:rPr>
      <w:color w:val="0000FF"/>
      <w:u w:val="single"/>
    </w:rPr>
  </w:style>
  <w:style w:type="paragraph" w:styleId="NormalWeb">
    <w:name w:val="Normal (Web)"/>
    <w:basedOn w:val="Normal"/>
    <w:uiPriority w:val="99"/>
    <w:semiHidden/>
    <w:unhideWhenUsed/>
    <w:rsid w:val="004120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4120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01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swissinfo.ch/eng/risk-sports_safety-still-a-question-20-years-after-interlaken-canyoning-accident/45105312" TargetMode="External"/><Relationship Id="rId3" Type="http://schemas.openxmlformats.org/officeDocument/2006/relationships/webSettings" Target="webSettings.xml"/><Relationship Id="rId21" Type="http://schemas.openxmlformats.org/officeDocument/2006/relationships/image" Target="media/image15.jpeg"/><Relationship Id="rId34"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doi.org/10.1007/978-3-319-95129-4_8"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www.wsws.org/en/articles/1999/08/swss-a06.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24" Type="http://schemas.openxmlformats.org/officeDocument/2006/relationships/hyperlink" Target="https://www.sbs.com.au/language/english/i-just-surrendered-how-an-aussie-survived-disaster-and-found-closure-20-years-on" TargetMode="External"/><Relationship Id="rId32" Type="http://schemas.openxmlformats.org/officeDocument/2006/relationships/hyperlink" Target="http://www.who.int/en/" TargetMode="External"/><Relationship Id="rId5"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www.dosh.gov.my/index.php?option=com_docman&amp;task=cat_view&amp;gid=15&amp;Itemid=179&amp;lang=en" TargetMode="External"/><Relationship Id="rId28" Type="http://schemas.openxmlformats.org/officeDocument/2006/relationships/hyperlink" Target="https://doi.org/10.1016/j.ssci.2020.104660"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www.bmj.com/content/320/7237/768.full"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hyperlink" Target="https://www.wsws.org/en/articles/1999/08/swss-a06.html" TargetMode="External"/><Relationship Id="rId30" Type="http://schemas.openxmlformats.org/officeDocument/2006/relationships/hyperlink" Target="https://doi.org/10.1186/1472-6963-5-71"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847</Words>
  <Characters>4832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2</cp:revision>
  <dcterms:created xsi:type="dcterms:W3CDTF">2022-01-20T17:46:00Z</dcterms:created>
  <dcterms:modified xsi:type="dcterms:W3CDTF">2022-01-20T18:45:00Z</dcterms:modified>
</cp:coreProperties>
</file>