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B4853" w14:textId="5C21CEE6" w:rsidR="007877F7" w:rsidRPr="00006FDE" w:rsidRDefault="00006FDE" w:rsidP="00006FDE">
      <w:pPr>
        <w:spacing w:before="120" w:after="120" w:line="360" w:lineRule="auto"/>
        <w:jc w:val="center"/>
        <w:rPr>
          <w:rFonts w:ascii="Arial" w:eastAsia="Arial" w:hAnsi="Arial" w:cs="Arial"/>
          <w:kern w:val="0"/>
          <w:lang w:val="en-GB"/>
          <w14:ligatures w14:val="none"/>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0B690E24" wp14:editId="603D1BB9">
            <wp:extent cx="2990215" cy="1661194"/>
            <wp:effectExtent l="0" t="0" r="0" b="2540"/>
            <wp:docPr id="737182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11044" cy="1672765"/>
                    </a:xfrm>
                    <a:prstGeom prst="rect">
                      <a:avLst/>
                    </a:prstGeom>
                    <a:noFill/>
                    <a:ln>
                      <a:noFill/>
                    </a:ln>
                  </pic:spPr>
                </pic:pic>
              </a:graphicData>
            </a:graphic>
          </wp:inline>
        </w:drawing>
      </w:r>
      <w:r>
        <w:fldChar w:fldCharType="end"/>
      </w:r>
    </w:p>
    <w:p w14:paraId="11323234" w14:textId="497B3D9E" w:rsidR="00644E9D"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r w:rsidRPr="00006FDE">
        <w:rPr>
          <w:rFonts w:ascii="Arial" w:eastAsia="Arial" w:hAnsi="Arial" w:cs="Arial"/>
          <w:b/>
          <w:bCs/>
          <w:kern w:val="0"/>
          <w:sz w:val="24"/>
          <w:szCs w:val="24"/>
          <w:lang w:val="en-GB"/>
          <w14:ligatures w14:val="none"/>
        </w:rPr>
        <w:t>MSc Public Health and Social Care in Practice</w:t>
      </w:r>
    </w:p>
    <w:p w14:paraId="17F7C1EC" w14:textId="44DE494D" w:rsidR="007877F7"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r w:rsidRPr="00006FDE">
        <w:rPr>
          <w:rFonts w:ascii="Arial" w:eastAsia="Arial" w:hAnsi="Arial" w:cs="Arial"/>
          <w:b/>
          <w:bCs/>
          <w:kern w:val="0"/>
          <w:sz w:val="24"/>
          <w:szCs w:val="24"/>
          <w:lang w:val="en-GB"/>
          <w14:ligatures w14:val="none"/>
        </w:rPr>
        <w:t>LCHS7002 Health Care System Organisation and Leadership</w:t>
      </w:r>
    </w:p>
    <w:p w14:paraId="4DBC9E07" w14:textId="341E5DCD" w:rsidR="00644E9D" w:rsidRPr="00006FDE" w:rsidRDefault="00644E9D" w:rsidP="007877F7">
      <w:pPr>
        <w:spacing w:before="120" w:after="120" w:line="360" w:lineRule="auto"/>
        <w:jc w:val="center"/>
        <w:rPr>
          <w:rFonts w:ascii="Arial" w:eastAsia="Arial" w:hAnsi="Arial" w:cs="Arial"/>
          <w:b/>
          <w:bCs/>
          <w:kern w:val="0"/>
          <w:sz w:val="24"/>
          <w:szCs w:val="24"/>
          <w:lang w:val="en-GB"/>
          <w14:ligatures w14:val="none"/>
        </w:rPr>
      </w:pPr>
    </w:p>
    <w:p w14:paraId="0C016249" w14:textId="77777777" w:rsidR="007877F7"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p>
    <w:p w14:paraId="580741AB" w14:textId="5A5A68EF" w:rsidR="00644E9D"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r w:rsidRPr="00006FDE">
        <w:rPr>
          <w:rFonts w:ascii="Arial" w:eastAsia="Arial" w:hAnsi="Arial" w:cs="Arial"/>
          <w:b/>
          <w:bCs/>
          <w:kern w:val="0"/>
          <w:sz w:val="24"/>
          <w:szCs w:val="24"/>
          <w:lang w:val="en-GB"/>
          <w14:ligatures w14:val="none"/>
        </w:rPr>
        <w:t>Leadership and Governance Failures in Anticoagulation Management: A Case Study Analysis of Patient X</w:t>
      </w:r>
    </w:p>
    <w:p w14:paraId="296F0FC5" w14:textId="2C2431B5" w:rsidR="00644E9D" w:rsidRPr="00006FDE" w:rsidRDefault="00644E9D" w:rsidP="007877F7">
      <w:pPr>
        <w:spacing w:before="120" w:after="120" w:line="360" w:lineRule="auto"/>
        <w:jc w:val="center"/>
        <w:rPr>
          <w:rFonts w:ascii="Arial" w:eastAsia="Arial" w:hAnsi="Arial" w:cs="Arial"/>
          <w:b/>
          <w:bCs/>
          <w:kern w:val="0"/>
          <w:sz w:val="24"/>
          <w:szCs w:val="24"/>
          <w:lang w:val="en-GB"/>
          <w14:ligatures w14:val="none"/>
        </w:rPr>
      </w:pPr>
    </w:p>
    <w:p w14:paraId="0393C686" w14:textId="77777777" w:rsidR="007877F7"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p>
    <w:p w14:paraId="10008D9A" w14:textId="77777777" w:rsidR="00006FDE" w:rsidRPr="00006FDE" w:rsidRDefault="00006FDE" w:rsidP="00006FDE">
      <w:pPr>
        <w:spacing w:before="120" w:after="120" w:line="360" w:lineRule="auto"/>
        <w:jc w:val="center"/>
        <w:rPr>
          <w:rFonts w:ascii="Arial" w:eastAsia="Arial" w:hAnsi="Arial" w:cs="Arial"/>
          <w:b/>
          <w:bCs/>
          <w:kern w:val="0"/>
          <w:sz w:val="24"/>
          <w:szCs w:val="24"/>
          <w14:ligatures w14:val="none"/>
        </w:rPr>
      </w:pPr>
      <w:r w:rsidRPr="00006FDE">
        <w:rPr>
          <w:rFonts w:ascii="Arial" w:eastAsia="Arial" w:hAnsi="Arial" w:cs="Arial"/>
          <w:b/>
          <w:bCs/>
          <w:kern w:val="0"/>
          <w:sz w:val="24"/>
          <w:szCs w:val="24"/>
          <w:lang w:val="en-US"/>
          <w14:ligatures w14:val="none"/>
        </w:rPr>
        <w:t xml:space="preserve">Student </w:t>
      </w:r>
      <w:proofErr w:type="gramStart"/>
      <w:r w:rsidRPr="00006FDE">
        <w:rPr>
          <w:rFonts w:ascii="Arial" w:eastAsia="Arial" w:hAnsi="Arial" w:cs="Arial"/>
          <w:b/>
          <w:bCs/>
          <w:kern w:val="0"/>
          <w:sz w:val="24"/>
          <w:szCs w:val="24"/>
          <w:lang w:val="en-US"/>
          <w14:ligatures w14:val="none"/>
        </w:rPr>
        <w:t>Name:</w:t>
      </w:r>
      <w:proofErr w:type="spellStart"/>
      <w:r w:rsidRPr="00006FDE">
        <w:rPr>
          <w:rFonts w:ascii="Arial" w:eastAsia="Arial" w:hAnsi="Arial" w:cs="Arial"/>
          <w:b/>
          <w:bCs/>
          <w:kern w:val="0"/>
          <w:sz w:val="24"/>
          <w:szCs w:val="24"/>
          <w14:ligatures w14:val="none"/>
        </w:rPr>
        <w:t>Shivaniben</w:t>
      </w:r>
      <w:proofErr w:type="spellEnd"/>
      <w:proofErr w:type="gramEnd"/>
      <w:r w:rsidRPr="00006FDE">
        <w:rPr>
          <w:rFonts w:ascii="Arial" w:eastAsia="Arial" w:hAnsi="Arial" w:cs="Arial"/>
          <w:b/>
          <w:bCs/>
          <w:kern w:val="0"/>
          <w:sz w:val="24"/>
          <w:szCs w:val="24"/>
          <w14:ligatures w14:val="none"/>
        </w:rPr>
        <w:t xml:space="preserve"> </w:t>
      </w:r>
      <w:proofErr w:type="spellStart"/>
      <w:r w:rsidRPr="00006FDE">
        <w:rPr>
          <w:rFonts w:ascii="Arial" w:eastAsia="Arial" w:hAnsi="Arial" w:cs="Arial"/>
          <w:b/>
          <w:bCs/>
          <w:kern w:val="0"/>
          <w:sz w:val="24"/>
          <w:szCs w:val="24"/>
          <w14:ligatures w14:val="none"/>
        </w:rPr>
        <w:t>Pulkitbhai</w:t>
      </w:r>
      <w:proofErr w:type="spellEnd"/>
      <w:r w:rsidRPr="00006FDE">
        <w:rPr>
          <w:rFonts w:ascii="Arial" w:eastAsia="Arial" w:hAnsi="Arial" w:cs="Arial"/>
          <w:b/>
          <w:bCs/>
          <w:kern w:val="0"/>
          <w:sz w:val="24"/>
          <w:szCs w:val="24"/>
          <w14:ligatures w14:val="none"/>
        </w:rPr>
        <w:t xml:space="preserve"> Patel</w:t>
      </w:r>
    </w:p>
    <w:p w14:paraId="0044F629" w14:textId="77777777" w:rsidR="00006FDE" w:rsidRPr="00006FDE" w:rsidRDefault="00006FDE" w:rsidP="00006FDE">
      <w:pPr>
        <w:spacing w:before="120" w:after="120" w:line="360" w:lineRule="auto"/>
        <w:jc w:val="center"/>
        <w:rPr>
          <w:rFonts w:ascii="Arial" w:eastAsia="Arial" w:hAnsi="Arial" w:cs="Arial"/>
          <w:b/>
          <w:bCs/>
          <w:kern w:val="0"/>
          <w:sz w:val="24"/>
          <w:szCs w:val="24"/>
          <w14:ligatures w14:val="none"/>
        </w:rPr>
      </w:pPr>
      <w:r w:rsidRPr="00006FDE">
        <w:rPr>
          <w:rFonts w:ascii="Arial" w:eastAsia="Arial" w:hAnsi="Arial" w:cs="Arial"/>
          <w:b/>
          <w:bCs/>
          <w:kern w:val="0"/>
          <w:sz w:val="24"/>
          <w:szCs w:val="24"/>
          <w:lang w:val="en-US"/>
          <w14:ligatures w14:val="none"/>
        </w:rPr>
        <w:t xml:space="preserve">Student ID: </w:t>
      </w:r>
      <w:r w:rsidRPr="00006FDE">
        <w:rPr>
          <w:rFonts w:ascii="Arial" w:eastAsia="Arial" w:hAnsi="Arial" w:cs="Arial"/>
          <w:b/>
          <w:bCs/>
          <w:kern w:val="0"/>
          <w:sz w:val="24"/>
          <w:szCs w:val="24"/>
          <w14:ligatures w14:val="none"/>
        </w:rPr>
        <w:t>2537051</w:t>
      </w:r>
    </w:p>
    <w:p w14:paraId="159C875A" w14:textId="31014690" w:rsidR="007877F7"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p>
    <w:p w14:paraId="18FCC500" w14:textId="77777777" w:rsidR="007877F7" w:rsidRPr="00006FDE" w:rsidRDefault="007877F7" w:rsidP="007877F7">
      <w:pPr>
        <w:spacing w:before="120" w:after="120" w:line="360" w:lineRule="auto"/>
        <w:jc w:val="center"/>
        <w:rPr>
          <w:rFonts w:ascii="Arial" w:eastAsia="Arial" w:hAnsi="Arial" w:cs="Arial"/>
          <w:b/>
          <w:bCs/>
          <w:kern w:val="0"/>
          <w:sz w:val="24"/>
          <w:szCs w:val="24"/>
          <w:lang w:val="en-GB"/>
          <w14:ligatures w14:val="none"/>
        </w:rPr>
      </w:pPr>
    </w:p>
    <w:p w14:paraId="485A1771" w14:textId="4C7232BC" w:rsidR="00644E9D" w:rsidRPr="00006FDE" w:rsidRDefault="00644E9D" w:rsidP="007877F7">
      <w:pPr>
        <w:spacing w:before="120" w:after="120" w:line="360" w:lineRule="auto"/>
        <w:jc w:val="center"/>
        <w:rPr>
          <w:rFonts w:ascii="Arial" w:eastAsia="Arial" w:hAnsi="Arial" w:cs="Arial"/>
          <w:b/>
          <w:bCs/>
          <w:kern w:val="0"/>
          <w:sz w:val="28"/>
          <w:szCs w:val="28"/>
          <w:lang w:val="en-GB"/>
          <w14:ligatures w14:val="none"/>
        </w:rPr>
      </w:pPr>
      <w:r w:rsidRPr="00006FDE">
        <w:rPr>
          <w:rFonts w:ascii="Arial" w:eastAsia="Arial" w:hAnsi="Arial" w:cs="Arial"/>
          <w:b/>
          <w:bCs/>
          <w:kern w:val="0"/>
          <w:sz w:val="24"/>
          <w:szCs w:val="24"/>
          <w:lang w:val="en-GB"/>
          <w14:ligatures w14:val="none"/>
        </w:rPr>
        <w:t>Word Count: 5</w:t>
      </w:r>
      <w:r w:rsidR="00BC2B84">
        <w:rPr>
          <w:rFonts w:ascii="Arial" w:eastAsia="Arial" w:hAnsi="Arial" w:cs="Arial"/>
          <w:b/>
          <w:bCs/>
          <w:kern w:val="0"/>
          <w:sz w:val="24"/>
          <w:szCs w:val="24"/>
          <w:lang w:val="en-GB"/>
          <w14:ligatures w14:val="none"/>
        </w:rPr>
        <w:t>090+</w:t>
      </w:r>
      <w:r w:rsidRPr="00006FDE">
        <w:rPr>
          <w:rFonts w:ascii="Arial" w:eastAsia="Arial" w:hAnsi="Arial" w:cs="Arial"/>
          <w:b/>
          <w:bCs/>
          <w:kern w:val="0"/>
          <w:sz w:val="24"/>
          <w:szCs w:val="24"/>
          <w:lang w:val="en-GB"/>
          <w14:ligatures w14:val="none"/>
        </w:rPr>
        <w:br w:type="page"/>
      </w:r>
    </w:p>
    <w:sdt>
      <w:sdtPr>
        <w:rPr>
          <w:rFonts w:ascii="Calibri" w:eastAsia="Times New Roman" w:hAnsi="Calibri" w:cs="Times New Roman"/>
          <w:b/>
          <w:bCs/>
          <w:kern w:val="0"/>
          <w:sz w:val="32"/>
          <w:szCs w:val="32"/>
          <w:lang w:val="en-GB"/>
          <w14:ligatures w14:val="none"/>
        </w:rPr>
        <w:id w:val="-345407100"/>
        <w:docPartObj>
          <w:docPartGallery w:val="Table of Contents"/>
          <w:docPartUnique/>
        </w:docPartObj>
      </w:sdtPr>
      <w:sdtEndPr>
        <w:rPr>
          <w:rFonts w:ascii="Arial" w:eastAsia="Arial" w:hAnsi="Arial" w:cs="Arial"/>
          <w:noProof/>
          <w:sz w:val="22"/>
          <w:szCs w:val="22"/>
        </w:rPr>
      </w:sdtEndPr>
      <w:sdtContent>
        <w:p w14:paraId="434220F8" w14:textId="77777777" w:rsidR="00644E9D" w:rsidRPr="00A93031" w:rsidRDefault="00644E9D" w:rsidP="007877F7">
          <w:pPr>
            <w:keepNext/>
            <w:keepLines/>
            <w:spacing w:before="120" w:after="120" w:line="360" w:lineRule="auto"/>
            <w:jc w:val="center"/>
            <w:rPr>
              <w:rFonts w:ascii="Arial" w:eastAsia="Times New Roman" w:hAnsi="Arial" w:cs="Arial"/>
              <w:b/>
              <w:bCs/>
              <w:kern w:val="0"/>
              <w:sz w:val="24"/>
              <w:szCs w:val="24"/>
              <w:lang w:val="en-GB"/>
              <w14:ligatures w14:val="none"/>
            </w:rPr>
          </w:pPr>
          <w:r w:rsidRPr="00A93031">
            <w:rPr>
              <w:rFonts w:ascii="Arial" w:eastAsia="Times New Roman" w:hAnsi="Arial" w:cs="Arial"/>
              <w:b/>
              <w:bCs/>
              <w:kern w:val="0"/>
              <w:sz w:val="24"/>
              <w:szCs w:val="24"/>
              <w:lang w:val="en-GB"/>
              <w14:ligatures w14:val="none"/>
            </w:rPr>
            <w:t>Table of Contents</w:t>
          </w:r>
        </w:p>
        <w:p w14:paraId="365D338D" w14:textId="2C2D2C25" w:rsidR="00175F2C" w:rsidRPr="00A93031" w:rsidRDefault="00644E9D">
          <w:pPr>
            <w:pStyle w:val="TOC1"/>
            <w:tabs>
              <w:tab w:val="right" w:leader="dot" w:pos="9019"/>
            </w:tabs>
            <w:rPr>
              <w:rFonts w:ascii="Arial" w:hAnsi="Arial" w:cs="Arial"/>
              <w:noProof/>
              <w:sz w:val="24"/>
              <w:szCs w:val="24"/>
              <w:lang w:val="en-GB"/>
            </w:rPr>
          </w:pPr>
          <w:r w:rsidRPr="00A93031">
            <w:rPr>
              <w:rFonts w:ascii="Arial" w:eastAsia="Arial" w:hAnsi="Arial" w:cs="Arial"/>
              <w:kern w:val="0"/>
              <w:sz w:val="24"/>
              <w:szCs w:val="24"/>
              <w:lang w:val="en-GB"/>
              <w14:ligatures w14:val="none"/>
            </w:rPr>
            <w:fldChar w:fldCharType="begin"/>
          </w:r>
          <w:r w:rsidRPr="00A93031">
            <w:rPr>
              <w:rFonts w:ascii="Arial" w:eastAsia="Arial" w:hAnsi="Arial" w:cs="Arial"/>
              <w:kern w:val="0"/>
              <w:sz w:val="24"/>
              <w:szCs w:val="24"/>
              <w:lang w:val="en-GB"/>
              <w14:ligatures w14:val="none"/>
            </w:rPr>
            <w:instrText xml:space="preserve"> TOC \o "1-3" \h \z \u </w:instrText>
          </w:r>
          <w:r w:rsidRPr="00A93031">
            <w:rPr>
              <w:rFonts w:ascii="Arial" w:eastAsia="Arial" w:hAnsi="Arial" w:cs="Arial"/>
              <w:kern w:val="0"/>
              <w:sz w:val="24"/>
              <w:szCs w:val="24"/>
              <w:lang w:val="en-GB"/>
              <w14:ligatures w14:val="none"/>
            </w:rPr>
            <w:fldChar w:fldCharType="separate"/>
          </w:r>
          <w:hyperlink w:anchor="_Toc236940164" w:history="1">
            <w:r w:rsidR="00175F2C" w:rsidRPr="00A93031">
              <w:rPr>
                <w:rStyle w:val="Hyperlink"/>
                <w:rFonts w:ascii="Arial" w:hAnsi="Arial" w:cs="Arial"/>
                <w:noProof/>
                <w:sz w:val="24"/>
                <w:szCs w:val="24"/>
                <w:lang w:val="en-GB"/>
              </w:rPr>
              <w:t>1. Introduction</w:t>
            </w:r>
            <w:r w:rsidR="00175F2C" w:rsidRPr="00A93031">
              <w:rPr>
                <w:rFonts w:ascii="Arial" w:hAnsi="Arial" w:cs="Arial"/>
                <w:noProof/>
                <w:webHidden/>
                <w:sz w:val="24"/>
                <w:szCs w:val="24"/>
                <w:lang w:val="en-GB"/>
              </w:rPr>
              <w:tab/>
            </w:r>
            <w:r w:rsidR="00175F2C" w:rsidRPr="00A93031">
              <w:rPr>
                <w:rFonts w:ascii="Arial" w:hAnsi="Arial" w:cs="Arial"/>
                <w:noProof/>
                <w:webHidden/>
                <w:sz w:val="24"/>
                <w:szCs w:val="24"/>
                <w:lang w:val="en-GB"/>
              </w:rPr>
              <w:fldChar w:fldCharType="begin"/>
            </w:r>
            <w:r w:rsidR="00175F2C" w:rsidRPr="00A93031">
              <w:rPr>
                <w:rFonts w:ascii="Arial" w:hAnsi="Arial" w:cs="Arial"/>
                <w:noProof/>
                <w:webHidden/>
                <w:sz w:val="24"/>
                <w:szCs w:val="24"/>
                <w:lang w:val="en-GB"/>
              </w:rPr>
              <w:instrText xml:space="preserve"> PAGEREF _Toc236940164 \h </w:instrText>
            </w:r>
            <w:r w:rsidR="00175F2C" w:rsidRPr="00A93031">
              <w:rPr>
                <w:rFonts w:ascii="Arial" w:hAnsi="Arial" w:cs="Arial"/>
                <w:noProof/>
                <w:webHidden/>
                <w:sz w:val="24"/>
                <w:szCs w:val="24"/>
                <w:lang w:val="en-GB"/>
              </w:rPr>
            </w:r>
            <w:r w:rsidR="00175F2C" w:rsidRPr="00A93031">
              <w:rPr>
                <w:rFonts w:ascii="Arial" w:hAnsi="Arial" w:cs="Arial"/>
                <w:noProof/>
                <w:webHidden/>
                <w:sz w:val="24"/>
                <w:szCs w:val="24"/>
                <w:lang w:val="en-GB"/>
              </w:rPr>
              <w:fldChar w:fldCharType="separate"/>
            </w:r>
            <w:r w:rsidR="00175F2C" w:rsidRPr="00A93031">
              <w:rPr>
                <w:rFonts w:ascii="Arial" w:hAnsi="Arial" w:cs="Arial"/>
                <w:noProof/>
                <w:webHidden/>
                <w:sz w:val="24"/>
                <w:szCs w:val="24"/>
                <w:lang w:val="en-GB"/>
              </w:rPr>
              <w:t>1</w:t>
            </w:r>
            <w:r w:rsidR="00175F2C" w:rsidRPr="00A93031">
              <w:rPr>
                <w:rFonts w:ascii="Arial" w:hAnsi="Arial" w:cs="Arial"/>
                <w:noProof/>
                <w:webHidden/>
                <w:sz w:val="24"/>
                <w:szCs w:val="24"/>
                <w:lang w:val="en-GB"/>
              </w:rPr>
              <w:fldChar w:fldCharType="end"/>
            </w:r>
          </w:hyperlink>
        </w:p>
        <w:p w14:paraId="308F76C0" w14:textId="06A5B250" w:rsidR="00175F2C" w:rsidRPr="00A93031" w:rsidRDefault="00175F2C">
          <w:pPr>
            <w:pStyle w:val="TOC2"/>
            <w:tabs>
              <w:tab w:val="right" w:leader="dot" w:pos="9019"/>
            </w:tabs>
            <w:rPr>
              <w:rFonts w:ascii="Arial" w:hAnsi="Arial" w:cs="Arial"/>
              <w:noProof/>
              <w:sz w:val="24"/>
              <w:szCs w:val="24"/>
              <w:lang w:val="en-GB"/>
            </w:rPr>
          </w:pPr>
          <w:hyperlink w:anchor="_Toc236940165" w:history="1">
            <w:r w:rsidRPr="00A93031">
              <w:rPr>
                <w:rStyle w:val="Hyperlink"/>
                <w:rFonts w:ascii="Arial" w:hAnsi="Arial" w:cs="Arial"/>
                <w:noProof/>
                <w:sz w:val="24"/>
                <w:szCs w:val="24"/>
                <w:lang w:val="en-GB"/>
              </w:rPr>
              <w:t>1.1 Background of Patient X Case</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_Toc236940165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w:t>
            </w:r>
            <w:r w:rsidRPr="00A93031">
              <w:rPr>
                <w:rFonts w:ascii="Arial" w:hAnsi="Arial" w:cs="Arial"/>
                <w:noProof/>
                <w:webHidden/>
                <w:sz w:val="24"/>
                <w:szCs w:val="24"/>
                <w:lang w:val="en-GB"/>
              </w:rPr>
              <w:fldChar w:fldCharType="end"/>
            </w:r>
          </w:hyperlink>
        </w:p>
        <w:p w14:paraId="0ACB6504" w14:textId="3EF44588" w:rsidR="00175F2C" w:rsidRPr="00A93031" w:rsidRDefault="00175F2C">
          <w:pPr>
            <w:pStyle w:val="TOC2"/>
            <w:tabs>
              <w:tab w:val="right" w:leader="dot" w:pos="9019"/>
            </w:tabs>
            <w:rPr>
              <w:rFonts w:ascii="Arial" w:hAnsi="Arial" w:cs="Arial"/>
              <w:noProof/>
              <w:sz w:val="24"/>
              <w:szCs w:val="24"/>
              <w:lang w:val="en-GB"/>
            </w:rPr>
          </w:pPr>
          <w:hyperlink w:anchor="_Toc236940166" w:history="1">
            <w:r w:rsidRPr="00A93031">
              <w:rPr>
                <w:rStyle w:val="Hyperlink"/>
                <w:rFonts w:ascii="Arial" w:eastAsia="Arial" w:hAnsi="Arial" w:cs="Arial"/>
                <w:noProof/>
                <w:sz w:val="24"/>
                <w:szCs w:val="24"/>
                <w:lang w:val="en-GB"/>
              </w:rPr>
              <w:t>1.2 Purpose of the Report</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_Toc236940166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w:t>
            </w:r>
            <w:r w:rsidRPr="00A93031">
              <w:rPr>
                <w:rFonts w:ascii="Arial" w:hAnsi="Arial" w:cs="Arial"/>
                <w:noProof/>
                <w:webHidden/>
                <w:sz w:val="24"/>
                <w:szCs w:val="24"/>
                <w:lang w:val="en-GB"/>
              </w:rPr>
              <w:fldChar w:fldCharType="end"/>
            </w:r>
          </w:hyperlink>
        </w:p>
        <w:p w14:paraId="37EF05F2" w14:textId="6E41332B" w:rsidR="00175F2C" w:rsidRPr="00A93031" w:rsidRDefault="00175F2C">
          <w:pPr>
            <w:pStyle w:val="TOC2"/>
            <w:tabs>
              <w:tab w:val="right" w:leader="dot" w:pos="9019"/>
            </w:tabs>
            <w:rPr>
              <w:rFonts w:ascii="Arial" w:hAnsi="Arial" w:cs="Arial"/>
              <w:noProof/>
              <w:sz w:val="24"/>
              <w:szCs w:val="24"/>
              <w:lang w:val="en-GB"/>
            </w:rPr>
          </w:pPr>
          <w:hyperlink w:anchor="_Toc236940167" w:history="1">
            <w:r w:rsidRPr="00A93031">
              <w:rPr>
                <w:rStyle w:val="Hyperlink"/>
                <w:rFonts w:ascii="Arial" w:eastAsia="Arial" w:hAnsi="Arial" w:cs="Arial"/>
                <w:noProof/>
                <w:sz w:val="24"/>
                <w:szCs w:val="24"/>
                <w:lang w:val="en-GB"/>
              </w:rPr>
              <w:t>1.3 Leadership in Healthcare</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_Toc236940167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w:t>
            </w:r>
            <w:r w:rsidRPr="00A93031">
              <w:rPr>
                <w:rFonts w:ascii="Arial" w:hAnsi="Arial" w:cs="Arial"/>
                <w:noProof/>
                <w:webHidden/>
                <w:sz w:val="24"/>
                <w:szCs w:val="24"/>
                <w:lang w:val="en-GB"/>
              </w:rPr>
              <w:fldChar w:fldCharType="end"/>
            </w:r>
          </w:hyperlink>
        </w:p>
        <w:p w14:paraId="67C3F74B" w14:textId="144DF1C5" w:rsidR="00175F2C" w:rsidRPr="00A93031" w:rsidRDefault="00175F2C">
          <w:pPr>
            <w:pStyle w:val="TOC2"/>
            <w:tabs>
              <w:tab w:val="right" w:leader="dot" w:pos="9019"/>
            </w:tabs>
            <w:rPr>
              <w:rFonts w:ascii="Arial" w:hAnsi="Arial" w:cs="Arial"/>
              <w:noProof/>
              <w:sz w:val="24"/>
              <w:szCs w:val="24"/>
              <w:lang w:val="en-GB"/>
            </w:rPr>
          </w:pPr>
          <w:hyperlink w:anchor="_Toc236940168" w:history="1">
            <w:r w:rsidRPr="00A93031">
              <w:rPr>
                <w:rStyle w:val="Hyperlink"/>
                <w:rFonts w:ascii="Arial" w:eastAsia="Arial" w:hAnsi="Arial" w:cs="Arial"/>
                <w:noProof/>
                <w:sz w:val="24"/>
                <w:szCs w:val="24"/>
                <w:lang w:val="en-GB"/>
              </w:rPr>
              <w:t>1.4 Centralisation vs Decentralisation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_Toc236940168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w:t>
            </w:r>
            <w:r w:rsidRPr="00A93031">
              <w:rPr>
                <w:rFonts w:ascii="Arial" w:hAnsi="Arial" w:cs="Arial"/>
                <w:noProof/>
                <w:webHidden/>
                <w:sz w:val="24"/>
                <w:szCs w:val="24"/>
                <w:lang w:val="en-GB"/>
              </w:rPr>
              <w:fldChar w:fldCharType="end"/>
            </w:r>
          </w:hyperlink>
        </w:p>
        <w:p w14:paraId="63F2E50A" w14:textId="5D954E03" w:rsidR="00175F2C" w:rsidRPr="00A93031" w:rsidRDefault="00175F2C">
          <w:pPr>
            <w:pStyle w:val="TOC2"/>
            <w:tabs>
              <w:tab w:val="right" w:leader="dot" w:pos="9019"/>
            </w:tabs>
            <w:rPr>
              <w:rFonts w:ascii="Arial" w:hAnsi="Arial" w:cs="Arial"/>
              <w:noProof/>
              <w:sz w:val="24"/>
              <w:szCs w:val="24"/>
              <w:lang w:val="en-GB"/>
            </w:rPr>
          </w:pPr>
          <w:hyperlink w:anchor="_Toc236940169" w:history="1">
            <w:r w:rsidRPr="00A93031">
              <w:rPr>
                <w:rStyle w:val="Hyperlink"/>
                <w:rFonts w:ascii="Arial" w:eastAsia="Arial" w:hAnsi="Arial" w:cs="Arial"/>
                <w:noProof/>
                <w:sz w:val="24"/>
                <w:szCs w:val="24"/>
                <w:lang w:val="en-GB"/>
              </w:rPr>
              <w:t>1.5 Leadership Theories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_Toc236940169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2</w:t>
            </w:r>
            <w:r w:rsidRPr="00A93031">
              <w:rPr>
                <w:rFonts w:ascii="Arial" w:hAnsi="Arial" w:cs="Arial"/>
                <w:noProof/>
                <w:webHidden/>
                <w:sz w:val="24"/>
                <w:szCs w:val="24"/>
                <w:lang w:val="en-GB"/>
              </w:rPr>
              <w:fldChar w:fldCharType="end"/>
            </w:r>
          </w:hyperlink>
        </w:p>
        <w:p w14:paraId="7849A6F1" w14:textId="41F9D56D" w:rsidR="00175F2C" w:rsidRPr="00A93031" w:rsidRDefault="00175F2C">
          <w:pPr>
            <w:pStyle w:val="TOC1"/>
            <w:tabs>
              <w:tab w:val="right" w:leader="dot" w:pos="9019"/>
            </w:tabs>
            <w:rPr>
              <w:rFonts w:ascii="Arial" w:hAnsi="Arial" w:cs="Arial"/>
              <w:noProof/>
              <w:sz w:val="24"/>
              <w:szCs w:val="24"/>
              <w:lang w:val="en-GB"/>
            </w:rPr>
          </w:pPr>
          <w:hyperlink w:anchor="_Toc236940170" w:history="1">
            <w:r w:rsidRPr="00A93031">
              <w:rPr>
                <w:rStyle w:val="Hyperlink"/>
                <w:rFonts w:ascii="Arial" w:eastAsia="Arial" w:hAnsi="Arial" w:cs="Arial"/>
                <w:noProof/>
                <w:sz w:val="24"/>
                <w:szCs w:val="24"/>
                <w:lang w:val="en-GB"/>
              </w:rPr>
              <w:t>2. Main Analysis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_Toc236940170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2</w:t>
            </w:r>
            <w:r w:rsidRPr="00A93031">
              <w:rPr>
                <w:rFonts w:ascii="Arial" w:hAnsi="Arial" w:cs="Arial"/>
                <w:noProof/>
                <w:webHidden/>
                <w:sz w:val="24"/>
                <w:szCs w:val="24"/>
                <w:lang w:val="en-GB"/>
              </w:rPr>
              <w:fldChar w:fldCharType="end"/>
            </w:r>
          </w:hyperlink>
        </w:p>
        <w:p w14:paraId="3C96647C" w14:textId="1B68353C" w:rsidR="00175F2C" w:rsidRPr="00A93031" w:rsidRDefault="00175F2C">
          <w:pPr>
            <w:pStyle w:val="TOC2"/>
            <w:tabs>
              <w:tab w:val="right" w:leader="dot" w:pos="9019"/>
            </w:tabs>
            <w:rPr>
              <w:rFonts w:ascii="Arial" w:hAnsi="Arial" w:cs="Arial"/>
              <w:noProof/>
              <w:sz w:val="24"/>
              <w:szCs w:val="24"/>
              <w:lang w:val="en-GB"/>
            </w:rPr>
          </w:pPr>
          <w:hyperlink w:anchor="_Toc236940171" w:history="1">
            <w:r w:rsidRPr="00A93031">
              <w:rPr>
                <w:rStyle w:val="Hyperlink"/>
                <w:rFonts w:ascii="Arial" w:eastAsia="Arial" w:hAnsi="Arial" w:cs="Arial"/>
                <w:noProof/>
                <w:sz w:val="24"/>
                <w:szCs w:val="24"/>
                <w:lang w:val="en-GB"/>
              </w:rPr>
              <w:t>2.1 Identifying the Problem and System Context</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_Toc236940171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2</w:t>
            </w:r>
            <w:r w:rsidRPr="00A93031">
              <w:rPr>
                <w:rFonts w:ascii="Arial" w:hAnsi="Arial" w:cs="Arial"/>
                <w:noProof/>
                <w:webHidden/>
                <w:sz w:val="24"/>
                <w:szCs w:val="24"/>
                <w:lang w:val="en-GB"/>
              </w:rPr>
              <w:fldChar w:fldCharType="end"/>
            </w:r>
          </w:hyperlink>
        </w:p>
        <w:p w14:paraId="7099C97A" w14:textId="7FDE9EB7" w:rsidR="00175F2C" w:rsidRPr="00A93031" w:rsidRDefault="00175F2C">
          <w:pPr>
            <w:pStyle w:val="TOC3"/>
            <w:tabs>
              <w:tab w:val="right" w:leader="dot" w:pos="9019"/>
            </w:tabs>
            <w:rPr>
              <w:rFonts w:ascii="Arial" w:hAnsi="Arial" w:cs="Arial"/>
              <w:noProof/>
              <w:sz w:val="24"/>
              <w:szCs w:val="24"/>
              <w:lang w:val="en-GB"/>
            </w:rPr>
          </w:pPr>
          <w:hyperlink w:anchor="_Toc236940172" w:history="1">
            <w:r w:rsidRPr="00A93031">
              <w:rPr>
                <w:rStyle w:val="Hyperlink"/>
                <w:rFonts w:ascii="Arial" w:eastAsia="Arial" w:hAnsi="Arial" w:cs="Arial"/>
                <w:i/>
                <w:iCs/>
                <w:noProof/>
                <w:sz w:val="24"/>
                <w:szCs w:val="24"/>
                <w:lang w:val="en-GB"/>
              </w:rPr>
              <w:t>2.1.1 Overview of the Medication Incident</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_Toc236940172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2</w:t>
            </w:r>
            <w:r w:rsidRPr="00A93031">
              <w:rPr>
                <w:rFonts w:ascii="Arial" w:hAnsi="Arial" w:cs="Arial"/>
                <w:noProof/>
                <w:webHidden/>
                <w:sz w:val="24"/>
                <w:szCs w:val="24"/>
                <w:lang w:val="en-GB"/>
              </w:rPr>
              <w:fldChar w:fldCharType="end"/>
            </w:r>
          </w:hyperlink>
        </w:p>
        <w:p w14:paraId="56D344C1" w14:textId="0473D6EF" w:rsidR="00175F2C" w:rsidRPr="00A93031" w:rsidRDefault="00175F2C">
          <w:pPr>
            <w:pStyle w:val="TOC3"/>
            <w:tabs>
              <w:tab w:val="right" w:leader="dot" w:pos="9019"/>
            </w:tabs>
            <w:rPr>
              <w:rFonts w:ascii="Arial" w:hAnsi="Arial" w:cs="Arial"/>
              <w:noProof/>
              <w:sz w:val="24"/>
              <w:szCs w:val="24"/>
              <w:lang w:val="en-GB"/>
            </w:rPr>
          </w:pPr>
          <w:hyperlink w:anchor="_Toc236940173" w:history="1">
            <w:r w:rsidRPr="00A93031">
              <w:rPr>
                <w:rStyle w:val="Hyperlink"/>
                <w:rFonts w:ascii="Arial" w:eastAsia="Arial" w:hAnsi="Arial" w:cs="Arial"/>
                <w:i/>
                <w:iCs/>
                <w:noProof/>
                <w:sz w:val="24"/>
                <w:szCs w:val="24"/>
                <w:lang w:val="en-GB"/>
              </w:rPr>
              <w:t>2.1.2 Global Burden of Medication Errors (WHO)</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_Toc236940173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2</w:t>
            </w:r>
            <w:r w:rsidRPr="00A93031">
              <w:rPr>
                <w:rFonts w:ascii="Arial" w:hAnsi="Arial" w:cs="Arial"/>
                <w:noProof/>
                <w:webHidden/>
                <w:sz w:val="24"/>
                <w:szCs w:val="24"/>
                <w:lang w:val="en-GB"/>
              </w:rPr>
              <w:fldChar w:fldCharType="end"/>
            </w:r>
          </w:hyperlink>
        </w:p>
        <w:p w14:paraId="02018EA3" w14:textId="7562627D" w:rsidR="00175F2C" w:rsidRPr="00A93031" w:rsidRDefault="00175F2C">
          <w:pPr>
            <w:pStyle w:val="TOC3"/>
            <w:tabs>
              <w:tab w:val="right" w:leader="dot" w:pos="9019"/>
            </w:tabs>
            <w:rPr>
              <w:rFonts w:ascii="Arial" w:hAnsi="Arial" w:cs="Arial"/>
              <w:noProof/>
              <w:sz w:val="24"/>
              <w:szCs w:val="24"/>
              <w:lang w:val="en-GB"/>
            </w:rPr>
          </w:pPr>
          <w:hyperlink w:anchor="_Toc236940174" w:history="1">
            <w:r w:rsidRPr="00A93031">
              <w:rPr>
                <w:rStyle w:val="Hyperlink"/>
                <w:rFonts w:ascii="Arial" w:eastAsia="Arial" w:hAnsi="Arial" w:cs="Arial"/>
                <w:i/>
                <w:iCs/>
                <w:noProof/>
                <w:sz w:val="24"/>
                <w:szCs w:val="24"/>
                <w:lang w:val="en-GB"/>
              </w:rPr>
              <w:t>2.1.3 NHS Statistics on Medication Safety</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_Toc236940174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2</w:t>
            </w:r>
            <w:r w:rsidRPr="00A93031">
              <w:rPr>
                <w:rFonts w:ascii="Arial" w:hAnsi="Arial" w:cs="Arial"/>
                <w:noProof/>
                <w:webHidden/>
                <w:sz w:val="24"/>
                <w:szCs w:val="24"/>
                <w:lang w:val="en-GB"/>
              </w:rPr>
              <w:fldChar w:fldCharType="end"/>
            </w:r>
          </w:hyperlink>
        </w:p>
        <w:p w14:paraId="10C9B39F" w14:textId="1E7582C7" w:rsidR="00175F2C" w:rsidRPr="00A93031" w:rsidRDefault="00175F2C">
          <w:pPr>
            <w:pStyle w:val="TOC3"/>
            <w:tabs>
              <w:tab w:val="right" w:leader="dot" w:pos="9019"/>
            </w:tabs>
            <w:rPr>
              <w:rFonts w:ascii="Arial" w:hAnsi="Arial" w:cs="Arial"/>
              <w:noProof/>
              <w:sz w:val="24"/>
              <w:szCs w:val="24"/>
              <w:lang w:val="en-GB"/>
            </w:rPr>
          </w:pPr>
          <w:hyperlink w:anchor="_Toc236940175" w:history="1">
            <w:r w:rsidRPr="00A93031">
              <w:rPr>
                <w:rStyle w:val="Hyperlink"/>
                <w:rFonts w:ascii="Arial" w:eastAsia="Arial" w:hAnsi="Arial" w:cs="Arial"/>
                <w:i/>
                <w:iCs/>
                <w:noProof/>
                <w:sz w:val="24"/>
                <w:szCs w:val="24"/>
                <w:lang w:val="en-GB"/>
              </w:rPr>
              <w:t>2.1.4 Governance Failures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_Toc236940175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3</w:t>
            </w:r>
            <w:r w:rsidRPr="00A93031">
              <w:rPr>
                <w:rFonts w:ascii="Arial" w:hAnsi="Arial" w:cs="Arial"/>
                <w:noProof/>
                <w:webHidden/>
                <w:sz w:val="24"/>
                <w:szCs w:val="24"/>
                <w:lang w:val="en-GB"/>
              </w:rPr>
              <w:fldChar w:fldCharType="end"/>
            </w:r>
          </w:hyperlink>
        </w:p>
        <w:p w14:paraId="24FC9B48" w14:textId="4312A4E9" w:rsidR="00175F2C" w:rsidRPr="00A93031" w:rsidRDefault="00175F2C">
          <w:pPr>
            <w:pStyle w:val="TOC3"/>
            <w:tabs>
              <w:tab w:val="right" w:leader="dot" w:pos="9019"/>
            </w:tabs>
            <w:rPr>
              <w:rFonts w:ascii="Arial" w:hAnsi="Arial" w:cs="Arial"/>
              <w:noProof/>
              <w:sz w:val="24"/>
              <w:szCs w:val="24"/>
              <w:lang w:val="en-GB"/>
            </w:rPr>
          </w:pPr>
          <w:hyperlink w:anchor="_Toc236940176" w:history="1">
            <w:r w:rsidRPr="00A93031">
              <w:rPr>
                <w:rStyle w:val="Hyperlink"/>
                <w:rFonts w:ascii="Arial" w:eastAsia="Arial" w:hAnsi="Arial" w:cs="Arial"/>
                <w:i/>
                <w:iCs/>
                <w:noProof/>
                <w:sz w:val="24"/>
                <w:szCs w:val="24"/>
                <w:lang w:val="en-GB"/>
              </w:rPr>
              <w:t>2.1.5 Communication Breakdown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_Toc236940176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3</w:t>
            </w:r>
            <w:r w:rsidRPr="00A93031">
              <w:rPr>
                <w:rFonts w:ascii="Arial" w:hAnsi="Arial" w:cs="Arial"/>
                <w:noProof/>
                <w:webHidden/>
                <w:sz w:val="24"/>
                <w:szCs w:val="24"/>
                <w:lang w:val="en-GB"/>
              </w:rPr>
              <w:fldChar w:fldCharType="end"/>
            </w:r>
          </w:hyperlink>
        </w:p>
        <w:p w14:paraId="09DDCC56" w14:textId="1220C5ED" w:rsidR="00175F2C" w:rsidRPr="00A93031" w:rsidRDefault="00175F2C">
          <w:pPr>
            <w:pStyle w:val="TOC3"/>
            <w:tabs>
              <w:tab w:val="right" w:leader="dot" w:pos="9019"/>
            </w:tabs>
            <w:rPr>
              <w:rFonts w:ascii="Arial" w:hAnsi="Arial" w:cs="Arial"/>
              <w:noProof/>
              <w:sz w:val="24"/>
              <w:szCs w:val="24"/>
              <w:lang w:val="en-GB"/>
            </w:rPr>
          </w:pPr>
          <w:hyperlink w:anchor="_Toc236940177" w:history="1">
            <w:r w:rsidRPr="00A93031">
              <w:rPr>
                <w:rStyle w:val="Hyperlink"/>
                <w:rFonts w:ascii="Arial" w:eastAsia="Arial" w:hAnsi="Arial" w:cs="Arial"/>
                <w:i/>
                <w:iCs/>
                <w:noProof/>
                <w:sz w:val="24"/>
                <w:szCs w:val="24"/>
                <w:lang w:val="en-GB"/>
              </w:rPr>
              <w:t>2.1.6 Rich Picture</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_Toc236940177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4</w:t>
            </w:r>
            <w:r w:rsidRPr="00A93031">
              <w:rPr>
                <w:rFonts w:ascii="Arial" w:hAnsi="Arial" w:cs="Arial"/>
                <w:noProof/>
                <w:webHidden/>
                <w:sz w:val="24"/>
                <w:szCs w:val="24"/>
                <w:lang w:val="en-GB"/>
              </w:rPr>
              <w:fldChar w:fldCharType="end"/>
            </w:r>
          </w:hyperlink>
        </w:p>
        <w:p w14:paraId="1CF4B50B" w14:textId="57FE5917" w:rsidR="00175F2C" w:rsidRPr="00A93031" w:rsidRDefault="00175F2C">
          <w:pPr>
            <w:pStyle w:val="TOC2"/>
            <w:tabs>
              <w:tab w:val="right" w:leader="dot" w:pos="9019"/>
            </w:tabs>
            <w:rPr>
              <w:rFonts w:ascii="Arial" w:hAnsi="Arial" w:cs="Arial"/>
              <w:noProof/>
              <w:sz w:val="24"/>
              <w:szCs w:val="24"/>
              <w:lang w:val="en-GB"/>
            </w:rPr>
          </w:pPr>
          <w:hyperlink w:anchor="_Toc236940178" w:history="1">
            <w:r w:rsidRPr="00A93031">
              <w:rPr>
                <w:rStyle w:val="Hyperlink"/>
                <w:rFonts w:ascii="Arial" w:eastAsia="Arial" w:hAnsi="Arial" w:cs="Arial"/>
                <w:noProof/>
                <w:sz w:val="24"/>
                <w:szCs w:val="24"/>
                <w:lang w:val="en-GB"/>
              </w:rPr>
              <w:t>2.2 Centralisation and Decision Making</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_Toc236940178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5</w:t>
            </w:r>
            <w:r w:rsidRPr="00A93031">
              <w:rPr>
                <w:rFonts w:ascii="Arial" w:hAnsi="Arial" w:cs="Arial"/>
                <w:noProof/>
                <w:webHidden/>
                <w:sz w:val="24"/>
                <w:szCs w:val="24"/>
                <w:lang w:val="en-GB"/>
              </w:rPr>
              <w:fldChar w:fldCharType="end"/>
            </w:r>
          </w:hyperlink>
        </w:p>
        <w:p w14:paraId="72D22A81" w14:textId="57E8111C" w:rsidR="00175F2C" w:rsidRPr="00A93031" w:rsidRDefault="00175F2C">
          <w:pPr>
            <w:pStyle w:val="TOC3"/>
            <w:tabs>
              <w:tab w:val="right" w:leader="dot" w:pos="9019"/>
            </w:tabs>
            <w:rPr>
              <w:rFonts w:ascii="Arial" w:hAnsi="Arial" w:cs="Arial"/>
              <w:noProof/>
              <w:sz w:val="24"/>
              <w:szCs w:val="24"/>
              <w:lang w:val="en-GB"/>
            </w:rPr>
          </w:pPr>
          <w:hyperlink w:anchor="_Toc236940179" w:history="1">
            <w:r w:rsidRPr="00A93031">
              <w:rPr>
                <w:rStyle w:val="Hyperlink"/>
                <w:rFonts w:ascii="Arial" w:eastAsia="Arial" w:hAnsi="Arial" w:cs="Arial"/>
                <w:i/>
                <w:iCs/>
                <w:noProof/>
                <w:sz w:val="24"/>
                <w:szCs w:val="24"/>
                <w:lang w:val="en-GB"/>
              </w:rPr>
              <w:t>2.2.1 Decision-making Structure</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_Toc236940179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5</w:t>
            </w:r>
            <w:r w:rsidRPr="00A93031">
              <w:rPr>
                <w:rFonts w:ascii="Arial" w:hAnsi="Arial" w:cs="Arial"/>
                <w:noProof/>
                <w:webHidden/>
                <w:sz w:val="24"/>
                <w:szCs w:val="24"/>
                <w:lang w:val="en-GB"/>
              </w:rPr>
              <w:fldChar w:fldCharType="end"/>
            </w:r>
          </w:hyperlink>
        </w:p>
        <w:p w14:paraId="03B589F5" w14:textId="58A2090D" w:rsidR="00175F2C" w:rsidRPr="00A93031" w:rsidRDefault="00175F2C">
          <w:pPr>
            <w:pStyle w:val="TOC3"/>
            <w:tabs>
              <w:tab w:val="right" w:leader="dot" w:pos="9019"/>
            </w:tabs>
            <w:rPr>
              <w:rFonts w:ascii="Arial" w:hAnsi="Arial" w:cs="Arial"/>
              <w:noProof/>
              <w:sz w:val="24"/>
              <w:szCs w:val="24"/>
              <w:lang w:val="en-GB"/>
            </w:rPr>
          </w:pPr>
          <w:hyperlink w:anchor="_Toc236940180" w:history="1">
            <w:r w:rsidRPr="00A93031">
              <w:rPr>
                <w:rStyle w:val="Hyperlink"/>
                <w:rFonts w:ascii="Arial" w:eastAsia="Arial" w:hAnsi="Arial" w:cs="Arial"/>
                <w:i/>
                <w:iCs/>
                <w:noProof/>
                <w:sz w:val="24"/>
                <w:szCs w:val="24"/>
                <w:lang w:val="en-GB"/>
              </w:rPr>
              <w:t>2.2.2 Benefits of Centralised Governance</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_Toc236940180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5</w:t>
            </w:r>
            <w:r w:rsidRPr="00A93031">
              <w:rPr>
                <w:rFonts w:ascii="Arial" w:hAnsi="Arial" w:cs="Arial"/>
                <w:noProof/>
                <w:webHidden/>
                <w:sz w:val="24"/>
                <w:szCs w:val="24"/>
                <w:lang w:val="en-GB"/>
              </w:rPr>
              <w:fldChar w:fldCharType="end"/>
            </w:r>
          </w:hyperlink>
        </w:p>
        <w:p w14:paraId="667A2F7A" w14:textId="32659953" w:rsidR="00175F2C" w:rsidRPr="00A93031" w:rsidRDefault="00175F2C">
          <w:pPr>
            <w:pStyle w:val="TOC3"/>
            <w:tabs>
              <w:tab w:val="right" w:leader="dot" w:pos="9019"/>
            </w:tabs>
            <w:rPr>
              <w:rFonts w:ascii="Arial" w:hAnsi="Arial" w:cs="Arial"/>
              <w:noProof/>
              <w:sz w:val="24"/>
              <w:szCs w:val="24"/>
              <w:lang w:val="en-GB"/>
            </w:rPr>
          </w:pPr>
          <w:hyperlink w:anchor="_Toc236940181" w:history="1">
            <w:r w:rsidRPr="00A93031">
              <w:rPr>
                <w:rStyle w:val="Hyperlink"/>
                <w:rFonts w:ascii="Arial" w:eastAsia="Arial" w:hAnsi="Arial" w:cs="Arial"/>
                <w:i/>
                <w:iCs/>
                <w:noProof/>
                <w:sz w:val="24"/>
                <w:szCs w:val="24"/>
                <w:lang w:val="en-GB"/>
              </w:rPr>
              <w:t>2.2.3 Limitations of Centralisation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_Toc236940181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5</w:t>
            </w:r>
            <w:r w:rsidRPr="00A93031">
              <w:rPr>
                <w:rFonts w:ascii="Arial" w:hAnsi="Arial" w:cs="Arial"/>
                <w:noProof/>
                <w:webHidden/>
                <w:sz w:val="24"/>
                <w:szCs w:val="24"/>
                <w:lang w:val="en-GB"/>
              </w:rPr>
              <w:fldChar w:fldCharType="end"/>
            </w:r>
          </w:hyperlink>
        </w:p>
        <w:p w14:paraId="787C535A" w14:textId="025DC7A1" w:rsidR="00175F2C" w:rsidRPr="00A93031" w:rsidRDefault="00175F2C">
          <w:pPr>
            <w:pStyle w:val="TOC3"/>
            <w:tabs>
              <w:tab w:val="right" w:leader="dot" w:pos="9019"/>
            </w:tabs>
            <w:rPr>
              <w:rFonts w:ascii="Arial" w:hAnsi="Arial" w:cs="Arial"/>
              <w:noProof/>
              <w:sz w:val="24"/>
              <w:szCs w:val="24"/>
              <w:lang w:val="en-GB"/>
            </w:rPr>
          </w:pPr>
          <w:hyperlink w:anchor="_Toc236940182" w:history="1">
            <w:r w:rsidRPr="00A93031">
              <w:rPr>
                <w:rStyle w:val="Hyperlink"/>
                <w:rFonts w:ascii="Arial" w:eastAsia="Arial" w:hAnsi="Arial" w:cs="Arial"/>
                <w:i/>
                <w:iCs/>
                <w:noProof/>
                <w:sz w:val="24"/>
                <w:szCs w:val="24"/>
                <w:lang w:val="en-GB"/>
              </w:rPr>
              <w:t>2.2.4 Impact on Accountability</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_Toc236940182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6</w:t>
            </w:r>
            <w:r w:rsidRPr="00A93031">
              <w:rPr>
                <w:rFonts w:ascii="Arial" w:hAnsi="Arial" w:cs="Arial"/>
                <w:noProof/>
                <w:webHidden/>
                <w:sz w:val="24"/>
                <w:szCs w:val="24"/>
                <w:lang w:val="en-GB"/>
              </w:rPr>
              <w:fldChar w:fldCharType="end"/>
            </w:r>
          </w:hyperlink>
        </w:p>
        <w:p w14:paraId="5496A372" w14:textId="6558270C" w:rsidR="00175F2C" w:rsidRPr="00A93031" w:rsidRDefault="00175F2C">
          <w:pPr>
            <w:pStyle w:val="TOC3"/>
            <w:tabs>
              <w:tab w:val="right" w:leader="dot" w:pos="9019"/>
            </w:tabs>
            <w:rPr>
              <w:rFonts w:ascii="Arial" w:hAnsi="Arial" w:cs="Arial"/>
              <w:noProof/>
              <w:sz w:val="24"/>
              <w:szCs w:val="24"/>
              <w:lang w:val="en-GB"/>
            </w:rPr>
          </w:pPr>
          <w:hyperlink w:anchor="_Toc236940183" w:history="1">
            <w:r w:rsidRPr="00A93031">
              <w:rPr>
                <w:rStyle w:val="Hyperlink"/>
                <w:rFonts w:ascii="Arial" w:eastAsia="Arial" w:hAnsi="Arial" w:cs="Arial"/>
                <w:i/>
                <w:iCs/>
                <w:noProof/>
                <w:sz w:val="24"/>
                <w:szCs w:val="24"/>
                <w:lang w:val="en-GB"/>
              </w:rPr>
              <w:t>2.2.5 Critical Evaluation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_Toc236940183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6</w:t>
            </w:r>
            <w:r w:rsidRPr="00A93031">
              <w:rPr>
                <w:rFonts w:ascii="Arial" w:hAnsi="Arial" w:cs="Arial"/>
                <w:noProof/>
                <w:webHidden/>
                <w:sz w:val="24"/>
                <w:szCs w:val="24"/>
                <w:lang w:val="en-GB"/>
              </w:rPr>
              <w:fldChar w:fldCharType="end"/>
            </w:r>
          </w:hyperlink>
        </w:p>
        <w:p w14:paraId="32094114" w14:textId="5906952E" w:rsidR="00175F2C" w:rsidRPr="00A93031" w:rsidRDefault="00175F2C">
          <w:pPr>
            <w:pStyle w:val="TOC2"/>
            <w:tabs>
              <w:tab w:val="right" w:leader="dot" w:pos="9019"/>
            </w:tabs>
            <w:rPr>
              <w:rFonts w:ascii="Arial" w:hAnsi="Arial" w:cs="Arial"/>
              <w:noProof/>
              <w:sz w:val="24"/>
              <w:szCs w:val="24"/>
              <w:lang w:val="en-GB"/>
            </w:rPr>
          </w:pPr>
          <w:hyperlink w:anchor="_Toc236940184" w:history="1">
            <w:r w:rsidRPr="00A93031">
              <w:rPr>
                <w:rStyle w:val="Hyperlink"/>
                <w:rFonts w:ascii="Arial" w:eastAsia="Arial" w:hAnsi="Arial" w:cs="Arial"/>
                <w:noProof/>
                <w:sz w:val="24"/>
                <w:szCs w:val="24"/>
                <w:lang w:val="en-GB"/>
              </w:rPr>
              <w:t>2.3 Leadership Theory Application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_Toc236940184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7</w:t>
            </w:r>
            <w:r w:rsidRPr="00A93031">
              <w:rPr>
                <w:rFonts w:ascii="Arial" w:hAnsi="Arial" w:cs="Arial"/>
                <w:noProof/>
                <w:webHidden/>
                <w:sz w:val="24"/>
                <w:szCs w:val="24"/>
                <w:lang w:val="en-GB"/>
              </w:rPr>
              <w:fldChar w:fldCharType="end"/>
            </w:r>
          </w:hyperlink>
        </w:p>
        <w:p w14:paraId="28126EFD" w14:textId="2E20536D" w:rsidR="00175F2C" w:rsidRPr="00A93031" w:rsidRDefault="00175F2C">
          <w:pPr>
            <w:pStyle w:val="TOC3"/>
            <w:tabs>
              <w:tab w:val="right" w:leader="dot" w:pos="9019"/>
            </w:tabs>
            <w:rPr>
              <w:rFonts w:ascii="Arial" w:hAnsi="Arial" w:cs="Arial"/>
              <w:noProof/>
              <w:sz w:val="24"/>
              <w:szCs w:val="24"/>
              <w:lang w:val="en-GB"/>
            </w:rPr>
          </w:pPr>
          <w:hyperlink w:anchor="_Toc236940185" w:history="1">
            <w:r w:rsidRPr="00A93031">
              <w:rPr>
                <w:rStyle w:val="Hyperlink"/>
                <w:rFonts w:ascii="Arial" w:eastAsia="Arial" w:hAnsi="Arial" w:cs="Arial"/>
                <w:i/>
                <w:iCs/>
                <w:noProof/>
                <w:sz w:val="24"/>
                <w:szCs w:val="24"/>
                <w:lang w:val="en-GB"/>
              </w:rPr>
              <w:t>2.3.1 Transformational Leadership</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_Toc236940185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7</w:t>
            </w:r>
            <w:r w:rsidRPr="00A93031">
              <w:rPr>
                <w:rFonts w:ascii="Arial" w:hAnsi="Arial" w:cs="Arial"/>
                <w:noProof/>
                <w:webHidden/>
                <w:sz w:val="24"/>
                <w:szCs w:val="24"/>
                <w:lang w:val="en-GB"/>
              </w:rPr>
              <w:fldChar w:fldCharType="end"/>
            </w:r>
          </w:hyperlink>
        </w:p>
        <w:p w14:paraId="6638A7C4" w14:textId="076D654E" w:rsidR="00175F2C" w:rsidRPr="00A93031" w:rsidRDefault="00175F2C">
          <w:pPr>
            <w:pStyle w:val="TOC3"/>
            <w:tabs>
              <w:tab w:val="right" w:leader="dot" w:pos="9019"/>
            </w:tabs>
            <w:rPr>
              <w:rFonts w:ascii="Arial" w:hAnsi="Arial" w:cs="Arial"/>
              <w:noProof/>
              <w:sz w:val="24"/>
              <w:szCs w:val="24"/>
              <w:lang w:val="en-GB"/>
            </w:rPr>
          </w:pPr>
          <w:hyperlink w:anchor="_Toc236940186" w:history="1">
            <w:r w:rsidRPr="00A93031">
              <w:rPr>
                <w:rStyle w:val="Hyperlink"/>
                <w:rFonts w:ascii="Arial" w:eastAsia="Arial" w:hAnsi="Arial" w:cs="Arial"/>
                <w:i/>
                <w:iCs/>
                <w:noProof/>
                <w:sz w:val="24"/>
                <w:szCs w:val="24"/>
                <w:lang w:val="en-GB"/>
              </w:rPr>
              <w:t>2.3.2 Transactional Leadership</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_Toc236940186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7</w:t>
            </w:r>
            <w:r w:rsidRPr="00A93031">
              <w:rPr>
                <w:rFonts w:ascii="Arial" w:hAnsi="Arial" w:cs="Arial"/>
                <w:noProof/>
                <w:webHidden/>
                <w:sz w:val="24"/>
                <w:szCs w:val="24"/>
                <w:lang w:val="en-GB"/>
              </w:rPr>
              <w:fldChar w:fldCharType="end"/>
            </w:r>
          </w:hyperlink>
        </w:p>
        <w:p w14:paraId="2688EB76" w14:textId="73DAF21E" w:rsidR="00175F2C" w:rsidRPr="00A93031" w:rsidRDefault="00175F2C">
          <w:pPr>
            <w:pStyle w:val="TOC3"/>
            <w:tabs>
              <w:tab w:val="right" w:leader="dot" w:pos="9019"/>
            </w:tabs>
            <w:rPr>
              <w:rFonts w:ascii="Arial" w:hAnsi="Arial" w:cs="Arial"/>
              <w:noProof/>
              <w:sz w:val="24"/>
              <w:szCs w:val="24"/>
              <w:lang w:val="en-GB"/>
            </w:rPr>
          </w:pPr>
          <w:hyperlink w:anchor="_Toc236940187" w:history="1">
            <w:r w:rsidRPr="00A93031">
              <w:rPr>
                <w:rStyle w:val="Hyperlink"/>
                <w:rFonts w:ascii="Arial" w:eastAsia="Arial" w:hAnsi="Arial" w:cs="Arial"/>
                <w:i/>
                <w:iCs/>
                <w:noProof/>
                <w:sz w:val="24"/>
                <w:szCs w:val="24"/>
                <w:lang w:val="en-GB"/>
              </w:rPr>
              <w:t>2.3.3 Situational Leadership</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_Toc236940187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8</w:t>
            </w:r>
            <w:r w:rsidRPr="00A93031">
              <w:rPr>
                <w:rFonts w:ascii="Arial" w:hAnsi="Arial" w:cs="Arial"/>
                <w:noProof/>
                <w:webHidden/>
                <w:sz w:val="24"/>
                <w:szCs w:val="24"/>
                <w:lang w:val="en-GB"/>
              </w:rPr>
              <w:fldChar w:fldCharType="end"/>
            </w:r>
          </w:hyperlink>
        </w:p>
        <w:p w14:paraId="6DBDDEDD" w14:textId="62DC0746" w:rsidR="00175F2C" w:rsidRPr="00A93031" w:rsidRDefault="00175F2C">
          <w:pPr>
            <w:pStyle w:val="TOC3"/>
            <w:tabs>
              <w:tab w:val="right" w:leader="dot" w:pos="9019"/>
            </w:tabs>
            <w:rPr>
              <w:rFonts w:ascii="Arial" w:hAnsi="Arial" w:cs="Arial"/>
              <w:noProof/>
              <w:sz w:val="24"/>
              <w:szCs w:val="24"/>
              <w:lang w:val="en-GB"/>
            </w:rPr>
          </w:pPr>
          <w:hyperlink w:anchor="_Toc236940188" w:history="1">
            <w:r w:rsidRPr="00A93031">
              <w:rPr>
                <w:rStyle w:val="Hyperlink"/>
                <w:rFonts w:ascii="Arial" w:eastAsia="Arial" w:hAnsi="Arial" w:cs="Arial"/>
                <w:i/>
                <w:iCs/>
                <w:noProof/>
                <w:sz w:val="24"/>
                <w:szCs w:val="24"/>
                <w:lang w:val="en-GB"/>
              </w:rPr>
              <w:t>2.3.4 Leadership Effectiveness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_Toc236940188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8</w:t>
            </w:r>
            <w:r w:rsidRPr="00A93031">
              <w:rPr>
                <w:rFonts w:ascii="Arial" w:hAnsi="Arial" w:cs="Arial"/>
                <w:noProof/>
                <w:webHidden/>
                <w:sz w:val="24"/>
                <w:szCs w:val="24"/>
                <w:lang w:val="en-GB"/>
              </w:rPr>
              <w:fldChar w:fldCharType="end"/>
            </w:r>
          </w:hyperlink>
        </w:p>
        <w:p w14:paraId="281BABB0" w14:textId="5CE4B8D3" w:rsidR="00175F2C" w:rsidRPr="00A93031" w:rsidRDefault="00175F2C">
          <w:pPr>
            <w:pStyle w:val="TOC3"/>
            <w:tabs>
              <w:tab w:val="right" w:leader="dot" w:pos="9019"/>
            </w:tabs>
            <w:rPr>
              <w:rFonts w:ascii="Arial" w:hAnsi="Arial" w:cs="Arial"/>
              <w:noProof/>
              <w:sz w:val="24"/>
              <w:szCs w:val="24"/>
              <w:lang w:val="en-GB"/>
            </w:rPr>
          </w:pPr>
          <w:hyperlink w:anchor="_Toc236940189" w:history="1">
            <w:r w:rsidRPr="00A93031">
              <w:rPr>
                <w:rStyle w:val="Hyperlink"/>
                <w:rFonts w:ascii="Arial" w:eastAsia="Arial" w:hAnsi="Arial" w:cs="Arial"/>
                <w:i/>
                <w:iCs/>
                <w:noProof/>
                <w:sz w:val="24"/>
                <w:szCs w:val="24"/>
                <w:lang w:val="en-GB"/>
              </w:rPr>
              <w:t>2.3.5 Critical Comparison of Leadership Styles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_Toc236940189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9</w:t>
            </w:r>
            <w:r w:rsidRPr="00A93031">
              <w:rPr>
                <w:rFonts w:ascii="Arial" w:hAnsi="Arial" w:cs="Arial"/>
                <w:noProof/>
                <w:webHidden/>
                <w:sz w:val="24"/>
                <w:szCs w:val="24"/>
                <w:lang w:val="en-GB"/>
              </w:rPr>
              <w:fldChar w:fldCharType="end"/>
            </w:r>
          </w:hyperlink>
        </w:p>
        <w:p w14:paraId="48964BE3" w14:textId="2BC69F76" w:rsidR="00175F2C" w:rsidRPr="00A93031" w:rsidRDefault="00175F2C">
          <w:pPr>
            <w:pStyle w:val="TOC2"/>
            <w:tabs>
              <w:tab w:val="right" w:leader="dot" w:pos="9019"/>
            </w:tabs>
            <w:rPr>
              <w:rFonts w:ascii="Arial" w:hAnsi="Arial" w:cs="Arial"/>
              <w:noProof/>
              <w:sz w:val="24"/>
              <w:szCs w:val="24"/>
              <w:lang w:val="en-GB"/>
            </w:rPr>
          </w:pPr>
          <w:hyperlink w:anchor="_Toc236940190" w:history="1">
            <w:r w:rsidRPr="00A93031">
              <w:rPr>
                <w:rStyle w:val="Hyperlink"/>
                <w:rFonts w:ascii="Arial" w:eastAsia="Arial" w:hAnsi="Arial" w:cs="Arial"/>
                <w:noProof/>
                <w:sz w:val="24"/>
                <w:szCs w:val="24"/>
                <w:lang w:val="en-GB"/>
              </w:rPr>
              <w:t>2.4 Improvement and Lessons Learned</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_Toc236940190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9</w:t>
            </w:r>
            <w:r w:rsidRPr="00A93031">
              <w:rPr>
                <w:rFonts w:ascii="Arial" w:hAnsi="Arial" w:cs="Arial"/>
                <w:noProof/>
                <w:webHidden/>
                <w:sz w:val="24"/>
                <w:szCs w:val="24"/>
                <w:lang w:val="en-GB"/>
              </w:rPr>
              <w:fldChar w:fldCharType="end"/>
            </w:r>
          </w:hyperlink>
        </w:p>
        <w:p w14:paraId="48EA3235" w14:textId="4437DB3E" w:rsidR="00175F2C" w:rsidRPr="00A93031" w:rsidRDefault="00175F2C">
          <w:pPr>
            <w:pStyle w:val="TOC3"/>
            <w:tabs>
              <w:tab w:val="right" w:leader="dot" w:pos="9019"/>
            </w:tabs>
            <w:rPr>
              <w:rFonts w:ascii="Arial" w:hAnsi="Arial" w:cs="Arial"/>
              <w:noProof/>
              <w:sz w:val="24"/>
              <w:szCs w:val="24"/>
              <w:lang w:val="en-GB"/>
            </w:rPr>
          </w:pPr>
          <w:hyperlink w:anchor="_Toc236940191" w:history="1">
            <w:r w:rsidRPr="00A93031">
              <w:rPr>
                <w:rStyle w:val="Hyperlink"/>
                <w:rFonts w:ascii="Arial" w:eastAsia="Arial" w:hAnsi="Arial" w:cs="Arial"/>
                <w:i/>
                <w:iCs/>
                <w:noProof/>
                <w:sz w:val="24"/>
                <w:szCs w:val="24"/>
                <w:lang w:val="en-GB"/>
              </w:rPr>
              <w:t>2.4.1 Leadership Improvements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_Toc236940191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9</w:t>
            </w:r>
            <w:r w:rsidRPr="00A93031">
              <w:rPr>
                <w:rFonts w:ascii="Arial" w:hAnsi="Arial" w:cs="Arial"/>
                <w:noProof/>
                <w:webHidden/>
                <w:sz w:val="24"/>
                <w:szCs w:val="24"/>
                <w:lang w:val="en-GB"/>
              </w:rPr>
              <w:fldChar w:fldCharType="end"/>
            </w:r>
          </w:hyperlink>
        </w:p>
        <w:p w14:paraId="5B9506ED" w14:textId="679C69AE" w:rsidR="00175F2C" w:rsidRPr="00A93031" w:rsidRDefault="00175F2C">
          <w:pPr>
            <w:pStyle w:val="TOC3"/>
            <w:tabs>
              <w:tab w:val="right" w:leader="dot" w:pos="9019"/>
            </w:tabs>
            <w:rPr>
              <w:rFonts w:ascii="Arial" w:hAnsi="Arial" w:cs="Arial"/>
              <w:noProof/>
              <w:sz w:val="24"/>
              <w:szCs w:val="24"/>
              <w:lang w:val="en-GB"/>
            </w:rPr>
          </w:pPr>
          <w:hyperlink w:anchor="_Toc236940192" w:history="1">
            <w:r w:rsidRPr="00A93031">
              <w:rPr>
                <w:rStyle w:val="Hyperlink"/>
                <w:rFonts w:ascii="Arial" w:eastAsia="Arial" w:hAnsi="Arial" w:cs="Arial"/>
                <w:i/>
                <w:iCs/>
                <w:noProof/>
                <w:sz w:val="24"/>
                <w:szCs w:val="24"/>
                <w:lang w:val="en-GB"/>
              </w:rPr>
              <w:t>2.4.2 Governance Reforms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_Toc236940192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9</w:t>
            </w:r>
            <w:r w:rsidRPr="00A93031">
              <w:rPr>
                <w:rFonts w:ascii="Arial" w:hAnsi="Arial" w:cs="Arial"/>
                <w:noProof/>
                <w:webHidden/>
                <w:sz w:val="24"/>
                <w:szCs w:val="24"/>
                <w:lang w:val="en-GB"/>
              </w:rPr>
              <w:fldChar w:fldCharType="end"/>
            </w:r>
          </w:hyperlink>
        </w:p>
        <w:p w14:paraId="7F378C9C" w14:textId="2A82CA30" w:rsidR="00175F2C" w:rsidRPr="00A93031" w:rsidRDefault="00175F2C">
          <w:pPr>
            <w:pStyle w:val="TOC3"/>
            <w:tabs>
              <w:tab w:val="right" w:leader="dot" w:pos="9019"/>
            </w:tabs>
            <w:rPr>
              <w:rFonts w:ascii="Arial" w:hAnsi="Arial" w:cs="Arial"/>
              <w:noProof/>
              <w:sz w:val="24"/>
              <w:szCs w:val="24"/>
              <w:lang w:val="en-GB"/>
            </w:rPr>
          </w:pPr>
          <w:hyperlink w:anchor="_Toc236940193" w:history="1">
            <w:r w:rsidRPr="00A93031">
              <w:rPr>
                <w:rStyle w:val="Hyperlink"/>
                <w:rFonts w:ascii="Arial" w:eastAsia="Arial" w:hAnsi="Arial" w:cs="Arial"/>
                <w:i/>
                <w:iCs/>
                <w:noProof/>
                <w:sz w:val="24"/>
                <w:szCs w:val="24"/>
                <w:lang w:val="en-GB"/>
              </w:rPr>
              <w:t>2.4.3 Communication Improvements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_Toc236940193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10</w:t>
            </w:r>
            <w:r w:rsidRPr="00A93031">
              <w:rPr>
                <w:rFonts w:ascii="Arial" w:hAnsi="Arial" w:cs="Arial"/>
                <w:noProof/>
                <w:webHidden/>
                <w:sz w:val="24"/>
                <w:szCs w:val="24"/>
                <w:lang w:val="en-GB"/>
              </w:rPr>
              <w:fldChar w:fldCharType="end"/>
            </w:r>
          </w:hyperlink>
        </w:p>
        <w:p w14:paraId="111A26B3" w14:textId="183256FC" w:rsidR="00175F2C" w:rsidRPr="00A93031" w:rsidRDefault="00175F2C">
          <w:pPr>
            <w:pStyle w:val="TOC3"/>
            <w:tabs>
              <w:tab w:val="right" w:leader="dot" w:pos="9019"/>
            </w:tabs>
            <w:rPr>
              <w:rFonts w:ascii="Arial" w:hAnsi="Arial" w:cs="Arial"/>
              <w:noProof/>
              <w:sz w:val="24"/>
              <w:szCs w:val="24"/>
              <w:lang w:val="en-GB"/>
            </w:rPr>
          </w:pPr>
          <w:hyperlink w:anchor="_Toc236940194" w:history="1">
            <w:r w:rsidRPr="00A93031">
              <w:rPr>
                <w:rStyle w:val="Hyperlink"/>
                <w:rFonts w:ascii="Arial" w:eastAsia="Arial" w:hAnsi="Arial" w:cs="Arial"/>
                <w:i/>
                <w:iCs/>
                <w:noProof/>
                <w:sz w:val="24"/>
                <w:szCs w:val="24"/>
                <w:lang w:val="en-GB"/>
              </w:rPr>
              <w:t>2.4.4 Accountability Systems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_Toc236940194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10</w:t>
            </w:r>
            <w:r w:rsidRPr="00A93031">
              <w:rPr>
                <w:rFonts w:ascii="Arial" w:hAnsi="Arial" w:cs="Arial"/>
                <w:noProof/>
                <w:webHidden/>
                <w:sz w:val="24"/>
                <w:szCs w:val="24"/>
                <w:lang w:val="en-GB"/>
              </w:rPr>
              <w:fldChar w:fldCharType="end"/>
            </w:r>
          </w:hyperlink>
        </w:p>
        <w:p w14:paraId="334B5567" w14:textId="2B168317" w:rsidR="00175F2C" w:rsidRPr="00A93031" w:rsidRDefault="00175F2C">
          <w:pPr>
            <w:pStyle w:val="TOC3"/>
            <w:tabs>
              <w:tab w:val="right" w:leader="dot" w:pos="9019"/>
            </w:tabs>
            <w:rPr>
              <w:rFonts w:ascii="Arial" w:hAnsi="Arial" w:cs="Arial"/>
              <w:noProof/>
              <w:sz w:val="24"/>
              <w:szCs w:val="24"/>
              <w:lang w:val="en-GB"/>
            </w:rPr>
          </w:pPr>
          <w:hyperlink w:anchor="_Toc236940195" w:history="1">
            <w:r w:rsidRPr="00A93031">
              <w:rPr>
                <w:rStyle w:val="Hyperlink"/>
                <w:rFonts w:ascii="Arial" w:eastAsia="Arial" w:hAnsi="Arial" w:cs="Arial"/>
                <w:i/>
                <w:iCs/>
                <w:noProof/>
                <w:sz w:val="24"/>
                <w:szCs w:val="24"/>
                <w:lang w:val="en-GB"/>
              </w:rPr>
              <w:t>2.4.5 Lessons for Healthcare Organisations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_Toc236940195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11</w:t>
            </w:r>
            <w:r w:rsidRPr="00A93031">
              <w:rPr>
                <w:rFonts w:ascii="Arial" w:hAnsi="Arial" w:cs="Arial"/>
                <w:noProof/>
                <w:webHidden/>
                <w:sz w:val="24"/>
                <w:szCs w:val="24"/>
                <w:lang w:val="en-GB"/>
              </w:rPr>
              <w:fldChar w:fldCharType="end"/>
            </w:r>
          </w:hyperlink>
        </w:p>
        <w:p w14:paraId="6C1828FB" w14:textId="0EA5EC83" w:rsidR="00175F2C" w:rsidRPr="00A93031" w:rsidRDefault="00175F2C">
          <w:pPr>
            <w:pStyle w:val="TOC1"/>
            <w:tabs>
              <w:tab w:val="right" w:leader="dot" w:pos="9019"/>
            </w:tabs>
            <w:rPr>
              <w:rFonts w:ascii="Arial" w:hAnsi="Arial" w:cs="Arial"/>
              <w:noProof/>
              <w:sz w:val="24"/>
              <w:szCs w:val="24"/>
              <w:lang w:val="en-GB"/>
            </w:rPr>
          </w:pPr>
          <w:hyperlink w:anchor="_Toc236940196" w:history="1">
            <w:r w:rsidRPr="00A93031">
              <w:rPr>
                <w:rStyle w:val="Hyperlink"/>
                <w:rFonts w:ascii="Arial" w:eastAsia="Arial" w:hAnsi="Arial" w:cs="Arial"/>
                <w:noProof/>
                <w:sz w:val="24"/>
                <w:szCs w:val="24"/>
                <w:lang w:val="en-GB"/>
              </w:rPr>
              <w:t>3. Recommendations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_Toc236940196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11</w:t>
            </w:r>
            <w:r w:rsidRPr="00A93031">
              <w:rPr>
                <w:rFonts w:ascii="Arial" w:hAnsi="Arial" w:cs="Arial"/>
                <w:noProof/>
                <w:webHidden/>
                <w:sz w:val="24"/>
                <w:szCs w:val="24"/>
                <w:lang w:val="en-GB"/>
              </w:rPr>
              <w:fldChar w:fldCharType="end"/>
            </w:r>
          </w:hyperlink>
        </w:p>
        <w:p w14:paraId="75E919D8" w14:textId="493BC70F" w:rsidR="00175F2C" w:rsidRPr="00A93031" w:rsidRDefault="00175F2C">
          <w:pPr>
            <w:pStyle w:val="TOC2"/>
            <w:tabs>
              <w:tab w:val="right" w:leader="dot" w:pos="9019"/>
            </w:tabs>
            <w:rPr>
              <w:rFonts w:ascii="Arial" w:hAnsi="Arial" w:cs="Arial"/>
              <w:noProof/>
              <w:sz w:val="24"/>
              <w:szCs w:val="24"/>
              <w:lang w:val="en-GB"/>
            </w:rPr>
          </w:pPr>
          <w:hyperlink w:anchor="_Toc236940197" w:history="1">
            <w:r w:rsidRPr="00A93031">
              <w:rPr>
                <w:rStyle w:val="Hyperlink"/>
                <w:rFonts w:ascii="Arial" w:eastAsia="Arial" w:hAnsi="Arial" w:cs="Arial"/>
                <w:noProof/>
                <w:sz w:val="24"/>
                <w:szCs w:val="24"/>
                <w:lang w:val="en-GB"/>
              </w:rPr>
              <w:t>3.1 Leadership Development</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_Toc236940197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11</w:t>
            </w:r>
            <w:r w:rsidRPr="00A93031">
              <w:rPr>
                <w:rFonts w:ascii="Arial" w:hAnsi="Arial" w:cs="Arial"/>
                <w:noProof/>
                <w:webHidden/>
                <w:sz w:val="24"/>
                <w:szCs w:val="24"/>
                <w:lang w:val="en-GB"/>
              </w:rPr>
              <w:fldChar w:fldCharType="end"/>
            </w:r>
          </w:hyperlink>
        </w:p>
        <w:p w14:paraId="0A916CA2" w14:textId="4946DBF2" w:rsidR="00175F2C" w:rsidRPr="00A93031" w:rsidRDefault="00175F2C">
          <w:pPr>
            <w:pStyle w:val="TOC2"/>
            <w:tabs>
              <w:tab w:val="right" w:leader="dot" w:pos="9019"/>
            </w:tabs>
            <w:rPr>
              <w:rFonts w:ascii="Arial" w:hAnsi="Arial" w:cs="Arial"/>
              <w:noProof/>
              <w:sz w:val="24"/>
              <w:szCs w:val="24"/>
              <w:lang w:val="en-GB"/>
            </w:rPr>
          </w:pPr>
          <w:hyperlink w:anchor="_Toc236940198" w:history="1">
            <w:r w:rsidRPr="00A93031">
              <w:rPr>
                <w:rStyle w:val="Hyperlink"/>
                <w:rFonts w:ascii="Arial" w:eastAsia="Arial" w:hAnsi="Arial" w:cs="Arial"/>
                <w:noProof/>
                <w:sz w:val="24"/>
                <w:szCs w:val="24"/>
                <w:lang w:val="en-GB"/>
              </w:rPr>
              <w:t>3.2 Governance Strengthening</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_Toc236940198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12</w:t>
            </w:r>
            <w:r w:rsidRPr="00A93031">
              <w:rPr>
                <w:rFonts w:ascii="Arial" w:hAnsi="Arial" w:cs="Arial"/>
                <w:noProof/>
                <w:webHidden/>
                <w:sz w:val="24"/>
                <w:szCs w:val="24"/>
                <w:lang w:val="en-GB"/>
              </w:rPr>
              <w:fldChar w:fldCharType="end"/>
            </w:r>
          </w:hyperlink>
        </w:p>
        <w:p w14:paraId="08012B64" w14:textId="2B05BCCB" w:rsidR="00175F2C" w:rsidRPr="00A93031" w:rsidRDefault="00175F2C">
          <w:pPr>
            <w:pStyle w:val="TOC2"/>
            <w:tabs>
              <w:tab w:val="right" w:leader="dot" w:pos="9019"/>
            </w:tabs>
            <w:rPr>
              <w:rFonts w:ascii="Arial" w:hAnsi="Arial" w:cs="Arial"/>
              <w:noProof/>
              <w:sz w:val="24"/>
              <w:szCs w:val="24"/>
              <w:lang w:val="en-GB"/>
            </w:rPr>
          </w:pPr>
          <w:hyperlink w:anchor="_Toc236940199" w:history="1">
            <w:r w:rsidRPr="00A93031">
              <w:rPr>
                <w:rStyle w:val="Hyperlink"/>
                <w:rFonts w:ascii="Arial" w:eastAsia="Arial" w:hAnsi="Arial" w:cs="Arial"/>
                <w:noProof/>
                <w:sz w:val="24"/>
                <w:szCs w:val="24"/>
                <w:lang w:val="en-GB"/>
              </w:rPr>
              <w:t>3.3 Communication Strategies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_Toc236940199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12</w:t>
            </w:r>
            <w:r w:rsidRPr="00A93031">
              <w:rPr>
                <w:rFonts w:ascii="Arial" w:hAnsi="Arial" w:cs="Arial"/>
                <w:noProof/>
                <w:webHidden/>
                <w:sz w:val="24"/>
                <w:szCs w:val="24"/>
                <w:lang w:val="en-GB"/>
              </w:rPr>
              <w:fldChar w:fldCharType="end"/>
            </w:r>
          </w:hyperlink>
        </w:p>
        <w:p w14:paraId="2FEA5912" w14:textId="3A65FC92" w:rsidR="00175F2C" w:rsidRPr="00A93031" w:rsidRDefault="00175F2C">
          <w:pPr>
            <w:pStyle w:val="TOC2"/>
            <w:tabs>
              <w:tab w:val="right" w:leader="dot" w:pos="9019"/>
            </w:tabs>
            <w:rPr>
              <w:rFonts w:ascii="Arial" w:hAnsi="Arial" w:cs="Arial"/>
              <w:noProof/>
              <w:sz w:val="24"/>
              <w:szCs w:val="24"/>
              <w:lang w:val="en-GB"/>
            </w:rPr>
          </w:pPr>
          <w:hyperlink w:anchor="_Toc236940200" w:history="1">
            <w:r w:rsidRPr="00A93031">
              <w:rPr>
                <w:rStyle w:val="Hyperlink"/>
                <w:rFonts w:ascii="Arial" w:eastAsia="Arial" w:hAnsi="Arial" w:cs="Arial"/>
                <w:noProof/>
                <w:sz w:val="24"/>
                <w:szCs w:val="24"/>
                <w:lang w:val="en-GB"/>
              </w:rPr>
              <w:t>3.4 Continuous Monitoring</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_Toc236940200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12</w:t>
            </w:r>
            <w:r w:rsidRPr="00A93031">
              <w:rPr>
                <w:rFonts w:ascii="Arial" w:hAnsi="Arial" w:cs="Arial"/>
                <w:noProof/>
                <w:webHidden/>
                <w:sz w:val="24"/>
                <w:szCs w:val="24"/>
                <w:lang w:val="en-GB"/>
              </w:rPr>
              <w:fldChar w:fldCharType="end"/>
            </w:r>
          </w:hyperlink>
        </w:p>
        <w:p w14:paraId="4C67D4CA" w14:textId="103129CA" w:rsidR="00175F2C" w:rsidRPr="00A93031" w:rsidRDefault="00175F2C">
          <w:pPr>
            <w:pStyle w:val="TOC2"/>
            <w:tabs>
              <w:tab w:val="right" w:leader="dot" w:pos="9019"/>
            </w:tabs>
            <w:rPr>
              <w:rFonts w:ascii="Arial" w:hAnsi="Arial" w:cs="Arial"/>
              <w:noProof/>
              <w:sz w:val="24"/>
              <w:szCs w:val="24"/>
              <w:lang w:val="en-GB"/>
            </w:rPr>
          </w:pPr>
          <w:hyperlink w:anchor="_Toc236940201" w:history="1">
            <w:r w:rsidRPr="00A93031">
              <w:rPr>
                <w:rStyle w:val="Hyperlink"/>
                <w:rFonts w:ascii="Arial" w:eastAsia="Arial" w:hAnsi="Arial" w:cs="Arial"/>
                <w:noProof/>
                <w:sz w:val="24"/>
                <w:szCs w:val="24"/>
                <w:lang w:val="en-GB"/>
              </w:rPr>
              <w:t>3.5 Organisational Learning</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_Toc236940201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13</w:t>
            </w:r>
            <w:r w:rsidRPr="00A93031">
              <w:rPr>
                <w:rFonts w:ascii="Arial" w:hAnsi="Arial" w:cs="Arial"/>
                <w:noProof/>
                <w:webHidden/>
                <w:sz w:val="24"/>
                <w:szCs w:val="24"/>
                <w:lang w:val="en-GB"/>
              </w:rPr>
              <w:fldChar w:fldCharType="end"/>
            </w:r>
          </w:hyperlink>
        </w:p>
        <w:p w14:paraId="465B2DA3" w14:textId="1C6DB3CB" w:rsidR="00175F2C" w:rsidRPr="00A93031" w:rsidRDefault="00175F2C">
          <w:pPr>
            <w:pStyle w:val="TOC1"/>
            <w:tabs>
              <w:tab w:val="right" w:leader="dot" w:pos="9019"/>
            </w:tabs>
            <w:rPr>
              <w:rFonts w:ascii="Arial" w:hAnsi="Arial" w:cs="Arial"/>
              <w:noProof/>
              <w:sz w:val="24"/>
              <w:szCs w:val="24"/>
              <w:lang w:val="en-GB"/>
            </w:rPr>
          </w:pPr>
          <w:hyperlink w:anchor="_Toc236940202" w:history="1">
            <w:r w:rsidRPr="00A93031">
              <w:rPr>
                <w:rStyle w:val="Hyperlink"/>
                <w:rFonts w:ascii="Arial" w:eastAsia="Arial" w:hAnsi="Arial" w:cs="Arial"/>
                <w:noProof/>
                <w:sz w:val="24"/>
                <w:szCs w:val="24"/>
                <w:lang w:val="en-GB"/>
              </w:rPr>
              <w:t>4. Conclusion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_Toc236940202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13</w:t>
            </w:r>
            <w:r w:rsidRPr="00A93031">
              <w:rPr>
                <w:rFonts w:ascii="Arial" w:hAnsi="Arial" w:cs="Arial"/>
                <w:noProof/>
                <w:webHidden/>
                <w:sz w:val="24"/>
                <w:szCs w:val="24"/>
                <w:lang w:val="en-GB"/>
              </w:rPr>
              <w:fldChar w:fldCharType="end"/>
            </w:r>
          </w:hyperlink>
        </w:p>
        <w:p w14:paraId="32F2A167" w14:textId="6B166DFF" w:rsidR="00175F2C" w:rsidRPr="00A93031" w:rsidRDefault="00175F2C">
          <w:pPr>
            <w:pStyle w:val="TOC2"/>
            <w:tabs>
              <w:tab w:val="right" w:leader="dot" w:pos="9019"/>
            </w:tabs>
            <w:rPr>
              <w:rFonts w:ascii="Arial" w:hAnsi="Arial" w:cs="Arial"/>
              <w:noProof/>
              <w:sz w:val="24"/>
              <w:szCs w:val="24"/>
              <w:lang w:val="en-GB"/>
            </w:rPr>
          </w:pPr>
          <w:hyperlink w:anchor="_Toc236940203" w:history="1">
            <w:r w:rsidRPr="00A93031">
              <w:rPr>
                <w:rStyle w:val="Hyperlink"/>
                <w:rFonts w:ascii="Arial" w:eastAsia="Arial" w:hAnsi="Arial" w:cs="Arial"/>
                <w:noProof/>
                <w:sz w:val="24"/>
                <w:szCs w:val="24"/>
                <w:lang w:val="en-GB"/>
              </w:rPr>
              <w:t>4.1 Summary of Findings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_Toc236940203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13</w:t>
            </w:r>
            <w:r w:rsidRPr="00A93031">
              <w:rPr>
                <w:rFonts w:ascii="Arial" w:hAnsi="Arial" w:cs="Arial"/>
                <w:noProof/>
                <w:webHidden/>
                <w:sz w:val="24"/>
                <w:szCs w:val="24"/>
                <w:lang w:val="en-GB"/>
              </w:rPr>
              <w:fldChar w:fldCharType="end"/>
            </w:r>
          </w:hyperlink>
        </w:p>
        <w:p w14:paraId="2126C86F" w14:textId="6EA251FE" w:rsidR="00175F2C" w:rsidRPr="00A93031" w:rsidRDefault="00175F2C">
          <w:pPr>
            <w:pStyle w:val="TOC2"/>
            <w:tabs>
              <w:tab w:val="right" w:leader="dot" w:pos="9019"/>
            </w:tabs>
            <w:rPr>
              <w:rFonts w:ascii="Arial" w:hAnsi="Arial" w:cs="Arial"/>
              <w:noProof/>
              <w:sz w:val="24"/>
              <w:szCs w:val="24"/>
              <w:lang w:val="en-GB"/>
            </w:rPr>
          </w:pPr>
          <w:hyperlink w:anchor="_Toc236940204" w:history="1">
            <w:r w:rsidRPr="00A93031">
              <w:rPr>
                <w:rStyle w:val="Hyperlink"/>
                <w:rFonts w:ascii="Arial" w:eastAsia="Arial" w:hAnsi="Arial" w:cs="Arial"/>
                <w:noProof/>
                <w:sz w:val="24"/>
                <w:szCs w:val="24"/>
                <w:lang w:val="en-GB"/>
              </w:rPr>
              <w:t>4.2 Importance of Leadership and Governance</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_Toc236940204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13</w:t>
            </w:r>
            <w:r w:rsidRPr="00A93031">
              <w:rPr>
                <w:rFonts w:ascii="Arial" w:hAnsi="Arial" w:cs="Arial"/>
                <w:noProof/>
                <w:webHidden/>
                <w:sz w:val="24"/>
                <w:szCs w:val="24"/>
                <w:lang w:val="en-GB"/>
              </w:rPr>
              <w:fldChar w:fldCharType="end"/>
            </w:r>
          </w:hyperlink>
        </w:p>
        <w:p w14:paraId="67E3FFE5" w14:textId="1C9BA734" w:rsidR="00175F2C" w:rsidRPr="00A93031" w:rsidRDefault="00175F2C">
          <w:pPr>
            <w:pStyle w:val="TOC2"/>
            <w:tabs>
              <w:tab w:val="right" w:leader="dot" w:pos="9019"/>
            </w:tabs>
            <w:rPr>
              <w:rFonts w:ascii="Arial" w:hAnsi="Arial" w:cs="Arial"/>
              <w:noProof/>
              <w:sz w:val="24"/>
              <w:szCs w:val="24"/>
              <w:lang w:val="en-GB"/>
            </w:rPr>
          </w:pPr>
          <w:hyperlink w:anchor="_Toc236940205" w:history="1">
            <w:r w:rsidRPr="00A93031">
              <w:rPr>
                <w:rStyle w:val="Hyperlink"/>
                <w:rFonts w:ascii="Arial" w:eastAsia="Arial" w:hAnsi="Arial" w:cs="Arial"/>
                <w:noProof/>
                <w:sz w:val="24"/>
                <w:szCs w:val="24"/>
                <w:lang w:val="en-GB"/>
              </w:rPr>
              <w:t>4.3 Final Conclusion</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_Toc236940205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14</w:t>
            </w:r>
            <w:r w:rsidRPr="00A93031">
              <w:rPr>
                <w:rFonts w:ascii="Arial" w:hAnsi="Arial" w:cs="Arial"/>
                <w:noProof/>
                <w:webHidden/>
                <w:sz w:val="24"/>
                <w:szCs w:val="24"/>
                <w:lang w:val="en-GB"/>
              </w:rPr>
              <w:fldChar w:fldCharType="end"/>
            </w:r>
          </w:hyperlink>
        </w:p>
        <w:p w14:paraId="30DCEF86" w14:textId="5D87E03F" w:rsidR="00175F2C" w:rsidRPr="00A93031" w:rsidRDefault="00175F2C">
          <w:pPr>
            <w:pStyle w:val="TOC1"/>
            <w:tabs>
              <w:tab w:val="right" w:leader="dot" w:pos="9019"/>
            </w:tabs>
            <w:rPr>
              <w:rFonts w:ascii="Arial" w:hAnsi="Arial" w:cs="Arial"/>
              <w:noProof/>
              <w:sz w:val="24"/>
              <w:szCs w:val="24"/>
              <w:lang w:val="en-GB"/>
            </w:rPr>
          </w:pPr>
          <w:hyperlink w:anchor="_Toc236940206" w:history="1">
            <w:r w:rsidRPr="00A93031">
              <w:rPr>
                <w:rStyle w:val="Hyperlink"/>
                <w:rFonts w:ascii="Arial" w:eastAsia="Arial" w:hAnsi="Arial" w:cs="Arial"/>
                <w:noProof/>
                <w:sz w:val="24"/>
                <w:szCs w:val="24"/>
                <w:lang w:val="en-GB"/>
              </w:rPr>
              <w:t>References</w:t>
            </w:r>
            <w:r w:rsidRPr="00A93031">
              <w:rPr>
                <w:rFonts w:ascii="Arial" w:hAnsi="Arial" w:cs="Arial"/>
                <w:noProof/>
                <w:webHidden/>
                <w:sz w:val="24"/>
                <w:szCs w:val="24"/>
                <w:lang w:val="en-GB"/>
              </w:rPr>
              <w:tab/>
            </w:r>
            <w:r w:rsidRPr="00A93031">
              <w:rPr>
                <w:rFonts w:ascii="Arial" w:hAnsi="Arial" w:cs="Arial"/>
                <w:noProof/>
                <w:webHidden/>
                <w:sz w:val="24"/>
                <w:szCs w:val="24"/>
                <w:lang w:val="en-GB"/>
              </w:rPr>
              <w:fldChar w:fldCharType="begin"/>
            </w:r>
            <w:r w:rsidRPr="00A93031">
              <w:rPr>
                <w:rFonts w:ascii="Arial" w:hAnsi="Arial" w:cs="Arial"/>
                <w:noProof/>
                <w:webHidden/>
                <w:sz w:val="24"/>
                <w:szCs w:val="24"/>
                <w:lang w:val="en-GB"/>
              </w:rPr>
              <w:instrText xml:space="preserve"> PAGEREF _Toc236940206 \h </w:instrText>
            </w:r>
            <w:r w:rsidRPr="00A93031">
              <w:rPr>
                <w:rFonts w:ascii="Arial" w:hAnsi="Arial" w:cs="Arial"/>
                <w:noProof/>
                <w:webHidden/>
                <w:sz w:val="24"/>
                <w:szCs w:val="24"/>
                <w:lang w:val="en-GB"/>
              </w:rPr>
            </w:r>
            <w:r w:rsidRPr="00A93031">
              <w:rPr>
                <w:rFonts w:ascii="Arial" w:hAnsi="Arial" w:cs="Arial"/>
                <w:noProof/>
                <w:webHidden/>
                <w:sz w:val="24"/>
                <w:szCs w:val="24"/>
                <w:lang w:val="en-GB"/>
              </w:rPr>
              <w:fldChar w:fldCharType="separate"/>
            </w:r>
            <w:r w:rsidRPr="00A93031">
              <w:rPr>
                <w:rFonts w:ascii="Arial" w:hAnsi="Arial" w:cs="Arial"/>
                <w:noProof/>
                <w:webHidden/>
                <w:sz w:val="24"/>
                <w:szCs w:val="24"/>
                <w:lang w:val="en-GB"/>
              </w:rPr>
              <w:t>15</w:t>
            </w:r>
            <w:r w:rsidRPr="00A93031">
              <w:rPr>
                <w:rFonts w:ascii="Arial" w:hAnsi="Arial" w:cs="Arial"/>
                <w:noProof/>
                <w:webHidden/>
                <w:sz w:val="24"/>
                <w:szCs w:val="24"/>
                <w:lang w:val="en-GB"/>
              </w:rPr>
              <w:fldChar w:fldCharType="end"/>
            </w:r>
          </w:hyperlink>
        </w:p>
        <w:p w14:paraId="27FC2DC4" w14:textId="26DDC0C5"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noProof/>
              <w:kern w:val="0"/>
              <w:sz w:val="24"/>
              <w:szCs w:val="24"/>
              <w:lang w:val="en-GB"/>
              <w14:ligatures w14:val="none"/>
            </w:rPr>
            <w:fldChar w:fldCharType="end"/>
          </w:r>
        </w:p>
      </w:sdtContent>
    </w:sdt>
    <w:p w14:paraId="1074842F" w14:textId="77777777" w:rsidR="00644E9D" w:rsidRPr="00A93031" w:rsidRDefault="00644E9D" w:rsidP="007877F7">
      <w:pPr>
        <w:spacing w:before="120" w:after="120" w:line="360" w:lineRule="auto"/>
        <w:jc w:val="both"/>
        <w:rPr>
          <w:rFonts w:ascii="Arial" w:eastAsia="Arial" w:hAnsi="Arial" w:cs="Arial"/>
          <w:b/>
          <w:bCs/>
          <w:kern w:val="0"/>
          <w:sz w:val="26"/>
          <w:szCs w:val="26"/>
          <w:lang w:val="en-GB"/>
          <w14:ligatures w14:val="none"/>
        </w:rPr>
      </w:pPr>
      <w:r w:rsidRPr="00A93031">
        <w:rPr>
          <w:rFonts w:ascii="Arial" w:eastAsia="Arial" w:hAnsi="Arial" w:cs="Arial"/>
          <w:kern w:val="0"/>
          <w:lang w:val="en-GB"/>
          <w14:ligatures w14:val="none"/>
        </w:rPr>
        <w:br w:type="page"/>
      </w:r>
    </w:p>
    <w:p w14:paraId="60FFB997" w14:textId="77777777" w:rsidR="00644E9D" w:rsidRPr="00A93031" w:rsidRDefault="00644E9D" w:rsidP="007877F7">
      <w:pPr>
        <w:keepNext/>
        <w:keepLines/>
        <w:spacing w:before="120" w:after="120" w:line="360" w:lineRule="auto"/>
        <w:jc w:val="both"/>
        <w:outlineLvl w:val="0"/>
        <w:rPr>
          <w:rFonts w:ascii="Arial" w:eastAsia="Arial" w:hAnsi="Arial" w:cs="Arial"/>
          <w:b/>
          <w:bCs/>
          <w:kern w:val="0"/>
          <w:sz w:val="26"/>
          <w:szCs w:val="26"/>
          <w:lang w:val="en-GB"/>
          <w14:ligatures w14:val="none"/>
        </w:rPr>
        <w:sectPr w:rsidR="00644E9D" w:rsidRPr="00A93031" w:rsidSect="00644E9D">
          <w:footerReference w:type="default" r:id="rId7"/>
          <w:pgSz w:w="11909" w:h="16834"/>
          <w:pgMar w:top="1440" w:right="1440" w:bottom="1440" w:left="1440" w:header="720" w:footer="720" w:gutter="0"/>
          <w:pgNumType w:fmt="lowerRoman" w:start="1"/>
          <w:cols w:space="720"/>
          <w:titlePg/>
          <w:docGrid w:linePitch="299"/>
        </w:sectPr>
      </w:pPr>
    </w:p>
    <w:p w14:paraId="4D7FD0BD" w14:textId="77777777" w:rsidR="00644E9D" w:rsidRPr="00A93031" w:rsidRDefault="00644E9D" w:rsidP="007877F7">
      <w:pPr>
        <w:pStyle w:val="Heading1"/>
        <w:rPr>
          <w:lang w:val="en-GB"/>
        </w:rPr>
      </w:pPr>
      <w:bookmarkStart w:id="0" w:name="_Toc236940164"/>
      <w:r w:rsidRPr="00A93031">
        <w:rPr>
          <w:lang w:val="en-GB"/>
        </w:rPr>
        <w:lastRenderedPageBreak/>
        <w:t>1. Introduction</w:t>
      </w:r>
      <w:bookmarkEnd w:id="0"/>
    </w:p>
    <w:p w14:paraId="3B77B84E" w14:textId="77777777" w:rsidR="00644E9D" w:rsidRPr="00A93031" w:rsidRDefault="00644E9D" w:rsidP="007877F7">
      <w:pPr>
        <w:pStyle w:val="Heading2"/>
        <w:rPr>
          <w:lang w:val="en-GB"/>
        </w:rPr>
      </w:pPr>
      <w:bookmarkStart w:id="1" w:name="_xrhwfewabw0n" w:colFirst="0" w:colLast="0"/>
      <w:bookmarkStart w:id="2" w:name="_Toc236940165"/>
      <w:bookmarkEnd w:id="1"/>
      <w:r w:rsidRPr="00A93031">
        <w:rPr>
          <w:lang w:val="en-GB"/>
        </w:rPr>
        <w:t>1.1 Background of Patient X Case</w:t>
      </w:r>
      <w:bookmarkEnd w:id="2"/>
    </w:p>
    <w:p w14:paraId="7AE65369"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Patient X, who was on anticoagulation medication, was rushed to a hospital for shortness of breath and nosebleeds, where the medical staff paused their anticoagulation medication to treat the nosebleed issue and somehow never resumed the anticoagulation medication, resulting in the patient's death later (HSSIB, 2025). The case is an important lesson for medical leadership, as it highlights the effectiveness of leadership in clinical decision-making and patient safety.</w:t>
      </w:r>
    </w:p>
    <w:p w14:paraId="711AE37E"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3" w:name="_dp400i3ixekn" w:colFirst="0" w:colLast="0"/>
      <w:bookmarkStart w:id="4" w:name="_Toc236940166"/>
      <w:bookmarkEnd w:id="3"/>
      <w:r w:rsidRPr="00A93031">
        <w:rPr>
          <w:rFonts w:ascii="Arial" w:eastAsia="Arial" w:hAnsi="Arial" w:cs="Arial"/>
          <w:b/>
          <w:bCs/>
          <w:kern w:val="0"/>
          <w:lang w:val="en-GB"/>
          <w14:ligatures w14:val="none"/>
        </w:rPr>
        <w:t>1.2 Purpose of the Report</w:t>
      </w:r>
      <w:bookmarkEnd w:id="4"/>
    </w:p>
    <w:p w14:paraId="2F965ED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purpose of this report is to critically evaluate healthcare leadership, governance, organisational accountability, as well as systems thinking, with the help of drawing evidence from the case of Patient X. As a result, the report would also help in understanding the importance of quality improvement in patient safety.</w:t>
      </w:r>
    </w:p>
    <w:p w14:paraId="36C0767B"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5" w:name="_sskqod4evuyb" w:colFirst="0" w:colLast="0"/>
      <w:bookmarkStart w:id="6" w:name="_Toc236940167"/>
      <w:bookmarkEnd w:id="5"/>
      <w:r w:rsidRPr="00A93031">
        <w:rPr>
          <w:rFonts w:ascii="Arial" w:eastAsia="Arial" w:hAnsi="Arial" w:cs="Arial"/>
          <w:b/>
          <w:bCs/>
          <w:kern w:val="0"/>
          <w:lang w:val="en-GB"/>
          <w14:ligatures w14:val="none"/>
        </w:rPr>
        <w:t>1.3 Leadership in Healthcare</w:t>
      </w:r>
      <w:bookmarkEnd w:id="6"/>
    </w:p>
    <w:p w14:paraId="108E1E8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Effective leadership is an important factor in healthcare settings for varying reasons. While, Ahmed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(2024) noted that effective leadership in healthcare settings provides staff with clear objectives, sets standards, gives training, and empowers employees to ensure patient safety, and improve the overall quality of healthcare delivery, Krasniqi, Ismajli and Krasniqi (2024) argued that leaders’ ability to identify problems, gather information, and devise alternative solutions is equally necessary for better decision-making. The insights that can be derived from these arguments help to understand how essential it is to have effective leaders in healthcare settings to ensure desirable patient outcomes.</w:t>
      </w:r>
    </w:p>
    <w:p w14:paraId="37352231"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7" w:name="_dkvusfmkbvu7" w:colFirst="0" w:colLast="0"/>
      <w:bookmarkStart w:id="8" w:name="_Toc236940168"/>
      <w:bookmarkEnd w:id="7"/>
      <w:r w:rsidRPr="00A93031">
        <w:rPr>
          <w:rFonts w:ascii="Arial" w:eastAsia="Arial" w:hAnsi="Arial" w:cs="Arial"/>
          <w:b/>
          <w:bCs/>
          <w:kern w:val="0"/>
          <w:lang w:val="en-GB"/>
          <w14:ligatures w14:val="none"/>
        </w:rPr>
        <w:t>1.4 Centralisation vs Decentralisation</w:t>
      </w:r>
      <w:bookmarkEnd w:id="8"/>
    </w:p>
    <w:p w14:paraId="0C6D77CA"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Organisations can be divided into two distinct categories based on how decisions are made. Elaborating further on this, Altamimi, Liu, and Jimenez (2023) stated that organisations where the chief executive makes all the major decisions are known as centralised organisations, as opposed to businesses where even lower-level employees also take part and shape strategic decisions of firms, better known as decentralised organisations. Based on the understanding of these decision-making characteristics of firms, the associated level of accountability also becomes clear. In centralised organisations, the chief executive is mainly accountable for decisions made, whereas an entire decentralised organisation is responsible for any decisions made.</w:t>
      </w:r>
    </w:p>
    <w:p w14:paraId="5E992685"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9" w:name="_ymmhievz50pq" w:colFirst="0" w:colLast="0"/>
      <w:bookmarkStart w:id="10" w:name="_Toc236940169"/>
      <w:bookmarkEnd w:id="9"/>
      <w:r w:rsidRPr="00A93031">
        <w:rPr>
          <w:rFonts w:ascii="Arial" w:eastAsia="Arial" w:hAnsi="Arial" w:cs="Arial"/>
          <w:b/>
          <w:bCs/>
          <w:kern w:val="0"/>
          <w:lang w:val="en-GB"/>
          <w14:ligatures w14:val="none"/>
        </w:rPr>
        <w:lastRenderedPageBreak/>
        <w:t>1.5 Leadership Theories</w:t>
      </w:r>
      <w:bookmarkEnd w:id="10"/>
    </w:p>
    <w:p w14:paraId="3467A79D"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discussion up to this point helps to understand the importance of decision-making and leadership in healthcare organisations. As a result, varying leadership theories, including transformational leadership, transactional leadership, and situational leadership theories, would be applied here in this report in order to evaluate the leadership within the case.</w:t>
      </w:r>
    </w:p>
    <w:p w14:paraId="07961013" w14:textId="77777777" w:rsidR="00644E9D" w:rsidRPr="00A93031" w:rsidRDefault="00644E9D" w:rsidP="007877F7">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11" w:name="_nd33rxok8pl2" w:colFirst="0" w:colLast="0"/>
      <w:bookmarkStart w:id="12" w:name="_Toc236940170"/>
      <w:bookmarkEnd w:id="11"/>
      <w:r w:rsidRPr="00A93031">
        <w:rPr>
          <w:rFonts w:ascii="Arial" w:eastAsia="Arial" w:hAnsi="Arial" w:cs="Arial"/>
          <w:b/>
          <w:bCs/>
          <w:kern w:val="0"/>
          <w:sz w:val="26"/>
          <w:szCs w:val="26"/>
          <w:lang w:val="en-GB"/>
          <w14:ligatures w14:val="none"/>
        </w:rPr>
        <w:t>2. Main Analysis</w:t>
      </w:r>
      <w:bookmarkEnd w:id="12"/>
    </w:p>
    <w:p w14:paraId="22F35ACF"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13" w:name="_y5w76q1vy4eb" w:colFirst="0" w:colLast="0"/>
      <w:bookmarkStart w:id="14" w:name="_Toc236940171"/>
      <w:bookmarkEnd w:id="13"/>
      <w:r w:rsidRPr="00A93031">
        <w:rPr>
          <w:rFonts w:ascii="Arial" w:eastAsia="Arial" w:hAnsi="Arial" w:cs="Arial"/>
          <w:b/>
          <w:bCs/>
          <w:kern w:val="0"/>
          <w:lang w:val="en-GB"/>
          <w14:ligatures w14:val="none"/>
        </w:rPr>
        <w:t>2.1 Identifying the Problem and System Context</w:t>
      </w:r>
      <w:bookmarkEnd w:id="14"/>
    </w:p>
    <w:p w14:paraId="6CEF69A0" w14:textId="77777777" w:rsidR="00644E9D" w:rsidRPr="00A93031" w:rsidRDefault="00644E9D" w:rsidP="00175F2C">
      <w:pPr>
        <w:pStyle w:val="Heading3"/>
        <w:rPr>
          <w:lang w:val="en-GB"/>
        </w:rPr>
      </w:pPr>
      <w:bookmarkStart w:id="15" w:name="_g8wltnxnchee" w:colFirst="0" w:colLast="0"/>
      <w:bookmarkStart w:id="16" w:name="_Toc236940172"/>
      <w:bookmarkEnd w:id="15"/>
      <w:r w:rsidRPr="00A93031">
        <w:rPr>
          <w:lang w:val="en-GB"/>
        </w:rPr>
        <w:t>2.1.1 Overview of the Medication Incident</w:t>
      </w:r>
      <w:bookmarkEnd w:id="16"/>
    </w:p>
    <w:p w14:paraId="37B40255"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patient X was on an anticoagulation medication when they experienced shortness of breath and nosebleeds, following which they were rushed to a healthcare facility (HSSIB, 2025). The patient had to undergo a medical procedure, and because of this, medical staff paused the patient's anticoagulation medication. However, even after the procedure was over, the patient's anticoagulation medication was not restarted, causing the patient to have a stroke and ultimately resulting in the patient's death (HSSIB, 2025). This sequence of events highlights immediate clinical and organisational failures. For example, the risk profile of the patient was poorly analysed, leading to the clinical failure to restart their anticoagulation medication. The failure to resume the patient's anticoagulation medication highlights the organisational failure in terms of continuity of care. The organisation also fails in terms of safety culture and managing clinical accountability.</w:t>
      </w:r>
    </w:p>
    <w:p w14:paraId="0FCA3D3D"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17" w:name="_ny9t9r32yvcx" w:colFirst="0" w:colLast="0"/>
      <w:bookmarkStart w:id="18" w:name="_Toc236940173"/>
      <w:bookmarkEnd w:id="17"/>
      <w:r w:rsidRPr="00A93031">
        <w:rPr>
          <w:rFonts w:ascii="Arial" w:eastAsia="Arial" w:hAnsi="Arial" w:cs="Arial"/>
          <w:b/>
          <w:bCs/>
          <w:i/>
          <w:iCs/>
          <w:kern w:val="0"/>
          <w:lang w:val="en-GB"/>
          <w14:ligatures w14:val="none"/>
        </w:rPr>
        <w:t>2.1.2 Global Burden of Medication Errors (WHO)</w:t>
      </w:r>
      <w:bookmarkEnd w:id="18"/>
    </w:p>
    <w:p w14:paraId="5C9C1624"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Medication errors are a significant patient safety issue worldwide. According to the recent estimation by the World Health Organisation (WHO), 1 in every 20 patients globally experiences medication harms that could be avoided (Dhingra, 2024). To put that into perspective, it is worth noting that in the United States (US), medication errors result in the death of approximately 98,000 patients yearly, while England recorded 237 million instances of medication errors in 2021 alone (WHO, 2023). The scene is not very different even in low- and middle-income countries, as WHO estimated that in 83% of cases medication errors and 30% of deaths related to those could have been prevented there (WHO, 2023). The evaluation of this statistical information points to the severity of medication errors that prevail globally, causing irreversible harm to human lives, and also underscoring the importance of ensuring patient safety.</w:t>
      </w:r>
    </w:p>
    <w:p w14:paraId="6B0A39C5"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19" w:name="_mqrwpv36djdq" w:colFirst="0" w:colLast="0"/>
      <w:bookmarkStart w:id="20" w:name="_Toc236940174"/>
      <w:bookmarkEnd w:id="19"/>
      <w:r w:rsidRPr="00A93031">
        <w:rPr>
          <w:rFonts w:ascii="Arial" w:eastAsia="Arial" w:hAnsi="Arial" w:cs="Arial"/>
          <w:b/>
          <w:bCs/>
          <w:i/>
          <w:iCs/>
          <w:kern w:val="0"/>
          <w:lang w:val="en-GB"/>
          <w14:ligatures w14:val="none"/>
        </w:rPr>
        <w:t>2.1.3 NHS Statistics on Medication Safety</w:t>
      </w:r>
      <w:bookmarkEnd w:id="20"/>
    </w:p>
    <w:p w14:paraId="02571A7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information derived from the 1,500 reports obtained from the UK's National Reporting and Learning System (NRLS) database highlights the fact that the majority of medication errors in </w:t>
      </w:r>
      <w:r w:rsidRPr="00A93031">
        <w:rPr>
          <w:rFonts w:ascii="Arial" w:eastAsia="Arial" w:hAnsi="Arial" w:cs="Arial"/>
          <w:kern w:val="0"/>
          <w:lang w:val="en-GB"/>
          <w14:ligatures w14:val="none"/>
        </w:rPr>
        <w:lastRenderedPageBreak/>
        <w:t>the UK happen with the administration of anticoagulant drugs (46.20%), and it costs the NHS significantly as well (</w:t>
      </w:r>
      <w:proofErr w:type="spellStart"/>
      <w:r w:rsidRPr="00A93031">
        <w:rPr>
          <w:rFonts w:ascii="Arial" w:eastAsia="Arial" w:hAnsi="Arial" w:cs="Arial"/>
          <w:kern w:val="0"/>
          <w:lang w:val="en-GB"/>
          <w14:ligatures w14:val="none"/>
        </w:rPr>
        <w:t>Alrowily</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xml:space="preserve">., 2025). For example, between April 2015 and March 2020, the NHS had to deal with 1,420 claims pertaining to medication errors, out of which the NHS settled with damages paid worth 35 million pounds, excluding legal </w:t>
      </w:r>
      <w:proofErr w:type="gramStart"/>
      <w:r w:rsidRPr="00A93031">
        <w:rPr>
          <w:rFonts w:ascii="Arial" w:eastAsia="Arial" w:hAnsi="Arial" w:cs="Arial"/>
          <w:kern w:val="0"/>
          <w:lang w:val="en-GB"/>
          <w14:ligatures w14:val="none"/>
        </w:rPr>
        <w:t>costs,  to</w:t>
      </w:r>
      <w:proofErr w:type="gramEnd"/>
      <w:r w:rsidRPr="00A93031">
        <w:rPr>
          <w:rFonts w:ascii="Arial" w:eastAsia="Arial" w:hAnsi="Arial" w:cs="Arial"/>
          <w:kern w:val="0"/>
          <w:lang w:val="en-GB"/>
          <w14:ligatures w14:val="none"/>
        </w:rPr>
        <w:t xml:space="preserve"> 487 patient claims (NHS, 2023). The evaluation of this information indicates the severity of the challenge in the UK healthcare sector. Additionally, understanding the significance of ensuring medication safety, the statistical information also contextualises and justifies this research that aims to focus on leadership, governance, and organisational accountability in the healthcare sector of the country.</w:t>
      </w:r>
    </w:p>
    <w:p w14:paraId="629F80FA"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21" w:name="_pj71pqeywpxz" w:colFirst="0" w:colLast="0"/>
      <w:bookmarkStart w:id="22" w:name="_Toc236940175"/>
      <w:bookmarkEnd w:id="21"/>
      <w:r w:rsidRPr="00A93031">
        <w:rPr>
          <w:rFonts w:ascii="Arial" w:eastAsia="Arial" w:hAnsi="Arial" w:cs="Arial"/>
          <w:b/>
          <w:bCs/>
          <w:i/>
          <w:iCs/>
          <w:kern w:val="0"/>
          <w:lang w:val="en-GB"/>
          <w14:ligatures w14:val="none"/>
        </w:rPr>
        <w:t>2.1.4 Governance Failures</w:t>
      </w:r>
      <w:bookmarkEnd w:id="22"/>
    </w:p>
    <w:p w14:paraId="1C23DBAE" w14:textId="5D2D819D"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Effective governance in healthcare organisations prioritises policy and procedural formulation that can guide them in clinical decision-making for better risk management through risk identification, assessment, and mitigation, which otherwise could affect patients as well as hospital operations as a whole (Bhati, Deogade and </w:t>
      </w:r>
      <w:proofErr w:type="spellStart"/>
      <w:r w:rsidRPr="00A93031">
        <w:rPr>
          <w:rFonts w:ascii="Arial" w:eastAsia="Arial" w:hAnsi="Arial" w:cs="Arial"/>
          <w:kern w:val="0"/>
          <w:lang w:val="en-GB"/>
          <w14:ligatures w14:val="none"/>
        </w:rPr>
        <w:t>Kanyal</w:t>
      </w:r>
      <w:proofErr w:type="spellEnd"/>
      <w:r w:rsidRPr="00A93031">
        <w:rPr>
          <w:rFonts w:ascii="Arial" w:eastAsia="Arial" w:hAnsi="Arial" w:cs="Arial"/>
          <w:kern w:val="0"/>
          <w:lang w:val="en-GB"/>
          <w14:ligatures w14:val="none"/>
        </w:rPr>
        <w:t>, 2025). The evaluation of this information suggests that successful healthcare governance includes a clear line of responsibility where specific individuals are assigned to activities, such as monitoring risks to patients' safety and compliance. However, in the case of patient X, the healthcare facility had poor governance policy and procedure in place because there was no clear presence of an individual who was assigned the responsibility of assessing and managing risks to patients' safety and compliance. Had the governance of the healthcare facility been good, the long pause in the anticoagulant medication of the patient would have been identified much earlier.</w:t>
      </w:r>
    </w:p>
    <w:p w14:paraId="35D25B0E" w14:textId="75DE6DBF"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governance failures identified in this case can also be interpreted using Reason's Swiss Cheese Model of patient safety. According to this model, adverse events rarely result from a single human error; instead, they occur when multiple organisational safety barriers contain weaknesses that align, allowing hazards to reach the patient (</w:t>
      </w:r>
      <w:proofErr w:type="spellStart"/>
      <w:r w:rsidRPr="00A93031">
        <w:rPr>
          <w:rFonts w:ascii="Arial" w:eastAsia="Arial" w:hAnsi="Arial" w:cs="Arial"/>
          <w:kern w:val="0"/>
          <w:lang w:val="en-GB"/>
          <w14:ligatures w14:val="none"/>
        </w:rPr>
        <w:t>Seshia</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xml:space="preserve"> 2018; Denecke, 2026). In the case of Patient X, these weaknesses included inadequate documentation, poor communication between clinical teams, absence of clear accountability for restarting anticoagulation, lack of electronic reminder systems, and insufficient governance oversight. </w:t>
      </w:r>
    </w:p>
    <w:p w14:paraId="26AF590F"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23" w:name="_2w1peaj9cccd" w:colFirst="0" w:colLast="0"/>
      <w:bookmarkStart w:id="24" w:name="_Toc236940176"/>
      <w:bookmarkEnd w:id="23"/>
      <w:r w:rsidRPr="00A93031">
        <w:rPr>
          <w:rFonts w:ascii="Arial" w:eastAsia="Arial" w:hAnsi="Arial" w:cs="Arial"/>
          <w:b/>
          <w:bCs/>
          <w:i/>
          <w:iCs/>
          <w:kern w:val="0"/>
          <w:lang w:val="en-GB"/>
          <w14:ligatures w14:val="none"/>
        </w:rPr>
        <w:t>2.1.5 Communication Breakdown</w:t>
      </w:r>
      <w:bookmarkEnd w:id="24"/>
    </w:p>
    <w:p w14:paraId="2FF86CCA"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Failures in communication among healthcare professionals can also delay appropriate patient care. In the case of patient X, this is exactly what has happened because the absence of documented information related to the risks of pausing the patient's anticoagulation medication, and any prompt to inform relevant staff to reconsider restarting the paused anticoagulation medication immediately after the procedure, resulted in the patient's stroke and ultimately their demise (HSSIB, 2025). The evaluation of this information highlights the </w:t>
      </w:r>
      <w:r w:rsidRPr="00A93031">
        <w:rPr>
          <w:rFonts w:ascii="Arial" w:eastAsia="Arial" w:hAnsi="Arial" w:cs="Arial"/>
          <w:kern w:val="0"/>
          <w:lang w:val="en-GB"/>
          <w14:ligatures w14:val="none"/>
        </w:rPr>
        <w:lastRenderedPageBreak/>
        <w:t>importance of shared understanding among healthcare professionals in order to ensure the achievement of positive patient outcomes. However, the lack of proper documentation prevented the sharing of information among healthcare professionals. As a consequence, the long pause in the patient's anticoagulation medication was not noticed by medical staff members in time, which otherwise could have prevented an avoidable patient casualty as well.</w:t>
      </w:r>
    </w:p>
    <w:p w14:paraId="68726124"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25" w:name="_68nx1dbywiow" w:colFirst="0" w:colLast="0"/>
      <w:bookmarkStart w:id="26" w:name="_Toc236940177"/>
      <w:bookmarkEnd w:id="25"/>
      <w:r w:rsidRPr="00A93031">
        <w:rPr>
          <w:rFonts w:ascii="Arial" w:eastAsia="Arial" w:hAnsi="Arial" w:cs="Arial"/>
          <w:b/>
          <w:bCs/>
          <w:i/>
          <w:iCs/>
          <w:kern w:val="0"/>
          <w:lang w:val="en-GB"/>
          <w14:ligatures w14:val="none"/>
        </w:rPr>
        <w:t>2.1.6 Rich Picture</w:t>
      </w:r>
      <w:bookmarkEnd w:id="26"/>
    </w:p>
    <w:p w14:paraId="0705812A"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w:t>
      </w:r>
      <w:proofErr w:type="spellStart"/>
      <w:r w:rsidRPr="00A93031">
        <w:rPr>
          <w:rFonts w:ascii="Arial" w:eastAsia="Arial" w:hAnsi="Arial" w:cs="Arial"/>
          <w:kern w:val="0"/>
          <w:lang w:val="en-GB"/>
          <w14:ligatures w14:val="none"/>
        </w:rPr>
        <w:t>followng</w:t>
      </w:r>
      <w:proofErr w:type="spellEnd"/>
      <w:r w:rsidRPr="00A93031">
        <w:rPr>
          <w:rFonts w:ascii="Arial" w:eastAsia="Arial" w:hAnsi="Arial" w:cs="Arial"/>
          <w:kern w:val="0"/>
          <w:lang w:val="en-GB"/>
          <w14:ligatures w14:val="none"/>
        </w:rPr>
        <w:t xml:space="preserve"> graphical representation is a rich illustration that has highlighted the stakeholders involved in the incident happened with patient X. In addition to this, the illustration is a rich and a clear depiction of the communication pathways, organisational processes and feedback loops that also contributed to the incident.</w:t>
      </w:r>
    </w:p>
    <w:p w14:paraId="7938EEFD" w14:textId="77777777" w:rsidR="00644E9D" w:rsidRPr="00A93031" w:rsidRDefault="00644E9D" w:rsidP="007877F7">
      <w:pPr>
        <w:spacing w:before="120" w:after="120" w:line="360" w:lineRule="auto"/>
        <w:jc w:val="center"/>
        <w:rPr>
          <w:rFonts w:ascii="Arial" w:eastAsia="Arial" w:hAnsi="Arial" w:cs="Arial"/>
          <w:kern w:val="0"/>
          <w:lang w:val="en-GB"/>
          <w14:ligatures w14:val="none"/>
        </w:rPr>
      </w:pPr>
      <w:r w:rsidRPr="00A93031">
        <w:rPr>
          <w:rFonts w:ascii="Arial" w:eastAsia="Arial" w:hAnsi="Arial" w:cs="Arial"/>
          <w:noProof/>
          <w:kern w:val="0"/>
          <w:lang w:val="en-GB"/>
          <w14:ligatures w14:val="none"/>
        </w:rPr>
        <w:drawing>
          <wp:inline distT="114300" distB="114300" distL="114300" distR="114300" wp14:anchorId="286839BB" wp14:editId="417B9539">
            <wp:extent cx="5731200" cy="3225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18354BBC" w14:textId="13FCC92A" w:rsidR="00644E9D" w:rsidRPr="00A93031" w:rsidRDefault="00644E9D" w:rsidP="007877F7">
      <w:pPr>
        <w:spacing w:before="120" w:after="120" w:line="360" w:lineRule="auto"/>
        <w:jc w:val="center"/>
        <w:rPr>
          <w:rFonts w:ascii="Arial" w:eastAsia="Arial" w:hAnsi="Arial" w:cs="Arial"/>
          <w:b/>
          <w:bCs/>
          <w:kern w:val="0"/>
          <w:lang w:val="en-GB"/>
          <w14:ligatures w14:val="none"/>
        </w:rPr>
      </w:pPr>
      <w:r w:rsidRPr="00A93031">
        <w:rPr>
          <w:rFonts w:ascii="Arial" w:eastAsia="Arial" w:hAnsi="Arial" w:cs="Arial"/>
          <w:b/>
          <w:bCs/>
          <w:kern w:val="0"/>
          <w:lang w:val="en-GB"/>
          <w14:ligatures w14:val="none"/>
        </w:rPr>
        <w:t>Figure 1: Rich Picture</w:t>
      </w:r>
    </w:p>
    <w:p w14:paraId="4FA72D75" w14:textId="77777777" w:rsidR="00644E9D" w:rsidRPr="00A93031" w:rsidRDefault="00644E9D" w:rsidP="007877F7">
      <w:pPr>
        <w:spacing w:before="120" w:after="120" w:line="360" w:lineRule="auto"/>
        <w:jc w:val="center"/>
        <w:rPr>
          <w:rFonts w:ascii="Arial" w:eastAsia="Arial" w:hAnsi="Arial" w:cs="Arial"/>
          <w:kern w:val="0"/>
          <w:lang w:val="en-GB"/>
          <w14:ligatures w14:val="none"/>
        </w:rPr>
      </w:pPr>
      <w:r w:rsidRPr="00A93031">
        <w:rPr>
          <w:rFonts w:ascii="Arial" w:eastAsia="Arial" w:hAnsi="Arial" w:cs="Arial"/>
          <w:kern w:val="0"/>
          <w:lang w:val="en-GB"/>
          <w14:ligatures w14:val="none"/>
        </w:rPr>
        <w:t>(Source: Self-created)</w:t>
      </w:r>
    </w:p>
    <w:p w14:paraId="5B87CA41"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From the patient X's hospital admission, pausing their anticoagulation medication to prepare them for a medical procedure, to the patient's death, illustrates a rich picture that involves stakeholders, shows communication pathways, organisational processes, and feedback loops that contributed to the incident. For example, the unavailability of the patient's historic data on anticoagulants impacted clinical decision-making, while the varying hospital care processes actually created uncertainty pertaining to care responsibilities (HSSIB, 2025). The gap between the demand and capacity of the skilled workforce, particularly specialist nurses, significantly limited the overall capacity of the healthcare facility where the patient was admitted (HSSIB, 2025). Even the technologies adopted by the healthcare facility failed to </w:t>
      </w:r>
      <w:r w:rsidRPr="00A93031">
        <w:rPr>
          <w:rFonts w:ascii="Arial" w:eastAsia="Arial" w:hAnsi="Arial" w:cs="Arial"/>
          <w:kern w:val="0"/>
          <w:lang w:val="en-GB"/>
          <w14:ligatures w14:val="none"/>
        </w:rPr>
        <w:lastRenderedPageBreak/>
        <w:t>prompt the healthcare professionals to review their decision to pause the anticoagulation medication of the patient, besides making it hard for them to locate clinical guidelines, and contributing to a lack of staff awareness (HSSIB, 2025).</w:t>
      </w:r>
    </w:p>
    <w:p w14:paraId="0366F6E9"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27" w:name="_gx0g5vt9f8gb" w:colFirst="0" w:colLast="0"/>
      <w:bookmarkStart w:id="28" w:name="_Toc236940178"/>
      <w:bookmarkEnd w:id="27"/>
      <w:r w:rsidRPr="00A93031">
        <w:rPr>
          <w:rFonts w:ascii="Arial" w:eastAsia="Arial" w:hAnsi="Arial" w:cs="Arial"/>
          <w:b/>
          <w:bCs/>
          <w:kern w:val="0"/>
          <w:lang w:val="en-GB"/>
          <w14:ligatures w14:val="none"/>
        </w:rPr>
        <w:t>2.2 Centralisation and Decision Making</w:t>
      </w:r>
      <w:bookmarkEnd w:id="28"/>
    </w:p>
    <w:p w14:paraId="201AED36"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29" w:name="_2kwuagu4htah" w:colFirst="0" w:colLast="0"/>
      <w:bookmarkStart w:id="30" w:name="_Toc236940179"/>
      <w:bookmarkEnd w:id="29"/>
      <w:r w:rsidRPr="00A93031">
        <w:rPr>
          <w:rFonts w:ascii="Arial" w:eastAsia="Arial" w:hAnsi="Arial" w:cs="Arial"/>
          <w:b/>
          <w:bCs/>
          <w:i/>
          <w:iCs/>
          <w:kern w:val="0"/>
          <w:lang w:val="en-GB"/>
          <w14:ligatures w14:val="none"/>
        </w:rPr>
        <w:t>2.2.1 Decision-making Structure</w:t>
      </w:r>
      <w:bookmarkEnd w:id="30"/>
    </w:p>
    <w:p w14:paraId="440AFCA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management of crisis situations in healthcare settings often relies on the centralised structure of clinical decision-making because of its inherent attribute of making quicker decisions in uncertain medical emergency situations (Romiti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2025). In the context of the case involving patient X's anticoagulation management, this is exactly what has happened. It was the doctor of the Acute Medical Unit who made the decision to pause the patient's anticoagulation medication because of the worsening nosebleed condition (HSSIB, 2025).</w:t>
      </w:r>
    </w:p>
    <w:p w14:paraId="748C13F8"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Additionally, the authority throughout the patient care was mostly rested with the medical team as a whole as the resident doctor at the Emergency Department, the respiratory doctor in the Acute Medical Unit department, an on-call doctor examining the CT scan of the patient, the ear, nose and throat speciality doctor on round, the respiratory consultant, and specialist stroke nurses were also in charge of taking care of the patient at their specific stages of disease diagnosis (HSSIB, 2025). This shows that only the decision made to hold the anticoagulation medication was centralised.  </w:t>
      </w:r>
    </w:p>
    <w:p w14:paraId="3CE707DB"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31" w:name="_t03bpf9kzynx" w:colFirst="0" w:colLast="0"/>
      <w:bookmarkStart w:id="32" w:name="_Toc236940180"/>
      <w:bookmarkEnd w:id="31"/>
      <w:r w:rsidRPr="00A93031">
        <w:rPr>
          <w:rFonts w:ascii="Arial" w:eastAsia="Arial" w:hAnsi="Arial" w:cs="Arial"/>
          <w:b/>
          <w:bCs/>
          <w:i/>
          <w:iCs/>
          <w:kern w:val="0"/>
          <w:lang w:val="en-GB"/>
          <w14:ligatures w14:val="none"/>
        </w:rPr>
        <w:t>2.2.2 Benefits of Centralised Governance</w:t>
      </w:r>
      <w:bookmarkEnd w:id="32"/>
    </w:p>
    <w:p w14:paraId="062532A8"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There are multifaceted benefits of centralised governance and leadership, especially in healthcare settings. For example, while centralised governance facilitates designing a standardised workflow and operations, leadership centrality is equally vital in order to ensure coordination among the team members of a healthcare unit (</w:t>
      </w:r>
      <w:proofErr w:type="spellStart"/>
      <w:r w:rsidRPr="00A93031">
        <w:rPr>
          <w:rFonts w:ascii="Arial" w:eastAsia="Arial" w:hAnsi="Arial" w:cs="Arial"/>
          <w:kern w:val="0"/>
          <w:lang w:val="en-GB"/>
          <w14:ligatures w14:val="none"/>
        </w:rPr>
        <w:t>Pasarakonda</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xml:space="preserve">., 2021; Hassell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2026). Hence, the evaluation of this information helps to understand the fact that centralised governance and leadership are helpful in terms of developing standardised protocols and a collaborative approach towards delivering quality care to a patient.</w:t>
      </w:r>
    </w:p>
    <w:p w14:paraId="5C14FF31"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Other than standardised protocols, centralised governance is equally effective in healthcare decision-making. From the findings presented by </w:t>
      </w:r>
      <w:proofErr w:type="spellStart"/>
      <w:r w:rsidRPr="00A93031">
        <w:rPr>
          <w:rFonts w:ascii="Arial" w:eastAsia="Arial" w:hAnsi="Arial" w:cs="Arial"/>
          <w:kern w:val="0"/>
          <w:lang w:val="en-GB"/>
          <w14:ligatures w14:val="none"/>
        </w:rPr>
        <w:t>Scarffe</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(2022), it is understood that a centralised decision-making architecture includes a hierarchical approach, and hence, centralised decision-making is often found to be consistent and prioritises equity in healthcare settings. The evaluation of this information helps to understand that with centralised governance, there is less scope for employees to deviate from an already established process, significantly lowering the chance of any mistake.</w:t>
      </w:r>
    </w:p>
    <w:p w14:paraId="2C8EE26E"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33" w:name="_85zjt7xjlwj" w:colFirst="0" w:colLast="0"/>
      <w:bookmarkStart w:id="34" w:name="_Toc236940181"/>
      <w:bookmarkEnd w:id="33"/>
      <w:r w:rsidRPr="00A93031">
        <w:rPr>
          <w:rFonts w:ascii="Arial" w:eastAsia="Arial" w:hAnsi="Arial" w:cs="Arial"/>
          <w:b/>
          <w:bCs/>
          <w:i/>
          <w:iCs/>
          <w:kern w:val="0"/>
          <w:lang w:val="en-GB"/>
          <w14:ligatures w14:val="none"/>
        </w:rPr>
        <w:lastRenderedPageBreak/>
        <w:t>2.2.3 Limitations of Centralisation</w:t>
      </w:r>
      <w:bookmarkEnd w:id="34"/>
    </w:p>
    <w:p w14:paraId="00915175"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Building on the prior discussion on the hierarchical approach embedded in centralised decision-making, it can be said that the presence of a multi-layered hierarchy in decision-making often causes delay (Yakubu, 2024). Hence, the evaluation of this information helps to uncover the bureaucratic bottleneck that is associated with centralisation. The information highlights that when more than one layer of hierarchy is involved in making decisions, it can create challenges for the timely delivery of healthcare services to patients, which can result in undesirable patient outcomes as well.</w:t>
      </w:r>
    </w:p>
    <w:p w14:paraId="61EEB185"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Centralised decision-making in healthcare organisations is often a key source of medication error. Due to the involvement of a hierarchical approach, the autonomy of workers is often minimised, besides causing delays in decision-making (</w:t>
      </w:r>
      <w:proofErr w:type="spellStart"/>
      <w:r w:rsidRPr="00A93031">
        <w:rPr>
          <w:rFonts w:ascii="Arial" w:eastAsia="Arial" w:hAnsi="Arial" w:cs="Arial"/>
          <w:kern w:val="0"/>
          <w:lang w:val="en-GB"/>
          <w14:ligatures w14:val="none"/>
        </w:rPr>
        <w:t>Krenyacz</w:t>
      </w:r>
      <w:proofErr w:type="spellEnd"/>
      <w:r w:rsidRPr="00A93031">
        <w:rPr>
          <w:rFonts w:ascii="Arial" w:eastAsia="Arial" w:hAnsi="Arial" w:cs="Arial"/>
          <w:kern w:val="0"/>
          <w:lang w:val="en-GB"/>
          <w14:ligatures w14:val="none"/>
        </w:rPr>
        <w:t xml:space="preserve"> and Revesz, 2025). As a consequence, healthcare workers are often forced to wait for the necessary approvals from their upper hierarchies, which prevents the timely administration of necessary medications, leading to their erroneous administration as well. Therefore, it can be inferred that centralised decision-making in healthcare contributes to erroneous and delayed decision-making.</w:t>
      </w:r>
    </w:p>
    <w:p w14:paraId="1D1D281E"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35" w:name="_2yd0t6qjknrm" w:colFirst="0" w:colLast="0"/>
      <w:bookmarkStart w:id="36" w:name="_Toc236940182"/>
      <w:bookmarkEnd w:id="35"/>
      <w:r w:rsidRPr="00A93031">
        <w:rPr>
          <w:rFonts w:ascii="Arial" w:eastAsia="Arial" w:hAnsi="Arial" w:cs="Arial"/>
          <w:b/>
          <w:bCs/>
          <w:i/>
          <w:iCs/>
          <w:kern w:val="0"/>
          <w:lang w:val="en-GB"/>
          <w14:ligatures w14:val="none"/>
        </w:rPr>
        <w:t>2.2.4 Impact on Accountability</w:t>
      </w:r>
      <w:bookmarkEnd w:id="36"/>
    </w:p>
    <w:p w14:paraId="0298BBF4"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As far as the accountability of taking care of patient X is concerned, it was never clearly assigned to any specific department or doctor; rather, the responsibility was diffused across different healthcare professionals and departments. For example, initially, it was the doctor who was in charge of the emergency department when the patient was first admitted on the first day (HSSIB, 2025). On the same day, the accountability of the patient's care was transferred to the respiratory doctor, who was in charge of the acute medical unit (HSSIB, 2025).</w:t>
      </w:r>
    </w:p>
    <w:p w14:paraId="386F23D5"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During the later phases of the treatment of the patient, it was observed that the patient was attended by other healthcare professionals as well, during their journey within the healthcare facility. For example, the patient was attended by an ear, nose, and throat specialist on the third day, while a respiratory consultant also attended the patient on the seventh day (HSSIB, 2025). The evaluation of this information helps to understand that the accountability of delivering care to patient X was distributed among different healthcare professionals.</w:t>
      </w:r>
    </w:p>
    <w:p w14:paraId="1ABE71F5"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37" w:name="_7576q52yluzy" w:colFirst="0" w:colLast="0"/>
      <w:bookmarkStart w:id="38" w:name="_Toc236940183"/>
      <w:bookmarkEnd w:id="37"/>
      <w:r w:rsidRPr="00A93031">
        <w:rPr>
          <w:rFonts w:ascii="Arial" w:eastAsia="Arial" w:hAnsi="Arial" w:cs="Arial"/>
          <w:b/>
          <w:bCs/>
          <w:i/>
          <w:iCs/>
          <w:kern w:val="0"/>
          <w:lang w:val="en-GB"/>
          <w14:ligatures w14:val="none"/>
        </w:rPr>
        <w:t>2.2.5 Critical Evaluation</w:t>
      </w:r>
      <w:bookmarkEnd w:id="38"/>
    </w:p>
    <w:p w14:paraId="17268ABD"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discussion up to this point highlights the different aspects of centralised decision-making in healthcare settings. From the perspective of expected patient outcomes, it appears that the centralised approach can be a perfect fit. The rationale behind this is the fact that such an approach ensures the following of standardised care protocols, which in turn minimises the </w:t>
      </w:r>
      <w:r w:rsidRPr="00A93031">
        <w:rPr>
          <w:rFonts w:ascii="Arial" w:eastAsia="Arial" w:hAnsi="Arial" w:cs="Arial"/>
          <w:kern w:val="0"/>
          <w:lang w:val="en-GB"/>
          <w14:ligatures w14:val="none"/>
        </w:rPr>
        <w:lastRenderedPageBreak/>
        <w:t>chance of any error. However, the involvement of a multi-layered hierarchy is also found to be in contradiction with fast decision-making, which is often the need in healthcare settings.</w:t>
      </w:r>
    </w:p>
    <w:p w14:paraId="3CA53A1F"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On the contrary, it is also a fact that a decentralised decision-making approach in healthcare often suits the need for making quick decisions. Additionally, a collaborative approach in delivering patient care is also suitable in providing holistic care to a patient. However, it is important to note that because of the involvement of different individuals in a decentralised setting, the outcome of patient care may significantly vary. Therefore, the lack of consistency can be termed as a flipside of a decentralised, or collaborative approach in healthcare.</w:t>
      </w:r>
    </w:p>
    <w:p w14:paraId="29B3795A"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39" w:name="_aru7xgv3ujon" w:colFirst="0" w:colLast="0"/>
      <w:bookmarkStart w:id="40" w:name="_Toc236940184"/>
      <w:bookmarkEnd w:id="39"/>
      <w:r w:rsidRPr="00A93031">
        <w:rPr>
          <w:rFonts w:ascii="Arial" w:eastAsia="Arial" w:hAnsi="Arial" w:cs="Arial"/>
          <w:b/>
          <w:bCs/>
          <w:kern w:val="0"/>
          <w:lang w:val="en-GB"/>
          <w14:ligatures w14:val="none"/>
        </w:rPr>
        <w:t>2.3 Leadership Theory Application</w:t>
      </w:r>
      <w:bookmarkEnd w:id="40"/>
    </w:p>
    <w:p w14:paraId="65432D1D"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41" w:name="_96bwexjghl34" w:colFirst="0" w:colLast="0"/>
      <w:bookmarkStart w:id="42" w:name="_Toc236940185"/>
      <w:bookmarkEnd w:id="41"/>
      <w:r w:rsidRPr="00A93031">
        <w:rPr>
          <w:rFonts w:ascii="Arial" w:eastAsia="Arial" w:hAnsi="Arial" w:cs="Arial"/>
          <w:b/>
          <w:bCs/>
          <w:i/>
          <w:iCs/>
          <w:kern w:val="0"/>
          <w:lang w:val="en-GB"/>
          <w14:ligatures w14:val="none"/>
        </w:rPr>
        <w:t>2.3.1 Transformational Leadership</w:t>
      </w:r>
      <w:bookmarkEnd w:id="42"/>
    </w:p>
    <w:p w14:paraId="5D268CF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When viewed through the lens of the transformational leadership theory, it seems that the organisational culture could have been improved. The insights gathered from the findings presented by </w:t>
      </w:r>
      <w:proofErr w:type="spellStart"/>
      <w:r w:rsidRPr="00A93031">
        <w:rPr>
          <w:rFonts w:ascii="Arial" w:eastAsia="Arial" w:hAnsi="Arial" w:cs="Arial"/>
          <w:kern w:val="0"/>
          <w:lang w:val="en-GB"/>
          <w14:ligatures w14:val="none"/>
        </w:rPr>
        <w:t>Bashori</w:t>
      </w:r>
      <w:proofErr w:type="spellEnd"/>
      <w:r w:rsidRPr="00A93031">
        <w:rPr>
          <w:rFonts w:ascii="Arial" w:eastAsia="Arial" w:hAnsi="Arial" w:cs="Arial"/>
          <w:kern w:val="0"/>
          <w:lang w:val="en-GB"/>
          <w14:ligatures w14:val="none"/>
        </w:rPr>
        <w:t>, Yusup and Khan (2022) suggest that transformational leaders tend to motivate their followers to embrace collaborative approaches and prioritise innovation. As a result of such attributes of transformational leadership, it can be said that with this kind of organisational leadership, it would have been possible to promote a strong safety culture as well.</w:t>
      </w:r>
    </w:p>
    <w:p w14:paraId="2AFA10D5"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application of this theoretical framework also suggests that transformational leaders are better at fostering open communication, which leads to the formation of transparency (</w:t>
      </w:r>
      <w:proofErr w:type="spellStart"/>
      <w:r w:rsidRPr="00A93031">
        <w:rPr>
          <w:rFonts w:ascii="Arial" w:eastAsia="Arial" w:hAnsi="Arial" w:cs="Arial"/>
          <w:kern w:val="0"/>
          <w:lang w:val="en-GB"/>
          <w14:ligatures w14:val="none"/>
        </w:rPr>
        <w:t>Chivaka</w:t>
      </w:r>
      <w:proofErr w:type="spellEnd"/>
      <w:r w:rsidRPr="00A93031">
        <w:rPr>
          <w:rFonts w:ascii="Arial" w:eastAsia="Arial" w:hAnsi="Arial" w:cs="Arial"/>
          <w:kern w:val="0"/>
          <w:lang w:val="en-GB"/>
          <w14:ligatures w14:val="none"/>
        </w:rPr>
        <w:t>, 2024). Hence, considering the fact that the lack of documentation of the risks of pausing the anticoagulation medications, hindering the shared understanding of the healthcare professionals of the care facility, could have been avoided with the implementation of transformational leadership, it can be said that with the help of collaboration and open communication, the health outcome of patient X could have been different.</w:t>
      </w:r>
    </w:p>
    <w:p w14:paraId="56648AF4"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43" w:name="_ws45b0ifri1h" w:colFirst="0" w:colLast="0"/>
      <w:bookmarkStart w:id="44" w:name="_Toc236940186"/>
      <w:bookmarkEnd w:id="43"/>
      <w:r w:rsidRPr="00A93031">
        <w:rPr>
          <w:rFonts w:ascii="Arial" w:eastAsia="Arial" w:hAnsi="Arial" w:cs="Arial"/>
          <w:b/>
          <w:bCs/>
          <w:i/>
          <w:iCs/>
          <w:kern w:val="0"/>
          <w:lang w:val="en-GB"/>
          <w14:ligatures w14:val="none"/>
        </w:rPr>
        <w:t>2.3.2 Transactional Leadership</w:t>
      </w:r>
      <w:bookmarkEnd w:id="44"/>
    </w:p>
    <w:p w14:paraId="6A3388B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Unlike the transformational leadership framework, the application of the transactional leadership model shows contradictory perspectives. The understanding from the findings presented by Islam and Noor (2025) helps to perceive that transactional leaders focus on structured goals and prioritise role clarity, besides choosing to reward their followers for their compliant behaviour. The evaluation of this information suggests that transactional leadership in healthcare can be beneficial because of their emphasis on compliance and consistency, leaving little room for error, particularly in high-stakes environments.</w:t>
      </w:r>
    </w:p>
    <w:p w14:paraId="561162D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However, medical emergencies are neither predictable nor do they follow any specific pattern. As a result, healthcare workers do not always get the opportunity to work in a stable </w:t>
      </w:r>
      <w:r w:rsidRPr="00A93031">
        <w:rPr>
          <w:rFonts w:ascii="Arial" w:eastAsia="Arial" w:hAnsi="Arial" w:cs="Arial"/>
          <w:kern w:val="0"/>
          <w:lang w:val="en-GB"/>
          <w14:ligatures w14:val="none"/>
        </w:rPr>
        <w:lastRenderedPageBreak/>
        <w:t xml:space="preserve">environment, and this is why healthcare facilities demand adaptability from their workers. Moreover, the recent example of healthcare facilities during the pandemic also highlighted that adaptability is crucial in healthcare settings (Singh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xml:space="preserve">., 2024). Therefore, it can be inferred that the over-reliance of transactional leaders on rules, policies, and compliance would have certainly affected clinical decision-making during the incident involving patient X.  </w:t>
      </w:r>
    </w:p>
    <w:p w14:paraId="7408F9E9"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45" w:name="_qsmn00rxm57c" w:colFirst="0" w:colLast="0"/>
      <w:bookmarkStart w:id="46" w:name="_Toc236940187"/>
      <w:bookmarkEnd w:id="45"/>
      <w:r w:rsidRPr="00A93031">
        <w:rPr>
          <w:rFonts w:ascii="Arial" w:eastAsia="Arial" w:hAnsi="Arial" w:cs="Arial"/>
          <w:b/>
          <w:bCs/>
          <w:i/>
          <w:iCs/>
          <w:kern w:val="0"/>
          <w:lang w:val="en-GB"/>
          <w14:ligatures w14:val="none"/>
        </w:rPr>
        <w:t>2.3.3 Situational Leadership</w:t>
      </w:r>
      <w:bookmarkEnd w:id="46"/>
    </w:p>
    <w:p w14:paraId="176867DE"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In order to assess whether or not the healthcare leaders adapted appropriately to the changing clinical circumstances and patient needs, it is important to first learn about the situational leadership style. From what Balasubramanian and Fernandes (2022) stated, the derived meaning of the findings indicates that situational leaders understand that no single leadership style is competent enough to tackle the challenges of the ever-changing world, and hence, they adopt the style of leadership that best suits the situation at hand.</w:t>
      </w:r>
    </w:p>
    <w:p w14:paraId="1B656BD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However, considering the treatment delivered to patient X, it can be said that the situational leadership style has been partially adopted within the healthcare facility by the healthcare professionals. For example, despite the awareness of the patient's cardiovascular conditions, the doctors chose to pause the patient's anticoagulation medication in order to treat their nose bleeding problem (HSSIB, 2025). However, the leadership style is considered to be partial because, once the medical procedure was over, the medication was not resumed, denoting their lack of appropriate adaptation to the changing clinical circumstances and patient needs.</w:t>
      </w:r>
    </w:p>
    <w:p w14:paraId="1CE6054C"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47" w:name="_wp07fuia1fko" w:colFirst="0" w:colLast="0"/>
      <w:bookmarkStart w:id="48" w:name="_Toc236940188"/>
      <w:bookmarkEnd w:id="47"/>
      <w:r w:rsidRPr="00A93031">
        <w:rPr>
          <w:rFonts w:ascii="Arial" w:eastAsia="Arial" w:hAnsi="Arial" w:cs="Arial"/>
          <w:b/>
          <w:bCs/>
          <w:i/>
          <w:iCs/>
          <w:kern w:val="0"/>
          <w:lang w:val="en-GB"/>
          <w14:ligatures w14:val="none"/>
        </w:rPr>
        <w:t>2.3.4 Leadership Effectiveness</w:t>
      </w:r>
      <w:bookmarkEnd w:id="48"/>
    </w:p>
    <w:p w14:paraId="3F65FC51"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effectiveness of an organisation’s leadership can manifest in multifaceted ways. For example, healthcare leaders often prioritise coordination among patients, their families, and the team providing healthcare to them, which together ensures the delivery of patient-centred care (</w:t>
      </w:r>
      <w:proofErr w:type="spellStart"/>
      <w:r w:rsidRPr="00A93031">
        <w:rPr>
          <w:rFonts w:ascii="Arial" w:eastAsia="Arial" w:hAnsi="Arial" w:cs="Arial"/>
          <w:kern w:val="0"/>
          <w:lang w:val="en-GB"/>
          <w14:ligatures w14:val="none"/>
        </w:rPr>
        <w:t>Omaghomi</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xml:space="preserve">., 2024). Additionally, healthcare leaders are also found to be promoting healthcare environments that support interdisciplinary collaboration and continuous improvement of care delivery, which together results in better clinical decision-making and improved patient safety as well (AL </w:t>
      </w:r>
      <w:proofErr w:type="spellStart"/>
      <w:r w:rsidRPr="00A93031">
        <w:rPr>
          <w:rFonts w:ascii="Arial" w:eastAsia="Arial" w:hAnsi="Arial" w:cs="Arial"/>
          <w:kern w:val="0"/>
          <w:lang w:val="en-GB"/>
          <w14:ligatures w14:val="none"/>
        </w:rPr>
        <w:t>Dossary</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2026).</w:t>
      </w:r>
    </w:p>
    <w:p w14:paraId="468D82BF"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effectiveness of healthcare leadership is stated to be manifested even through organisational performance. The findings presented by Demeke, van Engen and Markos (2024) in this context referred to the servant leadership style, and the insights derived from the findings indicate that organisational leaders also extend support and compassion towards their followers and patients, resulting in the overall improvement of a healthcare facility's safety performance. Hence, from the discussion here, it becomes evident that effective leadership in the healthcare facility where patient X was admitted was absent altogether, leading to adverse patient outcomes. </w:t>
      </w:r>
    </w:p>
    <w:p w14:paraId="3DDDB2A0"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49" w:name="_m20r4datr9bd" w:colFirst="0" w:colLast="0"/>
      <w:bookmarkStart w:id="50" w:name="_Toc236940189"/>
      <w:bookmarkEnd w:id="49"/>
      <w:r w:rsidRPr="00A93031">
        <w:rPr>
          <w:rFonts w:ascii="Arial" w:eastAsia="Arial" w:hAnsi="Arial" w:cs="Arial"/>
          <w:b/>
          <w:bCs/>
          <w:i/>
          <w:iCs/>
          <w:kern w:val="0"/>
          <w:lang w:val="en-GB"/>
          <w14:ligatures w14:val="none"/>
        </w:rPr>
        <w:lastRenderedPageBreak/>
        <w:t>2.3.5 Critical Comparison of Leadership Styles</w:t>
      </w:r>
      <w:bookmarkEnd w:id="50"/>
    </w:p>
    <w:p w14:paraId="7D1A8AC6"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discussion up to this point helps to understand the strengths and weaknesses of each of the leadership styles. Based on that, it can be inferred that transactional leadership is only suitable for environments that are more stable and predictable. However, the unpredictability of medical emergencies rendered this leadership style ineffective in the industry. On the other hand, transformational leadership appears to be effective in the healthcare industry, as it motivates its followers to collaborate and communicate, besides encouraging them to be innovative.</w:t>
      </w:r>
    </w:p>
    <w:p w14:paraId="7E4AC849"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However, being a highly regulated and high-stakes industry, intellectual stimulation transcending to innovative approaches may interfere with regulatory adherence as well. As a result, it can be inferred that out of the three leadership styles discussed above, the situational leadership style would have been the most effective for the case of patient X. The rationale behind this evaluation is the core mechanisms of the leadership style, which prioritises adopting the best-fit approach with the maximum potential for success rates. Therefore, for flexibility and adaptability, situational leadership would have been the most effective.</w:t>
      </w:r>
    </w:p>
    <w:p w14:paraId="15F28A30"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51" w:name="_8hszed9fqyhs" w:colFirst="0" w:colLast="0"/>
      <w:bookmarkStart w:id="52" w:name="_Toc236940190"/>
      <w:bookmarkEnd w:id="51"/>
      <w:r w:rsidRPr="00A93031">
        <w:rPr>
          <w:rFonts w:ascii="Arial" w:eastAsia="Arial" w:hAnsi="Arial" w:cs="Arial"/>
          <w:b/>
          <w:bCs/>
          <w:kern w:val="0"/>
          <w:lang w:val="en-GB"/>
          <w14:ligatures w14:val="none"/>
        </w:rPr>
        <w:t>2.4 Improvement and Lessons Learned</w:t>
      </w:r>
      <w:bookmarkEnd w:id="52"/>
    </w:p>
    <w:p w14:paraId="14AC1C0C"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53" w:name="_uzgoii18z2si" w:colFirst="0" w:colLast="0"/>
      <w:bookmarkStart w:id="54" w:name="_Toc236940191"/>
      <w:bookmarkEnd w:id="53"/>
      <w:r w:rsidRPr="00A93031">
        <w:rPr>
          <w:rFonts w:ascii="Arial" w:eastAsia="Arial" w:hAnsi="Arial" w:cs="Arial"/>
          <w:b/>
          <w:bCs/>
          <w:i/>
          <w:iCs/>
          <w:kern w:val="0"/>
          <w:lang w:val="en-GB"/>
          <w14:ligatures w14:val="none"/>
        </w:rPr>
        <w:t>2.4.1 Leadership Improvements</w:t>
      </w:r>
      <w:bookmarkEnd w:id="54"/>
    </w:p>
    <w:p w14:paraId="29BCAC36"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Considering the adverse health outcome of patient X, it is important to focus on improving the leadership practices for different reasons. For example, healthcare leaders need to focus on improving the attitudes of medical staff towards patient safety, while also creating a favourable work environment that facilitates the psychological well-being of staff members, besides actively working on managing staff shortages and work shifts of medical staff members to reduce burnout (Huang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2024). These can help to improve the overall organisational performance, particularly in patient safety.</w:t>
      </w:r>
    </w:p>
    <w:p w14:paraId="462761C4"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lessons learned from the adverse health outcomes involving patient X also suggest that the organisational leaders need to focus on improving their decision-making abilities as well. In this context, Gottlieb, Gottlieb and Bitzas (2021) talk about strength-based healthcare leadership development for better decision-making. The insights gathered from the findings highlight that leaders need to identify the strengths of their individual team members and subsequently work with them to further develop them through empowerment, so that they can make decisions autonomously in the field where they have expertise. </w:t>
      </w:r>
    </w:p>
    <w:p w14:paraId="6FDE8759"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55" w:name="_db0wmpqptypv" w:colFirst="0" w:colLast="0"/>
      <w:bookmarkStart w:id="56" w:name="_Toc236940192"/>
      <w:bookmarkEnd w:id="55"/>
      <w:r w:rsidRPr="00A93031">
        <w:rPr>
          <w:rFonts w:ascii="Arial" w:eastAsia="Arial" w:hAnsi="Arial" w:cs="Arial"/>
          <w:b/>
          <w:bCs/>
          <w:i/>
          <w:iCs/>
          <w:kern w:val="0"/>
          <w:lang w:val="en-GB"/>
          <w14:ligatures w14:val="none"/>
        </w:rPr>
        <w:t>2.4.2 Governance Reforms</w:t>
      </w:r>
      <w:bookmarkEnd w:id="56"/>
    </w:p>
    <w:p w14:paraId="46FB57C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incident involving patient X also points to the fact that the healthcare facility needs to improve its existing governance practices. Based on the understanding of the findings </w:t>
      </w:r>
      <w:r w:rsidRPr="00A93031">
        <w:rPr>
          <w:rFonts w:ascii="Arial" w:eastAsia="Arial" w:hAnsi="Arial" w:cs="Arial"/>
          <w:kern w:val="0"/>
          <w:lang w:val="en-GB"/>
          <w14:ligatures w14:val="none"/>
        </w:rPr>
        <w:lastRenderedPageBreak/>
        <w:t xml:space="preserve">presented by </w:t>
      </w:r>
      <w:proofErr w:type="spellStart"/>
      <w:r w:rsidRPr="00A93031">
        <w:rPr>
          <w:rFonts w:ascii="Arial" w:eastAsia="Arial" w:hAnsi="Arial" w:cs="Arial"/>
          <w:kern w:val="0"/>
          <w:lang w:val="en-GB"/>
          <w14:ligatures w14:val="none"/>
        </w:rPr>
        <w:t>Mangalampalli</w:t>
      </w:r>
      <w:proofErr w:type="spellEnd"/>
      <w:r w:rsidRPr="00A93031">
        <w:rPr>
          <w:rFonts w:ascii="Arial" w:eastAsia="Arial" w:hAnsi="Arial" w:cs="Arial"/>
          <w:kern w:val="0"/>
          <w:lang w:val="en-GB"/>
          <w14:ligatures w14:val="none"/>
        </w:rPr>
        <w:t xml:space="preserve"> (2024), it can be said that the integration of advanced technologies, such as AI, can help in significantly strengthening the existing governance oversight of healthcare facilities. By analysing patient data, AI governance can accurately automate patient treatment performance and compliance as well. However, governance reforms also need the implementation of the right healthcare policy.</w:t>
      </w:r>
    </w:p>
    <w:p w14:paraId="3363E754"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Building on the discussion on strengthening healthcare policy implementation, it is important to note here that conducting independent evaluation of policies at regular intervals can help healthcare firms adjust their strategies to better suit the present needs of the industry and patients. As for strengthening the accountability aspect, it can be said that the employees at the workplace need to be sensitised and mobilised to ensure their participation in decision-making activities, which in turn would increase their overall accountability as well (</w:t>
      </w:r>
      <w:proofErr w:type="spellStart"/>
      <w:r w:rsidRPr="00A93031">
        <w:rPr>
          <w:rFonts w:ascii="Arial" w:eastAsia="Arial" w:hAnsi="Arial" w:cs="Arial"/>
          <w:kern w:val="0"/>
          <w:lang w:val="en-GB"/>
          <w14:ligatures w14:val="none"/>
        </w:rPr>
        <w:t>Kapuya</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2024).</w:t>
      </w:r>
    </w:p>
    <w:p w14:paraId="1AAE6087"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57" w:name="_gypt2aeclqpf" w:colFirst="0" w:colLast="0"/>
      <w:bookmarkStart w:id="58" w:name="_Toc236940193"/>
      <w:bookmarkEnd w:id="57"/>
      <w:r w:rsidRPr="00A93031">
        <w:rPr>
          <w:rFonts w:ascii="Arial" w:eastAsia="Arial" w:hAnsi="Arial" w:cs="Arial"/>
          <w:b/>
          <w:bCs/>
          <w:i/>
          <w:iCs/>
          <w:kern w:val="0"/>
          <w:lang w:val="en-GB"/>
          <w14:ligatures w14:val="none"/>
        </w:rPr>
        <w:t>2.4.3 Communication Improvements</w:t>
      </w:r>
      <w:bookmarkEnd w:id="58"/>
    </w:p>
    <w:p w14:paraId="2EB9DACF"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From the case study, it becomes clear that medication-related errors, caused by the lack of communication among multidisciplinary teams, including the doctors at ED, AMU, and AGM, led to the death of patient X because their anticoagulation medications were kept on hold for a prolonged period (HSSIB, 2025). As a result, it becomes imperative that the healthcare facility considers formulating strategies for the improvement of their existing multidisciplinary communication. The rationale for this is the fact that it can help with information sharing and plugging knowledge gaps.</w:t>
      </w:r>
    </w:p>
    <w:p w14:paraId="2B0C00C8"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In order to improve multidisciplinary communication and avoid medication-related errors, the healthcare facility may consider providing their employees with simulation-based interprofessional training to overcome the challenges of professional silos and progress towards a collaborative culture (Sung and Hsu, 2025). Such simulation-based training of healthcare staff members helps them develop the necessary skills to collaborate, while improving their overall collective clinical decision-making. The rationale for this being effective is the fact that the healthcare employees would get hands-on experience in collaborating with others in high-stakes simulated environments.  </w:t>
      </w:r>
    </w:p>
    <w:p w14:paraId="0686BA5F"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59" w:name="_v2aikkyyyfvf" w:colFirst="0" w:colLast="0"/>
      <w:bookmarkStart w:id="60" w:name="_Toc236940194"/>
      <w:bookmarkEnd w:id="59"/>
      <w:r w:rsidRPr="00A93031">
        <w:rPr>
          <w:rFonts w:ascii="Arial" w:eastAsia="Arial" w:hAnsi="Arial" w:cs="Arial"/>
          <w:b/>
          <w:bCs/>
          <w:i/>
          <w:iCs/>
          <w:kern w:val="0"/>
          <w:lang w:val="en-GB"/>
          <w14:ligatures w14:val="none"/>
        </w:rPr>
        <w:t>2.4.4 Accountability Systems</w:t>
      </w:r>
      <w:bookmarkEnd w:id="60"/>
    </w:p>
    <w:p w14:paraId="79A88D73"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The adverse patient outcome points to the need for the improvement of the accountability systems of the healthcare organisation. Based on the findings presented by Hut-Mossel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(2021), it can be said that conducting audits at regular intervals can significantly improve the overall quality of hospital care. The rationale behind this claim is the fact that healthcare workers get the opportunity to raise issues with their supervisors based on the audit findings, while audits also facilitate healthcare workers to voice their feedback on their peers as well.</w:t>
      </w:r>
    </w:p>
    <w:p w14:paraId="524764C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lastRenderedPageBreak/>
        <w:t xml:space="preserve">With audits facilitating constructive collaboration by virtually eliminating the hierarchical structure of healthcare firms, establishing clear responsibilities is also effective in improving the overall organisational accountability. Going by the findings presented by </w:t>
      </w:r>
      <w:proofErr w:type="spellStart"/>
      <w:r w:rsidRPr="00A93031">
        <w:rPr>
          <w:rFonts w:ascii="Arial" w:eastAsia="Arial" w:hAnsi="Arial" w:cs="Arial"/>
          <w:kern w:val="0"/>
          <w:lang w:val="en-GB"/>
          <w14:ligatures w14:val="none"/>
        </w:rPr>
        <w:t>Hossny</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et al</w:t>
      </w:r>
      <w:r w:rsidRPr="00A93031">
        <w:rPr>
          <w:rFonts w:ascii="Arial" w:eastAsia="Arial" w:hAnsi="Arial" w:cs="Arial"/>
          <w:kern w:val="0"/>
          <w:lang w:val="en-GB"/>
          <w14:ligatures w14:val="none"/>
        </w:rPr>
        <w:t>. (2026), it is understood that if healthcare employees have clarity of their roles, they tend to better understand their responsibilities, know what is expected of them, and the way they are integrated into the healthcare system of the organisation. Thus, making the responsibilities clear to the healthcare workers can also improve their sense of accountability.</w:t>
      </w:r>
    </w:p>
    <w:p w14:paraId="17F2AEDE" w14:textId="77777777" w:rsidR="00644E9D" w:rsidRPr="00A93031" w:rsidRDefault="00644E9D" w:rsidP="007877F7">
      <w:pPr>
        <w:keepNext/>
        <w:keepLines/>
        <w:spacing w:before="120" w:after="120" w:line="360" w:lineRule="auto"/>
        <w:jc w:val="both"/>
        <w:outlineLvl w:val="2"/>
        <w:rPr>
          <w:rFonts w:ascii="Arial" w:eastAsia="Arial" w:hAnsi="Arial" w:cs="Arial"/>
          <w:b/>
          <w:bCs/>
          <w:i/>
          <w:iCs/>
          <w:kern w:val="0"/>
          <w:lang w:val="en-GB"/>
          <w14:ligatures w14:val="none"/>
        </w:rPr>
      </w:pPr>
      <w:bookmarkStart w:id="61" w:name="_brr39snorzi1" w:colFirst="0" w:colLast="0"/>
      <w:bookmarkStart w:id="62" w:name="_Toc236940195"/>
      <w:bookmarkEnd w:id="61"/>
      <w:r w:rsidRPr="00A93031">
        <w:rPr>
          <w:rFonts w:ascii="Arial" w:eastAsia="Arial" w:hAnsi="Arial" w:cs="Arial"/>
          <w:b/>
          <w:bCs/>
          <w:i/>
          <w:iCs/>
          <w:kern w:val="0"/>
          <w:lang w:val="en-GB"/>
          <w14:ligatures w14:val="none"/>
        </w:rPr>
        <w:t>2.4.5 Lessons for Healthcare Organisations</w:t>
      </w:r>
      <w:bookmarkEnd w:id="62"/>
    </w:p>
    <w:p w14:paraId="542B3C6F"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discussion here contributes to the broader lessons that other healthcare organisations can also apply in order to prevent the recurrence of such incidents. Healthcare organisations need to focus on improving their existing leadership to improve their organisational performance in patient safety. Likewise, healthcare organisations also need to reform their existing governance structure so that oversight and accountability can be strengthened. Other than these, improvement in internal communication is another aspect that healthcare organisations also need to emphasise for improvement.</w:t>
      </w:r>
    </w:p>
    <w:p w14:paraId="19BA5A99"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While providing simulation-based training can improve the overall multidisciplinary communication quality of healthcare teams, healthcare organisations also need to focus on setting up clear roles and responsibilities for their employees and conducting audits at regular intervals for better organisational performance and peer improvement. The evaluation of these recommendations suggests that if healthcare firms can implement these measures, they would be able to achieve holistic improvement in terms of delivering quality healthcare to patients, while also being able to avoid adverse patient outcomes that have actually happened with patient X.</w:t>
      </w:r>
    </w:p>
    <w:p w14:paraId="1D32651E" w14:textId="77777777" w:rsidR="00644E9D" w:rsidRPr="00A93031" w:rsidRDefault="00644E9D" w:rsidP="007877F7">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63" w:name="_bn09b1mn97eb" w:colFirst="0" w:colLast="0"/>
      <w:bookmarkStart w:id="64" w:name="_Toc236940196"/>
      <w:bookmarkEnd w:id="63"/>
      <w:r w:rsidRPr="00A93031">
        <w:rPr>
          <w:rFonts w:ascii="Arial" w:eastAsia="Arial" w:hAnsi="Arial" w:cs="Arial"/>
          <w:b/>
          <w:bCs/>
          <w:kern w:val="0"/>
          <w:sz w:val="26"/>
          <w:szCs w:val="26"/>
          <w:lang w:val="en-GB"/>
          <w14:ligatures w14:val="none"/>
        </w:rPr>
        <w:t>3. Recommendations</w:t>
      </w:r>
      <w:bookmarkEnd w:id="64"/>
    </w:p>
    <w:p w14:paraId="315DF8F4"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65" w:name="_brr3x6rhddxd" w:colFirst="0" w:colLast="0"/>
      <w:bookmarkStart w:id="66" w:name="_Toc236940197"/>
      <w:bookmarkEnd w:id="65"/>
      <w:r w:rsidRPr="00A93031">
        <w:rPr>
          <w:rFonts w:ascii="Arial" w:eastAsia="Arial" w:hAnsi="Arial" w:cs="Arial"/>
          <w:b/>
          <w:bCs/>
          <w:kern w:val="0"/>
          <w:lang w:val="en-GB"/>
          <w14:ligatures w14:val="none"/>
        </w:rPr>
        <w:t>3.1 Leadership Development</w:t>
      </w:r>
      <w:bookmarkEnd w:id="66"/>
    </w:p>
    <w:p w14:paraId="7D24864C"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In order to develop the existing organisational leadership, it is recommended to conduct leadership training programs that can strengthen patient safety and clinical decision-making as well. Such training programs reduce role ambiguity, particularly in care pathways, thereby ensuring accountability for patient outcomes. Leadership development training programs also allow organisational leaders to model evidence-based choices, which in turn develops their critical appraisal ability of clinical guidelines and patient data as well. Such programs also develop leaders' ability to map processes, while also empowering them to identify any underlying risks. With the integration of simulation into such programs, leaders are able to further polish their existing skills of coordination, while also developing ways to overcome organisational silos.</w:t>
      </w:r>
    </w:p>
    <w:p w14:paraId="7D4113C2"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67" w:name="_uljq96d8s8zm" w:colFirst="0" w:colLast="0"/>
      <w:bookmarkStart w:id="68" w:name="_Toc236940198"/>
      <w:bookmarkEnd w:id="67"/>
      <w:r w:rsidRPr="00A93031">
        <w:rPr>
          <w:rFonts w:ascii="Arial" w:eastAsia="Arial" w:hAnsi="Arial" w:cs="Arial"/>
          <w:b/>
          <w:bCs/>
          <w:kern w:val="0"/>
          <w:lang w:val="en-GB"/>
          <w14:ligatures w14:val="none"/>
        </w:rPr>
        <w:lastRenderedPageBreak/>
        <w:t>3.2 Governance Strengthening</w:t>
      </w:r>
      <w:bookmarkEnd w:id="68"/>
    </w:p>
    <w:p w14:paraId="449FE6F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It is also proposed that healthcare organisations consider strengthening their existing governance policies that can contribute to the overall improvement of oversight, risk management, and accountability. In order to achieve this objective, healthcare organisations need to contract independent oversight bodies with authority to investigate and publish findings. In addition to this, it is also essential to develop transparent performance metrics with the help of measurable performance targets covering patient safety and care quality. In order to excel in risk management, healthcare firms may choose to implement organisation-wide risk registers, besides conducting risk audits at regular intervals. Additionally, to further strengthen the existing governance framework, formalisation of stakeholder participation in governance decisions needs to be made mandatory.</w:t>
      </w:r>
    </w:p>
    <w:p w14:paraId="456BBA4A"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69" w:name="_cqtccp6s3vg" w:colFirst="0" w:colLast="0"/>
      <w:bookmarkStart w:id="70" w:name="_Toc236940199"/>
      <w:bookmarkEnd w:id="69"/>
      <w:r w:rsidRPr="00A93031">
        <w:rPr>
          <w:rFonts w:ascii="Arial" w:eastAsia="Arial" w:hAnsi="Arial" w:cs="Arial"/>
          <w:b/>
          <w:bCs/>
          <w:kern w:val="0"/>
          <w:lang w:val="en-GB"/>
          <w14:ligatures w14:val="none"/>
        </w:rPr>
        <w:t>3.3 Communication Strategies</w:t>
      </w:r>
      <w:bookmarkEnd w:id="70"/>
    </w:p>
    <w:p w14:paraId="50D683B2"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Based on the understanding and the patient outcome, it is suggested that healthcare organisations find practical methods for improving communication across their multidisciplinary healthcare teams. In order to materialise this recommendation, it would be essential for healthcare organisations to use the Situation, Background, Assessment, and Recommendations approach that can ensure clear and consistent communication. Other than these, practising regular inter-disciplinary team huddles could be another way to align priorities, share knowledge and updates pertaining to patient care. Healthcare organisations also need to adopt a closed-loop communication approach, which would ensure that a formal confirmation is obtained from higher authorities to prevent misunderstanding or medication errors. The EHR records need to be updated in real-time, with access allowed to all internal staff. </w:t>
      </w:r>
    </w:p>
    <w:p w14:paraId="50872332"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71" w:name="_8xdvj7tq0k85" w:colFirst="0" w:colLast="0"/>
      <w:bookmarkStart w:id="72" w:name="_Toc236940200"/>
      <w:bookmarkEnd w:id="71"/>
      <w:r w:rsidRPr="00A93031">
        <w:rPr>
          <w:rFonts w:ascii="Arial" w:eastAsia="Arial" w:hAnsi="Arial" w:cs="Arial"/>
          <w:b/>
          <w:bCs/>
          <w:kern w:val="0"/>
          <w:lang w:val="en-GB"/>
          <w14:ligatures w14:val="none"/>
        </w:rPr>
        <w:t>3.4 Continuous Monitoring</w:t>
      </w:r>
      <w:bookmarkEnd w:id="72"/>
    </w:p>
    <w:p w14:paraId="6B5E25B4"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For early risk identification, it is also recommended to have continuous monitoring systems available at healthcare facilities. Healthcare organisations need to have clear, effective, and running monitoring systems, including scopes for audits, incident reporting, as well as performance indicators. In this context, it is essential to conduct regular audits of patient records and clinical outcomes in order to benchmark them against national standards to discover existing gaps in practice. Healthcare organisations also need to implement anonymous and non-punitive ways to report critical healthcare incidents to appropriate authorities. Moreover, as a part of continuous monitoring, healthcare organisations also need to keep track of employee performance through patient wait time, or medication error incidents and publish them through dashboards in real-time.</w:t>
      </w:r>
    </w:p>
    <w:p w14:paraId="15D963DA"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73" w:name="_ccqvbamqjekf" w:colFirst="0" w:colLast="0"/>
      <w:bookmarkStart w:id="74" w:name="_Toc236940201"/>
      <w:bookmarkEnd w:id="73"/>
      <w:r w:rsidRPr="00A93031">
        <w:rPr>
          <w:rFonts w:ascii="Arial" w:eastAsia="Arial" w:hAnsi="Arial" w:cs="Arial"/>
          <w:b/>
          <w:bCs/>
          <w:kern w:val="0"/>
          <w:lang w:val="en-GB"/>
          <w14:ligatures w14:val="none"/>
        </w:rPr>
        <w:lastRenderedPageBreak/>
        <w:t>3.5 Organisational Learning</w:t>
      </w:r>
      <w:bookmarkEnd w:id="74"/>
    </w:p>
    <w:p w14:paraId="4FD8669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Healthcare organisations are also recommended to emphasise continuous learning, reflective practice, and organisational feedback so that improvements achieved can be sustained for the long-term. Employees would continue to learn and keep themselves updated through training programs scheduled at regular intervals. As a result, they would be more adaptable to embrace modern healthcare practices, significantly lowering the overall risk factors stemming from outdated practices. It is also a fact that if clinicians are encouraged to follow a structured reflection process immediately after an incident, it not only promotes self-awareness but also helps them identify their internal weaknesses that need to be worked on in order to improve. Regular feedback from patient surveys and peer reviews can also make system-level improvements.</w:t>
      </w:r>
    </w:p>
    <w:p w14:paraId="3BE51BEE" w14:textId="77777777" w:rsidR="00644E9D" w:rsidRPr="00A93031" w:rsidRDefault="00644E9D" w:rsidP="007877F7">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75" w:name="_gl531lwu4dg8" w:colFirst="0" w:colLast="0"/>
      <w:bookmarkStart w:id="76" w:name="_Toc236940202"/>
      <w:bookmarkEnd w:id="75"/>
      <w:r w:rsidRPr="00A93031">
        <w:rPr>
          <w:rFonts w:ascii="Arial" w:eastAsia="Arial" w:hAnsi="Arial" w:cs="Arial"/>
          <w:b/>
          <w:bCs/>
          <w:kern w:val="0"/>
          <w:sz w:val="26"/>
          <w:szCs w:val="26"/>
          <w:lang w:val="en-GB"/>
          <w14:ligatures w14:val="none"/>
        </w:rPr>
        <w:t>4. Conclusion</w:t>
      </w:r>
      <w:bookmarkEnd w:id="76"/>
    </w:p>
    <w:p w14:paraId="5F6D4835"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77" w:name="_snd3507ea3rp" w:colFirst="0" w:colLast="0"/>
      <w:bookmarkStart w:id="78" w:name="_Toc236940203"/>
      <w:bookmarkEnd w:id="77"/>
      <w:r w:rsidRPr="00A93031">
        <w:rPr>
          <w:rFonts w:ascii="Arial" w:eastAsia="Arial" w:hAnsi="Arial" w:cs="Arial"/>
          <w:b/>
          <w:bCs/>
          <w:kern w:val="0"/>
          <w:lang w:val="en-GB"/>
          <w14:ligatures w14:val="none"/>
        </w:rPr>
        <w:t>4.1 Summary of Findings</w:t>
      </w:r>
      <w:bookmarkEnd w:id="78"/>
    </w:p>
    <w:p w14:paraId="7E7815C8"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findings presented in this research clearly highlight leadership issues, governance failures, and organisational issues. From the perspective of leadership issues, the study revealed that ensuring continuity of care and patient safety was missing. While viewing through the lens of the existing governance framework of the healthcare organisation, it is noted that early identification of patient risks associated with pausing the anticoagulation medication of the patient failed. In addition to these, communication breakdown across departments, diffused accountability of patient care, and shortage of specialist healthcare workers are the other major organisational issues that came to the fore through the case involving patient X.</w:t>
      </w:r>
    </w:p>
    <w:p w14:paraId="5FE89583"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79" w:name="_nqacoelwuyh1" w:colFirst="0" w:colLast="0"/>
      <w:bookmarkStart w:id="80" w:name="_Toc236940204"/>
      <w:bookmarkEnd w:id="79"/>
      <w:r w:rsidRPr="00A93031">
        <w:rPr>
          <w:rFonts w:ascii="Arial" w:eastAsia="Arial" w:hAnsi="Arial" w:cs="Arial"/>
          <w:b/>
          <w:bCs/>
          <w:kern w:val="0"/>
          <w:lang w:val="en-GB"/>
          <w14:ligatures w14:val="none"/>
        </w:rPr>
        <w:t>4.2 Importance of Leadership and Governance</w:t>
      </w:r>
      <w:bookmarkEnd w:id="80"/>
    </w:p>
    <w:p w14:paraId="78BCA62B"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The study highlighted that both effective leadership as well as strong governance are important for safe and high-quality healthcare. From the leadership perspective, it is noted that by setting clear objectives, healthcare leaders can effectively ensure that their followers understand the priorities pertaining to patient safety and care quality. Moreover, healthcare leadership is also found to be effective in reducing organisational silos by promoting collaboration and communication across multidisciplinary teams, which facilitates coordinated patient care. Effective leadership in healthcare settings is also observed to favour staff empowerment through role clarity and granting autonomy, which in turn helps to build a safety culture.</w:t>
      </w:r>
    </w:p>
    <w:p w14:paraId="783FA8D1" w14:textId="6E598538"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Much like leadership, the findings of this study also underscore the importance of strong governance. A strong governance framework in healthcare settings is found to be beneficial </w:t>
      </w:r>
      <w:r w:rsidRPr="00A93031">
        <w:rPr>
          <w:rFonts w:ascii="Arial" w:eastAsia="Arial" w:hAnsi="Arial" w:cs="Arial"/>
          <w:kern w:val="0"/>
          <w:lang w:val="en-GB"/>
          <w14:ligatures w14:val="none"/>
        </w:rPr>
        <w:lastRenderedPageBreak/>
        <w:t xml:space="preserve">in establishing a robust risk management system through policies and audits, eliminating patient safety risks. Strong governance through independent bodies also helps healthcare organisations to remain compliant with regulatory and clinical requirements. Furthermore, the findings also highlighted that with the help of a strong governance framework, healthcare organisations are better at defining accountability structures that build transparency and also foster trust among team members. Thus, the study highlighted the importance of both leadership and governance.  </w:t>
      </w:r>
    </w:p>
    <w:p w14:paraId="3D3C5B07" w14:textId="77777777" w:rsidR="00644E9D" w:rsidRPr="00A93031" w:rsidRDefault="00644E9D" w:rsidP="007877F7">
      <w:pPr>
        <w:keepNext/>
        <w:keepLines/>
        <w:spacing w:before="120" w:after="120" w:line="360" w:lineRule="auto"/>
        <w:jc w:val="both"/>
        <w:outlineLvl w:val="1"/>
        <w:rPr>
          <w:rFonts w:ascii="Arial" w:eastAsia="Arial" w:hAnsi="Arial" w:cs="Arial"/>
          <w:b/>
          <w:bCs/>
          <w:kern w:val="0"/>
          <w:lang w:val="en-GB"/>
          <w14:ligatures w14:val="none"/>
        </w:rPr>
      </w:pPr>
      <w:bookmarkStart w:id="81" w:name="_betsj9d38hem" w:colFirst="0" w:colLast="0"/>
      <w:bookmarkStart w:id="82" w:name="_Toc236940205"/>
      <w:bookmarkEnd w:id="81"/>
      <w:r w:rsidRPr="00A93031">
        <w:rPr>
          <w:rFonts w:ascii="Arial" w:eastAsia="Arial" w:hAnsi="Arial" w:cs="Arial"/>
          <w:b/>
          <w:bCs/>
          <w:kern w:val="0"/>
          <w:lang w:val="en-GB"/>
          <w14:ligatures w14:val="none"/>
        </w:rPr>
        <w:t>4.3 Final Conclusion</w:t>
      </w:r>
      <w:bookmarkEnd w:id="82"/>
    </w:p>
    <w:p w14:paraId="4F7CF42F"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From the discussion up to this point, it can be concluded that leadership effectiveness is manifested through coordination, adaptability, and collaboration aimed at ensuring patient safety. While strong governance, clear policies, and risk management frameworks prevent lapses in healthcare, defining accountability of each staff member prevents the diffusion of patient care responsibility, which in turn holds the entire organisation answerable for any adverse patient outcomes. Thus, it becomes clear that leadership, governance, and defined accountability together ensure patient safety by reducing medication errors.</w:t>
      </w:r>
    </w:p>
    <w:p w14:paraId="07B08459" w14:textId="77777777" w:rsidR="00644E9D" w:rsidRPr="00A93031" w:rsidRDefault="00644E9D"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br w:type="page"/>
      </w:r>
    </w:p>
    <w:p w14:paraId="19D1F292" w14:textId="7DEF0CAF" w:rsidR="00644E9D" w:rsidRPr="00A93031" w:rsidRDefault="00644E9D" w:rsidP="007877F7">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83" w:name="_Toc236940206"/>
      <w:r w:rsidRPr="00A93031">
        <w:rPr>
          <w:rFonts w:ascii="Arial" w:eastAsia="Arial" w:hAnsi="Arial" w:cs="Arial"/>
          <w:b/>
          <w:bCs/>
          <w:kern w:val="0"/>
          <w:sz w:val="26"/>
          <w:szCs w:val="26"/>
          <w:lang w:val="en-GB"/>
          <w14:ligatures w14:val="none"/>
        </w:rPr>
        <w:lastRenderedPageBreak/>
        <w:t>Reference</w:t>
      </w:r>
      <w:r w:rsidR="007877F7" w:rsidRPr="00A93031">
        <w:rPr>
          <w:rFonts w:ascii="Arial" w:eastAsia="Arial" w:hAnsi="Arial" w:cs="Arial"/>
          <w:b/>
          <w:bCs/>
          <w:kern w:val="0"/>
          <w:sz w:val="26"/>
          <w:szCs w:val="26"/>
          <w:lang w:val="en-GB"/>
          <w14:ligatures w14:val="none"/>
        </w:rPr>
        <w:t>s</w:t>
      </w:r>
      <w:bookmarkEnd w:id="83"/>
    </w:p>
    <w:p w14:paraId="22F7904A"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Ahmed, Z., </w:t>
      </w:r>
      <w:proofErr w:type="spellStart"/>
      <w:r w:rsidRPr="00A93031">
        <w:rPr>
          <w:rFonts w:ascii="Arial" w:eastAsia="Arial" w:hAnsi="Arial" w:cs="Arial"/>
          <w:kern w:val="0"/>
          <w:lang w:val="en-GB"/>
          <w14:ligatures w14:val="none"/>
        </w:rPr>
        <w:t>Ellahham</w:t>
      </w:r>
      <w:proofErr w:type="spellEnd"/>
      <w:r w:rsidRPr="00A93031">
        <w:rPr>
          <w:rFonts w:ascii="Arial" w:eastAsia="Arial" w:hAnsi="Arial" w:cs="Arial"/>
          <w:kern w:val="0"/>
          <w:lang w:val="en-GB"/>
          <w14:ligatures w14:val="none"/>
        </w:rPr>
        <w:t xml:space="preserve">, S., Soomro, M., Shams, S., and Latif, K. (2024). Exploring the impact of compassion and leadership on patient safety and quality in healthcare systems: a narrative review. </w:t>
      </w:r>
      <w:r w:rsidRPr="00A93031">
        <w:rPr>
          <w:rFonts w:ascii="Arial" w:eastAsia="Arial" w:hAnsi="Arial" w:cs="Arial"/>
          <w:i/>
          <w:iCs/>
          <w:kern w:val="0"/>
          <w:lang w:val="en-GB"/>
          <w14:ligatures w14:val="none"/>
        </w:rPr>
        <w:t>BMJ open quality</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13</w:t>
      </w:r>
      <w:r w:rsidRPr="00A93031">
        <w:rPr>
          <w:rFonts w:ascii="Arial" w:eastAsia="Arial" w:hAnsi="Arial" w:cs="Arial"/>
          <w:kern w:val="0"/>
          <w:lang w:val="en-GB"/>
          <w14:ligatures w14:val="none"/>
        </w:rPr>
        <w:t>(</w:t>
      </w:r>
      <w:proofErr w:type="spellStart"/>
      <w:r w:rsidRPr="00A93031">
        <w:rPr>
          <w:rFonts w:ascii="Arial" w:eastAsia="Arial" w:hAnsi="Arial" w:cs="Arial"/>
          <w:kern w:val="0"/>
          <w:lang w:val="en-GB"/>
          <w14:ligatures w14:val="none"/>
        </w:rPr>
        <w:t>Suppl</w:t>
      </w:r>
      <w:proofErr w:type="spellEnd"/>
      <w:r w:rsidRPr="00A93031">
        <w:rPr>
          <w:rFonts w:ascii="Arial" w:eastAsia="Arial" w:hAnsi="Arial" w:cs="Arial"/>
          <w:kern w:val="0"/>
          <w:lang w:val="en-GB"/>
          <w14:ligatures w14:val="none"/>
        </w:rPr>
        <w:t xml:space="preserve"> 2). </w:t>
      </w:r>
    </w:p>
    <w:p w14:paraId="0E673350"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AL </w:t>
      </w:r>
      <w:proofErr w:type="spellStart"/>
      <w:r w:rsidRPr="00A93031">
        <w:rPr>
          <w:rFonts w:ascii="Arial" w:eastAsia="Arial" w:hAnsi="Arial" w:cs="Arial"/>
          <w:kern w:val="0"/>
          <w:lang w:val="en-GB"/>
          <w14:ligatures w14:val="none"/>
        </w:rPr>
        <w:t>Dossary</w:t>
      </w:r>
      <w:proofErr w:type="spellEnd"/>
      <w:r w:rsidRPr="00A93031">
        <w:rPr>
          <w:rFonts w:ascii="Arial" w:eastAsia="Arial" w:hAnsi="Arial" w:cs="Arial"/>
          <w:kern w:val="0"/>
          <w:lang w:val="en-GB"/>
          <w14:ligatures w14:val="none"/>
        </w:rPr>
        <w:t xml:space="preserve">, B. D., AL Mutairi, S. S., AL </w:t>
      </w:r>
      <w:proofErr w:type="spellStart"/>
      <w:r w:rsidRPr="00A93031">
        <w:rPr>
          <w:rFonts w:ascii="Arial" w:eastAsia="Arial" w:hAnsi="Arial" w:cs="Arial"/>
          <w:kern w:val="0"/>
          <w:lang w:val="en-GB"/>
          <w14:ligatures w14:val="none"/>
        </w:rPr>
        <w:t>Dugheiter</w:t>
      </w:r>
      <w:proofErr w:type="spellEnd"/>
      <w:r w:rsidRPr="00A93031">
        <w:rPr>
          <w:rFonts w:ascii="Arial" w:eastAsia="Arial" w:hAnsi="Arial" w:cs="Arial"/>
          <w:kern w:val="0"/>
          <w:lang w:val="en-GB"/>
          <w14:ligatures w14:val="none"/>
        </w:rPr>
        <w:t xml:space="preserve">, A. A., AL Otaibi, B. S., AL Mutairi, A. O., AL Mutairi, A. R., AL Zamil. M. A. and AL Rashidi, A. M. (2026). The Role of the Multidisciplinary Healthcare Team in Enhancing Healthcare Quality and Patient Safety: A Comprehensive Review. </w:t>
      </w:r>
      <w:r w:rsidRPr="00A93031">
        <w:rPr>
          <w:rFonts w:ascii="Arial" w:eastAsia="Arial" w:hAnsi="Arial" w:cs="Arial"/>
          <w:i/>
          <w:iCs/>
          <w:kern w:val="0"/>
          <w:lang w:val="en-GB"/>
          <w14:ligatures w14:val="none"/>
        </w:rPr>
        <w:t>Journal of Daoist Studies</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19</w:t>
      </w:r>
      <w:r w:rsidRPr="00A93031">
        <w:rPr>
          <w:rFonts w:ascii="Arial" w:eastAsia="Arial" w:hAnsi="Arial" w:cs="Arial"/>
          <w:kern w:val="0"/>
          <w:lang w:val="en-GB"/>
          <w14:ligatures w14:val="none"/>
        </w:rPr>
        <w:t>(S8), 1355-1370. </w:t>
      </w:r>
    </w:p>
    <w:p w14:paraId="28284208"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Alrowily</w:t>
      </w:r>
      <w:proofErr w:type="spellEnd"/>
      <w:r w:rsidRPr="00A93031">
        <w:rPr>
          <w:rFonts w:ascii="Arial" w:eastAsia="Arial" w:hAnsi="Arial" w:cs="Arial"/>
          <w:kern w:val="0"/>
          <w:lang w:val="en-GB"/>
          <w14:ligatures w14:val="none"/>
        </w:rPr>
        <w:t xml:space="preserve">, A., </w:t>
      </w:r>
      <w:proofErr w:type="spellStart"/>
      <w:r w:rsidRPr="00A93031">
        <w:rPr>
          <w:rFonts w:ascii="Arial" w:eastAsia="Arial" w:hAnsi="Arial" w:cs="Arial"/>
          <w:kern w:val="0"/>
          <w:lang w:val="en-GB"/>
          <w14:ligatures w14:val="none"/>
        </w:rPr>
        <w:t>Alfaraidy</w:t>
      </w:r>
      <w:proofErr w:type="spellEnd"/>
      <w:r w:rsidRPr="00A93031">
        <w:rPr>
          <w:rFonts w:ascii="Arial" w:eastAsia="Arial" w:hAnsi="Arial" w:cs="Arial"/>
          <w:kern w:val="0"/>
          <w:lang w:val="en-GB"/>
          <w14:ligatures w14:val="none"/>
        </w:rPr>
        <w:t xml:space="preserve">, K., Almutairi, S., Alamri, A., </w:t>
      </w:r>
      <w:proofErr w:type="spellStart"/>
      <w:r w:rsidRPr="00A93031">
        <w:rPr>
          <w:rFonts w:ascii="Arial" w:eastAsia="Arial" w:hAnsi="Arial" w:cs="Arial"/>
          <w:kern w:val="0"/>
          <w:lang w:val="en-GB"/>
          <w14:ligatures w14:val="none"/>
        </w:rPr>
        <w:t>Alrowily</w:t>
      </w:r>
      <w:proofErr w:type="spellEnd"/>
      <w:r w:rsidRPr="00A93031">
        <w:rPr>
          <w:rFonts w:ascii="Arial" w:eastAsia="Arial" w:hAnsi="Arial" w:cs="Arial"/>
          <w:kern w:val="0"/>
          <w:lang w:val="en-GB"/>
          <w14:ligatures w14:val="none"/>
        </w:rPr>
        <w:t xml:space="preserve">, W., Abutaleb, M., </w:t>
      </w:r>
      <w:proofErr w:type="spellStart"/>
      <w:r w:rsidRPr="00A93031">
        <w:rPr>
          <w:rFonts w:ascii="Arial" w:eastAsia="Arial" w:hAnsi="Arial" w:cs="Arial"/>
          <w:kern w:val="0"/>
          <w:lang w:val="en-GB"/>
          <w14:ligatures w14:val="none"/>
        </w:rPr>
        <w:t>Zaitoun</w:t>
      </w:r>
      <w:proofErr w:type="spellEnd"/>
      <w:r w:rsidRPr="00A93031">
        <w:rPr>
          <w:rFonts w:ascii="Arial" w:eastAsia="Arial" w:hAnsi="Arial" w:cs="Arial"/>
          <w:kern w:val="0"/>
          <w:lang w:val="en-GB"/>
          <w14:ligatures w14:val="none"/>
        </w:rPr>
        <w:t xml:space="preserve">. M. </w:t>
      </w:r>
      <w:proofErr w:type="spellStart"/>
      <w:r w:rsidRPr="00A93031">
        <w:rPr>
          <w:rFonts w:ascii="Arial" w:eastAsia="Arial" w:hAnsi="Arial" w:cs="Arial"/>
          <w:kern w:val="0"/>
          <w:lang w:val="en-GB"/>
          <w14:ligatures w14:val="none"/>
        </w:rPr>
        <w:t>Sarawi</w:t>
      </w:r>
      <w:proofErr w:type="spellEnd"/>
      <w:r w:rsidRPr="00A93031">
        <w:rPr>
          <w:rFonts w:ascii="Arial" w:eastAsia="Arial" w:hAnsi="Arial" w:cs="Arial"/>
          <w:kern w:val="0"/>
          <w:lang w:val="en-GB"/>
          <w14:ligatures w14:val="none"/>
        </w:rPr>
        <w:t xml:space="preserve">. W. and </w:t>
      </w:r>
      <w:proofErr w:type="spellStart"/>
      <w:r w:rsidRPr="00A93031">
        <w:rPr>
          <w:rFonts w:ascii="Arial" w:eastAsia="Arial" w:hAnsi="Arial" w:cs="Arial"/>
          <w:kern w:val="0"/>
          <w:lang w:val="en-GB"/>
          <w14:ligatures w14:val="none"/>
        </w:rPr>
        <w:t>Aljead</w:t>
      </w:r>
      <w:proofErr w:type="spellEnd"/>
      <w:r w:rsidRPr="00A93031">
        <w:rPr>
          <w:rFonts w:ascii="Arial" w:eastAsia="Arial" w:hAnsi="Arial" w:cs="Arial"/>
          <w:kern w:val="0"/>
          <w:lang w:val="en-GB"/>
          <w14:ligatures w14:val="none"/>
        </w:rPr>
        <w:t xml:space="preserve">, M. (2025). High-risk medication errors: insight from the UK National Reporting and Learning System. </w:t>
      </w:r>
      <w:r w:rsidRPr="00A93031">
        <w:rPr>
          <w:rFonts w:ascii="Arial" w:eastAsia="Arial" w:hAnsi="Arial" w:cs="Arial"/>
          <w:i/>
          <w:iCs/>
          <w:kern w:val="0"/>
          <w:lang w:val="en-GB"/>
          <w14:ligatures w14:val="none"/>
        </w:rPr>
        <w:t>Exploratory Research in Clinical and Social Pharmacy</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17</w:t>
      </w:r>
      <w:r w:rsidRPr="00A93031">
        <w:rPr>
          <w:rFonts w:ascii="Arial" w:eastAsia="Arial" w:hAnsi="Arial" w:cs="Arial"/>
          <w:kern w:val="0"/>
          <w:lang w:val="en-GB"/>
          <w14:ligatures w14:val="none"/>
        </w:rPr>
        <w:t>, 100531. </w:t>
      </w:r>
    </w:p>
    <w:p w14:paraId="2B79E8B3"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Altamimi, H., Liu, Q., and Jimenez, B. (2023). Not too much, not too little: Centralization, decentralization, and organizational change. </w:t>
      </w:r>
      <w:r w:rsidRPr="00A93031">
        <w:rPr>
          <w:rFonts w:ascii="Arial" w:eastAsia="Arial" w:hAnsi="Arial" w:cs="Arial"/>
          <w:i/>
          <w:iCs/>
          <w:kern w:val="0"/>
          <w:lang w:val="en-GB"/>
          <w14:ligatures w14:val="none"/>
        </w:rPr>
        <w:t>Journal of Public Administration Research and Theory</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33</w:t>
      </w:r>
      <w:r w:rsidRPr="00A93031">
        <w:rPr>
          <w:rFonts w:ascii="Arial" w:eastAsia="Arial" w:hAnsi="Arial" w:cs="Arial"/>
          <w:kern w:val="0"/>
          <w:lang w:val="en-GB"/>
          <w14:ligatures w14:val="none"/>
        </w:rPr>
        <w:t>(1), 170-185. </w:t>
      </w:r>
    </w:p>
    <w:p w14:paraId="7EE0F2EA"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Balasubramanian, S., and Fernandes, C. (2022). Confirmation of a crisis leadership model and its effectiveness: Lessons from the COVID-19 pandemic. </w:t>
      </w:r>
      <w:r w:rsidRPr="00A93031">
        <w:rPr>
          <w:rFonts w:ascii="Arial" w:eastAsia="Arial" w:hAnsi="Arial" w:cs="Arial"/>
          <w:i/>
          <w:iCs/>
          <w:kern w:val="0"/>
          <w:lang w:val="en-GB"/>
          <w14:ligatures w14:val="none"/>
        </w:rPr>
        <w:t>Cogent business &amp; management</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9</w:t>
      </w:r>
      <w:r w:rsidRPr="00A93031">
        <w:rPr>
          <w:rFonts w:ascii="Arial" w:eastAsia="Arial" w:hAnsi="Arial" w:cs="Arial"/>
          <w:kern w:val="0"/>
          <w:lang w:val="en-GB"/>
          <w14:ligatures w14:val="none"/>
        </w:rPr>
        <w:t>(1), 2022824. </w:t>
      </w:r>
    </w:p>
    <w:p w14:paraId="16D3FDB0"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Bashori</w:t>
      </w:r>
      <w:proofErr w:type="spellEnd"/>
      <w:r w:rsidRPr="00A93031">
        <w:rPr>
          <w:rFonts w:ascii="Arial" w:eastAsia="Arial" w:hAnsi="Arial" w:cs="Arial"/>
          <w:kern w:val="0"/>
          <w:lang w:val="en-GB"/>
          <w14:ligatures w14:val="none"/>
        </w:rPr>
        <w:t xml:space="preserve">, B., Yusup, M., and Khan, R. (2022). From vision to reality: A holistic examination of transformational leadership as a catalyst for cultivating organizational culture in </w:t>
      </w:r>
      <w:proofErr w:type="spellStart"/>
      <w:r w:rsidRPr="00A93031">
        <w:rPr>
          <w:rFonts w:ascii="Arial" w:eastAsia="Arial" w:hAnsi="Arial" w:cs="Arial"/>
          <w:kern w:val="0"/>
          <w:lang w:val="en-GB"/>
          <w14:ligatures w14:val="none"/>
        </w:rPr>
        <w:t>Pesantren</w:t>
      </w:r>
      <w:proofErr w:type="spell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Development: Studies in Educational Management and Leadership</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w:t>
      </w:r>
      <w:r w:rsidRPr="00A93031">
        <w:rPr>
          <w:rFonts w:ascii="Arial" w:eastAsia="Arial" w:hAnsi="Arial" w:cs="Arial"/>
          <w:kern w:val="0"/>
          <w:lang w:val="en-GB"/>
          <w14:ligatures w14:val="none"/>
        </w:rPr>
        <w:t>(2), 133-152. </w:t>
      </w:r>
    </w:p>
    <w:p w14:paraId="5DB7F405"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Bhati, D., Deogade, M. S., and </w:t>
      </w:r>
      <w:proofErr w:type="spellStart"/>
      <w:r w:rsidRPr="00A93031">
        <w:rPr>
          <w:rFonts w:ascii="Arial" w:eastAsia="Arial" w:hAnsi="Arial" w:cs="Arial"/>
          <w:kern w:val="0"/>
          <w:lang w:val="en-GB"/>
          <w14:ligatures w14:val="none"/>
        </w:rPr>
        <w:t>Kanyal</w:t>
      </w:r>
      <w:proofErr w:type="spellEnd"/>
      <w:r w:rsidRPr="00A93031">
        <w:rPr>
          <w:rFonts w:ascii="Arial" w:eastAsia="Arial" w:hAnsi="Arial" w:cs="Arial"/>
          <w:kern w:val="0"/>
          <w:lang w:val="en-GB"/>
          <w14:ligatures w14:val="none"/>
        </w:rPr>
        <w:t xml:space="preserve">, D. (2023). Improving patient outcomes through effective hospital administration: a comprehensive review. </w:t>
      </w:r>
      <w:r w:rsidRPr="00A93031">
        <w:rPr>
          <w:rFonts w:ascii="Arial" w:eastAsia="Arial" w:hAnsi="Arial" w:cs="Arial"/>
          <w:i/>
          <w:iCs/>
          <w:kern w:val="0"/>
          <w:lang w:val="en-GB"/>
          <w14:ligatures w14:val="none"/>
        </w:rPr>
        <w:t>Cureus</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15</w:t>
      </w:r>
      <w:r w:rsidRPr="00A93031">
        <w:rPr>
          <w:rFonts w:ascii="Arial" w:eastAsia="Arial" w:hAnsi="Arial" w:cs="Arial"/>
          <w:kern w:val="0"/>
          <w:lang w:val="en-GB"/>
          <w14:ligatures w14:val="none"/>
        </w:rPr>
        <w:t>(10). </w:t>
      </w:r>
    </w:p>
    <w:p w14:paraId="75194EA9"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Chivaka</w:t>
      </w:r>
      <w:proofErr w:type="spellEnd"/>
      <w:r w:rsidRPr="00A93031">
        <w:rPr>
          <w:rFonts w:ascii="Arial" w:eastAsia="Arial" w:hAnsi="Arial" w:cs="Arial"/>
          <w:kern w:val="0"/>
          <w:lang w:val="en-GB"/>
          <w14:ligatures w14:val="none"/>
        </w:rPr>
        <w:t xml:space="preserve">, R. (2024). From a group of people to a well-functioning team: a transformative leadership model in healthcare. In </w:t>
      </w:r>
      <w:r w:rsidRPr="00A93031">
        <w:rPr>
          <w:rFonts w:ascii="Arial" w:eastAsia="Arial" w:hAnsi="Arial" w:cs="Arial"/>
          <w:i/>
          <w:iCs/>
          <w:kern w:val="0"/>
          <w:lang w:val="en-GB"/>
          <w14:ligatures w14:val="none"/>
        </w:rPr>
        <w:t>Multidisciplinary Teamwork in Healthcare</w:t>
      </w:r>
      <w:r w:rsidRPr="00A93031">
        <w:rPr>
          <w:rFonts w:ascii="Arial" w:eastAsia="Arial" w:hAnsi="Arial" w:cs="Arial"/>
          <w:kern w:val="0"/>
          <w:lang w:val="en-GB"/>
          <w14:ligatures w14:val="none"/>
        </w:rPr>
        <w:t xml:space="preserve">. </w:t>
      </w:r>
      <w:proofErr w:type="spellStart"/>
      <w:r w:rsidRPr="00A93031">
        <w:rPr>
          <w:rFonts w:ascii="Arial" w:eastAsia="Arial" w:hAnsi="Arial" w:cs="Arial"/>
          <w:kern w:val="0"/>
          <w:lang w:val="en-GB"/>
          <w14:ligatures w14:val="none"/>
        </w:rPr>
        <w:t>IntechOpen</w:t>
      </w:r>
      <w:proofErr w:type="spellEnd"/>
      <w:r w:rsidRPr="00A93031">
        <w:rPr>
          <w:rFonts w:ascii="Arial" w:eastAsia="Arial" w:hAnsi="Arial" w:cs="Arial"/>
          <w:kern w:val="0"/>
          <w:lang w:val="en-GB"/>
          <w14:ligatures w14:val="none"/>
        </w:rPr>
        <w:t>. </w:t>
      </w:r>
    </w:p>
    <w:p w14:paraId="66EBAA58"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Demeke, G. W., van Engen, M. L., and Markos, S. (2024). Servant leadership in the healthcare literature: A systematic review. </w:t>
      </w:r>
      <w:r w:rsidRPr="00A93031">
        <w:rPr>
          <w:rFonts w:ascii="Arial" w:eastAsia="Arial" w:hAnsi="Arial" w:cs="Arial"/>
          <w:i/>
          <w:iCs/>
          <w:kern w:val="0"/>
          <w:lang w:val="en-GB"/>
          <w14:ligatures w14:val="none"/>
        </w:rPr>
        <w:t>Journal of healthcare leadership</w:t>
      </w:r>
      <w:r w:rsidRPr="00A93031">
        <w:rPr>
          <w:rFonts w:ascii="Arial" w:eastAsia="Arial" w:hAnsi="Arial" w:cs="Arial"/>
          <w:kern w:val="0"/>
          <w:lang w:val="en-GB"/>
          <w14:ligatures w14:val="none"/>
        </w:rPr>
        <w:t>, 1-14. </w:t>
      </w:r>
    </w:p>
    <w:p w14:paraId="79F2E308" w14:textId="77777777" w:rsidR="00FB00E8" w:rsidRPr="00A93031" w:rsidRDefault="00FB00E8" w:rsidP="00377A49">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Denecke, K., 2026. Safeguarding AI-driven digital health–An adaptation of the Swiss cheese model for safety. </w:t>
      </w:r>
      <w:r w:rsidRPr="00A93031">
        <w:rPr>
          <w:rFonts w:ascii="Arial" w:eastAsia="Arial" w:hAnsi="Arial" w:cs="Arial"/>
          <w:i/>
          <w:iCs/>
          <w:kern w:val="0"/>
          <w:lang w:val="en-GB"/>
          <w14:ligatures w14:val="none"/>
        </w:rPr>
        <w:t>Digital health</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12</w:t>
      </w:r>
      <w:r w:rsidRPr="00A93031">
        <w:rPr>
          <w:rFonts w:ascii="Arial" w:eastAsia="Arial" w:hAnsi="Arial" w:cs="Arial"/>
          <w:kern w:val="0"/>
          <w:lang w:val="en-GB"/>
          <w14:ligatures w14:val="none"/>
        </w:rPr>
        <w:t>, p.20552076261459551.</w:t>
      </w:r>
    </w:p>
    <w:p w14:paraId="75FCADC7"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Dhingra. N. (2024). </w:t>
      </w:r>
      <w:r w:rsidRPr="00A93031">
        <w:rPr>
          <w:rFonts w:ascii="Arial" w:eastAsia="Arial" w:hAnsi="Arial" w:cs="Arial"/>
          <w:i/>
          <w:iCs/>
          <w:kern w:val="0"/>
          <w:lang w:val="en-GB"/>
          <w14:ligatures w14:val="none"/>
        </w:rPr>
        <w:t>Global burden of preventable medication-related harm” and Policy brief on Medication Without Harm</w:t>
      </w:r>
      <w:r w:rsidRPr="00A93031">
        <w:rPr>
          <w:rFonts w:ascii="Arial" w:eastAsia="Arial" w:hAnsi="Arial" w:cs="Arial"/>
          <w:kern w:val="0"/>
          <w:lang w:val="en-GB"/>
          <w14:ligatures w14:val="none"/>
        </w:rPr>
        <w:t xml:space="preserve">. Available: </w:t>
      </w:r>
      <w:hyperlink r:id="rId9" w:history="1">
        <w:r w:rsidRPr="00A93031">
          <w:rPr>
            <w:rFonts w:ascii="Arial" w:eastAsia="Arial" w:hAnsi="Arial" w:cs="Arial"/>
            <w:color w:val="0000FF"/>
            <w:kern w:val="0"/>
            <w:u w:val="single"/>
            <w:lang w:val="en-GB"/>
            <w14:ligatures w14:val="none"/>
          </w:rPr>
          <w:t>https://cdn.who.int/media/docs/default-source/integrated-health-services-(ihs)/psf/medication-without-harm/medication-safety-who-webinar-7march2024.pdf?sfvrsn=fd7842eb_6</w:t>
        </w:r>
      </w:hyperlink>
      <w:r w:rsidRPr="00A93031">
        <w:rPr>
          <w:rFonts w:ascii="Arial" w:eastAsia="Arial" w:hAnsi="Arial" w:cs="Arial"/>
          <w:kern w:val="0"/>
          <w:lang w:val="en-GB"/>
          <w14:ligatures w14:val="none"/>
        </w:rPr>
        <w:t xml:space="preserve"> [Accessed: 6.8.2026]</w:t>
      </w:r>
    </w:p>
    <w:p w14:paraId="79A39F81"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lastRenderedPageBreak/>
        <w:t xml:space="preserve">Gottlieb, L. N., Gottlieb, B., and Bitzas, V. (2021). Creating empowering conditions for nurses with workplace autonomy and agency: how healthcare leaders could be guided by strengths-based nursing and healthcare leadership (SBNH-L). </w:t>
      </w:r>
      <w:r w:rsidRPr="00A93031">
        <w:rPr>
          <w:rFonts w:ascii="Arial" w:eastAsia="Arial" w:hAnsi="Arial" w:cs="Arial"/>
          <w:i/>
          <w:iCs/>
          <w:kern w:val="0"/>
          <w:lang w:val="en-GB"/>
          <w14:ligatures w14:val="none"/>
        </w:rPr>
        <w:t>Journal of healthcare leadership</w:t>
      </w:r>
      <w:r w:rsidRPr="00A93031">
        <w:rPr>
          <w:rFonts w:ascii="Arial" w:eastAsia="Arial" w:hAnsi="Arial" w:cs="Arial"/>
          <w:kern w:val="0"/>
          <w:lang w:val="en-GB"/>
          <w14:ligatures w14:val="none"/>
        </w:rPr>
        <w:t>, 169-181. </w:t>
      </w:r>
    </w:p>
    <w:p w14:paraId="152B0D94"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Hassell, A., Welsh, C. W., Lopez, L., Lopez, V., Mitchell, K., Powell, M., Brannigan. S. Garber. A. Anderson. E. M. Policicchio. B. Kleinman. A. Ríos. R. and Turmell, J. (2026). Operationalizing Centralized Monitoring Models Across Health Systems: A Position-Informed Practical Guide for Nurse Leaders. </w:t>
      </w:r>
      <w:r w:rsidRPr="00A93031">
        <w:rPr>
          <w:rFonts w:ascii="Arial" w:eastAsia="Arial" w:hAnsi="Arial" w:cs="Arial"/>
          <w:i/>
          <w:iCs/>
          <w:kern w:val="0"/>
          <w:lang w:val="en-GB"/>
          <w14:ligatures w14:val="none"/>
        </w:rPr>
        <w:t>Nurse Leader</w:t>
      </w:r>
      <w:r w:rsidRPr="00A93031">
        <w:rPr>
          <w:rFonts w:ascii="Arial" w:eastAsia="Arial" w:hAnsi="Arial" w:cs="Arial"/>
          <w:kern w:val="0"/>
          <w:lang w:val="en-GB"/>
          <w14:ligatures w14:val="none"/>
        </w:rPr>
        <w:t>, 102839. </w:t>
      </w:r>
    </w:p>
    <w:p w14:paraId="2FB4A808"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Hossny</w:t>
      </w:r>
      <w:proofErr w:type="spellEnd"/>
      <w:r w:rsidRPr="00A93031">
        <w:rPr>
          <w:rFonts w:ascii="Arial" w:eastAsia="Arial" w:hAnsi="Arial" w:cs="Arial"/>
          <w:kern w:val="0"/>
          <w:lang w:val="en-GB"/>
          <w14:ligatures w14:val="none"/>
        </w:rPr>
        <w:t>, E. K., Aly, S. E., Mohamed, I. A., Abdelkader, A. M., Abdelrahem, A. S. A., Mohammed, F. M., Al-</w:t>
      </w:r>
      <w:proofErr w:type="spellStart"/>
      <w:r w:rsidRPr="00A93031">
        <w:rPr>
          <w:rFonts w:ascii="Arial" w:eastAsia="Arial" w:hAnsi="Arial" w:cs="Arial"/>
          <w:kern w:val="0"/>
          <w:lang w:val="en-GB"/>
          <w14:ligatures w14:val="none"/>
        </w:rPr>
        <w:t>Yafeai</w:t>
      </w:r>
      <w:proofErr w:type="spellEnd"/>
      <w:r w:rsidRPr="00A93031">
        <w:rPr>
          <w:rFonts w:ascii="Arial" w:eastAsia="Arial" w:hAnsi="Arial" w:cs="Arial"/>
          <w:kern w:val="0"/>
          <w:lang w:val="en-GB"/>
          <w14:ligatures w14:val="none"/>
        </w:rPr>
        <w:t xml:space="preserve">. T. M. and Younes, H. S. (2026, March). Nurses’ perceptions of the effect of organizational support, role clarity, and ambiguity on career plateauing: Implications for the healthcare workforce. In </w:t>
      </w:r>
      <w:r w:rsidRPr="00A93031">
        <w:rPr>
          <w:rFonts w:ascii="Arial" w:eastAsia="Arial" w:hAnsi="Arial" w:cs="Arial"/>
          <w:i/>
          <w:iCs/>
          <w:kern w:val="0"/>
          <w:lang w:val="en-GB"/>
          <w14:ligatures w14:val="none"/>
        </w:rPr>
        <w:t>Healthcare</w:t>
      </w:r>
      <w:r w:rsidRPr="00A93031">
        <w:rPr>
          <w:rFonts w:ascii="Arial" w:eastAsia="Arial" w:hAnsi="Arial" w:cs="Arial"/>
          <w:kern w:val="0"/>
          <w:lang w:val="en-GB"/>
          <w14:ligatures w14:val="none"/>
        </w:rPr>
        <w:t xml:space="preserve"> (Vol. 14, No. 6, p. 755). MDPI.</w:t>
      </w:r>
    </w:p>
    <w:p w14:paraId="409EF666"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HSSIB. (2025). </w:t>
      </w:r>
      <w:r w:rsidRPr="00A93031">
        <w:rPr>
          <w:rFonts w:ascii="Arial" w:eastAsia="Arial" w:hAnsi="Arial" w:cs="Arial"/>
          <w:i/>
          <w:iCs/>
          <w:kern w:val="0"/>
          <w:lang w:val="en-GB"/>
          <w14:ligatures w14:val="none"/>
        </w:rPr>
        <w:t>Medication not given: anticoagulation before and after a procedure</w:t>
      </w:r>
      <w:r w:rsidRPr="00A93031">
        <w:rPr>
          <w:rFonts w:ascii="Arial" w:eastAsia="Arial" w:hAnsi="Arial" w:cs="Arial"/>
          <w:kern w:val="0"/>
          <w:lang w:val="en-GB"/>
          <w14:ligatures w14:val="none"/>
        </w:rPr>
        <w:t xml:space="preserve">. Available: </w:t>
      </w:r>
      <w:hyperlink r:id="rId10" w:history="1">
        <w:r w:rsidRPr="00A93031">
          <w:rPr>
            <w:rStyle w:val="Hyperlink"/>
            <w:rFonts w:ascii="Arial" w:eastAsia="Arial" w:hAnsi="Arial" w:cs="Arial"/>
            <w:kern w:val="0"/>
            <w:lang w:val="en-GB"/>
            <w14:ligatures w14:val="none"/>
          </w:rPr>
          <w:t>https://www.hssib.org.uk/patient-safety-investigations/medication-related-harm/second-investigation-report/pdf/</w:t>
        </w:r>
      </w:hyperlink>
      <w:r w:rsidRPr="00A93031">
        <w:rPr>
          <w:rFonts w:ascii="Arial" w:eastAsia="Arial" w:hAnsi="Arial" w:cs="Arial"/>
          <w:kern w:val="0"/>
          <w:lang w:val="en-GB"/>
          <w14:ligatures w14:val="none"/>
        </w:rPr>
        <w:t xml:space="preserve"> [Accessed: 6.8.2026]</w:t>
      </w:r>
    </w:p>
    <w:p w14:paraId="2D5F8970"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Huang, C. H., Wu, H. H., Lee, Y. C., and Li, X. (2024). The critical role of leadership in patient safety culture: a mediation analysis of management influence on safety factors. </w:t>
      </w:r>
      <w:r w:rsidRPr="00A93031">
        <w:rPr>
          <w:rFonts w:ascii="Arial" w:eastAsia="Arial" w:hAnsi="Arial" w:cs="Arial"/>
          <w:i/>
          <w:iCs/>
          <w:kern w:val="0"/>
          <w:lang w:val="en-GB"/>
          <w14:ligatures w14:val="none"/>
        </w:rPr>
        <w:t>Risk management and healthcare policy</w:t>
      </w:r>
      <w:r w:rsidRPr="00A93031">
        <w:rPr>
          <w:rFonts w:ascii="Arial" w:eastAsia="Arial" w:hAnsi="Arial" w:cs="Arial"/>
          <w:kern w:val="0"/>
          <w:lang w:val="en-GB"/>
          <w14:ligatures w14:val="none"/>
        </w:rPr>
        <w:t>, 513-523. </w:t>
      </w:r>
    </w:p>
    <w:p w14:paraId="4528541F"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Hut-Mossel, L., Ahaus, K., Welker, G., and Gans, R. (2021). Understanding how and why audits work in improving the quality of hospital care: a systematic realist review. </w:t>
      </w:r>
      <w:proofErr w:type="spellStart"/>
      <w:r w:rsidRPr="00A93031">
        <w:rPr>
          <w:rFonts w:ascii="Arial" w:eastAsia="Arial" w:hAnsi="Arial" w:cs="Arial"/>
          <w:i/>
          <w:iCs/>
          <w:kern w:val="0"/>
          <w:lang w:val="en-GB"/>
          <w14:ligatures w14:val="none"/>
        </w:rPr>
        <w:t>PloS</w:t>
      </w:r>
      <w:proofErr w:type="spellEnd"/>
      <w:r w:rsidRPr="00A93031">
        <w:rPr>
          <w:rFonts w:ascii="Arial" w:eastAsia="Arial" w:hAnsi="Arial" w:cs="Arial"/>
          <w:i/>
          <w:iCs/>
          <w:kern w:val="0"/>
          <w:lang w:val="en-GB"/>
          <w14:ligatures w14:val="none"/>
        </w:rPr>
        <w:t xml:space="preserve"> one</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16</w:t>
      </w:r>
      <w:r w:rsidRPr="00A93031">
        <w:rPr>
          <w:rFonts w:ascii="Arial" w:eastAsia="Arial" w:hAnsi="Arial" w:cs="Arial"/>
          <w:kern w:val="0"/>
          <w:lang w:val="en-GB"/>
          <w14:ligatures w14:val="none"/>
        </w:rPr>
        <w:t>(3), e0248677. </w:t>
      </w:r>
    </w:p>
    <w:p w14:paraId="372FF936"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Islam, T., and Noor, A. (2025). Transformational vs. transactional leadership. </w:t>
      </w:r>
      <w:r w:rsidRPr="00A93031">
        <w:rPr>
          <w:rFonts w:ascii="Arial" w:eastAsia="Arial" w:hAnsi="Arial" w:cs="Arial"/>
          <w:i/>
          <w:iCs/>
          <w:kern w:val="0"/>
          <w:lang w:val="en-GB"/>
          <w14:ligatures w14:val="none"/>
        </w:rPr>
        <w:t>Asian Journal of Research in Economics and Finance</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2</w:t>
      </w:r>
      <w:r w:rsidRPr="00A93031">
        <w:rPr>
          <w:rFonts w:ascii="Arial" w:eastAsia="Arial" w:hAnsi="Arial" w:cs="Arial"/>
          <w:kern w:val="0"/>
          <w:lang w:val="en-GB"/>
          <w14:ligatures w14:val="none"/>
        </w:rPr>
        <w:t>(1). </w:t>
      </w:r>
    </w:p>
    <w:p w14:paraId="46785F30"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Kapuya</w:t>
      </w:r>
      <w:proofErr w:type="spellEnd"/>
      <w:r w:rsidRPr="00A93031">
        <w:rPr>
          <w:rFonts w:ascii="Arial" w:eastAsia="Arial" w:hAnsi="Arial" w:cs="Arial"/>
          <w:kern w:val="0"/>
          <w:lang w:val="en-GB"/>
          <w14:ligatures w14:val="none"/>
        </w:rPr>
        <w:t xml:space="preserve">, H. A., </w:t>
      </w:r>
      <w:proofErr w:type="spellStart"/>
      <w:r w:rsidRPr="00A93031">
        <w:rPr>
          <w:rFonts w:ascii="Arial" w:eastAsia="Arial" w:hAnsi="Arial" w:cs="Arial"/>
          <w:kern w:val="0"/>
          <w:lang w:val="en-GB"/>
          <w14:ligatures w14:val="none"/>
        </w:rPr>
        <w:t>Maluka</w:t>
      </w:r>
      <w:proofErr w:type="spellEnd"/>
      <w:r w:rsidRPr="00A93031">
        <w:rPr>
          <w:rFonts w:ascii="Arial" w:eastAsia="Arial" w:hAnsi="Arial" w:cs="Arial"/>
          <w:kern w:val="0"/>
          <w:lang w:val="en-GB"/>
          <w14:ligatures w14:val="none"/>
        </w:rPr>
        <w:t xml:space="preserve">, S. O., Hurtig, A. K., and San Sebastian, M. (2024). Has stakeholder participation in health facility governing committees promoted social accountability? A qualitative study in Tanzania. </w:t>
      </w:r>
      <w:r w:rsidRPr="00A93031">
        <w:rPr>
          <w:rFonts w:ascii="Arial" w:eastAsia="Arial" w:hAnsi="Arial" w:cs="Arial"/>
          <w:i/>
          <w:iCs/>
          <w:kern w:val="0"/>
          <w:lang w:val="en-GB"/>
          <w14:ligatures w14:val="none"/>
        </w:rPr>
        <w:t>Global Health Action</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17</w:t>
      </w:r>
      <w:r w:rsidRPr="00A93031">
        <w:rPr>
          <w:rFonts w:ascii="Arial" w:eastAsia="Arial" w:hAnsi="Arial" w:cs="Arial"/>
          <w:kern w:val="0"/>
          <w:lang w:val="en-GB"/>
          <w14:ligatures w14:val="none"/>
        </w:rPr>
        <w:t>(1), 2432067. </w:t>
      </w:r>
    </w:p>
    <w:p w14:paraId="12E894B9"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Krasniqi, I., Ismajli, N., and Krasniqi, G. (2024). How leadership and </w:t>
      </w:r>
      <w:proofErr w:type="spellStart"/>
      <w:r w:rsidRPr="00A93031">
        <w:rPr>
          <w:rFonts w:ascii="Arial" w:eastAsia="Arial" w:hAnsi="Arial" w:cs="Arial"/>
          <w:kern w:val="0"/>
          <w:lang w:val="en-GB"/>
          <w14:ligatures w14:val="none"/>
        </w:rPr>
        <w:t>behavior</w:t>
      </w:r>
      <w:proofErr w:type="spellEnd"/>
      <w:r w:rsidRPr="00A93031">
        <w:rPr>
          <w:rFonts w:ascii="Arial" w:eastAsia="Arial" w:hAnsi="Arial" w:cs="Arial"/>
          <w:kern w:val="0"/>
          <w:lang w:val="en-GB"/>
          <w14:ligatures w14:val="none"/>
        </w:rPr>
        <w:t xml:space="preserve"> </w:t>
      </w:r>
      <w:proofErr w:type="gramStart"/>
      <w:r w:rsidRPr="00A93031">
        <w:rPr>
          <w:rFonts w:ascii="Arial" w:eastAsia="Arial" w:hAnsi="Arial" w:cs="Arial"/>
          <w:kern w:val="0"/>
          <w:lang w:val="en-GB"/>
          <w14:ligatures w14:val="none"/>
        </w:rPr>
        <w:t>impacts</w:t>
      </w:r>
      <w:proofErr w:type="gramEnd"/>
      <w:r w:rsidRPr="00A93031">
        <w:rPr>
          <w:rFonts w:ascii="Arial" w:eastAsia="Arial" w:hAnsi="Arial" w:cs="Arial"/>
          <w:kern w:val="0"/>
          <w:lang w:val="en-GB"/>
          <w14:ligatures w14:val="none"/>
        </w:rPr>
        <w:t xml:space="preserve"> and improves the decision-making in organizations. </w:t>
      </w:r>
      <w:r w:rsidRPr="00A93031">
        <w:rPr>
          <w:rFonts w:ascii="Arial" w:eastAsia="Arial" w:hAnsi="Arial" w:cs="Arial"/>
          <w:i/>
          <w:iCs/>
          <w:kern w:val="0"/>
          <w:lang w:val="en-GB"/>
          <w14:ligatures w14:val="none"/>
        </w:rPr>
        <w:t>The Eurasia Proceedings of Educational and Social Sciences</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35</w:t>
      </w:r>
      <w:r w:rsidRPr="00A93031">
        <w:rPr>
          <w:rFonts w:ascii="Arial" w:eastAsia="Arial" w:hAnsi="Arial" w:cs="Arial"/>
          <w:kern w:val="0"/>
          <w:lang w:val="en-GB"/>
          <w14:ligatures w14:val="none"/>
        </w:rPr>
        <w:t>, 239-260. </w:t>
      </w:r>
    </w:p>
    <w:p w14:paraId="7F9E4057"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Krenyacz</w:t>
      </w:r>
      <w:proofErr w:type="spellEnd"/>
      <w:r w:rsidRPr="00A93031">
        <w:rPr>
          <w:rFonts w:ascii="Arial" w:eastAsia="Arial" w:hAnsi="Arial" w:cs="Arial"/>
          <w:kern w:val="0"/>
          <w:lang w:val="en-GB"/>
          <w14:ligatures w14:val="none"/>
        </w:rPr>
        <w:t xml:space="preserve">, E., and Revesz, E. E. (2025). Consequences of centralized healthcare systems: changing role and autonomy of hospital managers–insights from a Hungarian case. </w:t>
      </w:r>
      <w:r w:rsidRPr="00A93031">
        <w:rPr>
          <w:rFonts w:ascii="Arial" w:eastAsia="Arial" w:hAnsi="Arial" w:cs="Arial"/>
          <w:i/>
          <w:iCs/>
          <w:kern w:val="0"/>
          <w:lang w:val="en-GB"/>
          <w14:ligatures w14:val="none"/>
        </w:rPr>
        <w:t>Journal of Health Organization and Management</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39</w:t>
      </w:r>
      <w:r w:rsidRPr="00A93031">
        <w:rPr>
          <w:rFonts w:ascii="Arial" w:eastAsia="Arial" w:hAnsi="Arial" w:cs="Arial"/>
          <w:kern w:val="0"/>
          <w:lang w:val="en-GB"/>
          <w14:ligatures w14:val="none"/>
        </w:rPr>
        <w:t>(9), 177-191. </w:t>
      </w:r>
    </w:p>
    <w:p w14:paraId="75174037"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lastRenderedPageBreak/>
        <w:t>Mangalampalli</w:t>
      </w:r>
      <w:proofErr w:type="spellEnd"/>
      <w:r w:rsidRPr="00A93031">
        <w:rPr>
          <w:rFonts w:ascii="Arial" w:eastAsia="Arial" w:hAnsi="Arial" w:cs="Arial"/>
          <w:kern w:val="0"/>
          <w:lang w:val="en-GB"/>
          <w14:ligatures w14:val="none"/>
        </w:rPr>
        <w:t xml:space="preserve">, B. M. (2024). AI-Enhanced Data Governance: Automating Compliance </w:t>
      </w:r>
      <w:proofErr w:type="gramStart"/>
      <w:r w:rsidRPr="00A93031">
        <w:rPr>
          <w:rFonts w:ascii="Arial" w:eastAsia="Arial" w:hAnsi="Arial" w:cs="Arial"/>
          <w:kern w:val="0"/>
          <w:lang w:val="en-GB"/>
          <w14:ligatures w14:val="none"/>
        </w:rPr>
        <w:t>In</w:t>
      </w:r>
      <w:proofErr w:type="gramEnd"/>
      <w:r w:rsidRPr="00A93031">
        <w:rPr>
          <w:rFonts w:ascii="Arial" w:eastAsia="Arial" w:hAnsi="Arial" w:cs="Arial"/>
          <w:kern w:val="0"/>
          <w:lang w:val="en-GB"/>
          <w14:ligatures w14:val="none"/>
        </w:rPr>
        <w:t xml:space="preserve"> Healthcare Analytics Platforms. </w:t>
      </w:r>
      <w:r w:rsidRPr="00A93031">
        <w:rPr>
          <w:rFonts w:ascii="Arial" w:eastAsia="Arial" w:hAnsi="Arial" w:cs="Arial"/>
          <w:i/>
          <w:iCs/>
          <w:kern w:val="0"/>
          <w:lang w:val="en-GB"/>
          <w14:ligatures w14:val="none"/>
        </w:rPr>
        <w:t xml:space="preserve">The Review </w:t>
      </w:r>
      <w:proofErr w:type="gramStart"/>
      <w:r w:rsidRPr="00A93031">
        <w:rPr>
          <w:rFonts w:ascii="Arial" w:eastAsia="Arial" w:hAnsi="Arial" w:cs="Arial"/>
          <w:i/>
          <w:iCs/>
          <w:kern w:val="0"/>
          <w:lang w:val="en-GB"/>
          <w14:ligatures w14:val="none"/>
        </w:rPr>
        <w:t>Of</w:t>
      </w:r>
      <w:proofErr w:type="gramEnd"/>
      <w:r w:rsidRPr="00A93031">
        <w:rPr>
          <w:rFonts w:ascii="Arial" w:eastAsia="Arial" w:hAnsi="Arial" w:cs="Arial"/>
          <w:i/>
          <w:iCs/>
          <w:kern w:val="0"/>
          <w:lang w:val="en-GB"/>
          <w14:ligatures w14:val="none"/>
        </w:rPr>
        <w:t xml:space="preserve"> DIABETIC STUDIES OPEN ACCESS</w:t>
      </w:r>
      <w:r w:rsidRPr="00A93031">
        <w:rPr>
          <w:rFonts w:ascii="Arial" w:eastAsia="Arial" w:hAnsi="Arial" w:cs="Arial"/>
          <w:kern w:val="0"/>
          <w:lang w:val="en-GB"/>
          <w14:ligatures w14:val="none"/>
        </w:rPr>
        <w:t>. </w:t>
      </w:r>
    </w:p>
    <w:p w14:paraId="18076C81"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NHS. (2023). </w:t>
      </w:r>
      <w:r w:rsidRPr="00A93031">
        <w:rPr>
          <w:rFonts w:ascii="Arial" w:eastAsia="Arial" w:hAnsi="Arial" w:cs="Arial"/>
          <w:i/>
          <w:iCs/>
          <w:kern w:val="0"/>
          <w:lang w:val="en-GB"/>
          <w14:ligatures w14:val="none"/>
        </w:rPr>
        <w:t>Learning from medication errors</w:t>
      </w:r>
      <w:r w:rsidRPr="00A93031">
        <w:rPr>
          <w:rFonts w:ascii="Arial" w:eastAsia="Arial" w:hAnsi="Arial" w:cs="Arial"/>
          <w:kern w:val="0"/>
          <w:lang w:val="en-GB"/>
          <w14:ligatures w14:val="none"/>
        </w:rPr>
        <w:t xml:space="preserve">. Available: </w:t>
      </w:r>
      <w:hyperlink r:id="rId11" w:history="1">
        <w:r w:rsidRPr="00A93031">
          <w:rPr>
            <w:rFonts w:ascii="Arial" w:eastAsia="Arial" w:hAnsi="Arial" w:cs="Arial"/>
            <w:color w:val="0000FF"/>
            <w:kern w:val="0"/>
            <w:u w:val="single"/>
            <w:lang w:val="en-GB"/>
            <w14:ligatures w14:val="none"/>
          </w:rPr>
          <w:t>https://resolution.nhs.uk/2023/03/30/learning-from-medication-errors/</w:t>
        </w:r>
      </w:hyperlink>
      <w:r w:rsidRPr="00A93031">
        <w:rPr>
          <w:rFonts w:ascii="Arial" w:eastAsia="Arial" w:hAnsi="Arial" w:cs="Arial"/>
          <w:kern w:val="0"/>
          <w:lang w:val="en-GB"/>
          <w14:ligatures w14:val="none"/>
        </w:rPr>
        <w:t xml:space="preserve"> [Accessed: 6.8.2026]</w:t>
      </w:r>
    </w:p>
    <w:p w14:paraId="6FDA4157"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Omaghomi</w:t>
      </w:r>
      <w:proofErr w:type="spellEnd"/>
      <w:r w:rsidRPr="00A93031">
        <w:rPr>
          <w:rFonts w:ascii="Arial" w:eastAsia="Arial" w:hAnsi="Arial" w:cs="Arial"/>
          <w:kern w:val="0"/>
          <w:lang w:val="en-GB"/>
          <w14:ligatures w14:val="none"/>
        </w:rPr>
        <w:t xml:space="preserve">, T. T., Akomolafe, O., Onwumere, C., </w:t>
      </w:r>
      <w:proofErr w:type="spellStart"/>
      <w:r w:rsidRPr="00A93031">
        <w:rPr>
          <w:rFonts w:ascii="Arial" w:eastAsia="Arial" w:hAnsi="Arial" w:cs="Arial"/>
          <w:kern w:val="0"/>
          <w:lang w:val="en-GB"/>
          <w14:ligatures w14:val="none"/>
        </w:rPr>
        <w:t>Odilibe</w:t>
      </w:r>
      <w:proofErr w:type="spellEnd"/>
      <w:r w:rsidRPr="00A93031">
        <w:rPr>
          <w:rFonts w:ascii="Arial" w:eastAsia="Arial" w:hAnsi="Arial" w:cs="Arial"/>
          <w:kern w:val="0"/>
          <w:lang w:val="en-GB"/>
          <w14:ligatures w14:val="none"/>
        </w:rPr>
        <w:t xml:space="preserve">, I. P., and </w:t>
      </w:r>
      <w:proofErr w:type="spellStart"/>
      <w:r w:rsidRPr="00A93031">
        <w:rPr>
          <w:rFonts w:ascii="Arial" w:eastAsia="Arial" w:hAnsi="Arial" w:cs="Arial"/>
          <w:kern w:val="0"/>
          <w:lang w:val="en-GB"/>
          <w14:ligatures w14:val="none"/>
        </w:rPr>
        <w:t>Elufioye</w:t>
      </w:r>
      <w:proofErr w:type="spellEnd"/>
      <w:r w:rsidRPr="00A93031">
        <w:rPr>
          <w:rFonts w:ascii="Arial" w:eastAsia="Arial" w:hAnsi="Arial" w:cs="Arial"/>
          <w:kern w:val="0"/>
          <w:lang w:val="en-GB"/>
          <w14:ligatures w14:val="none"/>
        </w:rPr>
        <w:t xml:space="preserve">, O. A. (2024). Patient experience and satisfaction in healthcare: a focus on managerial approaches-a review. </w:t>
      </w:r>
      <w:r w:rsidRPr="00A93031">
        <w:rPr>
          <w:rFonts w:ascii="Arial" w:eastAsia="Arial" w:hAnsi="Arial" w:cs="Arial"/>
          <w:i/>
          <w:iCs/>
          <w:kern w:val="0"/>
          <w:lang w:val="en-GB"/>
          <w14:ligatures w14:val="none"/>
        </w:rPr>
        <w:t>Int Med Sci Res J</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4</w:t>
      </w:r>
      <w:r w:rsidRPr="00A93031">
        <w:rPr>
          <w:rFonts w:ascii="Arial" w:eastAsia="Arial" w:hAnsi="Arial" w:cs="Arial"/>
          <w:kern w:val="0"/>
          <w:lang w:val="en-GB"/>
          <w14:ligatures w14:val="none"/>
        </w:rPr>
        <w:t>(2), 194-209. </w:t>
      </w:r>
    </w:p>
    <w:p w14:paraId="23099474"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Pasarakonda</w:t>
      </w:r>
      <w:proofErr w:type="spellEnd"/>
      <w:r w:rsidRPr="00A93031">
        <w:rPr>
          <w:rFonts w:ascii="Arial" w:eastAsia="Arial" w:hAnsi="Arial" w:cs="Arial"/>
          <w:kern w:val="0"/>
          <w:lang w:val="en-GB"/>
          <w14:ligatures w14:val="none"/>
        </w:rPr>
        <w:t xml:space="preserve">, S., Grote, G., Schmutz, J. B., Bogdanovic, J., Guggenheim, M., and Manser, T. (2021). A strategic core role perspective on team coordination: benefits of centralized leadership for managing task complexity in the operating room. </w:t>
      </w:r>
      <w:r w:rsidRPr="00A93031">
        <w:rPr>
          <w:rFonts w:ascii="Arial" w:eastAsia="Arial" w:hAnsi="Arial" w:cs="Arial"/>
          <w:i/>
          <w:iCs/>
          <w:kern w:val="0"/>
          <w:lang w:val="en-GB"/>
          <w14:ligatures w14:val="none"/>
        </w:rPr>
        <w:t>Human factors</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63</w:t>
      </w:r>
      <w:r w:rsidRPr="00A93031">
        <w:rPr>
          <w:rFonts w:ascii="Arial" w:eastAsia="Arial" w:hAnsi="Arial" w:cs="Arial"/>
          <w:kern w:val="0"/>
          <w:lang w:val="en-GB"/>
          <w14:ligatures w14:val="none"/>
        </w:rPr>
        <w:t>(5), 910-925. </w:t>
      </w:r>
    </w:p>
    <w:p w14:paraId="4190E4B5"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Romiti, A., Del Vecchio, M., Cavicchi, C., and Vagnoni, E. (2025). Healthcare organizations in crisis context: decision-making models and roles of CEOs. </w:t>
      </w:r>
      <w:r w:rsidRPr="00A93031">
        <w:rPr>
          <w:rFonts w:ascii="Arial" w:eastAsia="Arial" w:hAnsi="Arial" w:cs="Arial"/>
          <w:i/>
          <w:iCs/>
          <w:kern w:val="0"/>
          <w:lang w:val="en-GB"/>
          <w14:ligatures w14:val="none"/>
        </w:rPr>
        <w:t>BMC health services research</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25</w:t>
      </w:r>
      <w:r w:rsidRPr="00A93031">
        <w:rPr>
          <w:rFonts w:ascii="Arial" w:eastAsia="Arial" w:hAnsi="Arial" w:cs="Arial"/>
          <w:kern w:val="0"/>
          <w:lang w:val="en-GB"/>
          <w14:ligatures w14:val="none"/>
        </w:rPr>
        <w:t>(1), 273. </w:t>
      </w:r>
    </w:p>
    <w:p w14:paraId="6EA2C0ED"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Scarffe</w:t>
      </w:r>
      <w:proofErr w:type="spellEnd"/>
      <w:r w:rsidRPr="00A93031">
        <w:rPr>
          <w:rFonts w:ascii="Arial" w:eastAsia="Arial" w:hAnsi="Arial" w:cs="Arial"/>
          <w:kern w:val="0"/>
          <w:lang w:val="en-GB"/>
          <w14:ligatures w14:val="none"/>
        </w:rPr>
        <w:t xml:space="preserve">, A. D., Coates, A., Evans, J. M., and </w:t>
      </w:r>
      <w:proofErr w:type="spellStart"/>
      <w:r w:rsidRPr="00A93031">
        <w:rPr>
          <w:rFonts w:ascii="Arial" w:eastAsia="Arial" w:hAnsi="Arial" w:cs="Arial"/>
          <w:kern w:val="0"/>
          <w:lang w:val="en-GB"/>
          <w14:ligatures w14:val="none"/>
        </w:rPr>
        <w:t>Grudniewicz</w:t>
      </w:r>
      <w:proofErr w:type="spellEnd"/>
      <w:r w:rsidRPr="00A93031">
        <w:rPr>
          <w:rFonts w:ascii="Arial" w:eastAsia="Arial" w:hAnsi="Arial" w:cs="Arial"/>
          <w:kern w:val="0"/>
          <w:lang w:val="en-GB"/>
          <w14:ligatures w14:val="none"/>
        </w:rPr>
        <w:t xml:space="preserve">, A. (2022). Centralization and innovation: Competing priorities for health </w:t>
      </w:r>
      <w:proofErr w:type="gramStart"/>
      <w:r w:rsidRPr="00A93031">
        <w:rPr>
          <w:rFonts w:ascii="Arial" w:eastAsia="Arial" w:hAnsi="Arial" w:cs="Arial"/>
          <w:kern w:val="0"/>
          <w:lang w:val="en-GB"/>
          <w14:ligatures w14:val="none"/>
        </w:rPr>
        <w:t>systems?.</w:t>
      </w:r>
      <w:proofErr w:type="gramEnd"/>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The International journal of health planning and management</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37</w:t>
      </w:r>
      <w:r w:rsidRPr="00A93031">
        <w:rPr>
          <w:rFonts w:ascii="Arial" w:eastAsia="Arial" w:hAnsi="Arial" w:cs="Arial"/>
          <w:kern w:val="0"/>
          <w:lang w:val="en-GB"/>
          <w14:ligatures w14:val="none"/>
        </w:rPr>
        <w:t>(5), 2534-2541. </w:t>
      </w:r>
    </w:p>
    <w:p w14:paraId="74D047BE" w14:textId="77777777" w:rsidR="00FB00E8" w:rsidRPr="00A93031" w:rsidRDefault="00FB00E8" w:rsidP="00377A49">
      <w:pPr>
        <w:spacing w:before="120" w:after="120" w:line="360" w:lineRule="auto"/>
        <w:jc w:val="both"/>
        <w:rPr>
          <w:rFonts w:ascii="Arial" w:eastAsia="Arial" w:hAnsi="Arial" w:cs="Arial"/>
          <w:kern w:val="0"/>
          <w:lang w:val="en-GB"/>
          <w14:ligatures w14:val="none"/>
        </w:rPr>
      </w:pPr>
      <w:proofErr w:type="spellStart"/>
      <w:r w:rsidRPr="00A93031">
        <w:rPr>
          <w:rFonts w:ascii="Arial" w:eastAsia="Arial" w:hAnsi="Arial" w:cs="Arial"/>
          <w:kern w:val="0"/>
          <w:lang w:val="en-GB"/>
          <w14:ligatures w14:val="none"/>
        </w:rPr>
        <w:t>Seshia</w:t>
      </w:r>
      <w:proofErr w:type="spellEnd"/>
      <w:r w:rsidRPr="00A93031">
        <w:rPr>
          <w:rFonts w:ascii="Arial" w:eastAsia="Arial" w:hAnsi="Arial" w:cs="Arial"/>
          <w:kern w:val="0"/>
          <w:lang w:val="en-GB"/>
          <w14:ligatures w14:val="none"/>
        </w:rPr>
        <w:t xml:space="preserve">, S.S., Bryan Young, G., Makhinson, M., Smith, P.A., Stobart, K. and </w:t>
      </w:r>
      <w:proofErr w:type="spellStart"/>
      <w:r w:rsidRPr="00A93031">
        <w:rPr>
          <w:rFonts w:ascii="Arial" w:eastAsia="Arial" w:hAnsi="Arial" w:cs="Arial"/>
          <w:kern w:val="0"/>
          <w:lang w:val="en-GB"/>
          <w14:ligatures w14:val="none"/>
        </w:rPr>
        <w:t>Croskerry</w:t>
      </w:r>
      <w:proofErr w:type="spellEnd"/>
      <w:r w:rsidRPr="00A93031">
        <w:rPr>
          <w:rFonts w:ascii="Arial" w:eastAsia="Arial" w:hAnsi="Arial" w:cs="Arial"/>
          <w:kern w:val="0"/>
          <w:lang w:val="en-GB"/>
          <w14:ligatures w14:val="none"/>
        </w:rPr>
        <w:t xml:space="preserve">, P., 2018. Gating the holes in the Swiss cheese (part I): E </w:t>
      </w:r>
      <w:proofErr w:type="spellStart"/>
      <w:r w:rsidRPr="00A93031">
        <w:rPr>
          <w:rFonts w:ascii="Arial" w:eastAsia="Arial" w:hAnsi="Arial" w:cs="Arial"/>
          <w:kern w:val="0"/>
          <w:lang w:val="en-GB"/>
          <w14:ligatures w14:val="none"/>
        </w:rPr>
        <w:t>xpanding</w:t>
      </w:r>
      <w:proofErr w:type="spellEnd"/>
      <w:r w:rsidRPr="00A93031">
        <w:rPr>
          <w:rFonts w:ascii="Arial" w:eastAsia="Arial" w:hAnsi="Arial" w:cs="Arial"/>
          <w:kern w:val="0"/>
          <w:lang w:val="en-GB"/>
          <w14:ligatures w14:val="none"/>
        </w:rPr>
        <w:t xml:space="preserve"> professor Reason's model for patient safety. </w:t>
      </w:r>
      <w:r w:rsidRPr="00A93031">
        <w:rPr>
          <w:rFonts w:ascii="Arial" w:eastAsia="Arial" w:hAnsi="Arial" w:cs="Arial"/>
          <w:i/>
          <w:iCs/>
          <w:kern w:val="0"/>
          <w:lang w:val="en-GB"/>
          <w14:ligatures w14:val="none"/>
        </w:rPr>
        <w:t>Journal of evaluation in clinical practice</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24</w:t>
      </w:r>
      <w:r w:rsidRPr="00A93031">
        <w:rPr>
          <w:rFonts w:ascii="Arial" w:eastAsia="Arial" w:hAnsi="Arial" w:cs="Arial"/>
          <w:kern w:val="0"/>
          <w:lang w:val="en-GB"/>
          <w14:ligatures w14:val="none"/>
        </w:rPr>
        <w:t>(1), pp.187-197.</w:t>
      </w:r>
    </w:p>
    <w:p w14:paraId="755D49C4"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Singh, P. K., Singh, S., Kumari, V., and Tiwari, M. (2024). Navigating healthcare leadership: Theories, challenges, and practical insights for the future. </w:t>
      </w:r>
      <w:r w:rsidRPr="00A93031">
        <w:rPr>
          <w:rFonts w:ascii="Arial" w:eastAsia="Arial" w:hAnsi="Arial" w:cs="Arial"/>
          <w:i/>
          <w:iCs/>
          <w:kern w:val="0"/>
          <w:lang w:val="en-GB"/>
          <w14:ligatures w14:val="none"/>
        </w:rPr>
        <w:t>Journal of postgraduate medicine</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70</w:t>
      </w:r>
      <w:r w:rsidRPr="00A93031">
        <w:rPr>
          <w:rFonts w:ascii="Arial" w:eastAsia="Arial" w:hAnsi="Arial" w:cs="Arial"/>
          <w:kern w:val="0"/>
          <w:lang w:val="en-GB"/>
          <w14:ligatures w14:val="none"/>
        </w:rPr>
        <w:t>(4), 232. </w:t>
      </w:r>
    </w:p>
    <w:p w14:paraId="16E3ED40"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Sung, T. C., and Hsu, H. C. (2025). Improving critical care teamwork: simulation-based interprofessional training for enhanced communication and safety. </w:t>
      </w:r>
      <w:r w:rsidRPr="00A93031">
        <w:rPr>
          <w:rFonts w:ascii="Arial" w:eastAsia="Arial" w:hAnsi="Arial" w:cs="Arial"/>
          <w:i/>
          <w:iCs/>
          <w:kern w:val="0"/>
          <w:lang w:val="en-GB"/>
          <w14:ligatures w14:val="none"/>
        </w:rPr>
        <w:t>Journal of Multidisciplinary Healthcare</w:t>
      </w:r>
      <w:r w:rsidRPr="00A93031">
        <w:rPr>
          <w:rFonts w:ascii="Arial" w:eastAsia="Arial" w:hAnsi="Arial" w:cs="Arial"/>
          <w:kern w:val="0"/>
          <w:lang w:val="en-GB"/>
          <w14:ligatures w14:val="none"/>
        </w:rPr>
        <w:t>, 355-367. </w:t>
      </w:r>
    </w:p>
    <w:p w14:paraId="41116C45" w14:textId="77777777" w:rsidR="00FB00E8" w:rsidRPr="00A93031" w:rsidRDefault="00FB00E8" w:rsidP="007877F7">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WHO. (2023). </w:t>
      </w:r>
      <w:r w:rsidRPr="00A93031">
        <w:rPr>
          <w:rFonts w:ascii="Arial" w:eastAsia="Arial" w:hAnsi="Arial" w:cs="Arial"/>
          <w:i/>
          <w:iCs/>
          <w:kern w:val="0"/>
          <w:lang w:val="en-GB"/>
          <w14:ligatures w14:val="none"/>
        </w:rPr>
        <w:t>Global burden of preventable medication-related harm in health care A systematic review</w:t>
      </w:r>
      <w:r w:rsidRPr="00A93031">
        <w:rPr>
          <w:rFonts w:ascii="Arial" w:eastAsia="Arial" w:hAnsi="Arial" w:cs="Arial"/>
          <w:kern w:val="0"/>
          <w:lang w:val="en-GB"/>
          <w14:ligatures w14:val="none"/>
        </w:rPr>
        <w:t xml:space="preserve">. Available: </w:t>
      </w:r>
      <w:hyperlink r:id="rId12" w:history="1">
        <w:r w:rsidRPr="00A93031">
          <w:rPr>
            <w:rFonts w:ascii="Arial" w:eastAsia="Arial" w:hAnsi="Arial" w:cs="Arial"/>
            <w:color w:val="0000FF"/>
            <w:kern w:val="0"/>
            <w:u w:val="single"/>
            <w:lang w:val="en-GB"/>
            <w14:ligatures w14:val="none"/>
          </w:rPr>
          <w:t>https://iris.who.int/server/api/core/bitstreams/f208903d-b47d-4a8c-9fac-d8136c2bdbb6/content</w:t>
        </w:r>
      </w:hyperlink>
      <w:r w:rsidRPr="00A93031">
        <w:rPr>
          <w:rFonts w:ascii="Arial" w:eastAsia="Arial" w:hAnsi="Arial" w:cs="Arial"/>
          <w:kern w:val="0"/>
          <w:lang w:val="en-GB"/>
          <w14:ligatures w14:val="none"/>
        </w:rPr>
        <w:t xml:space="preserve"> [Accessed: 6.8.2026]</w:t>
      </w:r>
    </w:p>
    <w:p w14:paraId="54735980" w14:textId="77777777" w:rsidR="00FB00E8" w:rsidRPr="00A93031" w:rsidRDefault="00FB00E8" w:rsidP="00377A49">
      <w:pPr>
        <w:spacing w:before="120" w:after="120" w:line="360" w:lineRule="auto"/>
        <w:jc w:val="both"/>
        <w:rPr>
          <w:rFonts w:ascii="Arial" w:eastAsia="Arial" w:hAnsi="Arial" w:cs="Arial"/>
          <w:kern w:val="0"/>
          <w:lang w:val="en-GB"/>
          <w14:ligatures w14:val="none"/>
        </w:rPr>
      </w:pPr>
      <w:r w:rsidRPr="00A93031">
        <w:rPr>
          <w:rFonts w:ascii="Arial" w:eastAsia="Arial" w:hAnsi="Arial" w:cs="Arial"/>
          <w:kern w:val="0"/>
          <w:lang w:val="en-GB"/>
          <w14:ligatures w14:val="none"/>
        </w:rPr>
        <w:t xml:space="preserve">Yakubu, A. (2024). Effects of bureaucratic bottlenecks on public service delivery in Nigeria: A case study of Lokoja Local Government, Kogi State, Nigeria. </w:t>
      </w:r>
      <w:r w:rsidRPr="00A93031">
        <w:rPr>
          <w:rFonts w:ascii="Arial" w:eastAsia="Arial" w:hAnsi="Arial" w:cs="Arial"/>
          <w:i/>
          <w:iCs/>
          <w:kern w:val="0"/>
          <w:lang w:val="en-GB"/>
          <w14:ligatures w14:val="none"/>
        </w:rPr>
        <w:t>International Journal of Management, Marketing and Sustainability Review (IJMMSR)</w:t>
      </w:r>
      <w:r w:rsidRPr="00A93031">
        <w:rPr>
          <w:rFonts w:ascii="Arial" w:eastAsia="Arial" w:hAnsi="Arial" w:cs="Arial"/>
          <w:kern w:val="0"/>
          <w:lang w:val="en-GB"/>
          <w14:ligatures w14:val="none"/>
        </w:rPr>
        <w:t xml:space="preserve">, </w:t>
      </w:r>
      <w:r w:rsidRPr="00A93031">
        <w:rPr>
          <w:rFonts w:ascii="Arial" w:eastAsia="Arial" w:hAnsi="Arial" w:cs="Arial"/>
          <w:i/>
          <w:iCs/>
          <w:kern w:val="0"/>
          <w:lang w:val="en-GB"/>
          <w14:ligatures w14:val="none"/>
        </w:rPr>
        <w:t>1</w:t>
      </w:r>
      <w:r w:rsidRPr="00A93031">
        <w:rPr>
          <w:rFonts w:ascii="Arial" w:eastAsia="Arial" w:hAnsi="Arial" w:cs="Arial"/>
          <w:kern w:val="0"/>
          <w:lang w:val="en-GB"/>
          <w14:ligatures w14:val="none"/>
        </w:rPr>
        <w:t>(1), 18-30. </w:t>
      </w:r>
    </w:p>
    <w:sectPr w:rsidR="00FB00E8" w:rsidRPr="00A93031" w:rsidSect="00644E9D">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74F10" w14:textId="77777777" w:rsidR="001E7F1B" w:rsidRDefault="001E7F1B">
      <w:pPr>
        <w:spacing w:after="0" w:line="240" w:lineRule="auto"/>
      </w:pPr>
      <w:r>
        <w:separator/>
      </w:r>
    </w:p>
  </w:endnote>
  <w:endnote w:type="continuationSeparator" w:id="0">
    <w:p w14:paraId="0B4B377B" w14:textId="77777777" w:rsidR="001E7F1B" w:rsidRDefault="001E7F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278288"/>
      <w:docPartObj>
        <w:docPartGallery w:val="Page Numbers (Bottom of Page)"/>
        <w:docPartUnique/>
      </w:docPartObj>
    </w:sdtPr>
    <w:sdtEndPr>
      <w:rPr>
        <w:noProof/>
        <w:sz w:val="20"/>
        <w:szCs w:val="20"/>
      </w:rPr>
    </w:sdtEndPr>
    <w:sdtContent>
      <w:p w14:paraId="701305AD" w14:textId="2CA56FAE" w:rsidR="00644E9D" w:rsidRPr="007877F7" w:rsidRDefault="00644E9D" w:rsidP="007877F7">
        <w:pPr>
          <w:pStyle w:val="Footer"/>
          <w:jc w:val="right"/>
          <w:rPr>
            <w:sz w:val="20"/>
            <w:szCs w:val="20"/>
          </w:rPr>
        </w:pPr>
        <w:r w:rsidRPr="00896E43">
          <w:rPr>
            <w:sz w:val="20"/>
            <w:szCs w:val="20"/>
          </w:rPr>
          <w:fldChar w:fldCharType="begin"/>
        </w:r>
        <w:r w:rsidRPr="00896E43">
          <w:rPr>
            <w:sz w:val="20"/>
            <w:szCs w:val="20"/>
          </w:rPr>
          <w:instrText xml:space="preserve"> PAGE   \* MERGEFORMAT </w:instrText>
        </w:r>
        <w:r w:rsidRPr="00896E43">
          <w:rPr>
            <w:sz w:val="20"/>
            <w:szCs w:val="20"/>
          </w:rPr>
          <w:fldChar w:fldCharType="separate"/>
        </w:r>
        <w:r w:rsidRPr="00896E43">
          <w:rPr>
            <w:noProof/>
            <w:sz w:val="20"/>
            <w:szCs w:val="20"/>
          </w:rPr>
          <w:t>2</w:t>
        </w:r>
        <w:r w:rsidRPr="00896E43">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FBCF6" w14:textId="77777777" w:rsidR="001E7F1B" w:rsidRDefault="001E7F1B">
      <w:pPr>
        <w:spacing w:after="0" w:line="240" w:lineRule="auto"/>
      </w:pPr>
      <w:r>
        <w:separator/>
      </w:r>
    </w:p>
  </w:footnote>
  <w:footnote w:type="continuationSeparator" w:id="0">
    <w:p w14:paraId="62131A12" w14:textId="77777777" w:rsidR="001E7F1B" w:rsidRDefault="001E7F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E9D"/>
    <w:rsid w:val="00006FDE"/>
    <w:rsid w:val="000D5974"/>
    <w:rsid w:val="00175F2C"/>
    <w:rsid w:val="001E4995"/>
    <w:rsid w:val="001E7F1B"/>
    <w:rsid w:val="00241960"/>
    <w:rsid w:val="00244928"/>
    <w:rsid w:val="0029053D"/>
    <w:rsid w:val="00377A49"/>
    <w:rsid w:val="00383935"/>
    <w:rsid w:val="00486930"/>
    <w:rsid w:val="00560864"/>
    <w:rsid w:val="005F40EE"/>
    <w:rsid w:val="00644E9D"/>
    <w:rsid w:val="00683CBB"/>
    <w:rsid w:val="00775FA7"/>
    <w:rsid w:val="007877F7"/>
    <w:rsid w:val="008731B5"/>
    <w:rsid w:val="00885605"/>
    <w:rsid w:val="008B7756"/>
    <w:rsid w:val="009E61EA"/>
    <w:rsid w:val="00A93031"/>
    <w:rsid w:val="00AC58D9"/>
    <w:rsid w:val="00BC2B84"/>
    <w:rsid w:val="00C16D3B"/>
    <w:rsid w:val="00E150C1"/>
    <w:rsid w:val="00FB00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B614D"/>
  <w15:chartTrackingRefBased/>
  <w15:docId w15:val="{4C964C50-57CD-4FE0-AF86-E3AABA765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7F7"/>
    <w:pPr>
      <w:keepNext/>
      <w:keepLines/>
      <w:spacing w:before="120" w:after="120" w:line="360" w:lineRule="auto"/>
      <w:jc w:val="both"/>
      <w:outlineLvl w:val="0"/>
    </w:pPr>
    <w:rPr>
      <w:rFonts w:ascii="Arial" w:eastAsia="Arial" w:hAnsi="Arial" w:cs="Arial"/>
      <w:b/>
      <w:bCs/>
      <w:kern w:val="0"/>
      <w:sz w:val="24"/>
      <w:szCs w:val="24"/>
      <w:lang w:val=""/>
      <w14:ligatures w14:val="none"/>
    </w:rPr>
  </w:style>
  <w:style w:type="paragraph" w:styleId="Heading2">
    <w:name w:val="heading 2"/>
    <w:basedOn w:val="Normal"/>
    <w:next w:val="Normal"/>
    <w:link w:val="Heading2Char"/>
    <w:uiPriority w:val="9"/>
    <w:unhideWhenUsed/>
    <w:qFormat/>
    <w:rsid w:val="007877F7"/>
    <w:pPr>
      <w:keepNext/>
      <w:keepLines/>
      <w:spacing w:before="120" w:after="120" w:line="360" w:lineRule="auto"/>
      <w:jc w:val="both"/>
      <w:outlineLvl w:val="1"/>
    </w:pPr>
    <w:rPr>
      <w:rFonts w:ascii="Arial" w:eastAsia="Arial" w:hAnsi="Arial" w:cs="Arial"/>
      <w:b/>
      <w:bCs/>
      <w:kern w:val="0"/>
      <w:lang w:val=""/>
      <w14:ligatures w14:val="none"/>
    </w:rPr>
  </w:style>
  <w:style w:type="paragraph" w:styleId="Heading3">
    <w:name w:val="heading 3"/>
    <w:basedOn w:val="Normal"/>
    <w:next w:val="Normal"/>
    <w:link w:val="Heading3Char"/>
    <w:uiPriority w:val="9"/>
    <w:unhideWhenUsed/>
    <w:qFormat/>
    <w:rsid w:val="00175F2C"/>
    <w:pPr>
      <w:keepNext/>
      <w:keepLines/>
      <w:spacing w:before="120" w:after="120" w:line="360" w:lineRule="auto"/>
      <w:jc w:val="both"/>
      <w:outlineLvl w:val="2"/>
    </w:pPr>
    <w:rPr>
      <w:rFonts w:ascii="Arial" w:eastAsia="Arial" w:hAnsi="Arial" w:cs="Arial"/>
      <w:b/>
      <w:bCs/>
      <w:i/>
      <w:iCs/>
      <w:kern w:val="0"/>
      <w:lang w:val=""/>
      <w14:ligatures w14:val="none"/>
    </w:rPr>
  </w:style>
  <w:style w:type="paragraph" w:styleId="Heading4">
    <w:name w:val="heading 4"/>
    <w:basedOn w:val="Normal"/>
    <w:next w:val="Normal"/>
    <w:link w:val="Heading4Char"/>
    <w:uiPriority w:val="9"/>
    <w:semiHidden/>
    <w:unhideWhenUsed/>
    <w:qFormat/>
    <w:rsid w:val="00644E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4E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4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7F7"/>
    <w:rPr>
      <w:rFonts w:ascii="Arial" w:eastAsia="Arial" w:hAnsi="Arial" w:cs="Arial"/>
      <w:b/>
      <w:bCs/>
      <w:kern w:val="0"/>
      <w:sz w:val="24"/>
      <w:szCs w:val="24"/>
      <w:lang w:val=""/>
      <w14:ligatures w14:val="none"/>
    </w:rPr>
  </w:style>
  <w:style w:type="character" w:customStyle="1" w:styleId="Heading2Char">
    <w:name w:val="Heading 2 Char"/>
    <w:basedOn w:val="DefaultParagraphFont"/>
    <w:link w:val="Heading2"/>
    <w:uiPriority w:val="9"/>
    <w:rsid w:val="007877F7"/>
    <w:rPr>
      <w:rFonts w:ascii="Arial" w:eastAsia="Arial" w:hAnsi="Arial" w:cs="Arial"/>
      <w:b/>
      <w:bCs/>
      <w:kern w:val="0"/>
      <w:lang w:val=""/>
      <w14:ligatures w14:val="none"/>
    </w:rPr>
  </w:style>
  <w:style w:type="character" w:customStyle="1" w:styleId="Heading3Char">
    <w:name w:val="Heading 3 Char"/>
    <w:basedOn w:val="DefaultParagraphFont"/>
    <w:link w:val="Heading3"/>
    <w:uiPriority w:val="9"/>
    <w:rsid w:val="00175F2C"/>
    <w:rPr>
      <w:rFonts w:ascii="Arial" w:eastAsia="Arial" w:hAnsi="Arial" w:cs="Arial"/>
      <w:b/>
      <w:bCs/>
      <w:i/>
      <w:iCs/>
      <w:kern w:val="0"/>
      <w:lang w:val=""/>
      <w14:ligatures w14:val="none"/>
    </w:rPr>
  </w:style>
  <w:style w:type="character" w:customStyle="1" w:styleId="Heading4Char">
    <w:name w:val="Heading 4 Char"/>
    <w:basedOn w:val="DefaultParagraphFont"/>
    <w:link w:val="Heading4"/>
    <w:uiPriority w:val="9"/>
    <w:semiHidden/>
    <w:rsid w:val="00644E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4E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4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E9D"/>
    <w:rPr>
      <w:rFonts w:eastAsiaTheme="majorEastAsia" w:cstheme="majorBidi"/>
      <w:color w:val="272727" w:themeColor="text1" w:themeTint="D8"/>
    </w:rPr>
  </w:style>
  <w:style w:type="paragraph" w:styleId="Title">
    <w:name w:val="Title"/>
    <w:basedOn w:val="Normal"/>
    <w:next w:val="Normal"/>
    <w:link w:val="TitleChar"/>
    <w:uiPriority w:val="10"/>
    <w:qFormat/>
    <w:rsid w:val="00644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E9D"/>
    <w:pPr>
      <w:spacing w:before="160"/>
      <w:jc w:val="center"/>
    </w:pPr>
    <w:rPr>
      <w:i/>
      <w:iCs/>
      <w:color w:val="404040" w:themeColor="text1" w:themeTint="BF"/>
    </w:rPr>
  </w:style>
  <w:style w:type="character" w:customStyle="1" w:styleId="QuoteChar">
    <w:name w:val="Quote Char"/>
    <w:basedOn w:val="DefaultParagraphFont"/>
    <w:link w:val="Quote"/>
    <w:uiPriority w:val="29"/>
    <w:rsid w:val="00644E9D"/>
    <w:rPr>
      <w:i/>
      <w:iCs/>
      <w:color w:val="404040" w:themeColor="text1" w:themeTint="BF"/>
    </w:rPr>
  </w:style>
  <w:style w:type="paragraph" w:styleId="ListParagraph">
    <w:name w:val="List Paragraph"/>
    <w:basedOn w:val="Normal"/>
    <w:uiPriority w:val="34"/>
    <w:qFormat/>
    <w:rsid w:val="00644E9D"/>
    <w:pPr>
      <w:ind w:left="720"/>
      <w:contextualSpacing/>
    </w:pPr>
  </w:style>
  <w:style w:type="character" w:styleId="IntenseEmphasis">
    <w:name w:val="Intense Emphasis"/>
    <w:basedOn w:val="DefaultParagraphFont"/>
    <w:uiPriority w:val="21"/>
    <w:qFormat/>
    <w:rsid w:val="00644E9D"/>
    <w:rPr>
      <w:i/>
      <w:iCs/>
      <w:color w:val="2F5496" w:themeColor="accent1" w:themeShade="BF"/>
    </w:rPr>
  </w:style>
  <w:style w:type="paragraph" w:styleId="IntenseQuote">
    <w:name w:val="Intense Quote"/>
    <w:basedOn w:val="Normal"/>
    <w:next w:val="Normal"/>
    <w:link w:val="IntenseQuoteChar"/>
    <w:uiPriority w:val="30"/>
    <w:qFormat/>
    <w:rsid w:val="00644E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4E9D"/>
    <w:rPr>
      <w:i/>
      <w:iCs/>
      <w:color w:val="2F5496" w:themeColor="accent1" w:themeShade="BF"/>
    </w:rPr>
  </w:style>
  <w:style w:type="character" w:styleId="IntenseReference">
    <w:name w:val="Intense Reference"/>
    <w:basedOn w:val="DefaultParagraphFont"/>
    <w:uiPriority w:val="32"/>
    <w:qFormat/>
    <w:rsid w:val="00644E9D"/>
    <w:rPr>
      <w:b/>
      <w:bCs/>
      <w:smallCaps/>
      <w:color w:val="2F5496" w:themeColor="accent1" w:themeShade="BF"/>
      <w:spacing w:val="5"/>
    </w:rPr>
  </w:style>
  <w:style w:type="paragraph" w:styleId="Footer">
    <w:name w:val="footer"/>
    <w:basedOn w:val="Normal"/>
    <w:link w:val="FooterChar"/>
    <w:uiPriority w:val="99"/>
    <w:unhideWhenUsed/>
    <w:rsid w:val="00644E9D"/>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644E9D"/>
    <w:rPr>
      <w:rFonts w:ascii="Arial" w:eastAsia="Arial" w:hAnsi="Arial" w:cs="Arial"/>
      <w:kern w:val="0"/>
      <w:lang w:val=""/>
      <w14:ligatures w14:val="none"/>
    </w:rPr>
  </w:style>
  <w:style w:type="paragraph" w:styleId="Header">
    <w:name w:val="header"/>
    <w:basedOn w:val="Normal"/>
    <w:link w:val="HeaderChar"/>
    <w:uiPriority w:val="99"/>
    <w:unhideWhenUsed/>
    <w:rsid w:val="007877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7F7"/>
  </w:style>
  <w:style w:type="paragraph" w:styleId="TOC1">
    <w:name w:val="toc 1"/>
    <w:basedOn w:val="Normal"/>
    <w:next w:val="Normal"/>
    <w:autoRedefine/>
    <w:uiPriority w:val="39"/>
    <w:unhideWhenUsed/>
    <w:rsid w:val="00175F2C"/>
    <w:pPr>
      <w:spacing w:after="100"/>
    </w:pPr>
  </w:style>
  <w:style w:type="paragraph" w:styleId="TOC2">
    <w:name w:val="toc 2"/>
    <w:basedOn w:val="Normal"/>
    <w:next w:val="Normal"/>
    <w:autoRedefine/>
    <w:uiPriority w:val="39"/>
    <w:unhideWhenUsed/>
    <w:rsid w:val="00175F2C"/>
    <w:pPr>
      <w:spacing w:after="100"/>
      <w:ind w:left="220"/>
    </w:pPr>
  </w:style>
  <w:style w:type="paragraph" w:styleId="TOC3">
    <w:name w:val="toc 3"/>
    <w:basedOn w:val="Normal"/>
    <w:next w:val="Normal"/>
    <w:autoRedefine/>
    <w:uiPriority w:val="39"/>
    <w:unhideWhenUsed/>
    <w:rsid w:val="00175F2C"/>
    <w:pPr>
      <w:spacing w:after="100"/>
      <w:ind w:left="440"/>
    </w:pPr>
  </w:style>
  <w:style w:type="character" w:styleId="Hyperlink">
    <w:name w:val="Hyperlink"/>
    <w:basedOn w:val="DefaultParagraphFont"/>
    <w:uiPriority w:val="99"/>
    <w:unhideWhenUsed/>
    <w:rsid w:val="00175F2C"/>
    <w:rPr>
      <w:color w:val="0563C1" w:themeColor="hyperlink"/>
      <w:u w:val="single"/>
    </w:rPr>
  </w:style>
  <w:style w:type="character" w:styleId="UnresolvedMention">
    <w:name w:val="Unresolved Mention"/>
    <w:basedOn w:val="DefaultParagraphFont"/>
    <w:uiPriority w:val="99"/>
    <w:semiHidden/>
    <w:unhideWhenUsed/>
    <w:rsid w:val="00377A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iris.who.int/server/api/core/bitstreams/f208903d-b47d-4a8c-9fac-d8136c2bdbb6/cont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resolution.nhs.uk/2023/03/30/learning-from-medication-errors/" TargetMode="External"/><Relationship Id="rId5" Type="http://schemas.openxmlformats.org/officeDocument/2006/relationships/endnotes" Target="endnotes.xml"/><Relationship Id="rId10" Type="http://schemas.openxmlformats.org/officeDocument/2006/relationships/hyperlink" Target="https://www.hssib.org.uk/patient-safety-investigations/medication-related-harm/second-investigation-report/pdf/" TargetMode="External"/><Relationship Id="rId4" Type="http://schemas.openxmlformats.org/officeDocument/2006/relationships/footnotes" Target="footnotes.xml"/><Relationship Id="rId9" Type="http://schemas.openxmlformats.org/officeDocument/2006/relationships/hyperlink" Target="https://cdn.who.int/media/docs/default-source/integrated-health-services-(ihs)/psf/medication-without-harm/medication-safety-who-webinar-7march2024.pdf?sfvrsn=fd7842eb_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7232</Words>
  <Characters>41228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Patel</dc:creator>
  <cp:keywords/>
  <dc:description/>
  <cp:lastModifiedBy>pulkit patel</cp:lastModifiedBy>
  <cp:revision>2</cp:revision>
  <dcterms:created xsi:type="dcterms:W3CDTF">2026-08-10T11:58:00Z</dcterms:created>
  <dcterms:modified xsi:type="dcterms:W3CDTF">2026-08-10T11:58:00Z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902dc425-b709-4620-b68f-3c0d43a16fa7</vt:lpwstr>
  </property>
</Properties>
</file>