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F0ACFD" w14:textId="64C78183" w:rsidR="00E025F7" w:rsidRPr="008867B2" w:rsidRDefault="00E025F7" w:rsidP="008867B2">
      <w:pPr>
        <w:pStyle w:val="Ttulo"/>
        <w:jc w:val="center"/>
        <w:rPr>
          <w:rStyle w:val="Textoennegrita"/>
          <w:rFonts w:ascii="Times New Roman" w:hAnsi="Times New Roman" w:cs="Times New Roman"/>
          <w:sz w:val="24"/>
          <w:szCs w:val="24"/>
          <w:u w:val="single"/>
        </w:rPr>
      </w:pPr>
      <w:r w:rsidRPr="008867B2">
        <w:rPr>
          <w:rStyle w:val="Textoennegrita"/>
          <w:rFonts w:ascii="Times New Roman" w:hAnsi="Times New Roman" w:cs="Times New Roman"/>
          <w:sz w:val="24"/>
          <w:szCs w:val="24"/>
          <w:u w:val="single"/>
          <w:lang w:val="en-GB"/>
        </w:rPr>
        <w:t>Responsibility</w:t>
      </w:r>
      <w:r w:rsidRPr="008867B2">
        <w:rPr>
          <w:rStyle w:val="Textoennegrita"/>
          <w:rFonts w:ascii="Times New Roman" w:hAnsi="Times New Roman" w:cs="Times New Roman"/>
          <w:sz w:val="24"/>
          <w:szCs w:val="24"/>
          <w:u w:val="single"/>
        </w:rPr>
        <w:t xml:space="preserve"> t</w:t>
      </w:r>
      <w:r w:rsidRPr="008867B2">
        <w:rPr>
          <w:rStyle w:val="Textoennegrita"/>
          <w:rFonts w:ascii="Times New Roman" w:hAnsi="Times New Roman" w:cs="Times New Roman"/>
          <w:sz w:val="24"/>
          <w:szCs w:val="24"/>
          <w:u w:val="single"/>
          <w:lang w:val="en-GB"/>
        </w:rPr>
        <w:t>o</w:t>
      </w:r>
      <w:r w:rsidRPr="008867B2">
        <w:rPr>
          <w:rStyle w:val="Textoennegrita"/>
          <w:rFonts w:ascii="Times New Roman" w:hAnsi="Times New Roman" w:cs="Times New Roman"/>
          <w:sz w:val="24"/>
          <w:szCs w:val="24"/>
          <w:u w:val="single"/>
        </w:rPr>
        <w:t xml:space="preserve"> </w:t>
      </w:r>
      <w:r w:rsidRPr="008867B2">
        <w:rPr>
          <w:rStyle w:val="Textoennegrita"/>
          <w:rFonts w:ascii="Times New Roman" w:hAnsi="Times New Roman" w:cs="Times New Roman"/>
          <w:sz w:val="24"/>
          <w:szCs w:val="24"/>
          <w:u w:val="single"/>
          <w:lang w:val="en-GB"/>
        </w:rPr>
        <w:t>Protect</w:t>
      </w:r>
      <w:r w:rsidRPr="008867B2">
        <w:rPr>
          <w:rStyle w:val="Textoennegrita"/>
          <w:rFonts w:ascii="Times New Roman" w:hAnsi="Times New Roman" w:cs="Times New Roman"/>
          <w:sz w:val="24"/>
          <w:szCs w:val="24"/>
          <w:u w:val="single"/>
        </w:rPr>
        <w:t xml:space="preserve"> (R2P)</w:t>
      </w:r>
    </w:p>
    <w:p w14:paraId="5372930D" w14:textId="77777777" w:rsidR="00072EAC" w:rsidRDefault="00072EAC" w:rsidP="000357FC"/>
    <w:p w14:paraId="3C313C0E" w14:textId="0C61249A" w:rsidR="000357FC" w:rsidRPr="008B25D4" w:rsidRDefault="000357FC" w:rsidP="000357FC">
      <w:pPr>
        <w:rPr>
          <w:lang w:val="en-US"/>
        </w:rPr>
      </w:pPr>
      <w:r w:rsidRPr="008B25D4">
        <w:rPr>
          <w:lang w:val="en-US"/>
        </w:rPr>
        <w:t>Responsibility to Protect (R2P) is a principle endorsed at the 2005 UN World Summit. It is committed to the prevention and protection of populations from atrocity crimes—genocide, war crimes, ethnic cleansing, and crimes against humanity.</w:t>
      </w:r>
    </w:p>
    <w:p w14:paraId="082DB3E2" w14:textId="7E69FCEA" w:rsidR="000357FC" w:rsidRPr="008B25D4" w:rsidRDefault="000357FC" w:rsidP="000357FC">
      <w:pPr>
        <w:rPr>
          <w:lang w:val="en-US"/>
        </w:rPr>
      </w:pPr>
      <w:r w:rsidRPr="008B25D4">
        <w:rPr>
          <w:lang w:val="en-US"/>
        </w:rPr>
        <w:t xml:space="preserve">The rubric of R2P is rooted in a post-Westphalian reality that has </w:t>
      </w:r>
      <w:r w:rsidRPr="00880E14">
        <w:rPr>
          <w:lang w:val="en-GB"/>
        </w:rPr>
        <w:t>conceptualised</w:t>
      </w:r>
      <w:r w:rsidRPr="008B25D4">
        <w:rPr>
          <w:lang w:val="en-US"/>
        </w:rPr>
        <w:t xml:space="preserve"> 'Westphalia' as an idea, a process, and a normative score sheet</w:t>
      </w:r>
      <w:r w:rsidR="00FA4B8F">
        <w:rPr>
          <w:lang w:val="en-US"/>
        </w:rPr>
        <w:t>,</w:t>
      </w:r>
      <w:r w:rsidR="006D093A">
        <w:rPr>
          <w:rStyle w:val="Refdenotaalpie"/>
          <w:lang w:val="en-US"/>
        </w:rPr>
        <w:footnoteReference w:id="1"/>
      </w:r>
      <w:r w:rsidRPr="008B25D4">
        <w:rPr>
          <w:lang w:val="en-US"/>
        </w:rPr>
        <w:t xml:space="preserve"> that transcends the treaties of 1648. </w:t>
      </w:r>
    </w:p>
    <w:p w14:paraId="1D1D3A9A" w14:textId="01357959" w:rsidR="000357FC" w:rsidRPr="008B25D4" w:rsidRDefault="000357FC" w:rsidP="000357FC">
      <w:pPr>
        <w:rPr>
          <w:lang w:val="en-US"/>
        </w:rPr>
      </w:pPr>
      <w:r w:rsidRPr="008B25D4">
        <w:rPr>
          <w:lang w:val="en-US"/>
        </w:rPr>
        <w:t xml:space="preserve">The dynamics of </w:t>
      </w:r>
      <w:r w:rsidR="00FA4B8F">
        <w:rPr>
          <w:lang w:val="en-US"/>
        </w:rPr>
        <w:t xml:space="preserve"> </w:t>
      </w:r>
      <w:r w:rsidRPr="008B25D4">
        <w:rPr>
          <w:lang w:val="en-US"/>
        </w:rPr>
        <w:t>'the increasingly complex diplomatic milieu show</w:t>
      </w:r>
      <w:r w:rsidR="003B32CE">
        <w:rPr>
          <w:lang w:val="en-US"/>
        </w:rPr>
        <w:t>ed</w:t>
      </w:r>
      <w:r w:rsidRPr="008B25D4">
        <w:rPr>
          <w:lang w:val="en-US"/>
        </w:rPr>
        <w:t xml:space="preserve"> how a multi-polar system was able to develop',</w:t>
      </w:r>
      <w:r w:rsidR="006D093A">
        <w:rPr>
          <w:rStyle w:val="Refdenotaalpie"/>
          <w:lang w:val="en-US"/>
        </w:rPr>
        <w:footnoteReference w:id="2"/>
      </w:r>
      <w:r w:rsidRPr="008B25D4">
        <w:rPr>
          <w:lang w:val="en-US"/>
        </w:rPr>
        <w:t xml:space="preserve"> and with it, the bedrock of what would become the 'normative core of international law':</w:t>
      </w:r>
      <w:r w:rsidR="006D093A">
        <w:rPr>
          <w:rStyle w:val="Refdenotaalpie"/>
          <w:lang w:val="en-US"/>
        </w:rPr>
        <w:footnoteReference w:id="3"/>
      </w:r>
      <w:r w:rsidRPr="008B25D4">
        <w:rPr>
          <w:lang w:val="en-US"/>
        </w:rPr>
        <w:t xml:space="preserve"> state sovereignty, non-intervention, and [territorial integrity],</w:t>
      </w:r>
      <w:r w:rsidR="00624CD4">
        <w:rPr>
          <w:lang w:val="en-US"/>
        </w:rPr>
        <w:t xml:space="preserve"> </w:t>
      </w:r>
      <w:r w:rsidR="00882603">
        <w:rPr>
          <w:lang w:val="en-US"/>
        </w:rPr>
        <w:t>which</w:t>
      </w:r>
      <w:r w:rsidR="003B32CE">
        <w:rPr>
          <w:lang w:val="en-US"/>
        </w:rPr>
        <w:t xml:space="preserve"> would operate</w:t>
      </w:r>
      <w:r w:rsidRPr="008B25D4">
        <w:rPr>
          <w:lang w:val="en-US"/>
        </w:rPr>
        <w:t xml:space="preserve"> largely unchallenged for the next 400 years.</w:t>
      </w:r>
      <w:r w:rsidR="006D093A">
        <w:rPr>
          <w:rStyle w:val="Refdenotaalpie"/>
          <w:lang w:val="en-US"/>
        </w:rPr>
        <w:footnoteReference w:id="4"/>
      </w:r>
      <w:r w:rsidRPr="008B25D4">
        <w:rPr>
          <w:lang w:val="en-US"/>
        </w:rPr>
        <w:t xml:space="preserve"> Although a </w:t>
      </w:r>
      <w:r w:rsidRPr="00880E14">
        <w:rPr>
          <w:lang w:val="en-GB"/>
        </w:rPr>
        <w:t>stabilising</w:t>
      </w:r>
      <w:r w:rsidRPr="008B25D4">
        <w:rPr>
          <w:lang w:val="en-US"/>
        </w:rPr>
        <w:t xml:space="preserve"> element in international relations, Westphalian principles not only </w:t>
      </w:r>
      <w:r w:rsidRPr="00880E14">
        <w:rPr>
          <w:lang w:val="en-GB"/>
        </w:rPr>
        <w:t>institutionalised</w:t>
      </w:r>
      <w:r w:rsidRPr="008B25D4">
        <w:rPr>
          <w:lang w:val="en-US"/>
        </w:rPr>
        <w:t xml:space="preserve"> long-standing indifference of political rulers towards atrocity crimes occurring elsewhere, they also </w:t>
      </w:r>
      <w:r w:rsidRPr="00880E14">
        <w:rPr>
          <w:lang w:val="en-GB"/>
        </w:rPr>
        <w:t xml:space="preserve">immunised </w:t>
      </w:r>
      <w:r w:rsidRPr="008B25D4">
        <w:rPr>
          <w:lang w:val="en-US"/>
        </w:rPr>
        <w:t>them from any external discipline.</w:t>
      </w:r>
      <w:r w:rsidR="006D093A">
        <w:rPr>
          <w:rStyle w:val="Refdenotaalpie"/>
          <w:lang w:val="en-US"/>
        </w:rPr>
        <w:footnoteReference w:id="5"/>
      </w:r>
      <w:r w:rsidRPr="008B25D4">
        <w:rPr>
          <w:lang w:val="en-US"/>
        </w:rPr>
        <w:t xml:space="preserve"> </w:t>
      </w:r>
    </w:p>
    <w:p w14:paraId="7C9BB3B4" w14:textId="47F3B99A" w:rsidR="000357FC" w:rsidRPr="008B25D4" w:rsidRDefault="000357FC" w:rsidP="000357FC">
      <w:pPr>
        <w:rPr>
          <w:lang w:val="en-US"/>
        </w:rPr>
      </w:pPr>
      <w:r w:rsidRPr="008B25D4">
        <w:rPr>
          <w:lang w:val="en-US"/>
        </w:rPr>
        <w:t>The nineteenth and twentieth century saw a collective international conscience emerge in response to gross human rights abuses. Despite remaining gravely non-interventionist, the international community acknowledged emerging norms for the conduct of war, inter-state treatment of minorities, and recognition of individual rights within a European context.</w:t>
      </w:r>
      <w:r w:rsidR="00196EF3">
        <w:rPr>
          <w:rStyle w:val="Refdenotaalpie"/>
          <w:lang w:val="en-US"/>
        </w:rPr>
        <w:footnoteReference w:id="6"/>
      </w:r>
    </w:p>
    <w:p w14:paraId="3EF42E28" w14:textId="65D0E7CC" w:rsidR="000357FC" w:rsidRPr="008B25D4" w:rsidRDefault="000357FC" w:rsidP="000357FC">
      <w:pPr>
        <w:rPr>
          <w:lang w:val="en-US"/>
        </w:rPr>
      </w:pPr>
      <w:r w:rsidRPr="008B25D4">
        <w:rPr>
          <w:lang w:val="en-US"/>
        </w:rPr>
        <w:t xml:space="preserve">Only in the aftermath of World War II did a major 'recognition of the significance of individual security and of the obligations of states and their </w:t>
      </w:r>
      <w:r w:rsidRPr="00880E14">
        <w:rPr>
          <w:lang w:val="en-GB"/>
        </w:rPr>
        <w:t>organisations</w:t>
      </w:r>
      <w:r w:rsidRPr="008B25D4">
        <w:rPr>
          <w:lang w:val="en-US"/>
        </w:rPr>
        <w:t xml:space="preserve"> to address that security' take place.</w:t>
      </w:r>
      <w:r w:rsidR="00196EF3">
        <w:rPr>
          <w:rStyle w:val="Refdenotaalpie"/>
          <w:lang w:val="en-US"/>
        </w:rPr>
        <w:footnoteReference w:id="7"/>
      </w:r>
      <w:r w:rsidRPr="008B25D4">
        <w:rPr>
          <w:lang w:val="en-US"/>
        </w:rPr>
        <w:t xml:space="preserve"> The signing of the Nuremberg Tribunal Charter and the UN Charter in 1945, along with the Universal Declaration of Human Rights of 1948 and the Third and Fourth Geneva Conventions in 1949, marked the onset of modern human rights in international law. </w:t>
      </w:r>
    </w:p>
    <w:p w14:paraId="389B9138" w14:textId="430186FE" w:rsidR="000357FC" w:rsidRPr="008B25D4" w:rsidRDefault="000357FC" w:rsidP="000357FC">
      <w:pPr>
        <w:rPr>
          <w:lang w:val="en-US"/>
        </w:rPr>
      </w:pPr>
      <w:r w:rsidRPr="008B25D4">
        <w:rPr>
          <w:lang w:val="en-US"/>
        </w:rPr>
        <w:t>The UN Charter became a shrine for the post-1945 international order.</w:t>
      </w:r>
      <w:r w:rsidR="00196EF3">
        <w:rPr>
          <w:rStyle w:val="Refdenotaalpie"/>
          <w:lang w:val="en-US"/>
        </w:rPr>
        <w:footnoteReference w:id="8"/>
      </w:r>
      <w:r w:rsidRPr="008B25D4">
        <w:rPr>
          <w:lang w:val="en-US"/>
        </w:rPr>
        <w:t xml:space="preserve"> Articles 2(1), 2(4), 2(7),</w:t>
      </w:r>
      <w:r w:rsidR="00196EF3">
        <w:rPr>
          <w:rStyle w:val="Refdenotaalpie"/>
          <w:lang w:val="en-US"/>
        </w:rPr>
        <w:footnoteReference w:id="9"/>
      </w:r>
      <w:r w:rsidRPr="008B25D4">
        <w:rPr>
          <w:lang w:val="en-US"/>
        </w:rPr>
        <w:t xml:space="preserve"> </w:t>
      </w:r>
      <w:r w:rsidRPr="00880E14">
        <w:rPr>
          <w:lang w:val="en-GB"/>
        </w:rPr>
        <w:t>fossilised</w:t>
      </w:r>
      <w:r w:rsidRPr="008B25D4">
        <w:rPr>
          <w:lang w:val="en-US"/>
        </w:rPr>
        <w:t xml:space="preserve"> Westphalian principles of non-intervention, territorial integrity, and above all: state sovereignty, 'on which the whole of international law rests';</w:t>
      </w:r>
      <w:r w:rsidR="00196EF3">
        <w:rPr>
          <w:rStyle w:val="Refdenotaalpie"/>
          <w:lang w:val="en-US"/>
        </w:rPr>
        <w:footnoteReference w:id="10"/>
      </w:r>
      <w:r w:rsidRPr="008B25D4">
        <w:rPr>
          <w:lang w:val="en-US"/>
        </w:rPr>
        <w:t xml:space="preserve"> simultaneously containing 'collective international obligations for the maintenance of international peace and security' and </w:t>
      </w:r>
      <w:r w:rsidRPr="00880E14">
        <w:rPr>
          <w:lang w:val="en-GB"/>
        </w:rPr>
        <w:t>recognising</w:t>
      </w:r>
      <w:r w:rsidRPr="008B25D4">
        <w:rPr>
          <w:lang w:val="en-US"/>
        </w:rPr>
        <w:t xml:space="preserve"> that 'sovereignty yields to the demands of international peace and security'.</w:t>
      </w:r>
      <w:r w:rsidR="00196EF3">
        <w:rPr>
          <w:rStyle w:val="Refdenotaalpie"/>
          <w:lang w:val="en-US"/>
        </w:rPr>
        <w:footnoteReference w:id="11"/>
      </w:r>
    </w:p>
    <w:p w14:paraId="12683050" w14:textId="695FC54C" w:rsidR="000357FC" w:rsidRPr="008B25D4" w:rsidRDefault="000357FC" w:rsidP="000357FC">
      <w:pPr>
        <w:rPr>
          <w:lang w:val="en-US"/>
        </w:rPr>
      </w:pPr>
      <w:r w:rsidRPr="008B25D4">
        <w:rPr>
          <w:lang w:val="en-US"/>
        </w:rPr>
        <w:t xml:space="preserve">The Cold War period presented itself somewhat paradoxically. An emerging human rights agenda was being hindered by its own historical context: </w:t>
      </w:r>
      <w:r w:rsidRPr="00880E14">
        <w:rPr>
          <w:lang w:val="en-GB"/>
        </w:rPr>
        <w:t>decolonisation</w:t>
      </w:r>
      <w:r w:rsidRPr="008B25D4">
        <w:rPr>
          <w:lang w:val="en-US"/>
        </w:rPr>
        <w:t xml:space="preserve"> and East-West tensions led newly independent states and the socialist bloc to leverage their sovereignty rights—and the associated proscription of international intervention—as a </w:t>
      </w:r>
      <w:r w:rsidRPr="00880E14">
        <w:rPr>
          <w:lang w:val="en-GB"/>
        </w:rPr>
        <w:t>defence</w:t>
      </w:r>
      <w:r w:rsidRPr="008B25D4">
        <w:rPr>
          <w:lang w:val="en-US"/>
        </w:rPr>
        <w:t xml:space="preserve"> mechanism against external influence.</w:t>
      </w:r>
      <w:r w:rsidR="00196EF3">
        <w:rPr>
          <w:rStyle w:val="Refdenotaalpie"/>
          <w:lang w:val="en-US"/>
        </w:rPr>
        <w:footnoteReference w:id="12"/>
      </w:r>
      <w:r w:rsidRPr="008B25D4">
        <w:rPr>
          <w:lang w:val="en-US"/>
        </w:rPr>
        <w:t xml:space="preserve"> The increase in membership, along with the consequent shielding of said members from outside scrutiny, was proving detrimental to the conference-based governance of the UN,</w:t>
      </w:r>
      <w:r w:rsidR="00196EF3">
        <w:rPr>
          <w:rStyle w:val="Refdenotaalpie"/>
          <w:lang w:val="en-US"/>
        </w:rPr>
        <w:footnoteReference w:id="13"/>
      </w:r>
      <w:r w:rsidRPr="008B25D4">
        <w:rPr>
          <w:lang w:val="en-US"/>
        </w:rPr>
        <w:t xml:space="preserve"> rendering it static.</w:t>
      </w:r>
      <w:r w:rsidR="00196EF3">
        <w:rPr>
          <w:rStyle w:val="Refdenotaalpie"/>
          <w:lang w:val="en-US"/>
        </w:rPr>
        <w:footnoteReference w:id="14"/>
      </w:r>
    </w:p>
    <w:p w14:paraId="4CDBBB47" w14:textId="77777777" w:rsidR="000357FC" w:rsidRPr="008B25D4" w:rsidRDefault="000357FC" w:rsidP="000357FC">
      <w:pPr>
        <w:rPr>
          <w:lang w:val="en-US"/>
        </w:rPr>
      </w:pPr>
      <w:r w:rsidRPr="008B25D4">
        <w:rPr>
          <w:lang w:val="en-US"/>
        </w:rPr>
        <w:t xml:space="preserve">Henceforth, the tenures of three UN Secretary-Generals marked the onset, consolidation, and practical application of the R2P doctrine: </w:t>
      </w:r>
    </w:p>
    <w:p w14:paraId="0720A565" w14:textId="3EA4F9B4" w:rsidR="000357FC" w:rsidRDefault="000357FC" w:rsidP="000357FC">
      <w:pPr>
        <w:rPr>
          <w:lang w:val="en-US"/>
        </w:rPr>
      </w:pPr>
      <w:r w:rsidRPr="008B25D4">
        <w:rPr>
          <w:lang w:val="en-US"/>
        </w:rPr>
        <w:t>Dag Hammarskjöld legacy rests on a turn to protection through techniques of international governance—preventive diplomacy, peacekeeping, and territorial administration—, based on neutrality, impartiality, and universality to guide what became 'an impressive apparatus of international rule' and dynamic executive action.</w:t>
      </w:r>
      <w:r w:rsidR="00196EF3">
        <w:rPr>
          <w:rStyle w:val="Refdenotaalpie"/>
          <w:lang w:val="en-US"/>
        </w:rPr>
        <w:footnoteReference w:id="15"/>
      </w:r>
      <w:r w:rsidRPr="008B25D4">
        <w:rPr>
          <w:lang w:val="en-US"/>
        </w:rPr>
        <w:t xml:space="preserve"> </w:t>
      </w:r>
      <w:r w:rsidR="00196EF3">
        <w:rPr>
          <w:rStyle w:val="Refdenotaalpie"/>
          <w:lang w:val="en-US"/>
        </w:rPr>
        <w:footnoteReference w:id="16"/>
      </w:r>
      <w:r w:rsidR="00196EF3">
        <w:rPr>
          <w:lang w:val="en-US"/>
        </w:rPr>
        <w:t xml:space="preserve"> </w:t>
      </w:r>
      <w:r w:rsidR="00196EF3">
        <w:rPr>
          <w:rStyle w:val="Refdenotaalpie"/>
          <w:lang w:val="en-US"/>
        </w:rPr>
        <w:footnoteReference w:id="17"/>
      </w:r>
    </w:p>
    <w:p w14:paraId="2D4970CD" w14:textId="6DADF91B" w:rsidR="003F666F" w:rsidRPr="008B25D4" w:rsidRDefault="003F666F" w:rsidP="000357FC">
      <w:pPr>
        <w:rPr>
          <w:lang w:val="en-US"/>
        </w:rPr>
      </w:pPr>
      <w:r>
        <w:rPr>
          <w:lang w:val="en-US"/>
        </w:rPr>
        <w:t>The new millennium was met with Kofi Annan’s</w:t>
      </w:r>
      <w:r w:rsidR="00607378">
        <w:rPr>
          <w:lang w:val="en-US"/>
        </w:rPr>
        <w:t xml:space="preserve"> </w:t>
      </w:r>
      <w:r w:rsidR="008F5066">
        <w:rPr>
          <w:lang w:val="en-US"/>
        </w:rPr>
        <w:t xml:space="preserve">critical </w:t>
      </w:r>
      <w:r w:rsidR="00607378">
        <w:rPr>
          <w:lang w:val="en-US"/>
        </w:rPr>
        <w:t>question:</w:t>
      </w:r>
    </w:p>
    <w:p w14:paraId="65D0927C" w14:textId="7CA32B5F" w:rsidR="000357FC" w:rsidRPr="008B25D4" w:rsidRDefault="000357FC" w:rsidP="00F05CC7">
      <w:pPr>
        <w:ind w:left="284"/>
        <w:rPr>
          <w:lang w:val="en-US"/>
        </w:rPr>
      </w:pPr>
      <w:r w:rsidRPr="008B25D4">
        <w:rPr>
          <w:lang w:val="en-US"/>
        </w:rPr>
        <w:t>If humanitarian intervention is, indeed, an unacceptable assault on sovereignty, how should we respond to a Rwanda, to a Srebrenica—to gross and systematic violations of human rights that offend every precept of our common humanity?</w:t>
      </w:r>
      <w:r w:rsidR="00196EF3">
        <w:rPr>
          <w:rStyle w:val="Refdenotaalpie"/>
          <w:lang w:val="en-US"/>
        </w:rPr>
        <w:footnoteReference w:id="18"/>
      </w:r>
    </w:p>
    <w:p w14:paraId="7F9C1308" w14:textId="62084010" w:rsidR="000357FC" w:rsidRPr="008B25D4" w:rsidRDefault="00607378" w:rsidP="000357FC">
      <w:pPr>
        <w:rPr>
          <w:lang w:val="en-US"/>
        </w:rPr>
      </w:pPr>
      <w:r>
        <w:rPr>
          <w:lang w:val="en-US"/>
        </w:rPr>
        <w:t>Th</w:t>
      </w:r>
      <w:r w:rsidR="00500DC2">
        <w:rPr>
          <w:lang w:val="en-US"/>
        </w:rPr>
        <w:t>e</w:t>
      </w:r>
      <w:r w:rsidR="000357FC" w:rsidRPr="008B25D4">
        <w:rPr>
          <w:lang w:val="en-US"/>
        </w:rPr>
        <w:t xml:space="preserve"> conceptual impasse</w:t>
      </w:r>
      <w:r w:rsidR="00E71A26">
        <w:rPr>
          <w:lang w:val="en-US"/>
        </w:rPr>
        <w:t xml:space="preserve"> at the heart of</w:t>
      </w:r>
      <w:r w:rsidR="000357FC" w:rsidRPr="008B25D4">
        <w:rPr>
          <w:lang w:val="en-US"/>
        </w:rPr>
        <w:t xml:space="preserve"> </w:t>
      </w:r>
      <w:r w:rsidR="00E71A26">
        <w:rPr>
          <w:lang w:val="en-US"/>
        </w:rPr>
        <w:t>the</w:t>
      </w:r>
      <w:r w:rsidR="000357FC" w:rsidRPr="008B25D4">
        <w:rPr>
          <w:lang w:val="en-US"/>
        </w:rPr>
        <w:t xml:space="preserve"> sovereignty and </w:t>
      </w:r>
      <w:r w:rsidR="000357FC" w:rsidRPr="008F5066">
        <w:rPr>
          <w:lang w:val="en-GB"/>
        </w:rPr>
        <w:t>intervention</w:t>
      </w:r>
      <w:r w:rsidR="00E71A26">
        <w:rPr>
          <w:lang w:val="en-GB"/>
        </w:rPr>
        <w:t xml:space="preserve"> discourse</w:t>
      </w:r>
      <w:r w:rsidR="00960580">
        <w:rPr>
          <w:lang w:val="en-US"/>
        </w:rPr>
        <w:t xml:space="preserve"> </w:t>
      </w:r>
      <w:r>
        <w:rPr>
          <w:lang w:val="en-US"/>
        </w:rPr>
        <w:t>prompted</w:t>
      </w:r>
      <w:r w:rsidR="000357FC" w:rsidRPr="008B25D4">
        <w:rPr>
          <w:lang w:val="en-US"/>
        </w:rPr>
        <w:t xml:space="preserve"> the appointment of the International Commission on Intervention and State Sovereignty.</w:t>
      </w:r>
      <w:r w:rsidR="00196EF3">
        <w:rPr>
          <w:rStyle w:val="Refdenotaalpie"/>
          <w:lang w:val="en-US"/>
        </w:rPr>
        <w:footnoteReference w:id="19"/>
      </w:r>
    </w:p>
    <w:p w14:paraId="22C51CB3" w14:textId="2308BDCA" w:rsidR="000357FC" w:rsidRPr="008B25D4" w:rsidRDefault="000357FC" w:rsidP="000357FC">
      <w:pPr>
        <w:rPr>
          <w:lang w:val="en-US"/>
        </w:rPr>
      </w:pPr>
      <w:r w:rsidRPr="008B25D4">
        <w:rPr>
          <w:lang w:val="en-US"/>
        </w:rPr>
        <w:t>The core principles of the 2001 ICISS Report establish sovereignty as a responsibility to protect, yielding non-intervention to that responsibility on the international stage. Departing from language 'irretrievably linked to the use of military force', the 'right to intervene' was redefined as the 'right to be protected'. The report outlines three primary responsibilities: to prevent, to react, and to rebuild. Prevention was paramount; nonetheless, in situations where military coercion was deemed necessary, it was to be guided by principles of legality and legitimacy.</w:t>
      </w:r>
      <w:r w:rsidR="00196EF3">
        <w:rPr>
          <w:rStyle w:val="Refdenotaalpie"/>
          <w:lang w:val="en-US"/>
        </w:rPr>
        <w:footnoteReference w:id="20"/>
      </w:r>
    </w:p>
    <w:p w14:paraId="70BEE492" w14:textId="5B645CBD" w:rsidR="00072EAC" w:rsidRDefault="000357FC" w:rsidP="000357FC">
      <w:pPr>
        <w:rPr>
          <w:lang w:val="en-US"/>
        </w:rPr>
      </w:pPr>
      <w:r w:rsidRPr="008B25D4">
        <w:rPr>
          <w:lang w:val="en-US"/>
        </w:rPr>
        <w:t>The 2005 endorsement of the principle was followed by the Secretary-General’s 2009 Report on Implementing the Responsibility to Protect. Ban Ki-moon's initiative</w:t>
      </w:r>
      <w:r w:rsidR="00880E14">
        <w:rPr>
          <w:lang w:val="en-US"/>
        </w:rPr>
        <w:t xml:space="preserve"> </w:t>
      </w:r>
      <w:r w:rsidRPr="00880E14">
        <w:rPr>
          <w:lang w:val="en-GB"/>
        </w:rPr>
        <w:t>emphasised</w:t>
      </w:r>
      <w:r w:rsidRPr="008B25D4">
        <w:rPr>
          <w:lang w:val="en-US"/>
        </w:rPr>
        <w:t xml:space="preserve"> 'preserving life and protecting populations through prevention, punishment, development and post-conflict administration'</w:t>
      </w:r>
      <w:r w:rsidR="00EA397E">
        <w:rPr>
          <w:lang w:val="en-US"/>
        </w:rPr>
        <w:t>,</w:t>
      </w:r>
      <w:r w:rsidR="00EA397E">
        <w:rPr>
          <w:rStyle w:val="Refdenotaalpie"/>
          <w:lang w:val="en-US"/>
        </w:rPr>
        <w:footnoteReference w:id="21"/>
      </w:r>
      <w:r w:rsidRPr="008B25D4">
        <w:rPr>
          <w:lang w:val="en-US"/>
        </w:rPr>
        <w:t xml:space="preserve"> structured around three pillars: protection of the responsibilities of the State, international assistance and capacity-building, and timely and decisive response.</w:t>
      </w:r>
      <w:r w:rsidR="00EA397E">
        <w:rPr>
          <w:rStyle w:val="Refdenotaalpie"/>
          <w:lang w:val="en-US"/>
        </w:rPr>
        <w:footnoteReference w:id="22"/>
      </w:r>
    </w:p>
    <w:p w14:paraId="27AA0CF6" w14:textId="655328AC" w:rsidR="00D328E4" w:rsidRDefault="000357FC" w:rsidP="006705C4">
      <w:pPr>
        <w:rPr>
          <w:lang w:val="en-US"/>
        </w:rPr>
      </w:pPr>
      <w:r w:rsidRPr="008B25D4">
        <w:rPr>
          <w:lang w:val="en-US"/>
        </w:rPr>
        <w:t>Criticisms of R2P stress the impossibility of maintaining neutrality,</w:t>
      </w:r>
      <w:r w:rsidR="00EA397E">
        <w:rPr>
          <w:rStyle w:val="Refdenotaalpie"/>
          <w:lang w:val="en-US"/>
        </w:rPr>
        <w:footnoteReference w:id="23"/>
      </w:r>
      <w:r w:rsidRPr="008B25D4">
        <w:rPr>
          <w:lang w:val="en-US"/>
        </w:rPr>
        <w:t xml:space="preserve"> and the inability of a 'twentieth-century UN to respond to twenty-first century challenges'.</w:t>
      </w:r>
      <w:r w:rsidR="00EA397E">
        <w:rPr>
          <w:rStyle w:val="Refdenotaalpie"/>
          <w:lang w:val="en-US"/>
        </w:rPr>
        <w:footnoteReference w:id="24"/>
      </w:r>
      <w:r w:rsidRPr="008B25D4">
        <w:rPr>
          <w:lang w:val="en-US"/>
        </w:rPr>
        <w:t xml:space="preserve"> Its implementation in Libya can be summed up as a 'foreign military intervention that went far beyond any mandate to "protect civilians"',</w:t>
      </w:r>
      <w:r w:rsidR="00EA397E">
        <w:rPr>
          <w:rStyle w:val="Refdenotaalpie"/>
          <w:lang w:val="en-US"/>
        </w:rPr>
        <w:footnoteReference w:id="25"/>
      </w:r>
      <w:r w:rsidRPr="008B25D4">
        <w:rPr>
          <w:lang w:val="en-US"/>
        </w:rPr>
        <w:t xml:space="preserve"> with clear motives of 'the departure of Qaddafi from power and from Libya'.</w:t>
      </w:r>
      <w:r w:rsidR="00EA397E">
        <w:rPr>
          <w:rStyle w:val="Refdenotaalpie"/>
          <w:lang w:val="en-US"/>
        </w:rPr>
        <w:footnoteReference w:id="26"/>
      </w:r>
      <w:r w:rsidRPr="008B25D4">
        <w:rPr>
          <w:lang w:val="en-US"/>
        </w:rPr>
        <w:t xml:space="preserve"> Inaction in Syria jeopardizes UN credibility and renders the principle stillborn.</w:t>
      </w:r>
    </w:p>
    <w:p w14:paraId="71AB8EDC" w14:textId="77777777" w:rsidR="64BC74C2" w:rsidRDefault="64BC74C2" w:rsidP="000357FC">
      <w:pPr>
        <w:rPr>
          <w:lang w:val="en-US"/>
        </w:rPr>
      </w:pPr>
    </w:p>
    <w:p w14:paraId="7CB4A30E" w14:textId="002FA374" w:rsidR="005967DC" w:rsidRDefault="009F724B" w:rsidP="009F724B">
      <w:pPr>
        <w:jc w:val="center"/>
        <w:rPr>
          <w:rStyle w:val="Textoennegrita"/>
          <w:lang w:val="en-GB"/>
        </w:rPr>
      </w:pPr>
      <w:r w:rsidRPr="009F724B">
        <w:rPr>
          <w:rStyle w:val="Textoennegrita"/>
          <w:lang w:val="en-GB"/>
        </w:rPr>
        <w:t>B</w:t>
      </w:r>
      <w:r w:rsidR="005967DC" w:rsidRPr="009F724B">
        <w:rPr>
          <w:rStyle w:val="Textoennegrita"/>
          <w:lang w:val="en-GB"/>
        </w:rPr>
        <w:t>ibliography</w:t>
      </w:r>
    </w:p>
    <w:p w14:paraId="5837181B" w14:textId="77777777" w:rsidR="00AC07AE" w:rsidRPr="008B62EF" w:rsidRDefault="00AC07AE" w:rsidP="008B62EF">
      <w:pPr>
        <w:rPr>
          <w:lang w:val="en-US"/>
        </w:rPr>
      </w:pPr>
      <w:r w:rsidRPr="008B62EF">
        <w:rPr>
          <w:lang w:val="en-US"/>
        </w:rPr>
        <w:t>Becker</w:t>
      </w:r>
      <w:r w:rsidRPr="008B62EF">
        <w:rPr>
          <w:lang w:val="en-US"/>
        </w:rPr>
        <w:t>, Jo</w:t>
      </w:r>
      <w:r w:rsidRPr="008B62EF">
        <w:rPr>
          <w:lang w:val="en-US"/>
        </w:rPr>
        <w:t xml:space="preserve"> and Shane</w:t>
      </w:r>
      <w:r w:rsidRPr="008B62EF">
        <w:rPr>
          <w:lang w:val="en-US"/>
        </w:rPr>
        <w:t>, Scott</w:t>
      </w:r>
      <w:r w:rsidRPr="008B62EF">
        <w:rPr>
          <w:lang w:val="en-US"/>
        </w:rPr>
        <w:t xml:space="preserve">, ‘Hillary Clinton, ‘Smart Power’ and a Dictator’s Fall’, </w:t>
      </w:r>
      <w:r w:rsidRPr="008B62EF">
        <w:rPr>
          <w:i/>
          <w:iCs/>
          <w:lang w:val="en-US"/>
        </w:rPr>
        <w:t>The New York Times</w:t>
      </w:r>
      <w:r w:rsidRPr="008B62EF">
        <w:rPr>
          <w:lang w:val="en-US"/>
        </w:rPr>
        <w:t>, 27 February 2016. &lt;</w:t>
      </w:r>
      <w:hyperlink r:id="rId7" w:history="1">
        <w:r w:rsidRPr="008B62EF">
          <w:rPr>
            <w:rStyle w:val="Hipervnculo"/>
            <w:lang w:val="en-US"/>
          </w:rPr>
          <w:t>https://www.nytimes.com/2016/02/28/us/politics/hillary-clinton-libya.html</w:t>
        </w:r>
      </w:hyperlink>
      <w:r w:rsidRPr="008B62EF">
        <w:rPr>
          <w:lang w:val="en-US"/>
        </w:rPr>
        <w:t>&gt; [accessed 4 Nov 2024]</w:t>
      </w:r>
    </w:p>
    <w:p w14:paraId="54A49BA0" w14:textId="77777777" w:rsidR="00AC07AE" w:rsidRPr="008B62EF" w:rsidRDefault="00AC07AE" w:rsidP="008B62EF">
      <w:pPr>
        <w:ind w:left="709" w:hanging="709"/>
        <w:rPr>
          <w:lang w:val="en-US"/>
        </w:rPr>
      </w:pPr>
      <w:r w:rsidRPr="008B62EF">
        <w:rPr>
          <w:rStyle w:val="Textoennegrita"/>
          <w:b w:val="0"/>
          <w:bCs w:val="0"/>
          <w:lang w:val="en-US"/>
        </w:rPr>
        <w:t xml:space="preserve">Brown, </w:t>
      </w:r>
      <w:proofErr w:type="spellStart"/>
      <w:r w:rsidRPr="008B62EF">
        <w:rPr>
          <w:rStyle w:val="Textoennegrita"/>
          <w:b w:val="0"/>
          <w:bCs w:val="0"/>
          <w:lang w:val="en-US"/>
        </w:rPr>
        <w:t>Seyom</w:t>
      </w:r>
      <w:proofErr w:type="spellEnd"/>
      <w:r w:rsidRPr="008B62EF">
        <w:rPr>
          <w:rStyle w:val="Textoennegrita"/>
          <w:b w:val="0"/>
          <w:bCs w:val="0"/>
          <w:lang w:val="en-US"/>
        </w:rPr>
        <w:t xml:space="preserve">, </w:t>
      </w:r>
      <w:r w:rsidRPr="008B62EF">
        <w:rPr>
          <w:i/>
          <w:iCs/>
          <w:lang w:val="en-US"/>
        </w:rPr>
        <w:t xml:space="preserve">International Relations </w:t>
      </w:r>
      <w:proofErr w:type="gramStart"/>
      <w:r w:rsidRPr="008B62EF">
        <w:rPr>
          <w:i/>
          <w:iCs/>
          <w:lang w:val="en-US"/>
        </w:rPr>
        <w:t>In</w:t>
      </w:r>
      <w:proofErr w:type="gramEnd"/>
      <w:r w:rsidRPr="008B62EF">
        <w:rPr>
          <w:i/>
          <w:iCs/>
          <w:lang w:val="en-US"/>
        </w:rPr>
        <w:t xml:space="preserve"> A Changing Global System</w:t>
      </w:r>
      <w:r w:rsidRPr="008B62EF">
        <w:rPr>
          <w:lang w:val="en-US"/>
        </w:rPr>
        <w:t xml:space="preserve">, 2nd </w:t>
      </w:r>
      <w:proofErr w:type="spellStart"/>
      <w:r w:rsidRPr="008B62EF">
        <w:rPr>
          <w:lang w:val="en-US"/>
        </w:rPr>
        <w:t>edn</w:t>
      </w:r>
      <w:proofErr w:type="spellEnd"/>
      <w:r w:rsidRPr="008B62EF">
        <w:rPr>
          <w:lang w:val="en-US"/>
        </w:rPr>
        <w:t>. (New York: Routledge, 1996</w:t>
      </w:r>
      <w:r w:rsidRPr="008B62EF">
        <w:rPr>
          <w:lang w:val="en-US"/>
        </w:rPr>
        <w:t>)</w:t>
      </w:r>
    </w:p>
    <w:p w14:paraId="49F31E78" w14:textId="77777777" w:rsidR="00AC07AE" w:rsidRPr="008B62EF" w:rsidRDefault="00AC07AE" w:rsidP="008B62EF">
      <w:pPr>
        <w:rPr>
          <w:rStyle w:val="Textoennegrita"/>
          <w:b w:val="0"/>
          <w:bCs w:val="0"/>
          <w:lang w:val="en-US"/>
        </w:rPr>
      </w:pPr>
      <w:proofErr w:type="spellStart"/>
      <w:r w:rsidRPr="008B62EF">
        <w:rPr>
          <w:rStyle w:val="Textoennegrita"/>
          <w:b w:val="0"/>
          <w:bCs w:val="0"/>
          <w:lang w:val="en-US"/>
        </w:rPr>
        <w:t>Croxton</w:t>
      </w:r>
      <w:proofErr w:type="spellEnd"/>
      <w:r w:rsidRPr="008B62EF">
        <w:rPr>
          <w:rStyle w:val="Textoennegrita"/>
          <w:b w:val="0"/>
          <w:bCs w:val="0"/>
          <w:lang w:val="en-US"/>
        </w:rPr>
        <w:t xml:space="preserve">, Derek, ‘The Peace of Westphalia of 1648 and the Origins of Sovereignty’, </w:t>
      </w:r>
      <w:r w:rsidRPr="008B62EF">
        <w:rPr>
          <w:rStyle w:val="Textoennegrita"/>
          <w:b w:val="0"/>
          <w:bCs w:val="0"/>
          <w:i/>
          <w:iCs/>
          <w:lang w:val="en-US"/>
        </w:rPr>
        <w:t>The International History Review</w:t>
      </w:r>
      <w:r w:rsidRPr="008B62EF">
        <w:rPr>
          <w:rStyle w:val="Textoennegrita"/>
          <w:b w:val="0"/>
          <w:bCs w:val="0"/>
          <w:lang w:val="en-US"/>
        </w:rPr>
        <w:t>, 2.3 (1999), 569-591.</w:t>
      </w:r>
    </w:p>
    <w:p w14:paraId="0EE4B72A" w14:textId="77777777" w:rsidR="00AC07AE" w:rsidRPr="008B62EF" w:rsidRDefault="00AC07AE" w:rsidP="008B62EF">
      <w:pPr>
        <w:ind w:left="709" w:hanging="709"/>
        <w:rPr>
          <w:lang w:val="en-US"/>
        </w:rPr>
      </w:pPr>
      <w:r w:rsidRPr="008B62EF">
        <w:rPr>
          <w:lang w:val="en-US"/>
        </w:rPr>
        <w:t>Evans,</w:t>
      </w:r>
      <w:r w:rsidRPr="008B62EF">
        <w:rPr>
          <w:lang w:val="en-US"/>
        </w:rPr>
        <w:t xml:space="preserve"> Gareth,</w:t>
      </w:r>
      <w:r w:rsidRPr="008B62EF">
        <w:rPr>
          <w:lang w:val="en-US"/>
        </w:rPr>
        <w:t xml:space="preserve"> </w:t>
      </w:r>
      <w:r w:rsidRPr="008B62EF">
        <w:rPr>
          <w:i/>
          <w:iCs/>
          <w:lang w:val="en-US"/>
        </w:rPr>
        <w:t>The Responsibility to Protect</w:t>
      </w:r>
      <w:r w:rsidRPr="008B62EF">
        <w:rPr>
          <w:lang w:val="en-US"/>
        </w:rPr>
        <w:t>. (Washington, D.C.: Brookings Institution Press, 2009)</w:t>
      </w:r>
    </w:p>
    <w:p w14:paraId="77538A5D" w14:textId="77777777" w:rsidR="00AC07AE" w:rsidRPr="008B62EF" w:rsidRDefault="00AC07AE" w:rsidP="008B62EF">
      <w:pPr>
        <w:rPr>
          <w:rStyle w:val="Textoennegrita"/>
          <w:b w:val="0"/>
          <w:bCs w:val="0"/>
          <w:lang w:val="en-US"/>
        </w:rPr>
      </w:pPr>
      <w:r w:rsidRPr="008B62EF">
        <w:rPr>
          <w:rStyle w:val="Textoennegrita"/>
          <w:b w:val="0"/>
          <w:bCs w:val="0"/>
          <w:lang w:val="en-US"/>
        </w:rPr>
        <w:t xml:space="preserve">Falk, Richard, ‘Revisiting Westphalia, Discovering Post-Westphalia’, </w:t>
      </w:r>
      <w:r w:rsidRPr="008B62EF">
        <w:rPr>
          <w:rStyle w:val="Textoennegrita"/>
          <w:b w:val="0"/>
          <w:bCs w:val="0"/>
          <w:i/>
          <w:iCs/>
          <w:lang w:val="en-US"/>
        </w:rPr>
        <w:t>The Journal of Ethics</w:t>
      </w:r>
      <w:r w:rsidRPr="008B62EF">
        <w:rPr>
          <w:rStyle w:val="Textoennegrita"/>
          <w:b w:val="0"/>
          <w:bCs w:val="0"/>
          <w:lang w:val="en-US"/>
        </w:rPr>
        <w:t>, 6.4 (2002), 311-352.</w:t>
      </w:r>
    </w:p>
    <w:p w14:paraId="5AF01642" w14:textId="77777777" w:rsidR="00AC07AE" w:rsidRPr="008B62EF" w:rsidRDefault="00AC07AE" w:rsidP="008B62EF">
      <w:pPr>
        <w:rPr>
          <w:rStyle w:val="Textoennegrita"/>
          <w:b w:val="0"/>
          <w:bCs w:val="0"/>
          <w:lang w:val="en-US"/>
        </w:rPr>
      </w:pPr>
      <w:r w:rsidRPr="008B62EF">
        <w:rPr>
          <w:lang w:val="en-US"/>
        </w:rPr>
        <w:t>Forte</w:t>
      </w:r>
      <w:r w:rsidRPr="008B62EF">
        <w:rPr>
          <w:lang w:val="en-US"/>
        </w:rPr>
        <w:t>, Maximilian</w:t>
      </w:r>
      <w:r w:rsidRPr="008B62EF">
        <w:rPr>
          <w:lang w:val="en-US"/>
        </w:rPr>
        <w:t xml:space="preserve">, </w:t>
      </w:r>
      <w:r w:rsidRPr="008B62EF">
        <w:rPr>
          <w:i/>
          <w:iCs/>
          <w:lang w:val="en-US"/>
        </w:rPr>
        <w:t>Slouching Towards Sirte: NATO's War on Libya and Africa</w:t>
      </w:r>
      <w:r w:rsidRPr="008B62EF">
        <w:rPr>
          <w:lang w:val="en-US"/>
        </w:rPr>
        <w:t>. (Quebec: Baraka Books, 2012)</w:t>
      </w:r>
    </w:p>
    <w:p w14:paraId="4792C136" w14:textId="77777777" w:rsidR="00AC07AE" w:rsidRPr="008B62EF" w:rsidRDefault="00AC07AE" w:rsidP="008B62EF">
      <w:pPr>
        <w:rPr>
          <w:lang w:val="en-US"/>
        </w:rPr>
      </w:pPr>
      <w:r w:rsidRPr="008B62EF">
        <w:rPr>
          <w:lang w:val="en-US"/>
        </w:rPr>
        <w:t>Gates,</w:t>
      </w:r>
      <w:r w:rsidRPr="008B62EF">
        <w:rPr>
          <w:lang w:val="en-US"/>
        </w:rPr>
        <w:t xml:space="preserve"> Robert,</w:t>
      </w:r>
      <w:r w:rsidRPr="008B62EF">
        <w:rPr>
          <w:lang w:val="en-US"/>
        </w:rPr>
        <w:t xml:space="preserve"> Secretary of Defense, </w:t>
      </w:r>
      <w:r w:rsidRPr="008B62EF">
        <w:rPr>
          <w:i/>
          <w:iCs/>
          <w:lang w:val="en-US"/>
        </w:rPr>
        <w:t>The Washington Post</w:t>
      </w:r>
      <w:r w:rsidRPr="008B62EF">
        <w:rPr>
          <w:lang w:val="en-US"/>
        </w:rPr>
        <w:t xml:space="preserve"> (2001) &lt;https://www.washingtonpost.com/world/the-security-and-defense-agenda-as-delivered-by-secretary-of-defense-robert-gates-brussels-belgium-june</w:t>
      </w:r>
      <w:r w:rsidRPr="008B62EF">
        <w:rPr>
          <w:lang w:val="en-US"/>
        </w:rPr>
        <w:t>-</w:t>
      </w:r>
      <w:r w:rsidRPr="008B62EF">
        <w:rPr>
          <w:lang w:val="en-US"/>
        </w:rPr>
        <w:t>102011/2011/06/10/AGqlZhOH_story.html&gt;</w:t>
      </w:r>
      <w:r w:rsidRPr="008B62EF">
        <w:rPr>
          <w:i/>
          <w:iCs/>
          <w:lang w:val="en-US"/>
        </w:rPr>
        <w:t xml:space="preserve"> </w:t>
      </w:r>
      <w:r w:rsidRPr="008B62EF">
        <w:rPr>
          <w:lang w:val="en-US"/>
        </w:rPr>
        <w:t>[accessed 2 Nov 2024]</w:t>
      </w:r>
    </w:p>
    <w:p w14:paraId="640B0949" w14:textId="77777777" w:rsidR="00AC07AE" w:rsidRPr="008B62EF" w:rsidRDefault="00AC07AE" w:rsidP="008B62EF">
      <w:pPr>
        <w:rPr>
          <w:lang w:val="en-US"/>
        </w:rPr>
      </w:pPr>
      <w:r w:rsidRPr="008B62EF">
        <w:rPr>
          <w:lang w:val="en-US"/>
        </w:rPr>
        <w:t>Global Centre for the Responsibility to Protect. </w:t>
      </w:r>
      <w:r w:rsidRPr="008B62EF">
        <w:rPr>
          <w:i/>
          <w:iCs/>
          <w:lang w:val="en-US"/>
        </w:rPr>
        <w:t>The Failure to Protect: Syria and the UN Security Council</w:t>
      </w:r>
      <w:r w:rsidRPr="008B62EF">
        <w:rPr>
          <w:lang w:val="en-US"/>
        </w:rPr>
        <w:t>, 2020. &lt;</w:t>
      </w:r>
      <w:hyperlink r:id="rId8" w:history="1">
        <w:r w:rsidRPr="008B62EF">
          <w:rPr>
            <w:rStyle w:val="Hipervnculo"/>
            <w:lang w:val="en-US"/>
          </w:rPr>
          <w:t>https://www.globalr2p.org/wp-content/uploads/2020/07/syriapaper_final.pdf</w:t>
        </w:r>
      </w:hyperlink>
      <w:r w:rsidRPr="008B62EF">
        <w:rPr>
          <w:lang w:val="en-US"/>
        </w:rPr>
        <w:t>&gt; [accessed 4 Nov 2024]</w:t>
      </w:r>
    </w:p>
    <w:p w14:paraId="1670191A" w14:textId="77777777" w:rsidR="00AC07AE" w:rsidRPr="008B62EF" w:rsidRDefault="00AC07AE" w:rsidP="008B62EF">
      <w:pPr>
        <w:ind w:left="709" w:hanging="709"/>
        <w:rPr>
          <w:lang w:val="en-US"/>
        </w:rPr>
      </w:pPr>
      <w:r w:rsidRPr="008B62EF">
        <w:rPr>
          <w:lang w:val="en-US"/>
        </w:rPr>
        <w:t>McFarlane</w:t>
      </w:r>
      <w:r w:rsidRPr="008B62EF">
        <w:rPr>
          <w:lang w:val="en-US"/>
        </w:rPr>
        <w:t>, S. Neil</w:t>
      </w:r>
      <w:r w:rsidRPr="008B62EF">
        <w:rPr>
          <w:lang w:val="en-US"/>
        </w:rPr>
        <w:t xml:space="preserve"> and Khong</w:t>
      </w:r>
      <w:r w:rsidRPr="008B62EF">
        <w:rPr>
          <w:lang w:val="en-US"/>
        </w:rPr>
        <w:t xml:space="preserve">, </w:t>
      </w:r>
      <w:r w:rsidRPr="008B62EF">
        <w:rPr>
          <w:lang w:val="en-US"/>
        </w:rPr>
        <w:t xml:space="preserve">Yuen </w:t>
      </w:r>
      <w:proofErr w:type="spellStart"/>
      <w:r w:rsidRPr="008B62EF">
        <w:rPr>
          <w:lang w:val="en-US"/>
        </w:rPr>
        <w:t>Foong</w:t>
      </w:r>
      <w:proofErr w:type="spellEnd"/>
      <w:r w:rsidRPr="008B62EF">
        <w:rPr>
          <w:lang w:val="en-US"/>
        </w:rPr>
        <w:t xml:space="preserve">, </w:t>
      </w:r>
      <w:r w:rsidRPr="008B62EF">
        <w:rPr>
          <w:i/>
          <w:iCs/>
          <w:lang w:val="en-US"/>
        </w:rPr>
        <w:t>Human Security and the UN</w:t>
      </w:r>
      <w:r w:rsidRPr="008B62EF">
        <w:rPr>
          <w:lang w:val="en-US"/>
        </w:rPr>
        <w:t>. (Bloomington: Indiana University Press, 2006)</w:t>
      </w:r>
    </w:p>
    <w:p w14:paraId="657FBD48" w14:textId="77777777" w:rsidR="00AC07AE" w:rsidRPr="008B62EF" w:rsidRDefault="00AC07AE" w:rsidP="008B62EF">
      <w:pPr>
        <w:ind w:left="709" w:hanging="709"/>
        <w:rPr>
          <w:lang w:val="en-US"/>
        </w:rPr>
      </w:pPr>
      <w:r w:rsidRPr="008B62EF">
        <w:rPr>
          <w:lang w:val="en-US"/>
        </w:rPr>
        <w:t>Orford,</w:t>
      </w:r>
      <w:r w:rsidRPr="008B62EF">
        <w:rPr>
          <w:lang w:val="en-US"/>
        </w:rPr>
        <w:t xml:space="preserve"> Anne,</w:t>
      </w:r>
      <w:r w:rsidRPr="008B62EF">
        <w:rPr>
          <w:lang w:val="en-US"/>
        </w:rPr>
        <w:t xml:space="preserve"> </w:t>
      </w:r>
      <w:r w:rsidRPr="008B62EF">
        <w:rPr>
          <w:i/>
          <w:iCs/>
          <w:lang w:val="en-US"/>
        </w:rPr>
        <w:t>International Authority and the Responsibility to Protect</w:t>
      </w:r>
      <w:r w:rsidRPr="008B62EF">
        <w:rPr>
          <w:lang w:val="en-US"/>
        </w:rPr>
        <w:t>. (Cambridge: Cambridge University Press, 2011)</w:t>
      </w:r>
    </w:p>
    <w:p w14:paraId="708D4DE4" w14:textId="77777777" w:rsidR="00AC07AE" w:rsidRPr="008B62EF" w:rsidRDefault="00AC07AE" w:rsidP="008B62EF">
      <w:pPr>
        <w:rPr>
          <w:lang w:val="en-US"/>
        </w:rPr>
      </w:pPr>
      <w:r w:rsidRPr="008B62EF">
        <w:rPr>
          <w:lang w:val="en-US"/>
        </w:rPr>
        <w:t>UN Secretary General, ‘We the Peoples: The Role of the United Nations in the 21</w:t>
      </w:r>
      <w:r w:rsidRPr="008B62EF">
        <w:rPr>
          <w:vertAlign w:val="superscript"/>
          <w:lang w:val="en-US"/>
        </w:rPr>
        <w:t>st</w:t>
      </w:r>
      <w:r w:rsidRPr="008B62EF">
        <w:rPr>
          <w:lang w:val="en-US"/>
        </w:rPr>
        <w:t xml:space="preserve"> Century’, UN GAOR, 54</w:t>
      </w:r>
      <w:r w:rsidRPr="008B62EF">
        <w:rPr>
          <w:vertAlign w:val="superscript"/>
          <w:lang w:val="en-US"/>
        </w:rPr>
        <w:t>th</w:t>
      </w:r>
      <w:r w:rsidRPr="008B62EF">
        <w:rPr>
          <w:lang w:val="en-US"/>
        </w:rPr>
        <w:t xml:space="preserve"> Sess., Agenda Item 49(b), UN Doc. A/54/2000, 27 March 2000</w:t>
      </w:r>
      <w:r w:rsidRPr="008B62EF">
        <w:rPr>
          <w:lang w:val="en-US"/>
        </w:rPr>
        <w:t>.</w:t>
      </w:r>
    </w:p>
    <w:p w14:paraId="77F222C1" w14:textId="77777777" w:rsidR="00AC07AE" w:rsidRPr="008B62EF" w:rsidRDefault="00AC07AE" w:rsidP="008B62EF">
      <w:pPr>
        <w:rPr>
          <w:lang w:val="en-US"/>
        </w:rPr>
      </w:pPr>
      <w:r w:rsidRPr="008B62EF">
        <w:rPr>
          <w:lang w:val="en-US"/>
        </w:rPr>
        <w:t>UN Secretary-General, ‘Implementing the Responsibility to Protect: Report of the Secretary-General’, UN GAOR, 63</w:t>
      </w:r>
      <w:r w:rsidRPr="008B62EF">
        <w:rPr>
          <w:vertAlign w:val="superscript"/>
          <w:lang w:val="en-US"/>
        </w:rPr>
        <w:t>rd</w:t>
      </w:r>
      <w:r w:rsidRPr="008B62EF">
        <w:rPr>
          <w:lang w:val="en-US"/>
        </w:rPr>
        <w:t xml:space="preserve"> Sess., Agenda Items 44 and 107, UN Doc. A/63/677, 12 January 2009</w:t>
      </w:r>
    </w:p>
    <w:p w14:paraId="1F2C3AC7" w14:textId="77777777" w:rsidR="00AC07AE" w:rsidRPr="008B62EF" w:rsidRDefault="00AC07AE" w:rsidP="008B62EF">
      <w:pPr>
        <w:rPr>
          <w:lang w:val="en-US"/>
        </w:rPr>
      </w:pPr>
      <w:r w:rsidRPr="008B62EF">
        <w:rPr>
          <w:lang w:val="en-US"/>
        </w:rPr>
        <w:t>UN Secretary-General, ‘</w:t>
      </w:r>
      <w:r w:rsidRPr="008B62EF">
        <w:rPr>
          <w:lang w:val="en-GB"/>
        </w:rPr>
        <w:t>Introduction</w:t>
      </w:r>
      <w:r w:rsidRPr="008B62EF">
        <w:rPr>
          <w:lang w:val="en-US"/>
        </w:rPr>
        <w:t xml:space="preserve"> to the Annual Report of the Secretary-General on </w:t>
      </w:r>
      <w:r w:rsidRPr="008D2DE1">
        <w:rPr>
          <w:lang w:val="en-US"/>
        </w:rPr>
        <w:t>the Work of the Organization’, UN GAOR, 16th Sess., Supp. No. 1A, UN Doc. A/4800/</w:t>
      </w:r>
      <w:r w:rsidRPr="008B62EF">
        <w:rPr>
          <w:lang w:val="en-US"/>
        </w:rPr>
        <w:t>Add.1, 1961</w:t>
      </w:r>
    </w:p>
    <w:p w14:paraId="7ED7B716" w14:textId="77777777" w:rsidR="00AC07AE" w:rsidRPr="008B62EF" w:rsidRDefault="00AC07AE" w:rsidP="008B62EF">
      <w:pPr>
        <w:ind w:left="709" w:hanging="709"/>
      </w:pPr>
      <w:r w:rsidRPr="008B62EF">
        <w:rPr>
          <w:lang w:val="en-US"/>
        </w:rPr>
        <w:t>United Nations. </w:t>
      </w:r>
      <w:r w:rsidRPr="008B62EF">
        <w:rPr>
          <w:i/>
          <w:iCs/>
          <w:lang w:val="en-US"/>
        </w:rPr>
        <w:t>Charter of the United Nations</w:t>
      </w:r>
      <w:r w:rsidRPr="008B62EF">
        <w:rPr>
          <w:lang w:val="en-US"/>
        </w:rPr>
        <w:t xml:space="preserve">. </w:t>
      </w:r>
      <w:r w:rsidRPr="008B62EF">
        <w:t>1945.</w:t>
      </w:r>
    </w:p>
    <w:p w14:paraId="3497BC2E" w14:textId="77777777" w:rsidR="00AC07AE" w:rsidRPr="008B62EF" w:rsidRDefault="00AC07AE" w:rsidP="008B62EF">
      <w:pPr>
        <w:ind w:left="709" w:hanging="709"/>
        <w:rPr>
          <w:lang w:val="en-US"/>
        </w:rPr>
      </w:pPr>
      <w:r w:rsidRPr="008B62EF">
        <w:rPr>
          <w:lang w:val="en-US"/>
        </w:rPr>
        <w:t>Weiss</w:t>
      </w:r>
      <w:r w:rsidRPr="008B62EF">
        <w:rPr>
          <w:lang w:val="en-US"/>
        </w:rPr>
        <w:t>, Thomas</w:t>
      </w:r>
      <w:r w:rsidRPr="008B62EF">
        <w:rPr>
          <w:lang w:val="en-US"/>
        </w:rPr>
        <w:t xml:space="preserve">, </w:t>
      </w:r>
      <w:r w:rsidRPr="008B62EF">
        <w:rPr>
          <w:i/>
          <w:iCs/>
          <w:lang w:val="en-US"/>
        </w:rPr>
        <w:t>Humanitarian Intervention</w:t>
      </w:r>
      <w:r w:rsidRPr="008B62EF">
        <w:rPr>
          <w:lang w:val="en-US"/>
        </w:rPr>
        <w:t>, 3</w:t>
      </w:r>
      <w:r w:rsidRPr="008B62EF">
        <w:rPr>
          <w:vertAlign w:val="superscript"/>
          <w:lang w:val="en-US"/>
        </w:rPr>
        <w:t>rd</w:t>
      </w:r>
      <w:r w:rsidRPr="008B62EF">
        <w:rPr>
          <w:lang w:val="en-US"/>
        </w:rPr>
        <w:t xml:space="preserve"> </w:t>
      </w:r>
      <w:proofErr w:type="spellStart"/>
      <w:r w:rsidRPr="008B62EF">
        <w:rPr>
          <w:lang w:val="en-US"/>
        </w:rPr>
        <w:t>edn</w:t>
      </w:r>
      <w:proofErr w:type="spellEnd"/>
      <w:r w:rsidRPr="008B62EF">
        <w:rPr>
          <w:lang w:val="en-US"/>
        </w:rPr>
        <w:t>. (Cambridge: Polity, 2016</w:t>
      </w:r>
      <w:r w:rsidRPr="008B62EF">
        <w:rPr>
          <w:lang w:val="en-US"/>
        </w:rPr>
        <w:t>)</w:t>
      </w:r>
    </w:p>
    <w:sectPr w:rsidR="00AC07AE" w:rsidRPr="008B62EF">
      <w:headerReference w:type="default" r:id="rId9"/>
      <w:footerReference w:type="even"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2FA231" w14:textId="77777777" w:rsidR="00BE0483" w:rsidRDefault="00BE0483" w:rsidP="005C0EA1">
      <w:pPr>
        <w:spacing w:after="0" w:line="240" w:lineRule="auto"/>
      </w:pPr>
      <w:r>
        <w:separator/>
      </w:r>
    </w:p>
  </w:endnote>
  <w:endnote w:type="continuationSeparator" w:id="0">
    <w:p w14:paraId="15ED305A" w14:textId="77777777" w:rsidR="00BE0483" w:rsidRDefault="00BE0483" w:rsidP="005C0E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Nmerodepgina"/>
      </w:rPr>
      <w:id w:val="1375727582"/>
      <w:docPartObj>
        <w:docPartGallery w:val="Page Numbers (Bottom of Page)"/>
        <w:docPartUnique/>
      </w:docPartObj>
    </w:sdtPr>
    <w:sdtContent>
      <w:p w14:paraId="4C1C26C4" w14:textId="221A01A3" w:rsidR="005C0EA1" w:rsidRDefault="005C0EA1" w:rsidP="00317781">
        <w:pPr>
          <w:pStyle w:val="Piedepgina"/>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end"/>
        </w:r>
      </w:p>
    </w:sdtContent>
  </w:sdt>
  <w:p w14:paraId="4D801057" w14:textId="77777777" w:rsidR="005C0EA1" w:rsidRDefault="005C0EA1" w:rsidP="005C0EA1">
    <w:pPr>
      <w:pStyle w:val="Piedepgina"/>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Nmerodepgina"/>
      </w:rPr>
      <w:id w:val="147800847"/>
      <w:docPartObj>
        <w:docPartGallery w:val="Page Numbers (Bottom of Page)"/>
        <w:docPartUnique/>
      </w:docPartObj>
    </w:sdtPr>
    <w:sdtContent>
      <w:p w14:paraId="4BA0B3E0" w14:textId="5CFB90E7" w:rsidR="005C0EA1" w:rsidRDefault="005C0EA1" w:rsidP="00317781">
        <w:pPr>
          <w:pStyle w:val="Piedepgina"/>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noProof/>
          </w:rPr>
          <w:t>1</w:t>
        </w:r>
        <w:r>
          <w:rPr>
            <w:rStyle w:val="Nmerodepgina"/>
          </w:rPr>
          <w:fldChar w:fldCharType="end"/>
        </w:r>
      </w:p>
    </w:sdtContent>
  </w:sdt>
  <w:p w14:paraId="2168A485" w14:textId="77777777" w:rsidR="005C0EA1" w:rsidRDefault="005C0EA1" w:rsidP="005C0EA1">
    <w:pPr>
      <w:pStyle w:val="Piedepgina"/>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90D661" w14:textId="77777777" w:rsidR="00BE0483" w:rsidRDefault="00BE0483" w:rsidP="005C0EA1">
      <w:pPr>
        <w:spacing w:after="0" w:line="240" w:lineRule="auto"/>
      </w:pPr>
      <w:r>
        <w:separator/>
      </w:r>
    </w:p>
  </w:footnote>
  <w:footnote w:type="continuationSeparator" w:id="0">
    <w:p w14:paraId="7098F760" w14:textId="77777777" w:rsidR="00BE0483" w:rsidRDefault="00BE0483" w:rsidP="005C0EA1">
      <w:pPr>
        <w:spacing w:after="0" w:line="240" w:lineRule="auto"/>
      </w:pPr>
      <w:r>
        <w:continuationSeparator/>
      </w:r>
    </w:p>
  </w:footnote>
  <w:footnote w:id="1">
    <w:p w14:paraId="5BB693EE" w14:textId="5EEAAA03" w:rsidR="006D093A" w:rsidRPr="00FB78E6" w:rsidRDefault="006D093A">
      <w:pPr>
        <w:pStyle w:val="Textonotapie"/>
        <w:rPr>
          <w:lang w:val="en-US"/>
        </w:rPr>
      </w:pPr>
      <w:r>
        <w:rPr>
          <w:rStyle w:val="Refdenotaalpie"/>
        </w:rPr>
        <w:footnoteRef/>
      </w:r>
      <w:r w:rsidRPr="00FB78E6">
        <w:rPr>
          <w:lang w:val="en-US"/>
        </w:rPr>
        <w:t xml:space="preserve"> </w:t>
      </w:r>
      <w:r w:rsidR="00FB78E6" w:rsidRPr="00FB78E6">
        <w:rPr>
          <w:lang w:val="en-US"/>
        </w:rPr>
        <w:t xml:space="preserve">Richard Falk, 'Revisiting Westphalia, Discovering Post-Westphalia', </w:t>
      </w:r>
      <w:r w:rsidR="00FB78E6" w:rsidRPr="00FB78E6">
        <w:rPr>
          <w:i/>
          <w:iCs/>
          <w:lang w:val="en-US"/>
        </w:rPr>
        <w:t>The Journal of Ethics</w:t>
      </w:r>
      <w:r w:rsidR="00FB78E6" w:rsidRPr="00FB78E6">
        <w:rPr>
          <w:lang w:val="en-US"/>
        </w:rPr>
        <w:t>, 6.4 (2002), 311-352 (p. 312).</w:t>
      </w:r>
    </w:p>
  </w:footnote>
  <w:footnote w:id="2">
    <w:p w14:paraId="57CE9BD9" w14:textId="177472EE" w:rsidR="006D093A" w:rsidRPr="00271FCF" w:rsidRDefault="006D093A">
      <w:pPr>
        <w:pStyle w:val="Textonotapie"/>
        <w:rPr>
          <w:lang w:val="en-US"/>
        </w:rPr>
      </w:pPr>
      <w:r>
        <w:rPr>
          <w:rStyle w:val="Refdenotaalpie"/>
        </w:rPr>
        <w:footnoteRef/>
      </w:r>
      <w:r w:rsidRPr="00271FCF">
        <w:rPr>
          <w:lang w:val="en-US"/>
        </w:rPr>
        <w:t xml:space="preserve"> </w:t>
      </w:r>
      <w:r w:rsidR="00271FCF" w:rsidRPr="00271FCF">
        <w:rPr>
          <w:lang w:val="en-US"/>
        </w:rPr>
        <w:t xml:space="preserve">Derek </w:t>
      </w:r>
      <w:proofErr w:type="spellStart"/>
      <w:r w:rsidR="00271FCF" w:rsidRPr="00271FCF">
        <w:rPr>
          <w:lang w:val="en-US"/>
        </w:rPr>
        <w:t>Croxton</w:t>
      </w:r>
      <w:proofErr w:type="spellEnd"/>
      <w:r w:rsidR="00271FCF" w:rsidRPr="00271FCF">
        <w:rPr>
          <w:lang w:val="en-US"/>
        </w:rPr>
        <w:t xml:space="preserve">, 'The Peace of Westphalia of 1648 and the Origins of Sovereignty', </w:t>
      </w:r>
      <w:r w:rsidR="00271FCF" w:rsidRPr="00271FCF">
        <w:rPr>
          <w:i/>
          <w:iCs/>
          <w:lang w:val="en-US"/>
        </w:rPr>
        <w:t xml:space="preserve">The International History Review, </w:t>
      </w:r>
      <w:r w:rsidR="00271FCF" w:rsidRPr="00271FCF">
        <w:rPr>
          <w:lang w:val="en-US"/>
        </w:rPr>
        <w:t>21.3 (1999), 569-591 (p. 591).</w:t>
      </w:r>
    </w:p>
  </w:footnote>
  <w:footnote w:id="3">
    <w:p w14:paraId="709CE435" w14:textId="22D21D41" w:rsidR="006D093A" w:rsidRPr="002F0317" w:rsidRDefault="006D093A">
      <w:pPr>
        <w:pStyle w:val="Textonotapie"/>
        <w:rPr>
          <w:lang w:val="en-US"/>
        </w:rPr>
      </w:pPr>
      <w:r>
        <w:rPr>
          <w:rStyle w:val="Refdenotaalpie"/>
        </w:rPr>
        <w:footnoteRef/>
      </w:r>
      <w:r w:rsidRPr="002F0317">
        <w:rPr>
          <w:lang w:val="en-US"/>
        </w:rPr>
        <w:t xml:space="preserve"> </w:t>
      </w:r>
      <w:proofErr w:type="spellStart"/>
      <w:r w:rsidR="002F0317" w:rsidRPr="002F0317">
        <w:rPr>
          <w:lang w:val="en-US"/>
        </w:rPr>
        <w:t>Seyom</w:t>
      </w:r>
      <w:proofErr w:type="spellEnd"/>
      <w:r w:rsidR="002F0317" w:rsidRPr="002F0317">
        <w:rPr>
          <w:lang w:val="en-US"/>
        </w:rPr>
        <w:t xml:space="preserve"> Brown, </w:t>
      </w:r>
      <w:r w:rsidR="002F0317" w:rsidRPr="002F0317">
        <w:rPr>
          <w:i/>
          <w:iCs/>
          <w:lang w:val="en-US"/>
        </w:rPr>
        <w:t xml:space="preserve">International Relations </w:t>
      </w:r>
      <w:proofErr w:type="gramStart"/>
      <w:r w:rsidR="002F0317" w:rsidRPr="002F0317">
        <w:rPr>
          <w:i/>
          <w:iCs/>
          <w:lang w:val="en-US"/>
        </w:rPr>
        <w:t>In</w:t>
      </w:r>
      <w:proofErr w:type="gramEnd"/>
      <w:r w:rsidR="002F0317" w:rsidRPr="002F0317">
        <w:rPr>
          <w:i/>
          <w:iCs/>
          <w:lang w:val="en-US"/>
        </w:rPr>
        <w:t xml:space="preserve"> A Changing Global System</w:t>
      </w:r>
      <w:r w:rsidR="002F0317" w:rsidRPr="002F0317">
        <w:rPr>
          <w:lang w:val="en-US"/>
        </w:rPr>
        <w:t xml:space="preserve">, 2nd </w:t>
      </w:r>
      <w:proofErr w:type="spellStart"/>
      <w:r w:rsidR="002F0317" w:rsidRPr="002F0317">
        <w:rPr>
          <w:lang w:val="en-US"/>
        </w:rPr>
        <w:t>edn</w:t>
      </w:r>
      <w:proofErr w:type="spellEnd"/>
      <w:r w:rsidR="002F0317" w:rsidRPr="002F0317">
        <w:rPr>
          <w:lang w:val="en-US"/>
        </w:rPr>
        <w:t xml:space="preserve">. (New York: Routledge, 1996), </w:t>
      </w:r>
      <w:proofErr w:type="spellStart"/>
      <w:r w:rsidR="002F0317" w:rsidRPr="002F0317">
        <w:rPr>
          <w:lang w:val="en-US"/>
        </w:rPr>
        <w:t>ebook</w:t>
      </w:r>
      <w:proofErr w:type="spellEnd"/>
      <w:r w:rsidR="002F0317" w:rsidRPr="002F0317">
        <w:rPr>
          <w:lang w:val="en-US"/>
        </w:rPr>
        <w:t>, p. 69.</w:t>
      </w:r>
    </w:p>
  </w:footnote>
  <w:footnote w:id="4">
    <w:p w14:paraId="46A119EC" w14:textId="1E9A0226" w:rsidR="006D093A" w:rsidRPr="002F0317" w:rsidRDefault="006D093A">
      <w:pPr>
        <w:pStyle w:val="Textonotapie"/>
        <w:rPr>
          <w:lang w:val="en-US"/>
        </w:rPr>
      </w:pPr>
      <w:r>
        <w:rPr>
          <w:rStyle w:val="Refdenotaalpie"/>
        </w:rPr>
        <w:footnoteRef/>
      </w:r>
      <w:r w:rsidRPr="002F0317">
        <w:rPr>
          <w:lang w:val="en-US"/>
        </w:rPr>
        <w:t xml:space="preserve"> </w:t>
      </w:r>
      <w:r w:rsidR="00E11B54" w:rsidRPr="00E11B54">
        <w:rPr>
          <w:lang w:val="en-US"/>
        </w:rPr>
        <w:t>Ibid.</w:t>
      </w:r>
    </w:p>
  </w:footnote>
  <w:footnote w:id="5">
    <w:p w14:paraId="20C772E7" w14:textId="794F224A" w:rsidR="006D093A" w:rsidRPr="005F5BB2" w:rsidRDefault="006D093A">
      <w:pPr>
        <w:pStyle w:val="Textonotapie"/>
        <w:rPr>
          <w:lang w:val="en-US"/>
        </w:rPr>
      </w:pPr>
      <w:r>
        <w:rPr>
          <w:rStyle w:val="Refdenotaalpie"/>
        </w:rPr>
        <w:footnoteRef/>
      </w:r>
      <w:r w:rsidRPr="005F5BB2">
        <w:rPr>
          <w:lang w:val="en-US"/>
        </w:rPr>
        <w:t xml:space="preserve"> </w:t>
      </w:r>
      <w:r w:rsidR="005F5BB2" w:rsidRPr="005F5BB2">
        <w:rPr>
          <w:lang w:val="en-US"/>
        </w:rPr>
        <w:t xml:space="preserve">Gareth Evans, </w:t>
      </w:r>
      <w:r w:rsidR="005F5BB2" w:rsidRPr="005F5BB2">
        <w:rPr>
          <w:i/>
          <w:iCs/>
          <w:lang w:val="en-US"/>
        </w:rPr>
        <w:t>The Responsibility to Protect</w:t>
      </w:r>
      <w:r w:rsidR="005F5BB2" w:rsidRPr="005F5BB2">
        <w:rPr>
          <w:lang w:val="en-US"/>
        </w:rPr>
        <w:t xml:space="preserve">. (Washington, D.C.: Brookings Institution Press, 2009), </w:t>
      </w:r>
      <w:proofErr w:type="spellStart"/>
      <w:r w:rsidR="005F5BB2" w:rsidRPr="005F5BB2">
        <w:rPr>
          <w:lang w:val="en-US"/>
        </w:rPr>
        <w:t>ebook</w:t>
      </w:r>
      <w:proofErr w:type="spellEnd"/>
      <w:r w:rsidR="005F5BB2" w:rsidRPr="005F5BB2">
        <w:rPr>
          <w:lang w:val="en-US"/>
        </w:rPr>
        <w:t>, p.16.</w:t>
      </w:r>
    </w:p>
  </w:footnote>
  <w:footnote w:id="6">
    <w:p w14:paraId="7C06964E" w14:textId="2298D04B" w:rsidR="00196EF3" w:rsidRPr="00F83D29" w:rsidRDefault="00196EF3">
      <w:pPr>
        <w:pStyle w:val="Textonotapie"/>
        <w:rPr>
          <w:lang w:val="en-US"/>
        </w:rPr>
      </w:pPr>
      <w:r>
        <w:rPr>
          <w:rStyle w:val="Refdenotaalpie"/>
        </w:rPr>
        <w:footnoteRef/>
      </w:r>
      <w:r w:rsidRPr="00C76C11">
        <w:rPr>
          <w:lang w:val="en-US"/>
        </w:rPr>
        <w:t xml:space="preserve"> </w:t>
      </w:r>
      <w:r w:rsidR="00C76C11" w:rsidRPr="00C76C11">
        <w:rPr>
          <w:lang w:val="en-US"/>
        </w:rPr>
        <w:t xml:space="preserve">S. Neil McFarlane and Yuen </w:t>
      </w:r>
      <w:proofErr w:type="spellStart"/>
      <w:r w:rsidR="00C76C11" w:rsidRPr="00C76C11">
        <w:rPr>
          <w:lang w:val="en-US"/>
        </w:rPr>
        <w:t>Foong</w:t>
      </w:r>
      <w:proofErr w:type="spellEnd"/>
      <w:r w:rsidR="00C76C11" w:rsidRPr="00C76C11">
        <w:rPr>
          <w:lang w:val="en-US"/>
        </w:rPr>
        <w:t xml:space="preserve"> Khong, </w:t>
      </w:r>
      <w:r w:rsidR="00C76C11" w:rsidRPr="00C76C11">
        <w:rPr>
          <w:i/>
          <w:iCs/>
          <w:lang w:val="en-US"/>
        </w:rPr>
        <w:t>Human Security and the UN</w:t>
      </w:r>
      <w:r w:rsidR="00C76C11" w:rsidRPr="00C76C11">
        <w:rPr>
          <w:lang w:val="en-US"/>
        </w:rPr>
        <w:t xml:space="preserve">. </w:t>
      </w:r>
      <w:r w:rsidR="00C76C11" w:rsidRPr="00F83D29">
        <w:rPr>
          <w:lang w:val="en-US"/>
        </w:rPr>
        <w:t xml:space="preserve">(Bloomington: Indiana University Press, 2006), </w:t>
      </w:r>
      <w:proofErr w:type="spellStart"/>
      <w:r w:rsidR="00C76C11" w:rsidRPr="00F83D29">
        <w:rPr>
          <w:lang w:val="en-US"/>
        </w:rPr>
        <w:t>ebook</w:t>
      </w:r>
      <w:proofErr w:type="spellEnd"/>
      <w:r w:rsidR="00C76C11" w:rsidRPr="00F83D29">
        <w:rPr>
          <w:lang w:val="en-US"/>
        </w:rPr>
        <w:t>, p. 60.</w:t>
      </w:r>
    </w:p>
  </w:footnote>
  <w:footnote w:id="7">
    <w:p w14:paraId="1A597C44" w14:textId="4E034091" w:rsidR="00196EF3" w:rsidRPr="00F83D29" w:rsidRDefault="00196EF3">
      <w:pPr>
        <w:pStyle w:val="Textonotapie"/>
        <w:rPr>
          <w:lang w:val="en-US"/>
        </w:rPr>
      </w:pPr>
      <w:r>
        <w:rPr>
          <w:rStyle w:val="Refdenotaalpie"/>
        </w:rPr>
        <w:footnoteRef/>
      </w:r>
      <w:r w:rsidRPr="00F83D29">
        <w:rPr>
          <w:lang w:val="en-US"/>
        </w:rPr>
        <w:t xml:space="preserve"> </w:t>
      </w:r>
      <w:r w:rsidR="007836F8" w:rsidRPr="00F83D29">
        <w:rPr>
          <w:lang w:val="en-US"/>
        </w:rPr>
        <w:t>Ibid</w:t>
      </w:r>
      <w:r w:rsidR="007836F8" w:rsidRPr="00F83D29">
        <w:rPr>
          <w:lang w:val="en-US"/>
        </w:rPr>
        <w:t>.</w:t>
      </w:r>
    </w:p>
  </w:footnote>
  <w:footnote w:id="8">
    <w:p w14:paraId="362FC579" w14:textId="23BA080B" w:rsidR="00196EF3" w:rsidRPr="00351ECE" w:rsidRDefault="00196EF3">
      <w:pPr>
        <w:pStyle w:val="Textonotapie"/>
        <w:rPr>
          <w:lang w:val="en-US"/>
        </w:rPr>
      </w:pPr>
      <w:r>
        <w:rPr>
          <w:rStyle w:val="Refdenotaalpie"/>
        </w:rPr>
        <w:footnoteRef/>
      </w:r>
      <w:r w:rsidRPr="00F83D29">
        <w:rPr>
          <w:lang w:val="en-US"/>
        </w:rPr>
        <w:t xml:space="preserve"> </w:t>
      </w:r>
      <w:r w:rsidR="00F83D29" w:rsidRPr="00F83D29">
        <w:rPr>
          <w:lang w:val="en-US"/>
        </w:rPr>
        <w:t xml:space="preserve">Thomas Weiss, </w:t>
      </w:r>
      <w:r w:rsidR="00F83D29" w:rsidRPr="00F83D29">
        <w:rPr>
          <w:i/>
          <w:iCs/>
          <w:lang w:val="en-US"/>
        </w:rPr>
        <w:t>Hu</w:t>
      </w:r>
      <w:r w:rsidR="00F83D29">
        <w:rPr>
          <w:i/>
          <w:iCs/>
          <w:lang w:val="en-US"/>
        </w:rPr>
        <w:t>manitarian</w:t>
      </w:r>
      <w:r w:rsidR="00351ECE">
        <w:rPr>
          <w:i/>
          <w:iCs/>
          <w:lang w:val="en-US"/>
        </w:rPr>
        <w:t xml:space="preserve"> Intervention</w:t>
      </w:r>
      <w:r w:rsidR="00351ECE">
        <w:rPr>
          <w:lang w:val="en-US"/>
        </w:rPr>
        <w:t>, 3</w:t>
      </w:r>
      <w:r w:rsidR="00351ECE" w:rsidRPr="00351ECE">
        <w:rPr>
          <w:vertAlign w:val="superscript"/>
          <w:lang w:val="en-US"/>
        </w:rPr>
        <w:t>rd</w:t>
      </w:r>
      <w:r w:rsidR="00351ECE">
        <w:rPr>
          <w:lang w:val="en-US"/>
        </w:rPr>
        <w:t xml:space="preserve"> </w:t>
      </w:r>
      <w:proofErr w:type="spellStart"/>
      <w:r w:rsidR="00351ECE">
        <w:rPr>
          <w:lang w:val="en-US"/>
        </w:rPr>
        <w:t>edn</w:t>
      </w:r>
      <w:proofErr w:type="spellEnd"/>
      <w:r w:rsidR="00351ECE">
        <w:rPr>
          <w:lang w:val="en-US"/>
        </w:rPr>
        <w:t>. (Cambridge</w:t>
      </w:r>
      <w:r w:rsidR="00E43391">
        <w:rPr>
          <w:lang w:val="en-US"/>
        </w:rPr>
        <w:t>: Polity</w:t>
      </w:r>
      <w:r w:rsidR="009A60A4">
        <w:rPr>
          <w:lang w:val="en-US"/>
        </w:rPr>
        <w:t>, 2016</w:t>
      </w:r>
      <w:r w:rsidR="00E43391">
        <w:rPr>
          <w:lang w:val="en-US"/>
        </w:rPr>
        <w:t xml:space="preserve">), </w:t>
      </w:r>
      <w:proofErr w:type="spellStart"/>
      <w:r w:rsidR="00E43391">
        <w:rPr>
          <w:lang w:val="en-US"/>
        </w:rPr>
        <w:t>ebook</w:t>
      </w:r>
      <w:proofErr w:type="spellEnd"/>
      <w:r w:rsidR="00E43391">
        <w:rPr>
          <w:lang w:val="en-US"/>
        </w:rPr>
        <w:t>, p. 24.</w:t>
      </w:r>
    </w:p>
  </w:footnote>
  <w:footnote w:id="9">
    <w:p w14:paraId="65EB8B3F" w14:textId="4AB8743B" w:rsidR="00196EF3" w:rsidRPr="00F83D29" w:rsidRDefault="00196EF3">
      <w:pPr>
        <w:pStyle w:val="Textonotapie"/>
        <w:rPr>
          <w:lang w:val="en-US"/>
        </w:rPr>
      </w:pPr>
      <w:r>
        <w:rPr>
          <w:rStyle w:val="Refdenotaalpie"/>
        </w:rPr>
        <w:footnoteRef/>
      </w:r>
      <w:r w:rsidRPr="00F83D29">
        <w:rPr>
          <w:lang w:val="en-US"/>
        </w:rPr>
        <w:t xml:space="preserve"> </w:t>
      </w:r>
      <w:r w:rsidR="0078197F" w:rsidRPr="0078197F">
        <w:rPr>
          <w:lang w:val="en-US"/>
        </w:rPr>
        <w:t>United Nations, </w:t>
      </w:r>
      <w:r w:rsidR="0078197F" w:rsidRPr="0078197F">
        <w:rPr>
          <w:i/>
          <w:iCs/>
          <w:lang w:val="en-US"/>
        </w:rPr>
        <w:t xml:space="preserve">Charter </w:t>
      </w:r>
      <w:r w:rsidR="008B46CA">
        <w:rPr>
          <w:i/>
          <w:iCs/>
          <w:lang w:val="en-US"/>
        </w:rPr>
        <w:t>of</w:t>
      </w:r>
      <w:r w:rsidR="0078197F" w:rsidRPr="0078197F">
        <w:rPr>
          <w:i/>
          <w:iCs/>
          <w:lang w:val="en-US"/>
        </w:rPr>
        <w:t xml:space="preserve"> </w:t>
      </w:r>
      <w:r w:rsidR="008B46CA">
        <w:rPr>
          <w:i/>
          <w:iCs/>
          <w:lang w:val="en-US"/>
        </w:rPr>
        <w:t>t</w:t>
      </w:r>
      <w:r w:rsidR="0078197F" w:rsidRPr="0078197F">
        <w:rPr>
          <w:i/>
          <w:iCs/>
          <w:lang w:val="en-US"/>
        </w:rPr>
        <w:t>he United Nations</w:t>
      </w:r>
      <w:r w:rsidR="0078197F" w:rsidRPr="0078197F">
        <w:rPr>
          <w:lang w:val="en-US"/>
        </w:rPr>
        <w:t>, 1945</w:t>
      </w:r>
      <w:r w:rsidR="00E04677">
        <w:rPr>
          <w:lang w:val="en-US"/>
        </w:rPr>
        <w:t>,</w:t>
      </w:r>
      <w:r w:rsidR="00FE2BE8" w:rsidRPr="00FE2BE8">
        <w:rPr>
          <w:rFonts w:ascii="Helvetica" w:hAnsi="Helvetica" w:cs="Helvetica"/>
          <w:color w:val="000000"/>
          <w:sz w:val="16"/>
          <w:szCs w:val="16"/>
          <w:lang w:val="en-US"/>
        </w:rPr>
        <w:t xml:space="preserve"> </w:t>
      </w:r>
      <w:r w:rsidR="00FE2BE8" w:rsidRPr="00FE2BE8">
        <w:rPr>
          <w:lang w:val="en-US"/>
        </w:rPr>
        <w:t>article</w:t>
      </w:r>
      <w:r w:rsidR="00236EC3">
        <w:rPr>
          <w:lang w:val="en-US"/>
        </w:rPr>
        <w:t>s</w:t>
      </w:r>
      <w:r w:rsidR="00FE2BE8" w:rsidRPr="00FE2BE8">
        <w:rPr>
          <w:lang w:val="en-US"/>
        </w:rPr>
        <w:t xml:space="preserve"> </w:t>
      </w:r>
      <w:r w:rsidR="00E04677">
        <w:rPr>
          <w:lang w:val="en-US"/>
        </w:rPr>
        <w:t>2</w:t>
      </w:r>
      <w:r w:rsidR="00FE2BE8" w:rsidRPr="00FE2BE8">
        <w:rPr>
          <w:lang w:val="en-US"/>
        </w:rPr>
        <w:t>(1)</w:t>
      </w:r>
      <w:r w:rsidR="00E04677">
        <w:rPr>
          <w:lang w:val="en-US"/>
        </w:rPr>
        <w:t xml:space="preserve">, 2(4), </w:t>
      </w:r>
      <w:r w:rsidR="00236EC3">
        <w:rPr>
          <w:lang w:val="en-US"/>
        </w:rPr>
        <w:t xml:space="preserve">2(7). </w:t>
      </w:r>
      <w:r w:rsidR="005E40A4">
        <w:rPr>
          <w:lang w:val="en-US"/>
        </w:rPr>
        <w:t>&lt;</w:t>
      </w:r>
      <w:hyperlink r:id="rId1" w:history="1">
        <w:r w:rsidR="005E40A4" w:rsidRPr="00317781">
          <w:rPr>
            <w:rStyle w:val="Hipervnculo"/>
            <w:lang w:val="en-US"/>
          </w:rPr>
          <w:t>https://www.un.org/en/about-us/un-charter</w:t>
        </w:r>
      </w:hyperlink>
      <w:r w:rsidR="005E40A4">
        <w:rPr>
          <w:lang w:val="en-US"/>
        </w:rPr>
        <w:t>&gt;</w:t>
      </w:r>
      <w:r w:rsidR="0078197F" w:rsidRPr="0078197F">
        <w:rPr>
          <w:lang w:val="en-US"/>
        </w:rPr>
        <w:t> [accessed 4 November 2024]</w:t>
      </w:r>
    </w:p>
  </w:footnote>
  <w:footnote w:id="10">
    <w:p w14:paraId="431F6C40" w14:textId="08DADA60" w:rsidR="00196EF3" w:rsidRPr="000C74DC" w:rsidRDefault="00196EF3">
      <w:pPr>
        <w:pStyle w:val="Textonotapie"/>
        <w:rPr>
          <w:lang w:val="en-US"/>
        </w:rPr>
      </w:pPr>
      <w:r>
        <w:rPr>
          <w:rStyle w:val="Refdenotaalpie"/>
        </w:rPr>
        <w:footnoteRef/>
      </w:r>
      <w:r w:rsidRPr="00F83D29">
        <w:rPr>
          <w:lang w:val="en-US"/>
        </w:rPr>
        <w:t xml:space="preserve"> </w:t>
      </w:r>
      <w:r w:rsidR="005C5B30">
        <w:rPr>
          <w:lang w:val="en-US"/>
        </w:rPr>
        <w:t xml:space="preserve">Robert Gates, Secretary </w:t>
      </w:r>
      <w:r w:rsidR="00A01C6C">
        <w:rPr>
          <w:lang w:val="en-US"/>
        </w:rPr>
        <w:t xml:space="preserve">of </w:t>
      </w:r>
      <w:r w:rsidR="005C5B30">
        <w:rPr>
          <w:lang w:val="en-US"/>
        </w:rPr>
        <w:t xml:space="preserve">Defense, </w:t>
      </w:r>
      <w:r w:rsidR="005C5B30">
        <w:rPr>
          <w:i/>
          <w:iCs/>
          <w:lang w:val="en-US"/>
        </w:rPr>
        <w:t>The Washington</w:t>
      </w:r>
      <w:r w:rsidR="00FF0319">
        <w:rPr>
          <w:i/>
          <w:iCs/>
          <w:lang w:val="en-US"/>
        </w:rPr>
        <w:t xml:space="preserve"> Post</w:t>
      </w:r>
      <w:r w:rsidR="00223E8B">
        <w:rPr>
          <w:lang w:val="en-US"/>
        </w:rPr>
        <w:t xml:space="preserve"> (2001) &lt;</w:t>
      </w:r>
      <w:r w:rsidR="004F3E85" w:rsidRPr="004F3E85">
        <w:rPr>
          <w:lang w:val="en-US"/>
        </w:rPr>
        <w:t>https://www.washingtonpost.com/world/the-security-and-defense-agenda-as-delivered-by-secretary-of-defense-robert-gates-brussels-belgium-june-10-2011/2011/06/10/AGqlZhOH_story.html</w:t>
      </w:r>
      <w:r w:rsidR="004F3E85">
        <w:rPr>
          <w:lang w:val="en-US"/>
        </w:rPr>
        <w:t>&gt;</w:t>
      </w:r>
      <w:r w:rsidR="005C5B30">
        <w:rPr>
          <w:i/>
          <w:iCs/>
          <w:lang w:val="en-US"/>
        </w:rPr>
        <w:t xml:space="preserve"> </w:t>
      </w:r>
      <w:r w:rsidR="00E7625A">
        <w:rPr>
          <w:lang w:val="en-US"/>
        </w:rPr>
        <w:t>[accessed 2 Nov 2024]</w:t>
      </w:r>
    </w:p>
  </w:footnote>
  <w:footnote w:id="11">
    <w:p w14:paraId="2CA4A5D3" w14:textId="064DDEFF" w:rsidR="00196EF3" w:rsidRPr="00D4609B" w:rsidRDefault="00196EF3">
      <w:pPr>
        <w:pStyle w:val="Textonotapie"/>
        <w:rPr>
          <w:lang w:val="en-US"/>
        </w:rPr>
      </w:pPr>
      <w:r>
        <w:rPr>
          <w:rStyle w:val="Refdenotaalpie"/>
        </w:rPr>
        <w:footnoteRef/>
      </w:r>
      <w:r w:rsidRPr="00F83D29">
        <w:rPr>
          <w:lang w:val="en-US"/>
        </w:rPr>
        <w:t xml:space="preserve"> </w:t>
      </w:r>
      <w:r w:rsidR="00E7625A">
        <w:rPr>
          <w:lang w:val="en-US"/>
        </w:rPr>
        <w:t xml:space="preserve">Weiss, </w:t>
      </w:r>
      <w:r w:rsidR="00E7625A">
        <w:rPr>
          <w:i/>
          <w:iCs/>
          <w:lang w:val="en-US"/>
        </w:rPr>
        <w:t>Humanitarian Intervention</w:t>
      </w:r>
      <w:r w:rsidR="00D4609B">
        <w:rPr>
          <w:lang w:val="en-US"/>
        </w:rPr>
        <w:t>, p. 25.</w:t>
      </w:r>
    </w:p>
  </w:footnote>
  <w:footnote w:id="12">
    <w:p w14:paraId="6AEBFDD5" w14:textId="7C825542" w:rsidR="00196EF3" w:rsidRPr="00111CD9" w:rsidRDefault="00196EF3">
      <w:pPr>
        <w:pStyle w:val="Textonotapie"/>
        <w:rPr>
          <w:lang w:val="en-US"/>
        </w:rPr>
      </w:pPr>
      <w:r>
        <w:rPr>
          <w:rStyle w:val="Refdenotaalpie"/>
        </w:rPr>
        <w:footnoteRef/>
      </w:r>
      <w:r w:rsidRPr="00F83D29">
        <w:rPr>
          <w:lang w:val="en-US"/>
        </w:rPr>
        <w:t xml:space="preserve"> </w:t>
      </w:r>
      <w:r w:rsidR="00D4609B">
        <w:rPr>
          <w:lang w:val="en-US"/>
        </w:rPr>
        <w:t xml:space="preserve">McFarlane and Khong, </w:t>
      </w:r>
      <w:r w:rsidR="00D4609B">
        <w:rPr>
          <w:i/>
          <w:iCs/>
          <w:lang w:val="en-US"/>
        </w:rPr>
        <w:t xml:space="preserve">Human Security </w:t>
      </w:r>
      <w:r w:rsidR="00111CD9">
        <w:rPr>
          <w:i/>
          <w:iCs/>
          <w:lang w:val="en-US"/>
        </w:rPr>
        <w:t>and the UN</w:t>
      </w:r>
      <w:r w:rsidR="00111CD9">
        <w:rPr>
          <w:lang w:val="en-US"/>
        </w:rPr>
        <w:t>, p.63.</w:t>
      </w:r>
    </w:p>
  </w:footnote>
  <w:footnote w:id="13">
    <w:p w14:paraId="5BAEDA6F" w14:textId="0DBB76C3" w:rsidR="00196EF3" w:rsidRPr="00E2622A" w:rsidRDefault="00196EF3">
      <w:pPr>
        <w:pStyle w:val="Textonotapie"/>
        <w:rPr>
          <w:lang w:val="en-US"/>
        </w:rPr>
      </w:pPr>
      <w:r>
        <w:rPr>
          <w:rStyle w:val="Refdenotaalpie"/>
        </w:rPr>
        <w:footnoteRef/>
      </w:r>
      <w:r w:rsidRPr="00F83D29">
        <w:rPr>
          <w:lang w:val="en-US"/>
        </w:rPr>
        <w:t xml:space="preserve"> </w:t>
      </w:r>
      <w:r w:rsidR="00111CD9">
        <w:rPr>
          <w:lang w:val="en-US"/>
        </w:rPr>
        <w:t xml:space="preserve">Anne Orford, </w:t>
      </w:r>
      <w:r w:rsidR="00111CD9">
        <w:rPr>
          <w:i/>
          <w:iCs/>
          <w:lang w:val="en-US"/>
        </w:rPr>
        <w:t>International Authority</w:t>
      </w:r>
      <w:r w:rsidR="00E2622A">
        <w:rPr>
          <w:i/>
          <w:iCs/>
          <w:lang w:val="en-US"/>
        </w:rPr>
        <w:t xml:space="preserve"> and the Responsibility to Protect</w:t>
      </w:r>
      <w:r w:rsidR="00E2622A">
        <w:rPr>
          <w:lang w:val="en-US"/>
        </w:rPr>
        <w:t xml:space="preserve">. (Cambridge: </w:t>
      </w:r>
      <w:r w:rsidR="009A60A4">
        <w:rPr>
          <w:lang w:val="en-US"/>
        </w:rPr>
        <w:t>Cambridge University Press, 2011)</w:t>
      </w:r>
      <w:r w:rsidR="00416F22">
        <w:rPr>
          <w:lang w:val="en-US"/>
        </w:rPr>
        <w:t xml:space="preserve">, </w:t>
      </w:r>
      <w:proofErr w:type="spellStart"/>
      <w:r w:rsidR="00416F22" w:rsidRPr="0028469B">
        <w:rPr>
          <w:lang w:val="en-GB"/>
        </w:rPr>
        <w:t>ebook</w:t>
      </w:r>
      <w:proofErr w:type="spellEnd"/>
      <w:r w:rsidR="00416F22">
        <w:rPr>
          <w:lang w:val="en-US"/>
        </w:rPr>
        <w:t>, p. 46.</w:t>
      </w:r>
    </w:p>
  </w:footnote>
  <w:footnote w:id="14">
    <w:p w14:paraId="1A20E95A" w14:textId="7A7490C1" w:rsidR="00196EF3" w:rsidRPr="00F83D29" w:rsidRDefault="00196EF3" w:rsidP="008D2DE1">
      <w:pPr>
        <w:pStyle w:val="Textonotapie"/>
        <w:rPr>
          <w:lang w:val="en-US"/>
        </w:rPr>
      </w:pPr>
      <w:r>
        <w:rPr>
          <w:rStyle w:val="Refdenotaalpie"/>
        </w:rPr>
        <w:footnoteRef/>
      </w:r>
      <w:r w:rsidRPr="00F83D29">
        <w:rPr>
          <w:lang w:val="en-US"/>
        </w:rPr>
        <w:t xml:space="preserve"> </w:t>
      </w:r>
      <w:r w:rsidR="008D2DE1" w:rsidRPr="008D2DE1">
        <w:rPr>
          <w:lang w:val="en-US"/>
        </w:rPr>
        <w:t>UN Secretary-General,</w:t>
      </w:r>
      <w:r w:rsidR="0028469B">
        <w:rPr>
          <w:lang w:val="en-US"/>
        </w:rPr>
        <w:t xml:space="preserve"> </w:t>
      </w:r>
      <w:r w:rsidR="008D2DE1" w:rsidRPr="008D2DE1">
        <w:rPr>
          <w:lang w:val="en-US"/>
        </w:rPr>
        <w:t>‘</w:t>
      </w:r>
      <w:r w:rsidR="008D2DE1" w:rsidRPr="00FC46E6">
        <w:rPr>
          <w:lang w:val="en-GB"/>
        </w:rPr>
        <w:t>Introduction</w:t>
      </w:r>
      <w:r w:rsidR="008D2DE1" w:rsidRPr="008D2DE1">
        <w:rPr>
          <w:lang w:val="en-US"/>
        </w:rPr>
        <w:t xml:space="preserve"> to the Annual Report of the Secretary-General</w:t>
      </w:r>
      <w:r w:rsidR="008D2DE1">
        <w:rPr>
          <w:lang w:val="en-US"/>
        </w:rPr>
        <w:t xml:space="preserve"> </w:t>
      </w:r>
      <w:r w:rsidR="008D2DE1" w:rsidRPr="008D2DE1">
        <w:rPr>
          <w:lang w:val="en-US"/>
        </w:rPr>
        <w:t>on</w:t>
      </w:r>
      <w:r w:rsidR="008D2DE1">
        <w:rPr>
          <w:lang w:val="en-US"/>
        </w:rPr>
        <w:t xml:space="preserve"> </w:t>
      </w:r>
      <w:r w:rsidR="008D2DE1" w:rsidRPr="008D2DE1">
        <w:rPr>
          <w:lang w:val="en-US"/>
        </w:rPr>
        <w:t>the Work of the Organization’, UN GAOR, 16th Sess., Supp. No. 1A, UN Doc. A/4800/Add.1, 1961,</w:t>
      </w:r>
      <w:r w:rsidR="000724D1">
        <w:rPr>
          <w:lang w:val="en-US"/>
        </w:rPr>
        <w:t xml:space="preserve"> p. 1.</w:t>
      </w:r>
    </w:p>
  </w:footnote>
  <w:footnote w:id="15">
    <w:p w14:paraId="4C8A6C68" w14:textId="381C30AE" w:rsidR="00196EF3" w:rsidRPr="00F83D29" w:rsidRDefault="00196EF3">
      <w:pPr>
        <w:pStyle w:val="Textonotapie"/>
        <w:rPr>
          <w:lang w:val="en-US"/>
        </w:rPr>
      </w:pPr>
      <w:r>
        <w:rPr>
          <w:rStyle w:val="Refdenotaalpie"/>
        </w:rPr>
        <w:footnoteRef/>
      </w:r>
      <w:r w:rsidRPr="00F83D29">
        <w:rPr>
          <w:lang w:val="en-US"/>
        </w:rPr>
        <w:t xml:space="preserve"> </w:t>
      </w:r>
      <w:r w:rsidR="00416F22">
        <w:rPr>
          <w:lang w:val="en-US"/>
        </w:rPr>
        <w:t xml:space="preserve">Orford, </w:t>
      </w:r>
      <w:r w:rsidR="00416F22">
        <w:rPr>
          <w:i/>
          <w:iCs/>
          <w:lang w:val="en-US"/>
        </w:rPr>
        <w:t>International Authority and the Responsibility to Protect</w:t>
      </w:r>
      <w:r w:rsidR="0045445E">
        <w:rPr>
          <w:lang w:val="en-US"/>
        </w:rPr>
        <w:t xml:space="preserve">, </w:t>
      </w:r>
      <w:r w:rsidR="00370D04">
        <w:rPr>
          <w:lang w:val="en-US"/>
        </w:rPr>
        <w:t>p. 42.</w:t>
      </w:r>
    </w:p>
  </w:footnote>
  <w:footnote w:id="16">
    <w:p w14:paraId="4CC1A539" w14:textId="04696B09" w:rsidR="00196EF3" w:rsidRPr="00CC1E2D" w:rsidRDefault="00196EF3">
      <w:pPr>
        <w:pStyle w:val="Textonotapie"/>
      </w:pPr>
      <w:r>
        <w:rPr>
          <w:rStyle w:val="Refdenotaalpie"/>
        </w:rPr>
        <w:footnoteRef/>
      </w:r>
      <w:r w:rsidRPr="00CC1E2D">
        <w:t xml:space="preserve"> </w:t>
      </w:r>
      <w:r w:rsidR="00370D04" w:rsidRPr="0028469B">
        <w:rPr>
          <w:lang w:val="en-GB"/>
        </w:rPr>
        <w:t>Ibid</w:t>
      </w:r>
      <w:r w:rsidR="00370D04" w:rsidRPr="00CC1E2D">
        <w:t>, p. 47.</w:t>
      </w:r>
    </w:p>
  </w:footnote>
  <w:footnote w:id="17">
    <w:p w14:paraId="3D840B53" w14:textId="08F03CFE" w:rsidR="00196EF3" w:rsidRPr="00CC1E2D" w:rsidRDefault="00196EF3">
      <w:pPr>
        <w:pStyle w:val="Textonotapie"/>
      </w:pPr>
      <w:r>
        <w:rPr>
          <w:rStyle w:val="Refdenotaalpie"/>
        </w:rPr>
        <w:footnoteRef/>
      </w:r>
      <w:r w:rsidRPr="00CC1E2D">
        <w:t xml:space="preserve"> </w:t>
      </w:r>
      <w:r w:rsidR="00370D04" w:rsidRPr="0028469B">
        <w:rPr>
          <w:lang w:val="en-GB"/>
        </w:rPr>
        <w:t>Ibid</w:t>
      </w:r>
      <w:r w:rsidR="00370D04" w:rsidRPr="00CC1E2D">
        <w:t>, p. 6.</w:t>
      </w:r>
    </w:p>
  </w:footnote>
  <w:footnote w:id="18">
    <w:p w14:paraId="148D61B6" w14:textId="606CB091" w:rsidR="00196EF3" w:rsidRPr="004D7133" w:rsidRDefault="00196EF3">
      <w:pPr>
        <w:pStyle w:val="Textonotapie"/>
        <w:rPr>
          <w:lang w:val="en-US"/>
        </w:rPr>
      </w:pPr>
      <w:r>
        <w:rPr>
          <w:rStyle w:val="Refdenotaalpie"/>
        </w:rPr>
        <w:footnoteRef/>
      </w:r>
      <w:r w:rsidRPr="004D7133">
        <w:rPr>
          <w:lang w:val="en-US"/>
        </w:rPr>
        <w:t xml:space="preserve"> </w:t>
      </w:r>
      <w:r w:rsidR="00CC1E2D" w:rsidRPr="004D7133">
        <w:rPr>
          <w:lang w:val="en-US"/>
        </w:rPr>
        <w:t xml:space="preserve">UN </w:t>
      </w:r>
      <w:r w:rsidR="004D7133" w:rsidRPr="004D7133">
        <w:rPr>
          <w:lang w:val="en-US"/>
        </w:rPr>
        <w:t xml:space="preserve">Secretary General, ‘We the </w:t>
      </w:r>
      <w:r w:rsidR="004D7133">
        <w:rPr>
          <w:lang w:val="en-US"/>
        </w:rPr>
        <w:t xml:space="preserve">Peoples: The Role of </w:t>
      </w:r>
      <w:r w:rsidR="00862DB9">
        <w:rPr>
          <w:lang w:val="en-US"/>
        </w:rPr>
        <w:t>the United Nations in the 21</w:t>
      </w:r>
      <w:r w:rsidR="00862DB9" w:rsidRPr="00862DB9">
        <w:rPr>
          <w:vertAlign w:val="superscript"/>
          <w:lang w:val="en-US"/>
        </w:rPr>
        <w:t>st</w:t>
      </w:r>
      <w:r w:rsidR="00862DB9">
        <w:rPr>
          <w:lang w:val="en-US"/>
        </w:rPr>
        <w:t xml:space="preserve"> Century’, UN GAOR, 54</w:t>
      </w:r>
      <w:r w:rsidR="00862DB9" w:rsidRPr="00862DB9">
        <w:rPr>
          <w:vertAlign w:val="superscript"/>
          <w:lang w:val="en-US"/>
        </w:rPr>
        <w:t>th</w:t>
      </w:r>
      <w:r w:rsidR="00862DB9">
        <w:rPr>
          <w:lang w:val="en-US"/>
        </w:rPr>
        <w:t xml:space="preserve"> Sess.</w:t>
      </w:r>
      <w:r w:rsidR="000C2A5B">
        <w:rPr>
          <w:lang w:val="en-US"/>
        </w:rPr>
        <w:t>, Agenda Item 49(b), UN Doc. A/54/</w:t>
      </w:r>
      <w:r w:rsidR="00852587">
        <w:rPr>
          <w:lang w:val="en-US"/>
        </w:rPr>
        <w:t>2000, 27 March 2000, p.48.</w:t>
      </w:r>
    </w:p>
  </w:footnote>
  <w:footnote w:id="19">
    <w:p w14:paraId="224AB93A" w14:textId="6254542D" w:rsidR="00196EF3" w:rsidRPr="00957762" w:rsidRDefault="00196EF3">
      <w:pPr>
        <w:pStyle w:val="Textonotapie"/>
        <w:rPr>
          <w:lang w:val="en-US"/>
        </w:rPr>
      </w:pPr>
      <w:r>
        <w:rPr>
          <w:rStyle w:val="Refdenotaalpie"/>
        </w:rPr>
        <w:footnoteRef/>
      </w:r>
      <w:r w:rsidRPr="00F83D29">
        <w:rPr>
          <w:lang w:val="en-US"/>
        </w:rPr>
        <w:t xml:space="preserve"> </w:t>
      </w:r>
      <w:r w:rsidR="000D5E6B">
        <w:rPr>
          <w:lang w:val="en-US"/>
        </w:rPr>
        <w:t xml:space="preserve">Evans, </w:t>
      </w:r>
      <w:r w:rsidR="000D5E6B" w:rsidRPr="00957762">
        <w:rPr>
          <w:i/>
          <w:iCs/>
          <w:lang w:val="en-US"/>
        </w:rPr>
        <w:t>The</w:t>
      </w:r>
      <w:r w:rsidR="000D5E6B">
        <w:rPr>
          <w:lang w:val="en-US"/>
        </w:rPr>
        <w:t xml:space="preserve"> </w:t>
      </w:r>
      <w:r w:rsidR="000D5E6B">
        <w:rPr>
          <w:i/>
          <w:iCs/>
          <w:lang w:val="en-US"/>
        </w:rPr>
        <w:t>Responsibility to Protect</w:t>
      </w:r>
      <w:r w:rsidR="000D5E6B">
        <w:rPr>
          <w:lang w:val="en-US"/>
        </w:rPr>
        <w:t>, pp. 40-43.</w:t>
      </w:r>
    </w:p>
  </w:footnote>
  <w:footnote w:id="20">
    <w:p w14:paraId="2165A8D4" w14:textId="29349C13" w:rsidR="00196EF3" w:rsidRPr="004D7133" w:rsidRDefault="00196EF3">
      <w:pPr>
        <w:pStyle w:val="Textonotapie"/>
        <w:rPr>
          <w:lang w:val="en-US"/>
        </w:rPr>
      </w:pPr>
      <w:r>
        <w:rPr>
          <w:rStyle w:val="Refdenotaalpie"/>
        </w:rPr>
        <w:footnoteRef/>
      </w:r>
      <w:r w:rsidRPr="004D7133">
        <w:rPr>
          <w:lang w:val="en-US"/>
        </w:rPr>
        <w:t xml:space="preserve"> </w:t>
      </w:r>
      <w:r w:rsidR="000D5E6B">
        <w:rPr>
          <w:lang w:val="en-US"/>
        </w:rPr>
        <w:t>Ibid.</w:t>
      </w:r>
    </w:p>
  </w:footnote>
  <w:footnote w:id="21">
    <w:p w14:paraId="46343C91" w14:textId="0DFB39F2" w:rsidR="00EA397E" w:rsidRPr="004D7133" w:rsidRDefault="00EA397E">
      <w:pPr>
        <w:pStyle w:val="Textonotapie"/>
        <w:rPr>
          <w:lang w:val="en-US"/>
        </w:rPr>
      </w:pPr>
      <w:r>
        <w:rPr>
          <w:rStyle w:val="Refdenotaalpie"/>
        </w:rPr>
        <w:footnoteRef/>
      </w:r>
      <w:r w:rsidRPr="004D7133">
        <w:rPr>
          <w:lang w:val="en-US"/>
        </w:rPr>
        <w:t xml:space="preserve"> </w:t>
      </w:r>
      <w:r w:rsidR="00B31489">
        <w:rPr>
          <w:lang w:val="en-US"/>
        </w:rPr>
        <w:t xml:space="preserve">Orford, </w:t>
      </w:r>
      <w:r w:rsidR="00B31489">
        <w:rPr>
          <w:i/>
          <w:iCs/>
          <w:lang w:val="en-US"/>
        </w:rPr>
        <w:t>International Authority and the Responsibility to Protect</w:t>
      </w:r>
      <w:r w:rsidR="00B31489">
        <w:rPr>
          <w:lang w:val="en-US"/>
        </w:rPr>
        <w:t>, p. 105.</w:t>
      </w:r>
    </w:p>
  </w:footnote>
  <w:footnote w:id="22">
    <w:p w14:paraId="64BFD4B8" w14:textId="4B715F5D" w:rsidR="00EA397E" w:rsidRPr="004D7133" w:rsidRDefault="00EA397E">
      <w:pPr>
        <w:pStyle w:val="Textonotapie"/>
        <w:rPr>
          <w:lang w:val="en-US"/>
        </w:rPr>
      </w:pPr>
      <w:r>
        <w:rPr>
          <w:rStyle w:val="Refdenotaalpie"/>
        </w:rPr>
        <w:footnoteRef/>
      </w:r>
      <w:r w:rsidRPr="004D7133">
        <w:rPr>
          <w:lang w:val="en-US"/>
        </w:rPr>
        <w:t xml:space="preserve"> </w:t>
      </w:r>
      <w:r w:rsidR="00620A3D">
        <w:rPr>
          <w:lang w:val="en-US"/>
        </w:rPr>
        <w:t>UN Secretary-General, ‘Implementing the Responsibility to Protect: Report of the Secretary-General’, UN GAOR, 63</w:t>
      </w:r>
      <w:r w:rsidR="00620A3D" w:rsidRPr="001B2F17">
        <w:rPr>
          <w:vertAlign w:val="superscript"/>
          <w:lang w:val="en-US"/>
        </w:rPr>
        <w:t>rd</w:t>
      </w:r>
      <w:r w:rsidR="00620A3D">
        <w:rPr>
          <w:lang w:val="en-US"/>
        </w:rPr>
        <w:t xml:space="preserve"> Sess., Agenda Items 44 and 107, UN Doc. A/63/677, 12 January 2009, pp. 8, 15, 23.</w:t>
      </w:r>
    </w:p>
  </w:footnote>
  <w:footnote w:id="23">
    <w:p w14:paraId="383B7509" w14:textId="30C7BA82" w:rsidR="00EA397E" w:rsidRPr="004D7133" w:rsidRDefault="00EA397E">
      <w:pPr>
        <w:pStyle w:val="Textonotapie"/>
        <w:rPr>
          <w:lang w:val="en-US"/>
        </w:rPr>
      </w:pPr>
      <w:r>
        <w:rPr>
          <w:rStyle w:val="Refdenotaalpie"/>
        </w:rPr>
        <w:footnoteRef/>
      </w:r>
      <w:r w:rsidRPr="004D7133">
        <w:rPr>
          <w:lang w:val="en-US"/>
        </w:rPr>
        <w:t xml:space="preserve"> </w:t>
      </w:r>
      <w:r w:rsidR="005D5ED4">
        <w:rPr>
          <w:lang w:val="en-US"/>
        </w:rPr>
        <w:t xml:space="preserve">Orford, </w:t>
      </w:r>
      <w:r w:rsidR="005D5ED4">
        <w:rPr>
          <w:i/>
          <w:iCs/>
          <w:lang w:val="en-US"/>
        </w:rPr>
        <w:t>International Authority and the Responsibility to Protect</w:t>
      </w:r>
      <w:r w:rsidR="005D5ED4">
        <w:rPr>
          <w:lang w:val="en-US"/>
        </w:rPr>
        <w:t>, p</w:t>
      </w:r>
      <w:r w:rsidR="005D5ED4">
        <w:rPr>
          <w:lang w:val="en-US"/>
        </w:rPr>
        <w:t>p. 192-193</w:t>
      </w:r>
      <w:r w:rsidR="005D5ED4">
        <w:rPr>
          <w:lang w:val="en-US"/>
        </w:rPr>
        <w:t>.</w:t>
      </w:r>
    </w:p>
  </w:footnote>
  <w:footnote w:id="24">
    <w:p w14:paraId="10431FA6" w14:textId="359602EF" w:rsidR="00EA397E" w:rsidRPr="006C778D" w:rsidRDefault="00EA397E">
      <w:pPr>
        <w:pStyle w:val="Textonotapie"/>
        <w:rPr>
          <w:lang w:val="en-US"/>
        </w:rPr>
      </w:pPr>
      <w:r>
        <w:rPr>
          <w:rStyle w:val="Refdenotaalpie"/>
        </w:rPr>
        <w:footnoteRef/>
      </w:r>
      <w:r w:rsidRPr="004D7133">
        <w:rPr>
          <w:lang w:val="en-US"/>
        </w:rPr>
        <w:t xml:space="preserve"> </w:t>
      </w:r>
      <w:r w:rsidR="002D5115" w:rsidRPr="002D5115">
        <w:rPr>
          <w:lang w:val="en-US"/>
        </w:rPr>
        <w:t>Global Centre for the Responsibility to Protect. </w:t>
      </w:r>
      <w:r w:rsidR="002D5115" w:rsidRPr="002D5115">
        <w:rPr>
          <w:i/>
          <w:iCs/>
          <w:lang w:val="en-US"/>
        </w:rPr>
        <w:t>The Failure to Protect: Syria and the UN Security Council</w:t>
      </w:r>
      <w:r w:rsidR="00AB4D9A">
        <w:rPr>
          <w:lang w:val="en-US"/>
        </w:rPr>
        <w:t xml:space="preserve">, </w:t>
      </w:r>
      <w:r w:rsidR="002D5115" w:rsidRPr="006C778D">
        <w:rPr>
          <w:lang w:val="en-US"/>
        </w:rPr>
        <w:t>2020</w:t>
      </w:r>
      <w:r w:rsidR="00AB4D9A">
        <w:rPr>
          <w:lang w:val="en-US"/>
        </w:rPr>
        <w:t>.</w:t>
      </w:r>
      <w:r w:rsidR="00B30E45" w:rsidRPr="006C778D">
        <w:rPr>
          <w:lang w:val="en-US"/>
        </w:rPr>
        <w:t xml:space="preserve"> </w:t>
      </w:r>
      <w:r w:rsidR="00870C65">
        <w:rPr>
          <w:lang w:val="en-US"/>
        </w:rPr>
        <w:t>&lt;</w:t>
      </w:r>
      <w:hyperlink r:id="rId2" w:history="1">
        <w:r w:rsidR="00870C65" w:rsidRPr="00317781">
          <w:rPr>
            <w:rStyle w:val="Hipervnculo"/>
            <w:lang w:val="en-US"/>
          </w:rPr>
          <w:t>https://www.globalr2p.org/wp-content/uploads/2020/07/syriapaper_final.pdf</w:t>
        </w:r>
      </w:hyperlink>
      <w:r w:rsidR="00870C65">
        <w:rPr>
          <w:lang w:val="en-US"/>
        </w:rPr>
        <w:t>&gt;</w:t>
      </w:r>
      <w:r w:rsidR="006C778D">
        <w:rPr>
          <w:lang w:val="en-US"/>
        </w:rPr>
        <w:t xml:space="preserve"> [</w:t>
      </w:r>
      <w:r w:rsidR="00EE1A79">
        <w:rPr>
          <w:lang w:val="en-US"/>
        </w:rPr>
        <w:t>a</w:t>
      </w:r>
      <w:r w:rsidR="006C778D">
        <w:rPr>
          <w:lang w:val="en-US"/>
        </w:rPr>
        <w:t>ccessed 4 Nov 2024]</w:t>
      </w:r>
    </w:p>
  </w:footnote>
  <w:footnote w:id="25">
    <w:p w14:paraId="40C23C06" w14:textId="641039AB" w:rsidR="00EA397E" w:rsidRPr="00B427C6" w:rsidRDefault="00EA397E">
      <w:pPr>
        <w:pStyle w:val="Textonotapie"/>
        <w:rPr>
          <w:lang w:val="en-US"/>
        </w:rPr>
      </w:pPr>
      <w:r>
        <w:rPr>
          <w:rStyle w:val="Refdenotaalpie"/>
        </w:rPr>
        <w:footnoteRef/>
      </w:r>
      <w:r w:rsidRPr="004D7133">
        <w:rPr>
          <w:lang w:val="en-US"/>
        </w:rPr>
        <w:t xml:space="preserve"> </w:t>
      </w:r>
      <w:r w:rsidR="00B427C6">
        <w:rPr>
          <w:lang w:val="en-US"/>
        </w:rPr>
        <w:t xml:space="preserve">Maximilian Forte, </w:t>
      </w:r>
      <w:r w:rsidR="00B427C6" w:rsidRPr="00B427C6">
        <w:rPr>
          <w:i/>
          <w:iCs/>
          <w:lang w:val="en-US"/>
        </w:rPr>
        <w:t>Slouching Towards Sirte: NATO's War on Libya and Africa</w:t>
      </w:r>
      <w:r w:rsidR="00CF2245">
        <w:rPr>
          <w:lang w:val="en-US"/>
        </w:rPr>
        <w:t xml:space="preserve">. </w:t>
      </w:r>
      <w:r w:rsidR="00B20E3F">
        <w:rPr>
          <w:lang w:val="en-US"/>
        </w:rPr>
        <w:t xml:space="preserve">(Quebec: Baraka Books, </w:t>
      </w:r>
      <w:r w:rsidR="000C4F26">
        <w:rPr>
          <w:lang w:val="en-US"/>
        </w:rPr>
        <w:t xml:space="preserve">2012), </w:t>
      </w:r>
      <w:proofErr w:type="spellStart"/>
      <w:r w:rsidR="000C4F26">
        <w:rPr>
          <w:lang w:val="en-US"/>
        </w:rPr>
        <w:t>ebook</w:t>
      </w:r>
      <w:proofErr w:type="spellEnd"/>
      <w:r w:rsidR="000C4F26">
        <w:rPr>
          <w:lang w:val="en-US"/>
        </w:rPr>
        <w:t xml:space="preserve">, p. </w:t>
      </w:r>
      <w:r w:rsidR="00C4569F">
        <w:rPr>
          <w:lang w:val="en-US"/>
        </w:rPr>
        <w:t>242.</w:t>
      </w:r>
    </w:p>
  </w:footnote>
  <w:footnote w:id="26">
    <w:p w14:paraId="0DE878A1" w14:textId="20AABC9D" w:rsidR="00EA397E" w:rsidRPr="00A9150A" w:rsidRDefault="00EA397E">
      <w:pPr>
        <w:pStyle w:val="Textonotapie"/>
        <w:rPr>
          <w:lang w:val="en-US"/>
        </w:rPr>
      </w:pPr>
      <w:r>
        <w:rPr>
          <w:rStyle w:val="Refdenotaalpie"/>
        </w:rPr>
        <w:footnoteRef/>
      </w:r>
      <w:r w:rsidRPr="004D7133">
        <w:rPr>
          <w:lang w:val="en-US"/>
        </w:rPr>
        <w:t xml:space="preserve"> </w:t>
      </w:r>
      <w:r w:rsidR="00923EDD">
        <w:rPr>
          <w:lang w:val="en-US"/>
        </w:rPr>
        <w:t>Jo Becker and Scott Shane, ‘Hillary Clinton, ‘Smart Power’ and a Dictator’s Fall’</w:t>
      </w:r>
      <w:r w:rsidR="00A9150A">
        <w:rPr>
          <w:lang w:val="en-US"/>
        </w:rPr>
        <w:t xml:space="preserve">, </w:t>
      </w:r>
      <w:r w:rsidR="00A9150A">
        <w:rPr>
          <w:i/>
          <w:iCs/>
          <w:lang w:val="en-US"/>
        </w:rPr>
        <w:t>The New York Times</w:t>
      </w:r>
      <w:r w:rsidR="00A9150A">
        <w:rPr>
          <w:lang w:val="en-US"/>
        </w:rPr>
        <w:t>, 27 February 2016. &lt;</w:t>
      </w:r>
      <w:hyperlink r:id="rId3" w:history="1">
        <w:r w:rsidR="00870C65" w:rsidRPr="00317781">
          <w:rPr>
            <w:rStyle w:val="Hipervnculo"/>
            <w:lang w:val="en-US"/>
          </w:rPr>
          <w:t>https://www.nytimes.com/2016/02/28/us/politics/hillary-clinton-libya.html</w:t>
        </w:r>
      </w:hyperlink>
      <w:r w:rsidR="00FF47D4">
        <w:rPr>
          <w:lang w:val="en-US"/>
        </w:rPr>
        <w:t>&gt; [accessed 4 Nov 2024]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E309A7" w14:textId="46BFB253" w:rsidR="008E44A5" w:rsidRPr="008E44A5" w:rsidRDefault="008E4C16" w:rsidP="008E44A5">
    <w:pPr>
      <w:pStyle w:val="Encabezado"/>
      <w:rPr>
        <w:b/>
        <w:bCs/>
        <w:lang w:val="es-GB"/>
      </w:rPr>
    </w:pPr>
    <w:r w:rsidRPr="008E4C16">
      <w:rPr>
        <w:b/>
        <w:bCs/>
        <w:lang w:val="es-GB"/>
      </w:rPr>
      <w:t>HPHP4902</w:t>
    </w:r>
    <w:r w:rsidR="00274C3B">
      <w:rPr>
        <w:b/>
        <w:bCs/>
        <w:lang w:val="es-GB"/>
      </w:rPr>
      <w:t>/</w:t>
    </w:r>
    <w:r w:rsidR="008E44A5" w:rsidRPr="008E44A5">
      <w:rPr>
        <w:b/>
        <w:bCs/>
        <w:lang w:val="es-GB"/>
      </w:rPr>
      <w:t>Assessment One</w:t>
    </w:r>
  </w:p>
  <w:p w14:paraId="67BB354E" w14:textId="16F648E0" w:rsidR="008E4C16" w:rsidRPr="008E4C16" w:rsidRDefault="008E4C16" w:rsidP="008E4C16">
    <w:pPr>
      <w:pStyle w:val="Encabezado"/>
      <w:rPr>
        <w:b/>
        <w:bCs/>
        <w:lang w:val="es-GB"/>
      </w:rPr>
    </w:pPr>
  </w:p>
  <w:p w14:paraId="59666203" w14:textId="77777777" w:rsidR="005C0EA1" w:rsidRDefault="005C0EA1">
    <w:pPr>
      <w:pStyle w:val="Encabezado"/>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7"/>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ADD9610"/>
    <w:rsid w:val="0002066F"/>
    <w:rsid w:val="000338D8"/>
    <w:rsid w:val="000357FC"/>
    <w:rsid w:val="00044816"/>
    <w:rsid w:val="00070815"/>
    <w:rsid w:val="000724D1"/>
    <w:rsid w:val="00072EAC"/>
    <w:rsid w:val="000C2A5B"/>
    <w:rsid w:val="000C4F26"/>
    <w:rsid w:val="000C74DC"/>
    <w:rsid w:val="000D5E6B"/>
    <w:rsid w:val="00111CD9"/>
    <w:rsid w:val="00196EF3"/>
    <w:rsid w:val="001B2F17"/>
    <w:rsid w:val="001C201A"/>
    <w:rsid w:val="001E34BE"/>
    <w:rsid w:val="00211B73"/>
    <w:rsid w:val="00223E8B"/>
    <w:rsid w:val="00236EC3"/>
    <w:rsid w:val="00266CBD"/>
    <w:rsid w:val="00271FCF"/>
    <w:rsid w:val="00274C3B"/>
    <w:rsid w:val="00282D7C"/>
    <w:rsid w:val="0028469B"/>
    <w:rsid w:val="002D5115"/>
    <w:rsid w:val="002F0317"/>
    <w:rsid w:val="00351ECE"/>
    <w:rsid w:val="00356E0E"/>
    <w:rsid w:val="00366A21"/>
    <w:rsid w:val="00370D04"/>
    <w:rsid w:val="003B32CE"/>
    <w:rsid w:val="003C5D2D"/>
    <w:rsid w:val="003D5F52"/>
    <w:rsid w:val="003E449E"/>
    <w:rsid w:val="003F666F"/>
    <w:rsid w:val="00416F22"/>
    <w:rsid w:val="00440BDC"/>
    <w:rsid w:val="00450512"/>
    <w:rsid w:val="0045445E"/>
    <w:rsid w:val="004B76A9"/>
    <w:rsid w:val="004D7133"/>
    <w:rsid w:val="004F3E85"/>
    <w:rsid w:val="004F500C"/>
    <w:rsid w:val="00500DC2"/>
    <w:rsid w:val="0051203F"/>
    <w:rsid w:val="00537CB9"/>
    <w:rsid w:val="005566B7"/>
    <w:rsid w:val="005967DC"/>
    <w:rsid w:val="005C0EA1"/>
    <w:rsid w:val="005C5B30"/>
    <w:rsid w:val="005D5ED4"/>
    <w:rsid w:val="005E40A4"/>
    <w:rsid w:val="005F5BB2"/>
    <w:rsid w:val="00600098"/>
    <w:rsid w:val="00607378"/>
    <w:rsid w:val="00613F9E"/>
    <w:rsid w:val="00620A3D"/>
    <w:rsid w:val="00624CD4"/>
    <w:rsid w:val="006705C4"/>
    <w:rsid w:val="006821B7"/>
    <w:rsid w:val="006A3F9B"/>
    <w:rsid w:val="006A6E62"/>
    <w:rsid w:val="006B5C39"/>
    <w:rsid w:val="006C778D"/>
    <w:rsid w:val="006D093A"/>
    <w:rsid w:val="007044E4"/>
    <w:rsid w:val="00707082"/>
    <w:rsid w:val="0078197F"/>
    <w:rsid w:val="007836F8"/>
    <w:rsid w:val="007A50DB"/>
    <w:rsid w:val="007F6ED8"/>
    <w:rsid w:val="008425AB"/>
    <w:rsid w:val="00852587"/>
    <w:rsid w:val="00862DB9"/>
    <w:rsid w:val="00870C65"/>
    <w:rsid w:val="00880E14"/>
    <w:rsid w:val="00882603"/>
    <w:rsid w:val="008867B2"/>
    <w:rsid w:val="0089689B"/>
    <w:rsid w:val="008B25D4"/>
    <w:rsid w:val="008B46CA"/>
    <w:rsid w:val="008B62EF"/>
    <w:rsid w:val="008D2DE1"/>
    <w:rsid w:val="008E44A5"/>
    <w:rsid w:val="008E4C16"/>
    <w:rsid w:val="008F5066"/>
    <w:rsid w:val="00923EDD"/>
    <w:rsid w:val="00956AB8"/>
    <w:rsid w:val="00957762"/>
    <w:rsid w:val="00960580"/>
    <w:rsid w:val="00970BA7"/>
    <w:rsid w:val="00985490"/>
    <w:rsid w:val="009A60A4"/>
    <w:rsid w:val="009B5F3F"/>
    <w:rsid w:val="009F724B"/>
    <w:rsid w:val="00A01C6C"/>
    <w:rsid w:val="00A7578B"/>
    <w:rsid w:val="00A9150A"/>
    <w:rsid w:val="00AB4D9A"/>
    <w:rsid w:val="00AC07AE"/>
    <w:rsid w:val="00AD52F5"/>
    <w:rsid w:val="00B20E3F"/>
    <w:rsid w:val="00B30E45"/>
    <w:rsid w:val="00B31489"/>
    <w:rsid w:val="00B36A27"/>
    <w:rsid w:val="00B427C6"/>
    <w:rsid w:val="00B7145B"/>
    <w:rsid w:val="00BA128C"/>
    <w:rsid w:val="00BB0043"/>
    <w:rsid w:val="00BE0483"/>
    <w:rsid w:val="00BF18A6"/>
    <w:rsid w:val="00C4569F"/>
    <w:rsid w:val="00C76C11"/>
    <w:rsid w:val="00CC1E2D"/>
    <w:rsid w:val="00CD32AD"/>
    <w:rsid w:val="00CF2245"/>
    <w:rsid w:val="00CF6E3A"/>
    <w:rsid w:val="00D328E4"/>
    <w:rsid w:val="00D4609B"/>
    <w:rsid w:val="00D63846"/>
    <w:rsid w:val="00DD6F70"/>
    <w:rsid w:val="00DE1474"/>
    <w:rsid w:val="00DF734A"/>
    <w:rsid w:val="00E025F7"/>
    <w:rsid w:val="00E04677"/>
    <w:rsid w:val="00E11B54"/>
    <w:rsid w:val="00E2622A"/>
    <w:rsid w:val="00E43391"/>
    <w:rsid w:val="00E71A26"/>
    <w:rsid w:val="00E7625A"/>
    <w:rsid w:val="00E90FC7"/>
    <w:rsid w:val="00E93F4E"/>
    <w:rsid w:val="00EA397E"/>
    <w:rsid w:val="00EB1BFE"/>
    <w:rsid w:val="00EE1A79"/>
    <w:rsid w:val="00F05CC7"/>
    <w:rsid w:val="00F07287"/>
    <w:rsid w:val="00F16D8E"/>
    <w:rsid w:val="00F25BC0"/>
    <w:rsid w:val="00F80D7C"/>
    <w:rsid w:val="00F83D29"/>
    <w:rsid w:val="00FA4B8F"/>
    <w:rsid w:val="00FB78E6"/>
    <w:rsid w:val="00FC46E6"/>
    <w:rsid w:val="00FD0ACB"/>
    <w:rsid w:val="00FE2BE8"/>
    <w:rsid w:val="00FF0319"/>
    <w:rsid w:val="00FF47D4"/>
    <w:rsid w:val="046A90B5"/>
    <w:rsid w:val="0F7177C2"/>
    <w:rsid w:val="2ADD9610"/>
    <w:rsid w:val="4867376D"/>
    <w:rsid w:val="5EF0E2BE"/>
    <w:rsid w:val="64BC74C2"/>
    <w:rsid w:val="753C0133"/>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DD9610"/>
  <w15:chartTrackingRefBased/>
  <w15:docId w15:val="{580F0617-4974-4825-84F2-CF31D5809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s-ES"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2DE1"/>
    <w:pPr>
      <w:spacing w:line="360" w:lineRule="auto"/>
      <w:jc w:val="both"/>
    </w:pPr>
    <w:rPr>
      <w:rFonts w:ascii="Times New Roman" w:hAnsi="Times New Roman"/>
    </w:rPr>
  </w:style>
  <w:style w:type="paragraph" w:styleId="Ttulo1">
    <w:name w:val="heading 1"/>
    <w:basedOn w:val="Normal"/>
    <w:next w:val="Normal"/>
    <w:link w:val="Ttulo1Car"/>
    <w:uiPriority w:val="9"/>
    <w:qFormat/>
    <w:rsid w:val="008E44A5"/>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link w:val="EncabezadoCar"/>
    <w:uiPriority w:val="99"/>
    <w:unhideWhenUsed/>
    <w:rsid w:val="005C0EA1"/>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5C0EA1"/>
    <w:rPr>
      <w:rFonts w:ascii="Times New Roman" w:hAnsi="Times New Roman"/>
    </w:rPr>
  </w:style>
  <w:style w:type="paragraph" w:styleId="Piedepgina">
    <w:name w:val="footer"/>
    <w:basedOn w:val="Normal"/>
    <w:link w:val="PiedepginaCar"/>
    <w:uiPriority w:val="99"/>
    <w:unhideWhenUsed/>
    <w:rsid w:val="005C0EA1"/>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5C0EA1"/>
    <w:rPr>
      <w:rFonts w:ascii="Times New Roman" w:hAnsi="Times New Roman"/>
    </w:rPr>
  </w:style>
  <w:style w:type="character" w:styleId="Nmerodepgina">
    <w:name w:val="page number"/>
    <w:basedOn w:val="Fuentedeprrafopredeter"/>
    <w:uiPriority w:val="99"/>
    <w:semiHidden/>
    <w:unhideWhenUsed/>
    <w:rsid w:val="005C0EA1"/>
  </w:style>
  <w:style w:type="character" w:customStyle="1" w:styleId="Ttulo1Car">
    <w:name w:val="Título 1 Car"/>
    <w:basedOn w:val="Fuentedeprrafopredeter"/>
    <w:link w:val="Ttulo1"/>
    <w:uiPriority w:val="9"/>
    <w:rsid w:val="008E44A5"/>
    <w:rPr>
      <w:rFonts w:asciiTheme="majorHAnsi" w:eastAsiaTheme="majorEastAsia" w:hAnsiTheme="majorHAnsi" w:cstheme="majorBidi"/>
      <w:color w:val="0F4761" w:themeColor="accent1" w:themeShade="BF"/>
      <w:sz w:val="32"/>
      <w:szCs w:val="32"/>
    </w:rPr>
  </w:style>
  <w:style w:type="paragraph" w:styleId="Ttulo">
    <w:name w:val="Title"/>
    <w:basedOn w:val="Normal"/>
    <w:next w:val="Normal"/>
    <w:link w:val="TtuloCar"/>
    <w:uiPriority w:val="10"/>
    <w:qFormat/>
    <w:rsid w:val="00E025F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E025F7"/>
    <w:rPr>
      <w:rFonts w:asciiTheme="majorHAnsi" w:eastAsiaTheme="majorEastAsia" w:hAnsiTheme="majorHAnsi" w:cstheme="majorBidi"/>
      <w:spacing w:val="-10"/>
      <w:kern w:val="28"/>
      <w:sz w:val="56"/>
      <w:szCs w:val="56"/>
    </w:rPr>
  </w:style>
  <w:style w:type="character" w:styleId="nfasis">
    <w:name w:val="Emphasis"/>
    <w:basedOn w:val="Fuentedeprrafopredeter"/>
    <w:uiPriority w:val="20"/>
    <w:qFormat/>
    <w:rsid w:val="00E025F7"/>
    <w:rPr>
      <w:i/>
      <w:iCs/>
    </w:rPr>
  </w:style>
  <w:style w:type="character" w:styleId="Textoennegrita">
    <w:name w:val="Strong"/>
    <w:basedOn w:val="Fuentedeprrafopredeter"/>
    <w:uiPriority w:val="22"/>
    <w:qFormat/>
    <w:rsid w:val="00E025F7"/>
    <w:rPr>
      <w:b/>
      <w:bCs/>
    </w:rPr>
  </w:style>
  <w:style w:type="paragraph" w:styleId="Textonotapie">
    <w:name w:val="footnote text"/>
    <w:basedOn w:val="Normal"/>
    <w:link w:val="TextonotapieCar"/>
    <w:uiPriority w:val="99"/>
    <w:semiHidden/>
    <w:unhideWhenUsed/>
    <w:rsid w:val="006D093A"/>
    <w:pPr>
      <w:spacing w:after="0" w:line="240" w:lineRule="auto"/>
    </w:pPr>
    <w:rPr>
      <w:sz w:val="20"/>
      <w:szCs w:val="20"/>
    </w:rPr>
  </w:style>
  <w:style w:type="character" w:customStyle="1" w:styleId="TextonotapieCar">
    <w:name w:val="Texto nota pie Car"/>
    <w:basedOn w:val="Fuentedeprrafopredeter"/>
    <w:link w:val="Textonotapie"/>
    <w:uiPriority w:val="99"/>
    <w:semiHidden/>
    <w:rsid w:val="006D093A"/>
    <w:rPr>
      <w:rFonts w:ascii="Times New Roman" w:hAnsi="Times New Roman"/>
      <w:sz w:val="20"/>
      <w:szCs w:val="20"/>
    </w:rPr>
  </w:style>
  <w:style w:type="character" w:styleId="Refdenotaalpie">
    <w:name w:val="footnote reference"/>
    <w:basedOn w:val="Fuentedeprrafopredeter"/>
    <w:uiPriority w:val="99"/>
    <w:semiHidden/>
    <w:unhideWhenUsed/>
    <w:rsid w:val="006D093A"/>
    <w:rPr>
      <w:vertAlign w:val="superscript"/>
    </w:rPr>
  </w:style>
  <w:style w:type="character" w:styleId="Hipervnculo">
    <w:name w:val="Hyperlink"/>
    <w:basedOn w:val="Fuentedeprrafopredeter"/>
    <w:uiPriority w:val="99"/>
    <w:unhideWhenUsed/>
    <w:rsid w:val="006C778D"/>
    <w:rPr>
      <w:color w:val="467886" w:themeColor="hyperlink"/>
      <w:u w:val="single"/>
    </w:rPr>
  </w:style>
  <w:style w:type="character" w:styleId="Mencinsinresolver">
    <w:name w:val="Unresolved Mention"/>
    <w:basedOn w:val="Fuentedeprrafopredeter"/>
    <w:uiPriority w:val="99"/>
    <w:semiHidden/>
    <w:unhideWhenUsed/>
    <w:rsid w:val="006C778D"/>
    <w:rPr>
      <w:color w:val="605E5C"/>
      <w:shd w:val="clear" w:color="auto" w:fill="E1DFDD"/>
    </w:rPr>
  </w:style>
  <w:style w:type="character" w:styleId="Hipervnculovisitado">
    <w:name w:val="FollowedHyperlink"/>
    <w:basedOn w:val="Fuentedeprrafopredeter"/>
    <w:uiPriority w:val="99"/>
    <w:semiHidden/>
    <w:unhideWhenUsed/>
    <w:rsid w:val="0078197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3036107">
      <w:bodyDiv w:val="1"/>
      <w:marLeft w:val="0"/>
      <w:marRight w:val="0"/>
      <w:marTop w:val="0"/>
      <w:marBottom w:val="0"/>
      <w:divBdr>
        <w:top w:val="none" w:sz="0" w:space="0" w:color="auto"/>
        <w:left w:val="none" w:sz="0" w:space="0" w:color="auto"/>
        <w:bottom w:val="none" w:sz="0" w:space="0" w:color="auto"/>
        <w:right w:val="none" w:sz="0" w:space="0" w:color="auto"/>
      </w:divBdr>
    </w:div>
    <w:div w:id="632638901">
      <w:bodyDiv w:val="1"/>
      <w:marLeft w:val="0"/>
      <w:marRight w:val="0"/>
      <w:marTop w:val="0"/>
      <w:marBottom w:val="0"/>
      <w:divBdr>
        <w:top w:val="none" w:sz="0" w:space="0" w:color="auto"/>
        <w:left w:val="none" w:sz="0" w:space="0" w:color="auto"/>
        <w:bottom w:val="none" w:sz="0" w:space="0" w:color="auto"/>
        <w:right w:val="none" w:sz="0" w:space="0" w:color="auto"/>
      </w:divBdr>
    </w:div>
    <w:div w:id="2054841188">
      <w:bodyDiv w:val="1"/>
      <w:marLeft w:val="0"/>
      <w:marRight w:val="0"/>
      <w:marTop w:val="0"/>
      <w:marBottom w:val="0"/>
      <w:divBdr>
        <w:top w:val="none" w:sz="0" w:space="0" w:color="auto"/>
        <w:left w:val="none" w:sz="0" w:space="0" w:color="auto"/>
        <w:bottom w:val="none" w:sz="0" w:space="0" w:color="auto"/>
        <w:right w:val="none" w:sz="0" w:space="0" w:color="auto"/>
      </w:divBdr>
    </w:div>
    <w:div w:id="2137410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lobalr2p.org/wp-content/uploads/2020/07/syriapaper_final.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ytimes.com/2016/02/28/us/politics/hillary-clinton-libya.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www.nytimes.com/2016/02/28/us/politics/hillary-clinton-libya.html" TargetMode="External"/><Relationship Id="rId2" Type="http://schemas.openxmlformats.org/officeDocument/2006/relationships/hyperlink" Target="https://www.globalr2p.org/wp-content/uploads/2020/07/syriapaper_final.pdf" TargetMode="External"/><Relationship Id="rId1" Type="http://schemas.openxmlformats.org/officeDocument/2006/relationships/hyperlink" Target="https://www.un.org/en/about-us/un-char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0471A3-4CE1-AE49-AA33-276546B19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TotalTime>
  <Pages>1</Pages>
  <Words>1069</Words>
  <Characters>6632</Characters>
  <Application>Microsoft Office Word</Application>
  <DocSecurity>0</DocSecurity>
  <Lines>94</Lines>
  <Paragraphs>25</Paragraphs>
  <ScaleCrop>false</ScaleCrop>
  <Company/>
  <LinksUpToDate>false</LinksUpToDate>
  <CharactersWithSpaces>7676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Craciun (2416773)</dc:creator>
  <cp:keywords/>
  <dc:description/>
  <cp:lastModifiedBy>Alina Craciun (2416773)</cp:lastModifiedBy>
  <cp:revision>147</cp:revision>
  <cp:lastPrinted>2024-11-04T21:36:00Z</cp:lastPrinted>
  <dcterms:created xsi:type="dcterms:W3CDTF">2024-09-27T10:03:00Z</dcterms:created>
  <dcterms:modified xsi:type="dcterms:W3CDTF">2024-11-04T21:49:00Z</dcterms:modified>
</cp:coreProperties>
</file>