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419237" w14:textId="77777777" w:rsidR="00234FF3" w:rsidRDefault="005E1C20">
      <w:pPr>
        <w:spacing w:after="83" w:line="259" w:lineRule="auto"/>
        <w:ind w:left="0" w:firstLine="0"/>
      </w:pPr>
      <w:bookmarkStart w:id="0" w:name="_GoBack"/>
      <w:bookmarkEnd w:id="0"/>
      <w:r>
        <w:rPr>
          <w:sz w:val="32"/>
        </w:rPr>
        <w:t xml:space="preserve">What limits, if any, should be placed upon our freedom of speech? </w:t>
      </w:r>
    </w:p>
    <w:p w14:paraId="0A932066" w14:textId="77777777" w:rsidR="00234FF3" w:rsidRDefault="005E1C20">
      <w:pPr>
        <w:ind w:left="-5"/>
      </w:pPr>
      <w:r>
        <w:t>How can a state or government justify using its powers to impose limitations on the freedoms of the individual? Freedom of speech has been a central pillar of Weston Democracies like the UK, USA and the EU. However, censorship is one of the most powerful a</w:t>
      </w:r>
      <w:r>
        <w:t>nd effective means of control over any individual, group or large-scale population. When we think of censorship, we most likely call to mind examples of banned books, films or more recently many forms of digital media, for instance certain songs on streami</w:t>
      </w:r>
      <w:r>
        <w:t>ng platforms or types of pornography, depicting certain acts, may be censored and cannot be accessed or played in a particular country. This may seem like safeguarding to those who do not wish to consume this type of media, but what if you want to listen t</w:t>
      </w:r>
      <w:r>
        <w:t>o a particular type of music, or for instance, what if all homosexual pornography was censored in favour of heterosexual? Protests and political commentary are ways of giving a voice to our beliefs or opinions often when we are in a minority position which</w:t>
      </w:r>
      <w:r>
        <w:t xml:space="preserve"> goes against the </w:t>
      </w:r>
      <w:proofErr w:type="gramStart"/>
      <w:r>
        <w:t>main stream</w:t>
      </w:r>
      <w:proofErr w:type="gramEnd"/>
      <w:r>
        <w:t xml:space="preserve"> narrative. However, some may have radical ideologies that threaten to bring harm to others or encourage other people to do so, in line with their beliefs. Therefore, even in most liberal democracies we still have forms of cens</w:t>
      </w:r>
      <w:r>
        <w:t xml:space="preserve">orship that decide what is safe for the population. Freedom of speech is one of the rights we consider a human right, here is an example of speech offence definitions and response justifications from Liberty, formerly called the National Council for Civil </w:t>
      </w:r>
      <w:r>
        <w:t xml:space="preserve">Liberties (NCCL) advocacy website. </w:t>
      </w:r>
    </w:p>
    <w:p w14:paraId="494EA96B" w14:textId="77777777" w:rsidR="00234FF3" w:rsidRDefault="005E1C20">
      <w:pPr>
        <w:spacing w:after="174"/>
        <w:ind w:left="-5"/>
      </w:pPr>
      <w:r>
        <w:rPr>
          <w:i/>
        </w:rPr>
        <w:t xml:space="preserve">“The following criminal offences raise particular concerns for freedom of expression: </w:t>
      </w:r>
    </w:p>
    <w:p w14:paraId="69C648D5" w14:textId="77777777" w:rsidR="00234FF3" w:rsidRDefault="005E1C20">
      <w:pPr>
        <w:spacing w:after="174"/>
        <w:ind w:left="-5"/>
      </w:pPr>
      <w:r>
        <w:rPr>
          <w:i/>
        </w:rPr>
        <w:t>Section 4 of the Public Order Act 1986 (POA) make it an offence for a person to use threatening, abusive or insulting words or behavi</w:t>
      </w:r>
      <w:r>
        <w:rPr>
          <w:i/>
        </w:rPr>
        <w:t>our that causes, or is likely to cause, another person harassment, alarm or distress. This can have serious implications on peaceful protestors and others exercising their freedom of expression, as someone who uses insulting language that might distress an</w:t>
      </w:r>
      <w:r>
        <w:rPr>
          <w:i/>
        </w:rPr>
        <w:t xml:space="preserve">other </w:t>
      </w:r>
      <w:proofErr w:type="gramStart"/>
      <w:r>
        <w:rPr>
          <w:i/>
        </w:rPr>
        <w:t>were</w:t>
      </w:r>
      <w:proofErr w:type="gramEnd"/>
      <w:r>
        <w:rPr>
          <w:i/>
        </w:rPr>
        <w:t xml:space="preserve"> they to hear it could be guilty of an offence;”</w:t>
      </w:r>
      <w:r>
        <w:rPr>
          <w:i/>
          <w:vertAlign w:val="superscript"/>
        </w:rPr>
        <w:footnoteReference w:id="1"/>
      </w:r>
      <w:r>
        <w:rPr>
          <w:i/>
        </w:rPr>
        <w:t xml:space="preserve"> </w:t>
      </w:r>
    </w:p>
    <w:p w14:paraId="76E500D9" w14:textId="77777777" w:rsidR="00234FF3" w:rsidRDefault="005E1C20">
      <w:pPr>
        <w:ind w:left="-5"/>
      </w:pPr>
      <w:r>
        <w:t>When people hear opinions or ideas being voiced by other people they are forced to imagine them, much like dreaming and often have a gut feeling of revulsion that causes them to feel violated an</w:t>
      </w:r>
      <w:r>
        <w:t xml:space="preserve">d affected by the words of others, this is what leads people to claim that certain statements views and verbal exchanges (other than direct threats) can constitute hate speech, this is becoming an increasingly sensitive topic in </w:t>
      </w:r>
      <w:r>
        <w:t>today’s</w:t>
      </w:r>
      <w:r>
        <w:t xml:space="preserve"> climate. A report p</w:t>
      </w:r>
      <w:r>
        <w:t xml:space="preserve">roduced called © ARTICLE 19, 2018 provides this information on hate speech. </w:t>
      </w:r>
    </w:p>
    <w:p w14:paraId="4A5E6D22" w14:textId="77777777" w:rsidR="00234FF3" w:rsidRDefault="005E1C20">
      <w:pPr>
        <w:spacing w:after="258"/>
        <w:ind w:left="-5"/>
      </w:pPr>
      <w:r>
        <w:rPr>
          <w:i/>
        </w:rPr>
        <w:t>“While ‘hate speech’ has no definition under international human rights law, the expression of hatred towards an individual or group on the basis of a protected characteristic can</w:t>
      </w:r>
      <w:r>
        <w:rPr>
          <w:i/>
        </w:rPr>
        <w:t xml:space="preserve"> be divided into three categories, distinguished by the response international human rights law requires from States:16• Severe forms of ‘hate speech’ that international law requires States to prohibit, including through criminal, civil, and administrative</w:t>
      </w:r>
      <w:r>
        <w:rPr>
          <w:i/>
        </w:rPr>
        <w:t xml:space="preserve"> measures, under both </w:t>
      </w:r>
      <w:r>
        <w:rPr>
          <w:i/>
        </w:rPr>
        <w:lastRenderedPageBreak/>
        <w:t xml:space="preserve">international criminal law and Article 20(2) of the ICCPR;• Other forms of ‘hate speech’ that States may prohibit to protect the rights of others under Article 19(3) of the ICCPR, such as </w:t>
      </w:r>
    </w:p>
    <w:p w14:paraId="238D8533" w14:textId="77777777" w:rsidR="00234FF3" w:rsidRDefault="005E1C20">
      <w:pPr>
        <w:spacing w:after="0" w:line="259" w:lineRule="auto"/>
        <w:ind w:left="0" w:firstLine="0"/>
      </w:pPr>
      <w:r>
        <w:rPr>
          <w:noProof/>
          <w:sz w:val="22"/>
        </w:rPr>
        <mc:AlternateContent>
          <mc:Choice Requires="wpg">
            <w:drawing>
              <wp:inline distT="0" distB="0" distL="0" distR="0" wp14:anchorId="2CFA28AD" wp14:editId="13F73B22">
                <wp:extent cx="1829816" cy="9525"/>
                <wp:effectExtent l="0" t="0" r="0" b="0"/>
                <wp:docPr id="4960" name="Group 4960"/>
                <wp:cNvGraphicFramePr/>
                <a:graphic xmlns:a="http://schemas.openxmlformats.org/drawingml/2006/main">
                  <a:graphicData uri="http://schemas.microsoft.com/office/word/2010/wordprocessingGroup">
                    <wpg:wgp>
                      <wpg:cNvGrpSpPr/>
                      <wpg:grpSpPr>
                        <a:xfrm>
                          <a:off x="0" y="0"/>
                          <a:ext cx="1829816" cy="9525"/>
                          <a:chOff x="0" y="0"/>
                          <a:chExt cx="1829816" cy="9525"/>
                        </a:xfrm>
                      </wpg:grpSpPr>
                      <wps:wsp>
                        <wps:cNvPr id="5536" name="Shape 5536"/>
                        <wps:cNvSpPr/>
                        <wps:spPr>
                          <a:xfrm>
                            <a:off x="0" y="0"/>
                            <a:ext cx="1829816" cy="9525"/>
                          </a:xfrm>
                          <a:custGeom>
                            <a:avLst/>
                            <a:gdLst/>
                            <a:ahLst/>
                            <a:cxnLst/>
                            <a:rect l="0" t="0" r="0" b="0"/>
                            <a:pathLst>
                              <a:path w="1829816" h="9525">
                                <a:moveTo>
                                  <a:pt x="0" y="0"/>
                                </a:moveTo>
                                <a:lnTo>
                                  <a:pt x="1829816" y="0"/>
                                </a:lnTo>
                                <a:lnTo>
                                  <a:pt x="182981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60" style="width:144.08pt;height:0.75pt;mso-position-horizontal-relative:char;mso-position-vertical-relative:line" coordsize="18298,95">
                <v:shape id="Shape 5537" style="position:absolute;width:18298;height:95;left:0;top:0;" coordsize="1829816,9525" path="m0,0l1829816,0l1829816,9525l0,9525l0,0">
                  <v:stroke weight="0pt" endcap="flat" joinstyle="miter" miterlimit="10" on="false" color="#000000" opacity="0"/>
                  <v:fill on="true" color="#000000"/>
                </v:shape>
              </v:group>
            </w:pict>
          </mc:Fallback>
        </mc:AlternateContent>
      </w:r>
      <w:r>
        <w:rPr>
          <w:sz w:val="22"/>
        </w:rPr>
        <w:t xml:space="preserve"> </w:t>
      </w:r>
    </w:p>
    <w:p w14:paraId="073BB2D3" w14:textId="77777777" w:rsidR="00234FF3" w:rsidRDefault="005E1C20">
      <w:pPr>
        <w:spacing w:after="174"/>
        <w:ind w:left="-5"/>
      </w:pPr>
      <w:r>
        <w:rPr>
          <w:i/>
        </w:rPr>
        <w:t>discriminatory or bias-motivated threats o</w:t>
      </w:r>
      <w:r>
        <w:rPr>
          <w:i/>
        </w:rPr>
        <w:t>r harassment; or• ‘Hate speech’ that is lawful and should therefore be protected from restriction under Article 19(3) of the ICCPR, but which nevertheless raises concerns in terms of intolerance and discrimination, meriting a critical response by the State</w:t>
      </w:r>
      <w:r>
        <w:rPr>
          <w:i/>
        </w:rPr>
        <w:t>.”</w:t>
      </w:r>
      <w:r>
        <w:rPr>
          <w:i/>
          <w:vertAlign w:val="superscript"/>
        </w:rPr>
        <w:footnoteReference w:id="2"/>
      </w:r>
      <w:r>
        <w:rPr>
          <w:i/>
        </w:rPr>
        <w:t xml:space="preserve"> </w:t>
      </w:r>
    </w:p>
    <w:p w14:paraId="1847EC19" w14:textId="77777777" w:rsidR="00234FF3" w:rsidRDefault="005E1C20">
      <w:pPr>
        <w:ind w:left="-5"/>
      </w:pPr>
      <w:r>
        <w:t>Responses like these are backed up in thought by the sentiments of Mill, cited below.</w:t>
      </w:r>
      <w:r>
        <w:rPr>
          <w:i/>
        </w:rPr>
        <w:t xml:space="preserve"> </w:t>
      </w:r>
    </w:p>
    <w:p w14:paraId="1A392B57" w14:textId="77777777" w:rsidR="00234FF3" w:rsidRDefault="005E1C20">
      <w:pPr>
        <w:spacing w:after="174"/>
        <w:ind w:left="-5"/>
      </w:pPr>
      <w:r>
        <w:t>“</w:t>
      </w:r>
      <w:r>
        <w:rPr>
          <w:i/>
        </w:rPr>
        <w:t>The only purpose for which power can be rightfully exercised over any member of a civilized community, against his will, is to prevent harm to others. His own goo</w:t>
      </w:r>
      <w:r>
        <w:rPr>
          <w:i/>
        </w:rPr>
        <w:t>d, either physical or moral, is not sufficient warrant</w:t>
      </w:r>
      <w:r>
        <w:t>.”</w:t>
      </w:r>
      <w:r>
        <w:rPr>
          <w:vertAlign w:val="superscript"/>
        </w:rPr>
        <w:footnoteReference w:id="3"/>
      </w:r>
      <w:r>
        <w:t xml:space="preserve"> </w:t>
      </w:r>
    </w:p>
    <w:p w14:paraId="1E405B2F" w14:textId="77777777" w:rsidR="00234FF3" w:rsidRDefault="005E1C20">
      <w:pPr>
        <w:ind w:left="-5"/>
      </w:pPr>
      <w:r>
        <w:t>His conclusions on how much a state can infringe upon its citizens individual freedoms should be dictated by the Liberty Principle (otherwise known as the Harm principle),  most people can see the</w:t>
      </w:r>
      <w:r>
        <w:t xml:space="preserve"> immediate sense in restricting people from harming others, but what do we mean by harm, what if </w:t>
      </w:r>
      <w:r>
        <w:t>I’m</w:t>
      </w:r>
      <w:r>
        <w:t xml:space="preserve"> not concerned that what your saying is a direct threat to me, but instead a threat to my personal or business interests, perhaps someone is slandering my n</w:t>
      </w:r>
      <w:r>
        <w:t>ame or casting aspersions in some shape or form and therefore I expect a governing body to step in and serve justice on my behalf through censorship or punishment. Then it seems it is the duty of the governing body to determine the difference between offen</w:t>
      </w:r>
      <w:r>
        <w:t xml:space="preserve">ce, dislike, annoyance and harm. And furthermore, which interest should be given the status of rights? Mill had to expand his argument to tackle these issues in </w:t>
      </w:r>
      <w:r>
        <w:rPr>
          <w:i/>
        </w:rPr>
        <w:t>Utilitarianism (1861)</w:t>
      </w:r>
      <w:r>
        <w:rPr>
          <w:i/>
          <w:vertAlign w:val="superscript"/>
        </w:rPr>
        <w:t>4</w:t>
      </w:r>
      <w:r>
        <w:rPr>
          <w:i/>
        </w:rPr>
        <w:t xml:space="preserve"> </w:t>
      </w:r>
      <w:r>
        <w:t xml:space="preserve">he then provides us with this theory </w:t>
      </w:r>
    </w:p>
    <w:p w14:paraId="25F6E4DB" w14:textId="77777777" w:rsidR="00234FF3" w:rsidRDefault="005E1C20">
      <w:pPr>
        <w:spacing w:after="174"/>
        <w:ind w:left="-5"/>
      </w:pPr>
      <w:r>
        <w:t xml:space="preserve"> </w:t>
      </w:r>
      <w:r>
        <w:t>“</w:t>
      </w:r>
      <w:r>
        <w:rPr>
          <w:i/>
        </w:rPr>
        <w:t>To have a right, then, is, I con</w:t>
      </w:r>
      <w:r>
        <w:rPr>
          <w:i/>
        </w:rPr>
        <w:t>ceive, to have something which society ought to defend me in the possession of. If the objector goes on to ask, why it ought? I can give him no other reason than general utility.”</w:t>
      </w:r>
      <w:r>
        <w:rPr>
          <w:i/>
          <w:vertAlign w:val="superscript"/>
        </w:rPr>
        <w:footnoteReference w:id="4"/>
      </w:r>
      <w:r>
        <w:rPr>
          <w:i/>
        </w:rPr>
        <w:t xml:space="preserve"> </w:t>
      </w:r>
    </w:p>
    <w:p w14:paraId="0BB663AD" w14:textId="77777777" w:rsidR="00234FF3" w:rsidRDefault="005E1C20">
      <w:pPr>
        <w:ind w:left="-5"/>
      </w:pPr>
      <w:r>
        <w:t xml:space="preserve">But utilitarian theory and liberal theories rarely seem in line with one </w:t>
      </w:r>
      <w:r>
        <w:t>another. It is difficult to justify liberal rights through utilitarian methodology which by design favour implementing radical means to achieve maximum overall happiness. But what if the individual is merely exercising their liberal right when speaking the</w:t>
      </w:r>
      <w:r>
        <w:t xml:space="preserve">ir truth, or at least their opinion is that they speak the truth. So, if it may cause conflict and distress, why then would the utilitarian support freedom of speech, after all as the </w:t>
      </w:r>
      <w:proofErr w:type="gramStart"/>
      <w:r>
        <w:t>old adage</w:t>
      </w:r>
      <w:proofErr w:type="gramEnd"/>
      <w:r>
        <w:t xml:space="preserve"> goes, sometimes the truth hurts. Well, often people allow them</w:t>
      </w:r>
      <w:r>
        <w:t xml:space="preserve">selves to believe that truth is only relative, they put forth opinion, as truth so in order to determine the real truth at the heart of any matter </w:t>
      </w:r>
      <w:r>
        <w:lastRenderedPageBreak/>
        <w:t>we must be able to openly challenge and hold discourse on a given topic. Below Mill describes how truth can o</w:t>
      </w:r>
      <w:r>
        <w:t xml:space="preserve">nly prevail if challenged. </w:t>
      </w:r>
    </w:p>
    <w:p w14:paraId="6F1AAD93" w14:textId="77777777" w:rsidR="00234FF3" w:rsidRDefault="005E1C20">
      <w:pPr>
        <w:spacing w:after="174"/>
        <w:ind w:left="-5"/>
      </w:pPr>
      <w:r>
        <w:rPr>
          <w:i/>
        </w:rPr>
        <w:t>“First, if any opinion is compelled to silence, that opinion may, for aught we can certainly know, be true. To deny this is to assume our own infallibility.” Secondly, though the silenced opinion be an error, it may, and very co</w:t>
      </w:r>
      <w:r>
        <w:rPr>
          <w:i/>
        </w:rPr>
        <w:t xml:space="preserve">mmonly does, contain a portion of truth; and since </w:t>
      </w:r>
    </w:p>
    <w:p w14:paraId="6D81D669" w14:textId="77777777" w:rsidR="00234FF3" w:rsidRDefault="005E1C20">
      <w:pPr>
        <w:spacing w:after="0" w:line="259" w:lineRule="auto"/>
        <w:ind w:left="0" w:firstLine="0"/>
      </w:pPr>
      <w:r>
        <w:rPr>
          <w:noProof/>
          <w:sz w:val="22"/>
        </w:rPr>
        <mc:AlternateContent>
          <mc:Choice Requires="wpg">
            <w:drawing>
              <wp:inline distT="0" distB="0" distL="0" distR="0" wp14:anchorId="0EA4495E" wp14:editId="4F9F4F99">
                <wp:extent cx="1829816" cy="9525"/>
                <wp:effectExtent l="0" t="0" r="0" b="0"/>
                <wp:docPr id="5070" name="Group 5070"/>
                <wp:cNvGraphicFramePr/>
                <a:graphic xmlns:a="http://schemas.openxmlformats.org/drawingml/2006/main">
                  <a:graphicData uri="http://schemas.microsoft.com/office/word/2010/wordprocessingGroup">
                    <wpg:wgp>
                      <wpg:cNvGrpSpPr/>
                      <wpg:grpSpPr>
                        <a:xfrm>
                          <a:off x="0" y="0"/>
                          <a:ext cx="1829816" cy="9525"/>
                          <a:chOff x="0" y="0"/>
                          <a:chExt cx="1829816" cy="9525"/>
                        </a:xfrm>
                      </wpg:grpSpPr>
                      <wps:wsp>
                        <wps:cNvPr id="5538" name="Shape 5538"/>
                        <wps:cNvSpPr/>
                        <wps:spPr>
                          <a:xfrm>
                            <a:off x="0" y="0"/>
                            <a:ext cx="1829816" cy="9525"/>
                          </a:xfrm>
                          <a:custGeom>
                            <a:avLst/>
                            <a:gdLst/>
                            <a:ahLst/>
                            <a:cxnLst/>
                            <a:rect l="0" t="0" r="0" b="0"/>
                            <a:pathLst>
                              <a:path w="1829816" h="9525">
                                <a:moveTo>
                                  <a:pt x="0" y="0"/>
                                </a:moveTo>
                                <a:lnTo>
                                  <a:pt x="1829816" y="0"/>
                                </a:lnTo>
                                <a:lnTo>
                                  <a:pt x="182981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070" style="width:144.08pt;height:0.75pt;mso-position-horizontal-relative:char;mso-position-vertical-relative:line" coordsize="18298,95">
                <v:shape id="Shape 5539" style="position:absolute;width:18298;height:95;left:0;top:0;" coordsize="1829816,9525" path="m0,0l1829816,0l1829816,9525l0,9525l0,0">
                  <v:stroke weight="0pt" endcap="flat" joinstyle="miter" miterlimit="10" on="false" color="#000000" opacity="0"/>
                  <v:fill on="true" color="#000000"/>
                </v:shape>
              </v:group>
            </w:pict>
          </mc:Fallback>
        </mc:AlternateContent>
      </w:r>
      <w:r>
        <w:rPr>
          <w:sz w:val="22"/>
        </w:rPr>
        <w:t xml:space="preserve"> </w:t>
      </w:r>
    </w:p>
    <w:p w14:paraId="290B7DA5" w14:textId="77777777" w:rsidR="00234FF3" w:rsidRDefault="005E1C20">
      <w:pPr>
        <w:spacing w:after="174"/>
        <w:ind w:left="-5"/>
      </w:pPr>
      <w:r>
        <w:rPr>
          <w:i/>
        </w:rPr>
        <w:t>the general or prevailing opinion on any subject is rarely or never the whole truth, it is only by the collision of adverse opinions, that the remainder of the truth has any chance of being supplied. T</w:t>
      </w:r>
      <w:r>
        <w:rPr>
          <w:i/>
        </w:rPr>
        <w:t>hirdly, even if the received opinion be not only true, but the whole truth; unless it is suffered to be, and actually is, vigorously and earnestly contested, it will, by most of those who receive it, be held in the manner of a prejudice, with little compre</w:t>
      </w:r>
      <w:r>
        <w:rPr>
          <w:i/>
        </w:rPr>
        <w:t xml:space="preserve">hension or feeling of its rational grounds. And not only this, but, fourthly, the meaning of the doctrine itself will be in danger of being lost, or enfeebled, and deprived of its vital effect on the character and conduct: the dogma becoming a mere formal </w:t>
      </w:r>
      <w:r>
        <w:rPr>
          <w:i/>
        </w:rPr>
        <w:t>profession, inefficacious for good, but cumbering the ground, and preventing the growth of any real and heartfelt conviction, from reason or personal experience.”</w:t>
      </w:r>
      <w:r>
        <w:rPr>
          <w:i/>
          <w:vertAlign w:val="superscript"/>
        </w:rPr>
        <w:footnoteReference w:id="5"/>
      </w:r>
      <w:r>
        <w:rPr>
          <w:i/>
        </w:rPr>
        <w:t xml:space="preserve">  </w:t>
      </w:r>
    </w:p>
    <w:p w14:paraId="38DFF464" w14:textId="77777777" w:rsidR="00234FF3" w:rsidRDefault="005E1C20">
      <w:pPr>
        <w:ind w:left="-5"/>
      </w:pPr>
      <w:r>
        <w:t>It is abundantly obvious that besides government censorship the most limiting factor to f</w:t>
      </w:r>
      <w:r>
        <w:t>reedom of speech or other forms of expression is social conformity. In any community there can be found a general conception of morality and decency and the combined weight of public opinion will inevitably create an atmosphere which will come down to rest</w:t>
      </w:r>
      <w:r>
        <w:t xml:space="preserve"> on all or any who do not adopt their shared view. Alienation, ostracization and ridicule will befall those who cannot or will not conform. If we accept truth because it is the most widely held opinion, we are doing each other an injustice. Truth changes a</w:t>
      </w:r>
      <w:r>
        <w:t>s our knowledge and understanding develops. Not long ago it was widely accepted that women were inferior to men and should have less autonomy and rights than their male counterparts. Within memory peoples like the Jews in Nazi Germany or African Slaves tra</w:t>
      </w:r>
      <w:r>
        <w:t>fficked to the Americas were viewed as inferior to their oppressors who dictated truth to support their agenda. Despite these two oppressive regimes attempting to control freedom of speech in order to maintain power and stability, the voices of those who r</w:t>
      </w:r>
      <w:r>
        <w:t xml:space="preserve">efused to bow down and be silenced eventually called in to question the mainstream narrative. </w:t>
      </w:r>
      <w:r>
        <w:rPr>
          <w:i/>
        </w:rPr>
        <w:t xml:space="preserve"> </w:t>
      </w:r>
    </w:p>
    <w:p w14:paraId="02AF64D1" w14:textId="77777777" w:rsidR="00234FF3" w:rsidRDefault="005E1C20">
      <w:pPr>
        <w:ind w:left="-5"/>
      </w:pPr>
      <w:r>
        <w:t>As it stands today private interest control most newspapers and media websites. Freedom of press is a questionable enterprise when wealth determines the reach o</w:t>
      </w:r>
      <w:r>
        <w:t>f ideas and controls the popular narrative. Lack of independent review and censorship means that whilst the underdog is entitled to publish an article that critiques, say, a policy or uncovers a scandal involving officials, likewise it leaves us vulnerable</w:t>
      </w:r>
      <w:r>
        <w:t xml:space="preserve"> to opinion, being presented as fact. The news coverage over the Brexit debate provided many examples of misinformation being used to influence and destabilise the public. </w:t>
      </w:r>
      <w:r>
        <w:rPr>
          <w:i/>
        </w:rPr>
        <w:t xml:space="preserve"> </w:t>
      </w:r>
    </w:p>
    <w:p w14:paraId="1DBB5A27" w14:textId="77777777" w:rsidR="00234FF3" w:rsidRDefault="005E1C20">
      <w:pPr>
        <w:spacing w:after="369"/>
        <w:ind w:left="-5"/>
      </w:pPr>
      <w:r>
        <w:lastRenderedPageBreak/>
        <w:t xml:space="preserve">Modern times are rife with dangers and difficulties </w:t>
      </w:r>
      <w:r>
        <w:t>when it comes to free speech. One example of this is the ongoing argument over self-identification, where minority groups are trying to redefine the classifications of gender and sex. Beliefs and opinion vary but the debate is currently being hindered by e</w:t>
      </w:r>
      <w:r>
        <w:t xml:space="preserve">ach side trying to shut down dialog, claiming that any thoughts or opinions voiced that oppose their own are practicing hate speech, attempting </w:t>
      </w:r>
      <w:r>
        <w:t>to deny or invalidate other people’s opinion.</w:t>
      </w:r>
      <w:r>
        <w:t xml:space="preserve"> If we do not allow freedom of speech, we give all the power to tho</w:t>
      </w:r>
      <w:r>
        <w:t xml:space="preserve">se who claim offence and remove any possibility of the development of ideas and opinions. </w:t>
      </w:r>
    </w:p>
    <w:p w14:paraId="377E54CD" w14:textId="77777777" w:rsidR="00234FF3" w:rsidRDefault="005E1C20">
      <w:pPr>
        <w:spacing w:after="0" w:line="259" w:lineRule="auto"/>
        <w:ind w:left="0" w:firstLine="0"/>
      </w:pPr>
      <w:r>
        <w:rPr>
          <w:noProof/>
          <w:sz w:val="22"/>
        </w:rPr>
        <mc:AlternateContent>
          <mc:Choice Requires="wpg">
            <w:drawing>
              <wp:inline distT="0" distB="0" distL="0" distR="0" wp14:anchorId="2DBD801E" wp14:editId="59E8C914">
                <wp:extent cx="1829816" cy="9525"/>
                <wp:effectExtent l="0" t="0" r="0" b="0"/>
                <wp:docPr id="4959" name="Group 4959"/>
                <wp:cNvGraphicFramePr/>
                <a:graphic xmlns:a="http://schemas.openxmlformats.org/drawingml/2006/main">
                  <a:graphicData uri="http://schemas.microsoft.com/office/word/2010/wordprocessingGroup">
                    <wpg:wgp>
                      <wpg:cNvGrpSpPr/>
                      <wpg:grpSpPr>
                        <a:xfrm>
                          <a:off x="0" y="0"/>
                          <a:ext cx="1829816" cy="9525"/>
                          <a:chOff x="0" y="0"/>
                          <a:chExt cx="1829816" cy="9525"/>
                        </a:xfrm>
                      </wpg:grpSpPr>
                      <wps:wsp>
                        <wps:cNvPr id="5540" name="Shape 5540"/>
                        <wps:cNvSpPr/>
                        <wps:spPr>
                          <a:xfrm>
                            <a:off x="0" y="0"/>
                            <a:ext cx="1829816" cy="9525"/>
                          </a:xfrm>
                          <a:custGeom>
                            <a:avLst/>
                            <a:gdLst/>
                            <a:ahLst/>
                            <a:cxnLst/>
                            <a:rect l="0" t="0" r="0" b="0"/>
                            <a:pathLst>
                              <a:path w="1829816" h="9525">
                                <a:moveTo>
                                  <a:pt x="0" y="0"/>
                                </a:moveTo>
                                <a:lnTo>
                                  <a:pt x="1829816" y="0"/>
                                </a:lnTo>
                                <a:lnTo>
                                  <a:pt x="1829816"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59" style="width:144.08pt;height:0.75pt;mso-position-horizontal-relative:char;mso-position-vertical-relative:line" coordsize="18298,95">
                <v:shape id="Shape 5541" style="position:absolute;width:18298;height:95;left:0;top:0;" coordsize="1829816,9525" path="m0,0l1829816,0l1829816,9525l0,9525l0,0">
                  <v:stroke weight="0pt" endcap="flat" joinstyle="miter" miterlimit="10" on="false" color="#000000" opacity="0"/>
                  <v:fill on="true" color="#000000"/>
                </v:shape>
              </v:group>
            </w:pict>
          </mc:Fallback>
        </mc:AlternateContent>
      </w:r>
      <w:r>
        <w:rPr>
          <w:sz w:val="22"/>
        </w:rPr>
        <w:t xml:space="preserve"> </w:t>
      </w:r>
    </w:p>
    <w:p w14:paraId="048803A9" w14:textId="77777777" w:rsidR="00234FF3" w:rsidRDefault="005E1C20">
      <w:pPr>
        <w:ind w:left="-5"/>
      </w:pPr>
      <w:r>
        <w:t xml:space="preserve">Verbal expression as the main form of dialog is </w:t>
      </w:r>
      <w:r>
        <w:t>seemingly over, these days most people communicate online through social media platforms such as Facebook, Messenger, WhatsApp and Twitter. Each user is publicly publishing their opinions in a way that humanity has never seen before this digital era. The f</w:t>
      </w:r>
      <w:r>
        <w:t>act that our words now reach a global audience and can potentially be referenced by people who oppose us means that we are scared to voice our opinions online for fear they will be taken out of context to be used against us later. This has been instrumenta</w:t>
      </w:r>
      <w:r>
        <w:t>l in shutting down open dialog and increasing tribalism, conflict and division. People are not encouraged to talk through their differences in the hope of finding common ground but in fact, click, comment and engage in a way that bears more resemblance  to</w:t>
      </w:r>
      <w:r>
        <w:t xml:space="preserve"> throwing a punch and then running back to a like-minded tribe to </w:t>
      </w:r>
      <w:r>
        <w:t xml:space="preserve">seek asylum where they support each other’s narratives with no regard to reason. The lack </w:t>
      </w:r>
      <w:r>
        <w:t>of personal contact making it easier to ignore the feelings of shame or empathy we might otherwise h</w:t>
      </w:r>
      <w:r>
        <w:t>ave during a conflict. Governments worldwide are in discussions about businesses like Facebook or YouTube who have disproportionate amount of power and influence and, whether they have a social responsibility to ensure false information or hate speech is c</w:t>
      </w:r>
      <w:r>
        <w:t xml:space="preserve">ensored on their platforms. </w:t>
      </w:r>
    </w:p>
    <w:p w14:paraId="71010CEF" w14:textId="77777777" w:rsidR="00234FF3" w:rsidRDefault="005E1C20">
      <w:pPr>
        <w:ind w:left="-5"/>
      </w:pPr>
      <w:r>
        <w:t>If It were possible for there to be a legitimate government, it would be in the public interest to restrict the type of speech or publications that intend to misinform and misguide the general public. The Liberty Principle is a</w:t>
      </w:r>
      <w:r>
        <w:t xml:space="preserve"> strong principle, but it is impossible to imagine a legitimate state behaving in way that provides both protection of its citizens and values in a </w:t>
      </w:r>
      <w:r>
        <w:t xml:space="preserve">way that doesn’t destroy or remove the possibility of positive differences.  If you can </w:t>
      </w:r>
      <w:r>
        <w:t>reasonably put trust</w:t>
      </w:r>
      <w:r>
        <w:t xml:space="preserve"> in the state then I would say censorship of newspapers and social media platforms would be a positive type of limitation, however if you are unconvinced the state is legitimate then freedom of speech however damaging is preferable to the type of hysterica</w:t>
      </w:r>
      <w:r>
        <w:t xml:space="preserve">l overprotection that censorship is leading us towards. </w:t>
      </w:r>
    </w:p>
    <w:p w14:paraId="505A22E9" w14:textId="77777777" w:rsidR="00234FF3" w:rsidRDefault="005E1C20">
      <w:pPr>
        <w:spacing w:after="0" w:line="259" w:lineRule="auto"/>
        <w:ind w:left="0" w:firstLine="0"/>
      </w:pPr>
      <w:r>
        <w:t xml:space="preserve">  </w:t>
      </w:r>
    </w:p>
    <w:sectPr w:rsidR="00234FF3">
      <w:pgSz w:w="11905" w:h="16840"/>
      <w:pgMar w:top="1491" w:right="1440" w:bottom="1437"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08BE5" w14:textId="77777777" w:rsidR="005E1C20" w:rsidRDefault="005E1C20">
      <w:pPr>
        <w:spacing w:after="0" w:line="240" w:lineRule="auto"/>
      </w:pPr>
      <w:r>
        <w:separator/>
      </w:r>
    </w:p>
  </w:endnote>
  <w:endnote w:type="continuationSeparator" w:id="0">
    <w:p w14:paraId="26103777" w14:textId="77777777" w:rsidR="005E1C20" w:rsidRDefault="005E1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38C877" w14:textId="77777777" w:rsidR="005E1C20" w:rsidRDefault="005E1C20">
      <w:pPr>
        <w:spacing w:after="0" w:line="246" w:lineRule="auto"/>
        <w:ind w:left="0" w:firstLine="0"/>
      </w:pPr>
      <w:r>
        <w:separator/>
      </w:r>
    </w:p>
  </w:footnote>
  <w:footnote w:type="continuationSeparator" w:id="0">
    <w:p w14:paraId="4C5DEB5E" w14:textId="77777777" w:rsidR="005E1C20" w:rsidRDefault="005E1C20">
      <w:pPr>
        <w:spacing w:after="0" w:line="246" w:lineRule="auto"/>
        <w:ind w:left="0" w:firstLine="0"/>
      </w:pPr>
      <w:r>
        <w:continuationSeparator/>
      </w:r>
    </w:p>
  </w:footnote>
  <w:footnote w:id="1">
    <w:p w14:paraId="13CFA451" w14:textId="77777777" w:rsidR="00234FF3" w:rsidRDefault="005E1C20">
      <w:pPr>
        <w:pStyle w:val="footnotedescription"/>
        <w:spacing w:line="246" w:lineRule="auto"/>
      </w:pPr>
      <w:r>
        <w:rPr>
          <w:rStyle w:val="footnotemark"/>
        </w:rPr>
        <w:footnoteRef/>
      </w:r>
      <w:r>
        <w:t xml:space="preserve"> </w:t>
      </w:r>
      <w:proofErr w:type="spellStart"/>
      <w:r>
        <w:t>libadmin</w:t>
      </w:r>
      <w:proofErr w:type="spellEnd"/>
      <w:r>
        <w:t xml:space="preserve">, Speech offences (2010) &lt;https://www.libertyhumanrights.org.uk/human-rights/free-speech-andprotest/speech-offences&gt; [accessed 5 March 2020]. </w:t>
      </w:r>
    </w:p>
  </w:footnote>
  <w:footnote w:id="2">
    <w:p w14:paraId="1FDF6728" w14:textId="77777777" w:rsidR="00234FF3" w:rsidRDefault="005E1C20">
      <w:pPr>
        <w:pStyle w:val="footnotedescription"/>
      </w:pPr>
      <w:r>
        <w:rPr>
          <w:rStyle w:val="footnotemark"/>
        </w:rPr>
        <w:footnoteRef/>
      </w:r>
      <w:r>
        <w:t xml:space="preserve"> , ARTICLE 19 (2018) &lt;</w:t>
      </w:r>
      <w:r>
        <w:t xml:space="preserve">https://www.article19.org/wp-content/uploads/2018/06/UK-hate-speech_March2018.pdf&gt; [accessed 5 March 2020]. </w:t>
      </w:r>
    </w:p>
  </w:footnote>
  <w:footnote w:id="3">
    <w:p w14:paraId="5885380E" w14:textId="77777777" w:rsidR="00234FF3" w:rsidRDefault="005E1C20">
      <w:pPr>
        <w:pStyle w:val="footnotedescription"/>
        <w:spacing w:after="20" w:line="237" w:lineRule="auto"/>
        <w:ind w:right="74"/>
      </w:pPr>
      <w:r>
        <w:rPr>
          <w:rStyle w:val="footnotemark"/>
        </w:rPr>
        <w:footnoteRef/>
      </w:r>
      <w:r>
        <w:t xml:space="preserve"> John Stuart Mill, On </w:t>
      </w:r>
      <w:proofErr w:type="gramStart"/>
      <w:r>
        <w:t>Liberty(</w:t>
      </w:r>
      <w:proofErr w:type="gramEnd"/>
      <w:r>
        <w:t>London and Felling-on-</w:t>
      </w:r>
      <w:r>
        <w:t xml:space="preserve">Tyne: The Walter Scott Publishing Co., Ltd, 1901), p.94-5  in , &lt;http://www.gutenberg.org/files/34901/34901-h/34901-h.htm#Page_28&gt; [accessed 6 March 2020]. </w:t>
      </w:r>
      <w:r>
        <w:rPr>
          <w:vertAlign w:val="superscript"/>
        </w:rPr>
        <w:t>4</w:t>
      </w:r>
      <w:r>
        <w:rPr>
          <w:i/>
        </w:rPr>
        <w:t>John Stuart Mill, Utilitarianism (1861)</w:t>
      </w:r>
      <w:r>
        <w:t xml:space="preserve"> </w:t>
      </w:r>
    </w:p>
  </w:footnote>
  <w:footnote w:id="4">
    <w:p w14:paraId="09C458B7" w14:textId="77777777" w:rsidR="00234FF3" w:rsidRDefault="005E1C20">
      <w:pPr>
        <w:pStyle w:val="footnotedescription"/>
        <w:spacing w:line="259" w:lineRule="auto"/>
      </w:pPr>
      <w:r>
        <w:rPr>
          <w:rStyle w:val="footnotemark"/>
        </w:rPr>
        <w:footnoteRef/>
      </w:r>
      <w:r>
        <w:t xml:space="preserve"> </w:t>
      </w:r>
      <w:r>
        <w:rPr>
          <w:i/>
        </w:rPr>
        <w:t>Utilitarianism, 226</w:t>
      </w:r>
      <w:r>
        <w:t xml:space="preserve"> </w:t>
      </w:r>
    </w:p>
  </w:footnote>
  <w:footnote w:id="5">
    <w:p w14:paraId="4C8C1FF9" w14:textId="77777777" w:rsidR="00234FF3" w:rsidRDefault="005E1C20">
      <w:pPr>
        <w:pStyle w:val="footnotedescription"/>
        <w:spacing w:line="250" w:lineRule="auto"/>
      </w:pPr>
      <w:r>
        <w:rPr>
          <w:rStyle w:val="footnotemark"/>
        </w:rPr>
        <w:footnoteRef/>
      </w:r>
      <w:r>
        <w:t xml:space="preserve"> John Stuart Mill, On </w:t>
      </w:r>
      <w:proofErr w:type="gramStart"/>
      <w:r>
        <w:t>Liberty(</w:t>
      </w:r>
      <w:proofErr w:type="gramEnd"/>
      <w:r>
        <w:t>Lond</w:t>
      </w:r>
      <w:r>
        <w:t xml:space="preserve">on and Felling-on-Tyne: The Walter Scott Publishing Co., Ltd, 1901), p. 98 in , &lt;http://www.gutenberg.org/files/34901/34901-h/34901-h.htm#Page_28&gt; [accessed 6 March 2020].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FF3"/>
    <w:rsid w:val="000123BD"/>
    <w:rsid w:val="000D4192"/>
    <w:rsid w:val="00234FF3"/>
    <w:rsid w:val="005E1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A114"/>
  <w15:docId w15:val="{217C87B2-3D76-4B45-BC89-F03E1A5B9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1" w:line="260" w:lineRule="auto"/>
      <w:ind w:left="10" w:hanging="10"/>
    </w:pPr>
    <w:rPr>
      <w:rFonts w:ascii="Calibri" w:eastAsia="Calibri" w:hAnsi="Calibri" w:cs="Calibr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description">
    <w:name w:val="footnote description"/>
    <w:next w:val="Normal"/>
    <w:link w:val="footnotedescriptionChar"/>
    <w:hidden/>
    <w:pPr>
      <w:spacing w:after="0" w:line="247" w:lineRule="auto"/>
    </w:pPr>
    <w:rPr>
      <w:rFonts w:ascii="Calibri" w:eastAsia="Calibri" w:hAnsi="Calibri" w:cs="Calibri"/>
      <w:color w:val="000000"/>
      <w:sz w:val="20"/>
    </w:rPr>
  </w:style>
  <w:style w:type="character" w:customStyle="1" w:styleId="footnotedescriptionChar">
    <w:name w:val="footnote description Char"/>
    <w:link w:val="footnotedescription"/>
    <w:rPr>
      <w:rFonts w:ascii="Calibri" w:eastAsia="Calibri" w:hAnsi="Calibri" w:cs="Calibri"/>
      <w:color w:val="000000"/>
      <w:sz w:val="20"/>
    </w:rPr>
  </w:style>
  <w:style w:type="character" w:customStyle="1" w:styleId="footnotemark">
    <w:name w:val="footnote mark"/>
    <w:hidden/>
    <w:rPr>
      <w:rFonts w:ascii="Calibri" w:eastAsia="Calibri" w:hAnsi="Calibri" w:cs="Calibri"/>
      <w:color w:val="000000"/>
      <w:sz w:val="2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1754</Words>
  <Characters>10000</Characters>
  <Application>Microsoft Office Word</Application>
  <DocSecurity>0</DocSecurity>
  <Lines>83</Lines>
  <Paragraphs>23</Paragraphs>
  <ScaleCrop>false</ScaleCrop>
  <Company/>
  <LinksUpToDate>false</LinksUpToDate>
  <CharactersWithSpaces>11731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cp:lastModifiedBy>Jak Prentice-Miller</cp:lastModifiedBy>
  <cp:revision>2</cp:revision>
  <dcterms:created xsi:type="dcterms:W3CDTF">2020-03-08T21:11:00Z</dcterms:created>
  <dcterms:modified xsi:type="dcterms:W3CDTF">2020-03-08T21:11:00Z</dcterms:modified>
</cp:coreProperties>
</file>