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F81BD" w:themeColor="accent1"/>
        </w:rPr>
        <w:id w:val="-1781329794"/>
        <w:docPartObj>
          <w:docPartGallery w:val="Cover Pages"/>
          <w:docPartUnique/>
        </w:docPartObj>
      </w:sdtPr>
      <w:sdtEndPr>
        <w:rPr>
          <w:color w:val="auto"/>
        </w:rPr>
      </w:sdtEndPr>
      <w:sdtContent>
        <w:p w14:paraId="3E89B5FC" w14:textId="299B6E79" w:rsidR="00430776" w:rsidRDefault="00430776">
          <w:pPr>
            <w:pStyle w:val="NoSpacing"/>
            <w:spacing w:before="1540" w:after="240"/>
            <w:jc w:val="center"/>
            <w:rPr>
              <w:color w:val="4F81BD" w:themeColor="accent1"/>
            </w:rPr>
          </w:pPr>
          <w:r>
            <w:rPr>
              <w:noProof/>
              <w:color w:val="4F81BD" w:themeColor="accent1"/>
            </w:rPr>
            <w:drawing>
              <wp:inline distT="0" distB="0" distL="0" distR="0" wp14:anchorId="289F10C5" wp14:editId="795325D0">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aps/>
              <w:color w:val="4F81BD" w:themeColor="accent1"/>
              <w:sz w:val="56"/>
              <w:szCs w:val="56"/>
            </w:rPr>
            <w:alias w:val="Title"/>
            <w:tag w:val=""/>
            <w:id w:val="1735040861"/>
            <w:placeholder>
              <w:docPart w:val="A7241433039C4A2A94A5F127D38F6C88"/>
            </w:placeholder>
            <w:dataBinding w:prefixMappings="xmlns:ns0='http://purl.org/dc/elements/1.1/' xmlns:ns1='http://schemas.openxmlformats.org/package/2006/metadata/core-properties' " w:xpath="/ns1:coreProperties[1]/ns0:title[1]" w:storeItemID="{6C3C8BC8-F283-45AE-878A-BAB7291924A1}"/>
            <w:text/>
          </w:sdtPr>
          <w:sdtContent>
            <w:p w14:paraId="4417547F" w14:textId="4547FF3B" w:rsidR="00430776" w:rsidRDefault="00430776">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sidRPr="00430776">
                <w:rPr>
                  <w:rFonts w:eastAsiaTheme="majorEastAsia"/>
                  <w:caps/>
                  <w:color w:val="4F81BD" w:themeColor="accent1"/>
                  <w:sz w:val="56"/>
                  <w:szCs w:val="56"/>
                </w:rPr>
                <w:t>COMPARISON OF TWO HOSPITALITY ORGANISATIONS</w:t>
              </w:r>
            </w:p>
          </w:sdtContent>
        </w:sdt>
        <w:p w14:paraId="4E115EB5" w14:textId="16AAA426" w:rsidR="00430776" w:rsidRDefault="00430776">
          <w:pPr>
            <w:pStyle w:val="NoSpacing"/>
            <w:jc w:val="center"/>
            <w:rPr>
              <w:color w:val="4F81BD" w:themeColor="accent1"/>
              <w:sz w:val="28"/>
              <w:szCs w:val="28"/>
            </w:rPr>
          </w:pPr>
        </w:p>
        <w:p w14:paraId="0B6B260A" w14:textId="206CF61D" w:rsidR="00430776" w:rsidRDefault="00430776">
          <w:pPr>
            <w:pStyle w:val="NoSpacing"/>
            <w:spacing w:before="480"/>
            <w:jc w:val="center"/>
            <w:rPr>
              <w:color w:val="4F81BD" w:themeColor="accent1"/>
            </w:rPr>
          </w:pPr>
          <w:r>
            <w:rPr>
              <w:noProof/>
              <w:color w:val="4F81BD" w:themeColor="accent1"/>
            </w:rPr>
            <w:drawing>
              <wp:inline distT="0" distB="0" distL="0" distR="0" wp14:anchorId="7E6C0E6A" wp14:editId="674D1545">
                <wp:extent cx="1211580" cy="920098"/>
                <wp:effectExtent l="0" t="0" r="7620"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237064" cy="939451"/>
                        </a:xfrm>
                        <a:prstGeom prst="rect">
                          <a:avLst/>
                        </a:prstGeom>
                      </pic:spPr>
                    </pic:pic>
                  </a:graphicData>
                </a:graphic>
              </wp:inline>
            </w:drawing>
          </w:r>
        </w:p>
        <w:p w14:paraId="20FBB492" w14:textId="0F2A82F7" w:rsidR="00430776" w:rsidRDefault="003B0A36">
          <w:pPr>
            <w:rPr>
              <w:rFonts w:asciiTheme="majorHAnsi" w:eastAsiaTheme="majorEastAsia" w:hAnsiTheme="majorHAnsi" w:cstheme="majorBidi"/>
              <w:color w:val="365F91" w:themeColor="accent1" w:themeShade="BF"/>
              <w:sz w:val="32"/>
              <w:szCs w:val="32"/>
              <w:lang w:val="en-US" w:eastAsia="en-US"/>
            </w:rPr>
          </w:pPr>
          <w:r>
            <w:rPr>
              <w:noProof/>
              <w:color w:val="4F81BD" w:themeColor="accent1"/>
            </w:rPr>
            <mc:AlternateContent>
              <mc:Choice Requires="wps">
                <w:drawing>
                  <wp:anchor distT="0" distB="0" distL="114300" distR="114300" simplePos="0" relativeHeight="251659264" behindDoc="0" locked="0" layoutInCell="1" allowOverlap="1" wp14:anchorId="05DE8B03" wp14:editId="7C1C1855">
                    <wp:simplePos x="0" y="0"/>
                    <wp:positionH relativeFrom="margin">
                      <wp:posOffset>-777240</wp:posOffset>
                    </wp:positionH>
                    <wp:positionV relativeFrom="page">
                      <wp:posOffset>7383780</wp:posOffset>
                    </wp:positionV>
                    <wp:extent cx="7338060" cy="557784"/>
                    <wp:effectExtent l="0" t="0" r="15240" b="1270"/>
                    <wp:wrapNone/>
                    <wp:docPr id="142" name="Text Box 44"/>
                    <wp:cNvGraphicFramePr/>
                    <a:graphic xmlns:a="http://schemas.openxmlformats.org/drawingml/2006/main">
                      <a:graphicData uri="http://schemas.microsoft.com/office/word/2010/wordprocessingShape">
                        <wps:wsp>
                          <wps:cNvSpPr txBox="1"/>
                          <wps:spPr>
                            <a:xfrm>
                              <a:off x="0" y="0"/>
                              <a:ext cx="733806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35CB5E1" w14:textId="676FB2DD" w:rsidR="00430776" w:rsidRDefault="00430776">
                                    <w:pPr>
                                      <w:pStyle w:val="NoSpacing"/>
                                      <w:spacing w:after="40"/>
                                      <w:jc w:val="center"/>
                                      <w:rPr>
                                        <w:caps/>
                                        <w:color w:val="4F81BD" w:themeColor="accent1"/>
                                        <w:sz w:val="28"/>
                                        <w:szCs w:val="28"/>
                                      </w:rPr>
                                    </w:pPr>
                                    <w:r>
                                      <w:rPr>
                                        <w:caps/>
                                        <w:color w:val="4F81BD" w:themeColor="accent1"/>
                                        <w:sz w:val="28"/>
                                        <w:szCs w:val="28"/>
                                      </w:rPr>
                                      <w:t xml:space="preserve">     </w:t>
                                    </w:r>
                                  </w:p>
                                </w:sdtContent>
                              </w:sdt>
                              <w:p w14:paraId="36BA3A00" w14:textId="09352301" w:rsidR="00430776" w:rsidRDefault="00000000">
                                <w:pPr>
                                  <w:pStyle w:val="NoSpacing"/>
                                  <w:jc w:val="center"/>
                                  <w:rPr>
                                    <w:color w:val="4F81BD" w:themeColor="accent1"/>
                                  </w:rPr>
                                </w:pPr>
                                <w:sdt>
                                  <w:sdtPr>
                                    <w:rPr>
                                      <w:caps/>
                                      <w:color w:val="4F81B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430776">
                                      <w:rPr>
                                        <w:caps/>
                                        <w:color w:val="4F81BD" w:themeColor="accent1"/>
                                      </w:rPr>
                                      <w:t xml:space="preserve">     </w:t>
                                    </w:r>
                                  </w:sdtContent>
                                </w:sdt>
                              </w:p>
                              <w:p w14:paraId="214FF3DC" w14:textId="272566F8" w:rsidR="00430776" w:rsidRPr="003B7AE4" w:rsidRDefault="00000000" w:rsidP="003B0A36">
                                <w:pPr>
                                  <w:pStyle w:val="NoSpacing"/>
                                  <w:jc w:val="left"/>
                                  <w:rPr>
                                    <w:color w:val="4F81BD" w:themeColor="accent1"/>
                                    <w:sz w:val="36"/>
                                    <w:szCs w:val="36"/>
                                  </w:rPr>
                                </w:pPr>
                                <w:sdt>
                                  <w:sdtPr>
                                    <w:rPr>
                                      <w:color w:val="4F81BD" w:themeColor="accent1"/>
                                      <w:sz w:val="36"/>
                                      <w:szCs w:val="36"/>
                                    </w:rPr>
                                    <w:alias w:val="Address"/>
                                    <w:tag w:val=""/>
                                    <w:id w:val="-726379553"/>
                                    <w:dataBinding w:prefixMappings="xmlns:ns0='http://schemas.microsoft.com/office/2006/coverPageProps' " w:xpath="/ns0:CoverPageProperties[1]/ns0:CompanyAddress[1]" w:storeItemID="{55AF091B-3C7A-41E3-B477-F2FDAA23CFDA}"/>
                                    <w:text/>
                                  </w:sdtPr>
                                  <w:sdtContent>
                                    <w:r w:rsidR="00430776" w:rsidRPr="003B7AE4">
                                      <w:rPr>
                                        <w:color w:val="4F81BD" w:themeColor="accent1"/>
                                        <w:sz w:val="36"/>
                                        <w:szCs w:val="36"/>
                                      </w:rPr>
                                      <w:t xml:space="preserve">The Module Title: Financial </w:t>
                                    </w:r>
                                    <w:r w:rsidR="003B0A36" w:rsidRPr="003B7AE4">
                                      <w:rPr>
                                        <w:color w:val="4F81BD" w:themeColor="accent1"/>
                                        <w:sz w:val="36"/>
                                        <w:szCs w:val="36"/>
                                      </w:rPr>
                                      <w:t>Management</w:t>
                                    </w:r>
                                    <w:r w:rsidR="00430776" w:rsidRPr="003B7AE4">
                                      <w:rPr>
                                        <w:color w:val="4F81BD" w:themeColor="accent1"/>
                                        <w:sz w:val="36"/>
                                        <w:szCs w:val="36"/>
                                      </w:rPr>
                                      <w:t xml:space="preserve"> for the Hotel Industry</w:t>
                                    </w:r>
                                    <w:r w:rsidR="003B7AE4" w:rsidRPr="003B7AE4">
                                      <w:rPr>
                                        <w:color w:val="4F81BD" w:themeColor="accent1"/>
                                        <w:sz w:val="36"/>
                                        <w:szCs w:val="36"/>
                                      </w:rPr>
                                      <w:t xml:space="preserve"> </w:t>
                                    </w:r>
                                    <w:r w:rsidR="00430776" w:rsidRPr="003B7AE4">
                                      <w:rPr>
                                        <w:color w:val="4F81BD" w:themeColor="accent1"/>
                                        <w:sz w:val="36"/>
                                        <w:szCs w:val="36"/>
                                      </w:rPr>
                                      <w:t>BMIH5007</w:t>
                                    </w:r>
                                  </w:sdtContent>
                                </w:sdt>
                              </w:p>
                              <w:p w14:paraId="0566D507" w14:textId="26E9F43F" w:rsidR="00430776" w:rsidRPr="003B7AE4" w:rsidRDefault="00430776" w:rsidP="003B0A36">
                                <w:pPr>
                                  <w:pStyle w:val="NoSpacing"/>
                                  <w:jc w:val="left"/>
                                  <w:rPr>
                                    <w:color w:val="4F81BD" w:themeColor="accent1"/>
                                    <w:sz w:val="36"/>
                                    <w:szCs w:val="36"/>
                                  </w:rPr>
                                </w:pPr>
                                <w:r w:rsidRPr="003B7AE4">
                                  <w:rPr>
                                    <w:color w:val="4F81BD" w:themeColor="accent1"/>
                                    <w:sz w:val="36"/>
                                    <w:szCs w:val="36"/>
                                  </w:rPr>
                                  <w:t>Student name: Ada Roman</w:t>
                                </w:r>
                              </w:p>
                              <w:p w14:paraId="136E4E9E" w14:textId="53128B70" w:rsidR="00430776" w:rsidRPr="003B7AE4" w:rsidRDefault="00430776" w:rsidP="003B0A36">
                                <w:pPr>
                                  <w:pStyle w:val="NoSpacing"/>
                                  <w:jc w:val="left"/>
                                  <w:rPr>
                                    <w:color w:val="4F81BD" w:themeColor="accent1"/>
                                    <w:sz w:val="36"/>
                                    <w:szCs w:val="36"/>
                                  </w:rPr>
                                </w:pPr>
                                <w:r w:rsidRPr="003B7AE4">
                                  <w:rPr>
                                    <w:color w:val="4F81BD" w:themeColor="accent1"/>
                                    <w:sz w:val="36"/>
                                    <w:szCs w:val="36"/>
                                  </w:rPr>
                                  <w:t>Student ID: 2207421</w:t>
                                </w:r>
                              </w:p>
                              <w:p w14:paraId="7CF3691F" w14:textId="6477C2D4" w:rsidR="00430776" w:rsidRPr="003B7AE4" w:rsidRDefault="00430776" w:rsidP="003B0A36">
                                <w:pPr>
                                  <w:pStyle w:val="NoSpacing"/>
                                  <w:jc w:val="left"/>
                                  <w:rPr>
                                    <w:color w:val="4F81BD" w:themeColor="accent1"/>
                                    <w:sz w:val="36"/>
                                    <w:szCs w:val="36"/>
                                  </w:rPr>
                                </w:pPr>
                                <w:r w:rsidRPr="003B7AE4">
                                  <w:rPr>
                                    <w:color w:val="4F81BD" w:themeColor="accent1"/>
                                    <w:sz w:val="36"/>
                                    <w:szCs w:val="36"/>
                                  </w:rPr>
                                  <w:t>Module tutor:</w:t>
                                </w:r>
                                <w:r w:rsidR="003B0A36" w:rsidRPr="003B7AE4">
                                  <w:rPr>
                                    <w:color w:val="4F81BD" w:themeColor="accent1"/>
                                    <w:sz w:val="36"/>
                                    <w:szCs w:val="36"/>
                                  </w:rPr>
                                  <w:t xml:space="preserve"> Tristan Hawkins</w:t>
                                </w:r>
                              </w:p>
                              <w:p w14:paraId="28512A9B" w14:textId="3B0EB797" w:rsidR="003B0A36" w:rsidRPr="003B7AE4" w:rsidRDefault="003B0A36" w:rsidP="003B0A36">
                                <w:pPr>
                                  <w:pStyle w:val="NoSpacing"/>
                                  <w:jc w:val="left"/>
                                  <w:rPr>
                                    <w:color w:val="4F81BD" w:themeColor="accent1"/>
                                    <w:sz w:val="36"/>
                                    <w:szCs w:val="36"/>
                                  </w:rPr>
                                </w:pPr>
                                <w:r w:rsidRPr="003B7AE4">
                                  <w:rPr>
                                    <w:color w:val="4F81BD" w:themeColor="accent1"/>
                                    <w:sz w:val="36"/>
                                    <w:szCs w:val="36"/>
                                  </w:rPr>
                                  <w:t>Submission date: 02/02/2024</w:t>
                                </w:r>
                              </w:p>
                              <w:p w14:paraId="7E768EDA" w14:textId="073798E2" w:rsidR="003B0A36" w:rsidRPr="003B7AE4" w:rsidRDefault="003B0A36" w:rsidP="003B0A36">
                                <w:pPr>
                                  <w:pStyle w:val="NoSpacing"/>
                                  <w:jc w:val="left"/>
                                  <w:rPr>
                                    <w:color w:val="4F81BD" w:themeColor="accent1"/>
                                    <w:sz w:val="36"/>
                                    <w:szCs w:val="36"/>
                                  </w:rPr>
                                </w:pPr>
                                <w:r w:rsidRPr="003B7AE4">
                                  <w:rPr>
                                    <w:color w:val="4F81BD" w:themeColor="accent1"/>
                                    <w:sz w:val="36"/>
                                    <w:szCs w:val="36"/>
                                  </w:rPr>
                                  <w:t>Wordcount</w:t>
                                </w:r>
                                <w:r w:rsidR="00E135ED" w:rsidRPr="003B7AE4">
                                  <w:rPr>
                                    <w:color w:val="4F81BD" w:themeColor="accent1"/>
                                    <w:sz w:val="36"/>
                                    <w:szCs w:val="36"/>
                                  </w:rPr>
                                  <w:t>:2064</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05DE8B03" id="_x0000_t202" coordsize="21600,21600" o:spt="202" path="m,l,21600r21600,l21600,xe">
                    <v:stroke joinstyle="miter"/>
                    <v:path gradientshapeok="t" o:connecttype="rect"/>
                  </v:shapetype>
                  <v:shape id="Text Box 44" o:spid="_x0000_s1026" type="#_x0000_t202" style="position:absolute;left:0;text-align:left;margin-left:-61.2pt;margin-top:581.4pt;width:577.8pt;height:43.9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" filled="f" stroked="f" strokeweight=".5pt">
                    <v:textbox style="mso-fit-shape-to-text:t" inset="0,0,0,0">
                      <w:txbxContent>
                        <w:sdt>
                          <w:sdtPr>
                            <w:rPr>
                              <w:caps/>
                              <w:color w:val="4F81BD"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35CB5E1" w14:textId="676FB2DD" w:rsidR="00430776" w:rsidRDefault="00430776">
                              <w:pPr>
                                <w:pStyle w:val="NoSpacing"/>
                                <w:spacing w:after="40"/>
                                <w:jc w:val="center"/>
                                <w:rPr>
                                  <w:caps/>
                                  <w:color w:val="4F81BD" w:themeColor="accent1"/>
                                  <w:sz w:val="28"/>
                                  <w:szCs w:val="28"/>
                                </w:rPr>
                              </w:pPr>
                              <w:r>
                                <w:rPr>
                                  <w:caps/>
                                  <w:color w:val="4F81BD" w:themeColor="accent1"/>
                                  <w:sz w:val="28"/>
                                  <w:szCs w:val="28"/>
                                </w:rPr>
                                <w:t xml:space="preserve">     </w:t>
                              </w:r>
                            </w:p>
                          </w:sdtContent>
                        </w:sdt>
                        <w:p w14:paraId="36BA3A00" w14:textId="09352301" w:rsidR="00430776" w:rsidRDefault="00000000">
                          <w:pPr>
                            <w:pStyle w:val="NoSpacing"/>
                            <w:jc w:val="center"/>
                            <w:rPr>
                              <w:color w:val="4F81BD" w:themeColor="accent1"/>
                            </w:rPr>
                          </w:pPr>
                          <w:sdt>
                            <w:sdtPr>
                              <w:rPr>
                                <w:caps/>
                                <w:color w:val="4F81B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430776">
                                <w:rPr>
                                  <w:caps/>
                                  <w:color w:val="4F81BD" w:themeColor="accent1"/>
                                </w:rPr>
                                <w:t xml:space="preserve">     </w:t>
                              </w:r>
                            </w:sdtContent>
                          </w:sdt>
                        </w:p>
                        <w:p w14:paraId="214FF3DC" w14:textId="272566F8" w:rsidR="00430776" w:rsidRPr="003B7AE4" w:rsidRDefault="00000000" w:rsidP="003B0A36">
                          <w:pPr>
                            <w:pStyle w:val="NoSpacing"/>
                            <w:jc w:val="left"/>
                            <w:rPr>
                              <w:color w:val="4F81BD" w:themeColor="accent1"/>
                              <w:sz w:val="36"/>
                              <w:szCs w:val="36"/>
                            </w:rPr>
                          </w:pPr>
                          <w:sdt>
                            <w:sdtPr>
                              <w:rPr>
                                <w:color w:val="4F81BD" w:themeColor="accent1"/>
                                <w:sz w:val="36"/>
                                <w:szCs w:val="36"/>
                              </w:rPr>
                              <w:alias w:val="Address"/>
                              <w:tag w:val=""/>
                              <w:id w:val="-726379553"/>
                              <w:dataBinding w:prefixMappings="xmlns:ns0='http://schemas.microsoft.com/office/2006/coverPageProps' " w:xpath="/ns0:CoverPageProperties[1]/ns0:CompanyAddress[1]" w:storeItemID="{55AF091B-3C7A-41E3-B477-F2FDAA23CFDA}"/>
                              <w:text/>
                            </w:sdtPr>
                            <w:sdtContent>
                              <w:r w:rsidR="00430776" w:rsidRPr="003B7AE4">
                                <w:rPr>
                                  <w:color w:val="4F81BD" w:themeColor="accent1"/>
                                  <w:sz w:val="36"/>
                                  <w:szCs w:val="36"/>
                                </w:rPr>
                                <w:t xml:space="preserve">The Module Title: Financial </w:t>
                              </w:r>
                              <w:r w:rsidR="003B0A36" w:rsidRPr="003B7AE4">
                                <w:rPr>
                                  <w:color w:val="4F81BD" w:themeColor="accent1"/>
                                  <w:sz w:val="36"/>
                                  <w:szCs w:val="36"/>
                                </w:rPr>
                                <w:t>Management</w:t>
                              </w:r>
                              <w:r w:rsidR="00430776" w:rsidRPr="003B7AE4">
                                <w:rPr>
                                  <w:color w:val="4F81BD" w:themeColor="accent1"/>
                                  <w:sz w:val="36"/>
                                  <w:szCs w:val="36"/>
                                </w:rPr>
                                <w:t xml:space="preserve"> for the Hotel Industry</w:t>
                              </w:r>
                              <w:r w:rsidR="003B7AE4" w:rsidRPr="003B7AE4">
                                <w:rPr>
                                  <w:color w:val="4F81BD" w:themeColor="accent1"/>
                                  <w:sz w:val="36"/>
                                  <w:szCs w:val="36"/>
                                </w:rPr>
                                <w:t xml:space="preserve"> </w:t>
                              </w:r>
                              <w:r w:rsidR="00430776" w:rsidRPr="003B7AE4">
                                <w:rPr>
                                  <w:color w:val="4F81BD" w:themeColor="accent1"/>
                                  <w:sz w:val="36"/>
                                  <w:szCs w:val="36"/>
                                </w:rPr>
                                <w:t>BMIH5007</w:t>
                              </w:r>
                            </w:sdtContent>
                          </w:sdt>
                        </w:p>
                        <w:p w14:paraId="0566D507" w14:textId="26E9F43F" w:rsidR="00430776" w:rsidRPr="003B7AE4" w:rsidRDefault="00430776" w:rsidP="003B0A36">
                          <w:pPr>
                            <w:pStyle w:val="NoSpacing"/>
                            <w:jc w:val="left"/>
                            <w:rPr>
                              <w:color w:val="4F81BD" w:themeColor="accent1"/>
                              <w:sz w:val="36"/>
                              <w:szCs w:val="36"/>
                            </w:rPr>
                          </w:pPr>
                          <w:r w:rsidRPr="003B7AE4">
                            <w:rPr>
                              <w:color w:val="4F81BD" w:themeColor="accent1"/>
                              <w:sz w:val="36"/>
                              <w:szCs w:val="36"/>
                            </w:rPr>
                            <w:t>Student name: Ada Roman</w:t>
                          </w:r>
                        </w:p>
                        <w:p w14:paraId="136E4E9E" w14:textId="53128B70" w:rsidR="00430776" w:rsidRPr="003B7AE4" w:rsidRDefault="00430776" w:rsidP="003B0A36">
                          <w:pPr>
                            <w:pStyle w:val="NoSpacing"/>
                            <w:jc w:val="left"/>
                            <w:rPr>
                              <w:color w:val="4F81BD" w:themeColor="accent1"/>
                              <w:sz w:val="36"/>
                              <w:szCs w:val="36"/>
                            </w:rPr>
                          </w:pPr>
                          <w:r w:rsidRPr="003B7AE4">
                            <w:rPr>
                              <w:color w:val="4F81BD" w:themeColor="accent1"/>
                              <w:sz w:val="36"/>
                              <w:szCs w:val="36"/>
                            </w:rPr>
                            <w:t>Student ID: 2207421</w:t>
                          </w:r>
                        </w:p>
                        <w:p w14:paraId="7CF3691F" w14:textId="6477C2D4" w:rsidR="00430776" w:rsidRPr="003B7AE4" w:rsidRDefault="00430776" w:rsidP="003B0A36">
                          <w:pPr>
                            <w:pStyle w:val="NoSpacing"/>
                            <w:jc w:val="left"/>
                            <w:rPr>
                              <w:color w:val="4F81BD" w:themeColor="accent1"/>
                              <w:sz w:val="36"/>
                              <w:szCs w:val="36"/>
                            </w:rPr>
                          </w:pPr>
                          <w:r w:rsidRPr="003B7AE4">
                            <w:rPr>
                              <w:color w:val="4F81BD" w:themeColor="accent1"/>
                              <w:sz w:val="36"/>
                              <w:szCs w:val="36"/>
                            </w:rPr>
                            <w:t>Module tutor:</w:t>
                          </w:r>
                          <w:r w:rsidR="003B0A36" w:rsidRPr="003B7AE4">
                            <w:rPr>
                              <w:color w:val="4F81BD" w:themeColor="accent1"/>
                              <w:sz w:val="36"/>
                              <w:szCs w:val="36"/>
                            </w:rPr>
                            <w:t xml:space="preserve"> Tristan Hawkins</w:t>
                          </w:r>
                        </w:p>
                        <w:p w14:paraId="28512A9B" w14:textId="3B0EB797" w:rsidR="003B0A36" w:rsidRPr="003B7AE4" w:rsidRDefault="003B0A36" w:rsidP="003B0A36">
                          <w:pPr>
                            <w:pStyle w:val="NoSpacing"/>
                            <w:jc w:val="left"/>
                            <w:rPr>
                              <w:color w:val="4F81BD" w:themeColor="accent1"/>
                              <w:sz w:val="36"/>
                              <w:szCs w:val="36"/>
                            </w:rPr>
                          </w:pPr>
                          <w:r w:rsidRPr="003B7AE4">
                            <w:rPr>
                              <w:color w:val="4F81BD" w:themeColor="accent1"/>
                              <w:sz w:val="36"/>
                              <w:szCs w:val="36"/>
                            </w:rPr>
                            <w:t>Submission date: 02/02/2024</w:t>
                          </w:r>
                        </w:p>
                        <w:p w14:paraId="7E768EDA" w14:textId="073798E2" w:rsidR="003B0A36" w:rsidRPr="003B7AE4" w:rsidRDefault="003B0A36" w:rsidP="003B0A36">
                          <w:pPr>
                            <w:pStyle w:val="NoSpacing"/>
                            <w:jc w:val="left"/>
                            <w:rPr>
                              <w:color w:val="4F81BD" w:themeColor="accent1"/>
                              <w:sz w:val="36"/>
                              <w:szCs w:val="36"/>
                            </w:rPr>
                          </w:pPr>
                          <w:r w:rsidRPr="003B7AE4">
                            <w:rPr>
                              <w:color w:val="4F81BD" w:themeColor="accent1"/>
                              <w:sz w:val="36"/>
                              <w:szCs w:val="36"/>
                            </w:rPr>
                            <w:t>Wordcount</w:t>
                          </w:r>
                          <w:r w:rsidR="00E135ED" w:rsidRPr="003B7AE4">
                            <w:rPr>
                              <w:color w:val="4F81BD" w:themeColor="accent1"/>
                              <w:sz w:val="36"/>
                              <w:szCs w:val="36"/>
                            </w:rPr>
                            <w:t>:2064</w:t>
                          </w:r>
                        </w:p>
                      </w:txbxContent>
                    </v:textbox>
                    <w10:wrap anchorx="margin" anchory="page"/>
                  </v:shape>
                </w:pict>
              </mc:Fallback>
            </mc:AlternateContent>
          </w:r>
          <w:r w:rsidR="00430776">
            <w:br w:type="page"/>
          </w:r>
        </w:p>
      </w:sdtContent>
    </w:sdt>
    <w:sdt>
      <w:sdtPr>
        <w:rPr>
          <w:rFonts w:ascii="Times New Roman" w:eastAsia="Times New Roman" w:hAnsi="Times New Roman" w:cs="Times New Roman"/>
          <w:color w:val="auto"/>
          <w:sz w:val="24"/>
          <w:szCs w:val="24"/>
          <w:lang w:val="en-GB" w:eastAsia="en-IN"/>
        </w:rPr>
        <w:id w:val="1009650459"/>
        <w:docPartObj>
          <w:docPartGallery w:val="Table of Contents"/>
          <w:docPartUnique/>
        </w:docPartObj>
      </w:sdtPr>
      <w:sdtEndPr>
        <w:rPr>
          <w:b/>
          <w:bCs/>
          <w:noProof/>
        </w:rPr>
      </w:sdtEndPr>
      <w:sdtContent>
        <w:p w14:paraId="0459E039" w14:textId="5A704B0A" w:rsidR="004968CB" w:rsidRDefault="004968CB" w:rsidP="00430776">
          <w:pPr>
            <w:pStyle w:val="TOCHeading"/>
            <w:jc w:val="center"/>
            <w:rPr>
              <w:rFonts w:ascii="Times New Roman" w:hAnsi="Times New Roman" w:cs="Times New Roman"/>
              <w:color w:val="auto"/>
              <w:sz w:val="48"/>
              <w:szCs w:val="48"/>
            </w:rPr>
          </w:pPr>
          <w:r w:rsidRPr="00430776">
            <w:rPr>
              <w:rFonts w:ascii="Times New Roman" w:hAnsi="Times New Roman" w:cs="Times New Roman"/>
              <w:color w:val="auto"/>
              <w:sz w:val="48"/>
              <w:szCs w:val="48"/>
            </w:rPr>
            <w:t>Table of Contents</w:t>
          </w:r>
        </w:p>
        <w:p w14:paraId="43751019" w14:textId="77777777" w:rsidR="00430776" w:rsidRPr="00430776" w:rsidRDefault="00430776" w:rsidP="00430776">
          <w:pPr>
            <w:rPr>
              <w:lang w:val="en-US" w:eastAsia="en-US"/>
            </w:rPr>
          </w:pPr>
        </w:p>
        <w:p w14:paraId="32AA339B" w14:textId="07AFE61F" w:rsidR="004968CB" w:rsidRDefault="004968CB">
          <w:pPr>
            <w:pStyle w:val="TOC1"/>
            <w:tabs>
              <w:tab w:val="right" w:leader="dot" w:pos="9019"/>
            </w:tabs>
            <w:rPr>
              <w:rFonts w:asciiTheme="minorHAnsi" w:eastAsiaTheme="minorEastAsia" w:hAnsiTheme="minorHAnsi" w:cstheme="minorBidi"/>
              <w:noProof/>
              <w:kern w:val="2"/>
              <w:sz w:val="22"/>
              <w:szCs w:val="22"/>
              <w:lang w:eastAsia="en-GB"/>
              <w14:ligatures w14:val="standardContextual"/>
            </w:rPr>
          </w:pPr>
          <w:r>
            <w:fldChar w:fldCharType="begin"/>
          </w:r>
          <w:r>
            <w:instrText xml:space="preserve"> TOC \o "1-3" \h \z \u </w:instrText>
          </w:r>
          <w:r>
            <w:fldChar w:fldCharType="separate"/>
          </w:r>
          <w:hyperlink w:anchor="_Toc157760293" w:history="1">
            <w:r w:rsidRPr="003674C5">
              <w:rPr>
                <w:rStyle w:val="Hyperlink"/>
                <w:noProof/>
              </w:rPr>
              <w:t>Executive Summary</w:t>
            </w:r>
            <w:r>
              <w:rPr>
                <w:noProof/>
                <w:webHidden/>
              </w:rPr>
              <w:tab/>
            </w:r>
            <w:r w:rsidR="00E135ED">
              <w:rPr>
                <w:noProof/>
                <w:webHidden/>
              </w:rPr>
              <w:t>2</w:t>
            </w:r>
          </w:hyperlink>
        </w:p>
        <w:p w14:paraId="468A94B4" w14:textId="0313B679" w:rsidR="004968CB" w:rsidRDefault="00000000">
          <w:pPr>
            <w:pStyle w:val="TOC1"/>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57760294" w:history="1">
            <w:r w:rsidR="004968CB" w:rsidRPr="003674C5">
              <w:rPr>
                <w:rStyle w:val="Hyperlink"/>
                <w:noProof/>
              </w:rPr>
              <w:t>Introduction</w:t>
            </w:r>
            <w:r w:rsidR="004968CB">
              <w:rPr>
                <w:noProof/>
                <w:webHidden/>
              </w:rPr>
              <w:tab/>
            </w:r>
            <w:r w:rsidR="00E135ED">
              <w:rPr>
                <w:noProof/>
                <w:webHidden/>
              </w:rPr>
              <w:t>2</w:t>
            </w:r>
          </w:hyperlink>
        </w:p>
        <w:p w14:paraId="4D779D99" w14:textId="6AC724BD" w:rsidR="004968CB" w:rsidRDefault="00000000">
          <w:pPr>
            <w:pStyle w:val="TOC1"/>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57760295" w:history="1">
            <w:r w:rsidR="004968CB" w:rsidRPr="003674C5">
              <w:rPr>
                <w:rStyle w:val="Hyperlink"/>
                <w:noProof/>
              </w:rPr>
              <w:t>Main Body</w:t>
            </w:r>
            <w:r w:rsidR="004968CB">
              <w:rPr>
                <w:noProof/>
                <w:webHidden/>
              </w:rPr>
              <w:tab/>
            </w:r>
            <w:r w:rsidR="0046244F">
              <w:rPr>
                <w:noProof/>
                <w:webHidden/>
              </w:rPr>
              <w:t>2</w:t>
            </w:r>
          </w:hyperlink>
        </w:p>
        <w:p w14:paraId="00E5D91E" w14:textId="212B925D" w:rsidR="004968CB" w:rsidRDefault="00000000">
          <w:pPr>
            <w:pStyle w:val="TOC1"/>
            <w:tabs>
              <w:tab w:val="right" w:leader="dot" w:pos="9019"/>
            </w:tabs>
            <w:rPr>
              <w:rStyle w:val="Hyperlink"/>
              <w:noProof/>
            </w:rPr>
          </w:pPr>
          <w:hyperlink w:anchor="_Toc157760296" w:history="1">
            <w:r w:rsidR="004968CB" w:rsidRPr="003674C5">
              <w:rPr>
                <w:rStyle w:val="Hyperlink"/>
                <w:noProof/>
              </w:rPr>
              <w:t>Finding the areas where the two businesses' revenue positions differ</w:t>
            </w:r>
            <w:r w:rsidR="004968CB">
              <w:rPr>
                <w:noProof/>
                <w:webHidden/>
              </w:rPr>
              <w:tab/>
            </w:r>
            <w:r w:rsidR="0046244F">
              <w:rPr>
                <w:noProof/>
                <w:webHidden/>
              </w:rPr>
              <w:t>2</w:t>
            </w:r>
          </w:hyperlink>
        </w:p>
        <w:p w14:paraId="3853394E" w14:textId="39607500" w:rsidR="00430776" w:rsidRDefault="004968CB" w:rsidP="004968CB">
          <w:pPr>
            <w:rPr>
              <w:rFonts w:eastAsiaTheme="minorEastAsia"/>
            </w:rPr>
          </w:pPr>
          <w:r w:rsidRPr="004968CB">
            <w:rPr>
              <w:rFonts w:eastAsiaTheme="minorEastAsia"/>
            </w:rPr>
            <w:t>Acknowledgment of the existing market configuration and participation for</w:t>
          </w:r>
          <w:r w:rsidR="00430776">
            <w:rPr>
              <w:rFonts w:eastAsiaTheme="minorEastAsia"/>
            </w:rPr>
            <w:t xml:space="preserve"> </w:t>
          </w:r>
          <w:r w:rsidRPr="004968CB">
            <w:rPr>
              <w:rFonts w:eastAsiaTheme="minorEastAsia"/>
            </w:rPr>
            <w:t>both companies</w:t>
          </w:r>
          <w:r w:rsidR="00430776">
            <w:rPr>
              <w:rFonts w:eastAsiaTheme="minorEastAsia"/>
            </w:rPr>
            <w:t>...</w:t>
          </w:r>
          <w:r w:rsidR="00F14CAC">
            <w:rPr>
              <w:rFonts w:eastAsiaTheme="minorEastAsia"/>
            </w:rPr>
            <w:t>4</w:t>
          </w:r>
        </w:p>
        <w:p w14:paraId="55BA23A3" w14:textId="01F0A4FD" w:rsidR="00430776" w:rsidRDefault="00430776" w:rsidP="004968CB">
          <w:pPr>
            <w:rPr>
              <w:rFonts w:eastAsiaTheme="minorEastAsia"/>
            </w:rPr>
          </w:pPr>
          <w:r w:rsidRPr="00430776">
            <w:rPr>
              <w:rFonts w:eastAsiaTheme="minorEastAsia"/>
            </w:rPr>
            <w:t>Analysis of overall growth for both organizations</w:t>
          </w:r>
          <w:r>
            <w:rPr>
              <w:rFonts w:eastAsiaTheme="minorEastAsia"/>
            </w:rPr>
            <w:t xml:space="preserve">…………………………………………… </w:t>
          </w:r>
          <w:r w:rsidR="00F14CAC">
            <w:rPr>
              <w:rFonts w:eastAsiaTheme="minorEastAsia"/>
            </w:rPr>
            <w:t>5</w:t>
          </w:r>
        </w:p>
        <w:p w14:paraId="38F2A857" w14:textId="08BACCB3" w:rsidR="00430776" w:rsidRPr="004968CB" w:rsidRDefault="00430776" w:rsidP="004968CB">
          <w:pPr>
            <w:rPr>
              <w:rFonts w:eastAsiaTheme="minorEastAsia"/>
            </w:rPr>
          </w:pPr>
          <w:r w:rsidRPr="00430776">
            <w:rPr>
              <w:rFonts w:eastAsiaTheme="minorEastAsia"/>
            </w:rPr>
            <w:t>General CSR processing based on the current status of both businesses</w:t>
          </w:r>
          <w:r>
            <w:rPr>
              <w:rFonts w:eastAsiaTheme="minorEastAsia"/>
            </w:rPr>
            <w:t>………………………</w:t>
          </w:r>
          <w:r w:rsidR="00F14CAC">
            <w:rPr>
              <w:rFonts w:eastAsiaTheme="minorEastAsia"/>
            </w:rPr>
            <w:t>6</w:t>
          </w:r>
        </w:p>
        <w:p w14:paraId="0CC701E8" w14:textId="1FD23B13" w:rsidR="004968CB" w:rsidRDefault="00000000">
          <w:pPr>
            <w:pStyle w:val="TOC1"/>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57760297" w:history="1">
            <w:r w:rsidR="004968CB" w:rsidRPr="003674C5">
              <w:rPr>
                <w:rStyle w:val="Hyperlink"/>
                <w:noProof/>
              </w:rPr>
              <w:t>Recommendation</w:t>
            </w:r>
            <w:r w:rsidR="004968CB">
              <w:rPr>
                <w:noProof/>
                <w:webHidden/>
              </w:rPr>
              <w:tab/>
            </w:r>
            <w:r w:rsidR="00F14CAC">
              <w:rPr>
                <w:noProof/>
                <w:webHidden/>
              </w:rPr>
              <w:t>7</w:t>
            </w:r>
          </w:hyperlink>
        </w:p>
        <w:p w14:paraId="49A0E8FD" w14:textId="75F1C0DB" w:rsidR="004968CB" w:rsidRDefault="00000000">
          <w:pPr>
            <w:pStyle w:val="TOC1"/>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57760298" w:history="1">
            <w:r w:rsidR="004968CB" w:rsidRPr="003674C5">
              <w:rPr>
                <w:rStyle w:val="Hyperlink"/>
                <w:noProof/>
              </w:rPr>
              <w:t>Conclusions</w:t>
            </w:r>
            <w:r w:rsidR="004968CB">
              <w:rPr>
                <w:noProof/>
                <w:webHidden/>
              </w:rPr>
              <w:tab/>
            </w:r>
            <w:r w:rsidR="00F14CAC">
              <w:rPr>
                <w:noProof/>
                <w:webHidden/>
              </w:rPr>
              <w:t>7</w:t>
            </w:r>
          </w:hyperlink>
        </w:p>
        <w:p w14:paraId="3D1710BB" w14:textId="1A56DAC4" w:rsidR="004968CB" w:rsidRDefault="00000000">
          <w:pPr>
            <w:pStyle w:val="TOC1"/>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57760299" w:history="1">
            <w:r w:rsidR="004968CB" w:rsidRPr="003674C5">
              <w:rPr>
                <w:rStyle w:val="Hyperlink"/>
                <w:noProof/>
              </w:rPr>
              <w:t>References</w:t>
            </w:r>
            <w:r w:rsidR="004968CB">
              <w:rPr>
                <w:noProof/>
                <w:webHidden/>
              </w:rPr>
              <w:tab/>
            </w:r>
            <w:r w:rsidR="00F14CAC">
              <w:rPr>
                <w:noProof/>
                <w:webHidden/>
              </w:rPr>
              <w:t>8</w:t>
            </w:r>
          </w:hyperlink>
        </w:p>
        <w:p w14:paraId="06FBA109" w14:textId="38E9BDC9" w:rsidR="004968CB" w:rsidRDefault="004968CB">
          <w:r>
            <w:rPr>
              <w:b/>
              <w:bCs/>
              <w:noProof/>
            </w:rPr>
            <w:fldChar w:fldCharType="end"/>
          </w:r>
        </w:p>
      </w:sdtContent>
    </w:sdt>
    <w:p w14:paraId="6EFF2925" w14:textId="1A0FF186" w:rsidR="00B54D88" w:rsidRDefault="00B54D88">
      <w:pPr>
        <w:rPr>
          <w:b/>
        </w:rPr>
      </w:pPr>
      <w:r>
        <w:rPr>
          <w:b/>
        </w:rPr>
        <w:br w:type="page"/>
      </w:r>
    </w:p>
    <w:p w14:paraId="462D235E" w14:textId="77777777" w:rsidR="004661F1" w:rsidRDefault="004661F1" w:rsidP="004661F1">
      <w:pPr>
        <w:pStyle w:val="Heading1"/>
      </w:pPr>
      <w:bookmarkStart w:id="0" w:name="_Toc157759745"/>
      <w:bookmarkStart w:id="1" w:name="_Toc157759972"/>
      <w:bookmarkStart w:id="2" w:name="_Toc157760293"/>
      <w:bookmarkStart w:id="3" w:name="_Toc157262480"/>
      <w:r>
        <w:lastRenderedPageBreak/>
        <w:t>Executive Summary</w:t>
      </w:r>
      <w:bookmarkEnd w:id="0"/>
      <w:bookmarkEnd w:id="1"/>
      <w:bookmarkEnd w:id="2"/>
    </w:p>
    <w:p w14:paraId="5754EEFA" w14:textId="21D4AD3E" w:rsidR="004661F1" w:rsidRPr="004661F1" w:rsidRDefault="004661F1" w:rsidP="004661F1">
      <w:r w:rsidRPr="004661F1">
        <w:t xml:space="preserve">The financial management techniques and methods used by Corinthia Hotel Group and Ibis Hotels are thoroughly examined in this research, along with a critical assessment of how well they work to achieve long-term commercial success. </w:t>
      </w:r>
      <w:r>
        <w:t>To</w:t>
      </w:r>
      <w:r w:rsidRPr="004661F1">
        <w:t xml:space="preserve"> offer important insights into the financial health and viability of both hotel companies, key financial parameters, risk management, and strategic decision-making are investigated. Additionally, suggestions for enhancement and prospective areas for innovation are provided.</w:t>
      </w:r>
    </w:p>
    <w:p w14:paraId="4C8E24D0" w14:textId="4CB2B5BF" w:rsidR="007F4C3F" w:rsidRDefault="00AD19C2" w:rsidP="004661F1">
      <w:pPr>
        <w:pStyle w:val="Heading1"/>
      </w:pPr>
      <w:bookmarkStart w:id="4" w:name="_Toc157759746"/>
      <w:bookmarkStart w:id="5" w:name="_Toc157759973"/>
      <w:bookmarkStart w:id="6" w:name="_Toc157760294"/>
      <w:r>
        <w:t>Introduction</w:t>
      </w:r>
      <w:bookmarkEnd w:id="3"/>
      <w:bookmarkEnd w:id="4"/>
      <w:bookmarkEnd w:id="5"/>
      <w:bookmarkEnd w:id="6"/>
    </w:p>
    <w:p w14:paraId="04272612" w14:textId="77777777" w:rsidR="007F4C3F" w:rsidRDefault="00AD19C2">
      <w:r>
        <w:t>An applied engagement of financial performance analysis is relevant for every business from the managerial perspective as it provides an approach to performance evaluation. The applicability of proper data access related to financial management is initiated with the primary intention of statutory growth and stability support which is accountable for maintaining the decision-making approach (Drury, 2021). Under basic financial management, the attribute of proper performance analysis including the strategic initiative approach is implemented with the general intention of maintaining some comparative evaluation support which is accountable for the determination of business values</w:t>
      </w:r>
      <w:r w:rsidR="003E1F09">
        <w:t xml:space="preserve"> (</w:t>
      </w:r>
      <w:r w:rsidR="003E1F09">
        <w:rPr>
          <w:color w:val="000000" w:themeColor="text1"/>
          <w:shd w:val="clear" w:color="auto" w:fill="FFFFFF"/>
        </w:rPr>
        <w:t xml:space="preserve">Shim, </w:t>
      </w:r>
      <w:r w:rsidR="003E1F09" w:rsidRPr="00A6764E">
        <w:rPr>
          <w:color w:val="000000" w:themeColor="text1"/>
          <w:shd w:val="clear" w:color="auto" w:fill="FFFFFF"/>
        </w:rPr>
        <w:t>2022</w:t>
      </w:r>
      <w:r w:rsidR="003E1F09">
        <w:rPr>
          <w:color w:val="000000" w:themeColor="text1"/>
          <w:shd w:val="clear" w:color="auto" w:fill="FFFFFF"/>
        </w:rPr>
        <w:t>)</w:t>
      </w:r>
      <w:r>
        <w:t xml:space="preserve">. The applicability of the benchmarking Concept is also provided under the financial management in the form of a strategic metric determinant that defines the compatibility and statutory positioning approach systematically. </w:t>
      </w:r>
    </w:p>
    <w:p w14:paraId="18F2CB46" w14:textId="77777777" w:rsidR="0046244F" w:rsidRDefault="0046244F" w:rsidP="0046244F">
      <w:r>
        <w:t xml:space="preserve">Objective of research </w:t>
      </w:r>
    </w:p>
    <w:p w14:paraId="356D0B55" w14:textId="77777777" w:rsidR="0046244F" w:rsidRDefault="0046244F" w:rsidP="0046244F">
      <w:r>
        <w:t>●</w:t>
      </w:r>
      <w:r>
        <w:tab/>
        <w:t>To evaluate the benchmarking approach of performances between Corinthia Hotel Group and Ibis Hotels</w:t>
      </w:r>
    </w:p>
    <w:p w14:paraId="3358799F" w14:textId="031EFA02" w:rsidR="0046244F" w:rsidRDefault="0046244F" w:rsidP="0046244F">
      <w:r>
        <w:t>●</w:t>
      </w:r>
      <w:r>
        <w:tab/>
        <w:t xml:space="preserve">To identify the revenue positioning support of both the organization </w:t>
      </w:r>
    </w:p>
    <w:p w14:paraId="643E9603" w14:textId="5669C0F8" w:rsidR="0046244F" w:rsidRDefault="0046244F" w:rsidP="0046244F">
      <w:r>
        <w:t>●</w:t>
      </w:r>
      <w:r>
        <w:tab/>
        <w:t xml:space="preserve">To evaluate the current market structure and growth initiative position of both businesses </w:t>
      </w:r>
    </w:p>
    <w:p w14:paraId="3A7FB760" w14:textId="500DD558" w:rsidR="0046244F" w:rsidRDefault="0046244F" w:rsidP="0046244F">
      <w:r>
        <w:t>●</w:t>
      </w:r>
      <w:r>
        <w:tab/>
        <w:t>To formulate positive CSR engagement for sustainability support in both businesses</w:t>
      </w:r>
    </w:p>
    <w:p w14:paraId="34306169" w14:textId="77777777" w:rsidR="004661F1" w:rsidRDefault="004661F1" w:rsidP="004661F1">
      <w:pPr>
        <w:pStyle w:val="Heading1"/>
      </w:pPr>
      <w:bookmarkStart w:id="7" w:name="_Toc157759747"/>
      <w:bookmarkStart w:id="8" w:name="_Toc157759974"/>
      <w:bookmarkStart w:id="9" w:name="_Toc157760295"/>
      <w:r>
        <w:t>Main Body</w:t>
      </w:r>
      <w:bookmarkStart w:id="10" w:name="_Toc157262484"/>
      <w:bookmarkEnd w:id="7"/>
      <w:bookmarkEnd w:id="8"/>
      <w:bookmarkEnd w:id="9"/>
    </w:p>
    <w:p w14:paraId="0F16E29A" w14:textId="10D1926D" w:rsidR="007F4C3F" w:rsidRDefault="003B0A36" w:rsidP="004661F1">
      <w:pPr>
        <w:pStyle w:val="Heading1"/>
      </w:pPr>
      <w:bookmarkStart w:id="11" w:name="_Toc157759748"/>
      <w:bookmarkStart w:id="12" w:name="_Toc157759975"/>
      <w:bookmarkStart w:id="13" w:name="_Toc157760296"/>
      <w:bookmarkEnd w:id="10"/>
      <w:r>
        <w:t xml:space="preserve">   </w:t>
      </w:r>
      <w:r w:rsidR="004661F1" w:rsidRPr="004661F1">
        <w:t>Finding the areas where the two businesses' revenue positions differ</w:t>
      </w:r>
      <w:bookmarkEnd w:id="11"/>
      <w:bookmarkEnd w:id="12"/>
      <w:bookmarkEnd w:id="13"/>
    </w:p>
    <w:p w14:paraId="7ABA71B1" w14:textId="49174C1A" w:rsidR="004968CB" w:rsidRPr="00F14CAC" w:rsidRDefault="00AD19C2">
      <w:r>
        <w:t xml:space="preserve">Applied the approach of basic revenue engagement related to individual business has been initiated for the operating support purpose that determines the operating position including the financial value support. The identification of positive business revenue is determined by the compatibility initiative positions including some of the statutory performance initiative levels in a specific order which ultimately determines the accountability positioning support (Seal, 2019). To </w:t>
      </w:r>
      <w:r w:rsidR="004661F1">
        <w:t>recognize</w:t>
      </w:r>
      <w:r>
        <w:t xml:space="preserve"> the general significance of the revenue positioning approach mainly the </w:t>
      </w:r>
      <w:r>
        <w:lastRenderedPageBreak/>
        <w:t>profit measurement of business is evaluated that provides the following accounting compatibility support.</w:t>
      </w:r>
    </w:p>
    <w:p w14:paraId="25CB1DA6" w14:textId="77777777" w:rsidR="004968CB" w:rsidRDefault="004968CB">
      <w:pPr>
        <w:rPr>
          <w:b/>
        </w:rPr>
      </w:pPr>
    </w:p>
    <w:p w14:paraId="525775DE" w14:textId="77777777" w:rsidR="004968CB" w:rsidRDefault="004968CB">
      <w:pPr>
        <w:rPr>
          <w:b/>
        </w:rPr>
      </w:pPr>
    </w:p>
    <w:p w14:paraId="5AF6970A" w14:textId="7C3D2F96" w:rsidR="007F4C3F" w:rsidRDefault="00AD19C2">
      <w:pPr>
        <w:rPr>
          <w:b/>
        </w:rPr>
      </w:pPr>
      <w:r>
        <w:rPr>
          <w:b/>
        </w:rPr>
        <w:t>Corinthia Hotel Group</w:t>
      </w:r>
    </w:p>
    <w:p w14:paraId="410D4E53" w14:textId="77777777" w:rsidR="007F4C3F" w:rsidRDefault="00AD19C2">
      <w:pPr>
        <w:jc w:val="center"/>
        <w:rPr>
          <w:b/>
        </w:rPr>
      </w:pPr>
      <w:r>
        <w:rPr>
          <w:b/>
          <w:noProof/>
          <w:lang w:val="en-IN"/>
        </w:rPr>
        <w:drawing>
          <wp:inline distT="114300" distB="114300" distL="114300" distR="114300" wp14:anchorId="089B3ABE" wp14:editId="46294D1C">
            <wp:extent cx="4800600" cy="17145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800600" cy="1714500"/>
                    </a:xfrm>
                    <a:prstGeom prst="rect">
                      <a:avLst/>
                    </a:prstGeom>
                    <a:ln/>
                  </pic:spPr>
                </pic:pic>
              </a:graphicData>
            </a:graphic>
          </wp:inline>
        </w:drawing>
      </w:r>
    </w:p>
    <w:p w14:paraId="36828B03" w14:textId="77777777" w:rsidR="007F4C3F" w:rsidRDefault="00AD19C2">
      <w:pPr>
        <w:rPr>
          <w:b/>
        </w:rPr>
      </w:pPr>
      <w:r>
        <w:rPr>
          <w:b/>
        </w:rPr>
        <w:t>Ibis Hotels</w:t>
      </w:r>
    </w:p>
    <w:p w14:paraId="491BC928" w14:textId="77777777" w:rsidR="007F4C3F" w:rsidRDefault="00AD19C2">
      <w:pPr>
        <w:jc w:val="center"/>
        <w:rPr>
          <w:b/>
        </w:rPr>
      </w:pPr>
      <w:r>
        <w:rPr>
          <w:b/>
          <w:noProof/>
          <w:lang w:val="en-IN"/>
        </w:rPr>
        <w:drawing>
          <wp:inline distT="114300" distB="114300" distL="114300" distR="114300" wp14:anchorId="39800CF4" wp14:editId="007DC80F">
            <wp:extent cx="4781550" cy="12573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4781550" cy="1257300"/>
                    </a:xfrm>
                    <a:prstGeom prst="rect">
                      <a:avLst/>
                    </a:prstGeom>
                    <a:ln/>
                  </pic:spPr>
                </pic:pic>
              </a:graphicData>
            </a:graphic>
          </wp:inline>
        </w:drawing>
      </w:r>
    </w:p>
    <w:p w14:paraId="4A00DFEB" w14:textId="79EC2680" w:rsidR="007F4C3F" w:rsidRDefault="00AD19C2">
      <w:r>
        <w:t xml:space="preserve">The current identification of this </w:t>
      </w:r>
      <w:proofErr w:type="gramStart"/>
      <w:r>
        <w:t>particular revenue</w:t>
      </w:r>
      <w:proofErr w:type="gramEnd"/>
      <w:r>
        <w:t xml:space="preserve"> formulation approach represents the financial positioning support for the business of IBIS can generate a 10% net profit approach in the present accounting period while the same approach for Corinthia indicates the position of -0.46%. </w:t>
      </w:r>
      <w:r w:rsidR="00AA3235" w:rsidRPr="00AA3235">
        <w:t xml:space="preserve">The overall revenue formulation for the business IBIS is expanded with a level of 92%, representing the progressive value initiative support and the operating growth positioning approach in a formulated manner, </w:t>
      </w:r>
      <w:r w:rsidR="00CD4F87">
        <w:t>by</w:t>
      </w:r>
      <w:r w:rsidR="00AA3235" w:rsidRPr="00AA3235">
        <w:t xml:space="preserve"> the basic determination structure in the current period (Alkaabi and </w:t>
      </w:r>
      <w:proofErr w:type="spellStart"/>
      <w:r w:rsidR="00AA3235" w:rsidRPr="00AA3235">
        <w:t>Nobanee</w:t>
      </w:r>
      <w:proofErr w:type="spellEnd"/>
      <w:r w:rsidR="00AA3235" w:rsidRPr="00AA3235">
        <w:t xml:space="preserve">, 2019). </w:t>
      </w:r>
      <w:r>
        <w:rPr>
          <w:color w:val="FFFFFF"/>
        </w:rPr>
        <w:t>“</w:t>
      </w:r>
      <w:r>
        <w:t>In the present situation, the opening strategy of new 93 hotels along with the engagement of 15300 room facility has been initiated by Accor to formulate a sustainable development formulation and revenue progress approach of up to 2.40% additional within the next financial period (</w:t>
      </w:r>
      <w:proofErr w:type="spellStart"/>
      <w:r>
        <w:t>Framatome</w:t>
      </w:r>
      <w:proofErr w:type="spellEnd"/>
      <w:r>
        <w:t xml:space="preserve"> </w:t>
      </w:r>
      <w:proofErr w:type="spellStart"/>
      <w:r>
        <w:t>Espace</w:t>
      </w:r>
      <w:proofErr w:type="spellEnd"/>
      <w:r>
        <w:t xml:space="preserve"> Presse, 2022). </w:t>
      </w:r>
      <w:r w:rsidR="00AA3235" w:rsidRPr="00AA3235">
        <w:t xml:space="preserve">Furthermore, the business's management also started a new hotel portfolio initiative. They developed a plan to start 789,152 rooms (5,357 hotels) and a pipeline of 212,000 rooms (1,218 hotels), primarily focusing on an expanded approach that aimed to increase RevPAR volume by up to 83% and generate revenue growth of €1,149 million, respectively (Zhang, 2022). According to the same methodology, Corinthia's current financial positions show the insufficiency approach, with pre-tax losses of €90.3 million </w:t>
      </w:r>
      <w:proofErr w:type="gramStart"/>
      <w:r w:rsidR="00AA3235" w:rsidRPr="00AA3235">
        <w:t>as a result of</w:t>
      </w:r>
      <w:proofErr w:type="gramEnd"/>
      <w:r w:rsidR="00AA3235" w:rsidRPr="00AA3235">
        <w:t xml:space="preserve"> revenue declines to €176 million from €268 million in 2019 to €91 </w:t>
      </w:r>
      <w:r w:rsidR="00AA3235" w:rsidRPr="00AA3235">
        <w:lastRenderedPageBreak/>
        <w:t xml:space="preserve">million in 2020 (MaltaToday.com.mt, 2022). </w:t>
      </w:r>
      <w:r>
        <w:t xml:space="preserve">The formulated engagement and the operating position related to the business earnings mainly initiate a formulated growth support that initiates sustainable development and operating compatibility in the present period that formulates the business growth and stability on a progressive basis. </w:t>
      </w:r>
    </w:p>
    <w:p w14:paraId="371890D5" w14:textId="74C3C031" w:rsidR="004661F1" w:rsidRPr="004661F1" w:rsidRDefault="003B0A36">
      <w:pPr>
        <w:rPr>
          <w:b/>
          <w:bCs/>
        </w:rPr>
      </w:pPr>
      <w:r>
        <w:rPr>
          <w:b/>
          <w:bCs/>
        </w:rPr>
        <w:t xml:space="preserve">   </w:t>
      </w:r>
      <w:r w:rsidR="004661F1" w:rsidRPr="004661F1">
        <w:rPr>
          <w:b/>
          <w:bCs/>
        </w:rPr>
        <w:t>Acknowledgment of the existing market configuration and participation for both companies</w:t>
      </w:r>
    </w:p>
    <w:p w14:paraId="3E2C8FBF" w14:textId="704FA044" w:rsidR="007F4C3F" w:rsidRDefault="00AD19C2">
      <w:r>
        <w:t xml:space="preserve">Identification of market structure mainly represents the operating performances concerning the market initiative for both the business which is mainly applied to </w:t>
      </w:r>
      <w:r w:rsidR="004661F1">
        <w:t>recognize</w:t>
      </w:r>
      <w:r>
        <w:t xml:space="preserve"> the market stability and statutory position. The applied formulation of proper market capitalisation structure including the positioning support of market share is initiated for the determination of market financial approach which is accountable for the business value in determination reason. A general market analysis for both businesses is provided (Walker, 2021). </w:t>
      </w:r>
    </w:p>
    <w:p w14:paraId="4E936D59" w14:textId="27631276" w:rsidR="007F4C3F" w:rsidRDefault="00AD19C2">
      <w:r>
        <w:rPr>
          <w:b/>
        </w:rPr>
        <w:t xml:space="preserve">Corinthia Hotel Group: </w:t>
      </w:r>
      <w:r>
        <w:t xml:space="preserve">According to the present market structure at the present level 23 different types of hotels in 16 different countries are mainly operated by this </w:t>
      </w:r>
      <w:proofErr w:type="gramStart"/>
      <w:r>
        <w:t>particular group</w:t>
      </w:r>
      <w:proofErr w:type="gramEnd"/>
      <w:r>
        <w:t xml:space="preserve"> that represents proper and </w:t>
      </w:r>
      <w:r w:rsidR="004661F1">
        <w:t>optimized</w:t>
      </w:r>
      <w:r>
        <w:t xml:space="preserve"> marketing support. As per the basic identifications the market </w:t>
      </w:r>
      <w:r w:rsidR="004661F1">
        <w:t>capitalization</w:t>
      </w:r>
      <w:r>
        <w:t xml:space="preserve"> value related to the equity of the business represents a volume of 817892 million </w:t>
      </w:r>
      <w:r w:rsidR="00B54D88">
        <w:t>GBP currently</w:t>
      </w:r>
      <w:r>
        <w:t xml:space="preserve"> along with the market </w:t>
      </w:r>
      <w:r w:rsidR="004661F1">
        <w:t>capitalization</w:t>
      </w:r>
      <w:r>
        <w:t xml:space="preserve"> value of parent company IHI Plc up to €332.47 million (reuters.com, 2023). Importance to the target marketing approach along with formality important to the branding initiative approach by this </w:t>
      </w:r>
      <w:proofErr w:type="gramStart"/>
      <w:r>
        <w:t>particular group</w:t>
      </w:r>
      <w:proofErr w:type="gramEnd"/>
      <w:r>
        <w:t xml:space="preserve"> formula a progressive opportunity related to the market strategy which is accountable for the comprehensive value determination purpose</w:t>
      </w:r>
      <w:r w:rsidR="00AA3235">
        <w:t>.</w:t>
      </w:r>
      <w:r>
        <w:t xml:space="preserve"> </w:t>
      </w:r>
      <w:r w:rsidR="00AA3235" w:rsidRPr="00AA3235">
        <w:t>Together with the income, the overall growth associated with the Corinthia Yacht Club's and 18 beachfront luxury Villas' strategic initiative strategy for operating development starts to assist this group gradually in its current position of market initiatives (corinthia.com, 2022).</w:t>
      </w:r>
    </w:p>
    <w:p w14:paraId="74F85534" w14:textId="77777777" w:rsidR="00F14CAC" w:rsidRDefault="00AD19C2">
      <w:r>
        <w:rPr>
          <w:b/>
        </w:rPr>
        <w:t>Ibis Hotels</w:t>
      </w:r>
      <w:r w:rsidR="00AA3235">
        <w:rPr>
          <w:b/>
        </w:rPr>
        <w:t>:</w:t>
      </w:r>
      <w:r w:rsidR="00AA3235" w:rsidRPr="00AA3235">
        <w:rPr>
          <w:bCs/>
        </w:rPr>
        <w:t xml:space="preserve"> Accor is the parent firm of this specific group. According to the fundamental market structure, the company's market capitalization volume is approximately 8.87 billion GBP, with a beta volume of 1.28 times.</w:t>
      </w:r>
      <w:r w:rsidR="00AA3235" w:rsidRPr="00AA3235">
        <w:rPr>
          <w:b/>
        </w:rPr>
        <w:t xml:space="preserve"> </w:t>
      </w:r>
      <w:r>
        <w:rPr>
          <w:b/>
        </w:rPr>
        <w:t xml:space="preserve"> </w:t>
      </w:r>
      <w:r>
        <w:t xml:space="preserve">Associated with the same measurement the present </w:t>
      </w:r>
      <w:r w:rsidR="004661F1">
        <w:t>price-earnings</w:t>
      </w:r>
      <w:r>
        <w:t xml:space="preserve"> ratio of the business is 17.32% and the EPS structure represents a value of 2.03 times respectively (uk.finance.yahoo.com, 2023). The present initiative of diversified market formulations including the branding reformation approach along with providing primary importance to the value-based operation structure brings stability positioning support for this business which mainly initiates and optimises market development and revenue progressive support</w:t>
      </w:r>
      <w:r w:rsidR="00302D23">
        <w:t xml:space="preserve"> (</w:t>
      </w:r>
      <w:r w:rsidR="00302D23" w:rsidRPr="00A6764E">
        <w:rPr>
          <w:color w:val="000000" w:themeColor="text1"/>
          <w:shd w:val="clear" w:color="auto" w:fill="FFFFFF"/>
        </w:rPr>
        <w:t>B</w:t>
      </w:r>
      <w:r w:rsidR="00302D23">
        <w:rPr>
          <w:color w:val="000000" w:themeColor="text1"/>
          <w:shd w:val="clear" w:color="auto" w:fill="FFFFFF"/>
        </w:rPr>
        <w:t xml:space="preserve">righam and Houston, </w:t>
      </w:r>
      <w:r w:rsidR="00302D23" w:rsidRPr="00A6764E">
        <w:rPr>
          <w:color w:val="000000" w:themeColor="text1"/>
          <w:shd w:val="clear" w:color="auto" w:fill="FFFFFF"/>
        </w:rPr>
        <w:t>2021</w:t>
      </w:r>
      <w:r w:rsidR="00302D23">
        <w:rPr>
          <w:color w:val="000000" w:themeColor="text1"/>
          <w:shd w:val="clear" w:color="auto" w:fill="FFFFFF"/>
        </w:rPr>
        <w:t>)</w:t>
      </w:r>
      <w:r>
        <w:t xml:space="preserve">. Even in the present position, this </w:t>
      </w:r>
      <w:r w:rsidR="004661F1">
        <w:t>organization</w:t>
      </w:r>
      <w:r>
        <w:t xml:space="preserve"> focused </w:t>
      </w:r>
      <w:r>
        <w:lastRenderedPageBreak/>
        <w:t>on four different aspects related to trendy, playful, surprising</w:t>
      </w:r>
      <w:r w:rsidR="004661F1">
        <w:t>,</w:t>
      </w:r>
      <w:r>
        <w:t xml:space="preserve"> and joyful for supporting individual customers associated with the sustainable discounting facility engagement. </w:t>
      </w:r>
    </w:p>
    <w:p w14:paraId="0400FA3A" w14:textId="69E78674" w:rsidR="004661F1" w:rsidRPr="00F14CAC" w:rsidRDefault="00F14CAC">
      <w:r>
        <w:t xml:space="preserve">   </w:t>
      </w:r>
      <w:r w:rsidR="003B0A36">
        <w:rPr>
          <w:b/>
          <w:bCs/>
        </w:rPr>
        <w:t xml:space="preserve"> </w:t>
      </w:r>
      <w:r w:rsidR="004661F1" w:rsidRPr="004661F1">
        <w:rPr>
          <w:b/>
          <w:bCs/>
        </w:rPr>
        <w:t xml:space="preserve">Analysis of overall growth for both </w:t>
      </w:r>
      <w:r w:rsidR="004661F1">
        <w:rPr>
          <w:b/>
          <w:bCs/>
        </w:rPr>
        <w:t>organizations</w:t>
      </w:r>
    </w:p>
    <w:p w14:paraId="28E25BC7" w14:textId="77777777" w:rsidR="007F4C3F" w:rsidRDefault="00AD19C2">
      <w:r>
        <w:t>Importance and the general initiative related to the formulation of individual business has been structured with the identification of market growth support which is accountable and provides a positive opportunity for business stability</w:t>
      </w:r>
      <w:r w:rsidR="00302D23">
        <w:t xml:space="preserve"> (</w:t>
      </w:r>
      <w:r w:rsidR="00302D23">
        <w:rPr>
          <w:color w:val="000000" w:themeColor="text1"/>
          <w:shd w:val="clear" w:color="auto" w:fill="FFFFFF"/>
        </w:rPr>
        <w:t xml:space="preserve">Shapiro and </w:t>
      </w:r>
      <w:proofErr w:type="spellStart"/>
      <w:r w:rsidR="00302D23">
        <w:rPr>
          <w:color w:val="000000" w:themeColor="text1"/>
          <w:shd w:val="clear" w:color="auto" w:fill="FFFFFF"/>
        </w:rPr>
        <w:t>Hanouna</w:t>
      </w:r>
      <w:proofErr w:type="spellEnd"/>
      <w:r w:rsidR="00302D23">
        <w:rPr>
          <w:color w:val="000000" w:themeColor="text1"/>
          <w:shd w:val="clear" w:color="auto" w:fill="FFFFFF"/>
        </w:rPr>
        <w:t xml:space="preserve">, </w:t>
      </w:r>
      <w:r w:rsidR="00302D23" w:rsidRPr="00A6764E">
        <w:rPr>
          <w:color w:val="000000" w:themeColor="text1"/>
          <w:shd w:val="clear" w:color="auto" w:fill="FFFFFF"/>
        </w:rPr>
        <w:t>2019</w:t>
      </w:r>
      <w:r w:rsidR="00302D23">
        <w:rPr>
          <w:color w:val="000000" w:themeColor="text1"/>
          <w:shd w:val="clear" w:color="auto" w:fill="FFFFFF"/>
        </w:rPr>
        <w:t>)</w:t>
      </w:r>
      <w:r>
        <w:t xml:space="preserve">. As per the primary identifications the strategic growth approach for both the business is provided for recognising the market opportunities. </w:t>
      </w:r>
    </w:p>
    <w:p w14:paraId="0EE79E96" w14:textId="2AEA82B5" w:rsidR="007F4C3F" w:rsidRDefault="00AD19C2">
      <w:r>
        <w:rPr>
          <w:b/>
        </w:rPr>
        <w:t>Corinthia Hotel Group:</w:t>
      </w:r>
      <w:r w:rsidR="00AA3235" w:rsidRPr="00AA3235">
        <w:t xml:space="preserve"> </w:t>
      </w:r>
      <w:r w:rsidR="00AA3235" w:rsidRPr="00AA3235">
        <w:rPr>
          <w:bCs/>
        </w:rPr>
        <w:t xml:space="preserve">The management of the group started a Rollover Bond approach with a value of €45 million that is primarily structured for the development of business operating growth </w:t>
      </w:r>
      <w:r w:rsidR="00CD4F87">
        <w:rPr>
          <w:bCs/>
        </w:rPr>
        <w:t>by</w:t>
      </w:r>
      <w:r w:rsidR="00AA3235" w:rsidRPr="00AA3235">
        <w:rPr>
          <w:bCs/>
        </w:rPr>
        <w:t xml:space="preserve"> the fundamental identification in the current scenario with the goals of business development and formulation purposes</w:t>
      </w:r>
      <w:r w:rsidR="00AA3235">
        <w:rPr>
          <w:bCs/>
        </w:rPr>
        <w:t xml:space="preserve">. </w:t>
      </w:r>
      <w:r>
        <w:t xml:space="preserve">Even with the initiative support of expansions of business, the management mainly initiates the expansion strategy of formulating seven new hotels along with pipeline support within 2026. </w:t>
      </w:r>
    </w:p>
    <w:p w14:paraId="66BBAA4B" w14:textId="53427D78" w:rsidR="007F4C3F" w:rsidRDefault="00AA3235">
      <w:r w:rsidRPr="00AA3235">
        <w:t xml:space="preserve">The primary locations for those hotels are planned to be in Europe, the United States, the Middle East (Duriyah in 2026 and Doha in 2025), and South Asia (Maldives in 2026). Even in the current situation, this specific group expanded the business operations by launching an initiative to add 126 more rooms to the grand ballroom, an 850 square </w:t>
      </w:r>
      <w:r w:rsidR="00CD4F87">
        <w:t>meter</w:t>
      </w:r>
      <w:r w:rsidRPr="00AA3235">
        <w:t xml:space="preserve"> spa, multiple dining venues, opulent boutique meeting spaces</w:t>
      </w:r>
      <w:r w:rsidR="00CD4F87">
        <w:t>,</w:t>
      </w:r>
      <w:r w:rsidRPr="00AA3235">
        <w:t xml:space="preserve"> and upscale retail stores (</w:t>
      </w:r>
      <w:proofErr w:type="spellStart"/>
      <w:r w:rsidRPr="00AA3235">
        <w:t>whoswho</w:t>
      </w:r>
      <w:proofErr w:type="spellEnd"/>
      <w:r w:rsidRPr="00AA3235">
        <w:t xml:space="preserve">. </w:t>
      </w:r>
      <w:proofErr w:type="spellStart"/>
      <w:r w:rsidRPr="00AA3235">
        <w:t>mt</w:t>
      </w:r>
      <w:proofErr w:type="spellEnd"/>
      <w:r w:rsidRPr="00AA3235">
        <w:t xml:space="preserve">, 2023). </w:t>
      </w:r>
      <w:r w:rsidR="00CD4F87">
        <w:t>To</w:t>
      </w:r>
      <w:r w:rsidRPr="00AA3235">
        <w:t xml:space="preserve"> support its overall market development strategy, the company purchased a 12% equity share in GHA Holdings Limited to assist </w:t>
      </w:r>
      <w:r w:rsidR="00CD4F87">
        <w:t xml:space="preserve">in </w:t>
      </w:r>
      <w:r w:rsidRPr="00AA3235">
        <w:t>operating expansion</w:t>
      </w:r>
      <w:r w:rsidR="00CD4F87">
        <w:t>.</w:t>
      </w:r>
      <w:r w:rsidR="00AD19C2">
        <w:t xml:space="preserve"> </w:t>
      </w:r>
    </w:p>
    <w:p w14:paraId="55D37E07" w14:textId="5AD2BF6F" w:rsidR="004661F1" w:rsidRDefault="00AD19C2" w:rsidP="004661F1">
      <w:r>
        <w:rPr>
          <w:b/>
        </w:rPr>
        <w:t xml:space="preserve">Ibis Hotels: </w:t>
      </w:r>
      <w:r>
        <w:rPr>
          <w:b/>
          <w:color w:val="FFFFFF"/>
        </w:rPr>
        <w:t>“</w:t>
      </w:r>
      <w:r>
        <w:t xml:space="preserve">As per the basic report in the presence situation the management of this </w:t>
      </w:r>
      <w:proofErr w:type="gramStart"/>
      <w:r>
        <w:t>particular group</w:t>
      </w:r>
      <w:proofErr w:type="gramEnd"/>
      <w:r>
        <w:t xml:space="preserve"> related to the parent company is mainly initiating the expansion strategy of business in India through initiating a joint venture between Accor and </w:t>
      </w:r>
      <w:proofErr w:type="spellStart"/>
      <w:r>
        <w:t>InterGlobe</w:t>
      </w:r>
      <w:proofErr w:type="spellEnd"/>
      <w:r>
        <w:t xml:space="preserve"> Hotels. </w:t>
      </w:r>
      <w:bookmarkStart w:id="14" w:name="_Toc157262487"/>
      <w:r w:rsidR="00AA3235" w:rsidRPr="00AA3235">
        <w:t xml:space="preserve">The major objective of this project is to open 25 new </w:t>
      </w:r>
      <w:r w:rsidR="00CD4F87">
        <w:t>Ibis</w:t>
      </w:r>
      <w:r w:rsidR="00AA3235" w:rsidRPr="00AA3235">
        <w:t xml:space="preserve"> hotels with 3,000 rooms each around India (interglobe.com, 2023). In line with the same plan for developing support for business growth in Thailand, the parent company launched the </w:t>
      </w:r>
      <w:r w:rsidR="00CD4F87">
        <w:t>Ibis</w:t>
      </w:r>
      <w:r w:rsidR="00AA3235" w:rsidRPr="00AA3235">
        <w:t xml:space="preserve"> Styles Phuket </w:t>
      </w:r>
      <w:proofErr w:type="spellStart"/>
      <w:r w:rsidR="00AA3235" w:rsidRPr="00AA3235">
        <w:t>Bangtao</w:t>
      </w:r>
      <w:proofErr w:type="spellEnd"/>
      <w:r w:rsidR="00AA3235" w:rsidRPr="00AA3235">
        <w:t xml:space="preserve"> strategy in Thailand by strategically involving 73 new hotel projects. Additionally, the company plans to grow into the Indonesian market, where its parent company plans to remark on a new project including a 36-story hotel with an extra 175 rooms connected to current opportunities in the Asian hospitality sector.</w:t>
      </w:r>
    </w:p>
    <w:p w14:paraId="5ACB907C" w14:textId="77777777" w:rsidR="004968CB" w:rsidRDefault="004968CB" w:rsidP="004661F1">
      <w:pPr>
        <w:rPr>
          <w:b/>
          <w:bCs/>
        </w:rPr>
      </w:pPr>
      <w:r>
        <w:rPr>
          <w:b/>
          <w:bCs/>
        </w:rPr>
        <w:t xml:space="preserve"> </w:t>
      </w:r>
    </w:p>
    <w:p w14:paraId="2245C552" w14:textId="77777777" w:rsidR="004968CB" w:rsidRDefault="004968CB" w:rsidP="004661F1">
      <w:pPr>
        <w:rPr>
          <w:b/>
          <w:bCs/>
        </w:rPr>
      </w:pPr>
    </w:p>
    <w:p w14:paraId="40E74515" w14:textId="77777777" w:rsidR="00AA3235" w:rsidRDefault="003B0A36" w:rsidP="004661F1">
      <w:pPr>
        <w:rPr>
          <w:b/>
          <w:bCs/>
        </w:rPr>
      </w:pPr>
      <w:r>
        <w:rPr>
          <w:b/>
          <w:bCs/>
        </w:rPr>
        <w:t xml:space="preserve">   </w:t>
      </w:r>
    </w:p>
    <w:p w14:paraId="140B0597" w14:textId="4A422109" w:rsidR="004661F1" w:rsidRPr="004661F1" w:rsidRDefault="00AA3235" w:rsidP="004661F1">
      <w:pPr>
        <w:rPr>
          <w:b/>
          <w:bCs/>
        </w:rPr>
      </w:pPr>
      <w:r>
        <w:rPr>
          <w:b/>
          <w:bCs/>
        </w:rPr>
        <w:lastRenderedPageBreak/>
        <w:t xml:space="preserve">   </w:t>
      </w:r>
      <w:r w:rsidR="004661F1" w:rsidRPr="004661F1">
        <w:rPr>
          <w:b/>
          <w:bCs/>
        </w:rPr>
        <w:t xml:space="preserve">General CSR processing based on </w:t>
      </w:r>
      <w:r w:rsidR="004661F1">
        <w:rPr>
          <w:b/>
          <w:bCs/>
        </w:rPr>
        <w:t xml:space="preserve">the </w:t>
      </w:r>
      <w:r w:rsidR="004661F1" w:rsidRPr="004661F1">
        <w:rPr>
          <w:b/>
          <w:bCs/>
        </w:rPr>
        <w:t xml:space="preserve">current status </w:t>
      </w:r>
      <w:r w:rsidR="004661F1">
        <w:rPr>
          <w:b/>
          <w:bCs/>
        </w:rPr>
        <w:t>of</w:t>
      </w:r>
      <w:r w:rsidR="004661F1" w:rsidRPr="004661F1">
        <w:rPr>
          <w:b/>
          <w:bCs/>
        </w:rPr>
        <w:t xml:space="preserve"> both </w:t>
      </w:r>
      <w:proofErr w:type="gramStart"/>
      <w:r w:rsidR="004661F1" w:rsidRPr="004661F1">
        <w:rPr>
          <w:b/>
          <w:bCs/>
        </w:rPr>
        <w:t>businesses</w:t>
      </w:r>
      <w:proofErr w:type="gramEnd"/>
    </w:p>
    <w:bookmarkEnd w:id="14"/>
    <w:p w14:paraId="4FAE3BDE" w14:textId="3CE56B75" w:rsidR="007F4C3F" w:rsidRDefault="00AD19C2">
      <w:r>
        <w:t xml:space="preserve">The applied position and engagement of CSR </w:t>
      </w:r>
      <w:r w:rsidR="004661F1">
        <w:t>are</w:t>
      </w:r>
      <w:r>
        <w:t xml:space="preserve"> mainly initiated for the processing of sustainability support including the environment processing purpose that formulates the business value positioning approach</w:t>
      </w:r>
      <w:r w:rsidR="00302D23">
        <w:t xml:space="preserve"> (</w:t>
      </w:r>
      <w:r w:rsidR="00302D23">
        <w:rPr>
          <w:color w:val="000000" w:themeColor="text1"/>
          <w:shd w:val="clear" w:color="auto" w:fill="FFFFFF"/>
        </w:rPr>
        <w:t xml:space="preserve">Brigham and Daves, </w:t>
      </w:r>
      <w:r w:rsidR="00302D23" w:rsidRPr="00A6764E">
        <w:rPr>
          <w:color w:val="000000" w:themeColor="text1"/>
          <w:shd w:val="clear" w:color="auto" w:fill="FFFFFF"/>
        </w:rPr>
        <w:t>2018</w:t>
      </w:r>
      <w:r w:rsidR="00302D23">
        <w:rPr>
          <w:color w:val="000000" w:themeColor="text1"/>
          <w:shd w:val="clear" w:color="auto" w:fill="FFFFFF"/>
        </w:rPr>
        <w:t>)</w:t>
      </w:r>
      <w:r>
        <w:t xml:space="preserve">. With the present financial performance and market initiative the overall contributions initiated by both businesses towards sustainability are provided. </w:t>
      </w:r>
    </w:p>
    <w:p w14:paraId="6A3B9820" w14:textId="3FE51AD0" w:rsidR="007F4C3F" w:rsidRDefault="00AD19C2">
      <w:r>
        <w:rPr>
          <w:b/>
        </w:rPr>
        <w:t>Corinthia Hotel Group</w:t>
      </w:r>
      <w:r w:rsidR="00AA3235">
        <w:rPr>
          <w:b/>
        </w:rPr>
        <w:t xml:space="preserve">: </w:t>
      </w:r>
      <w:r w:rsidR="00AA3235" w:rsidRPr="00AA3235">
        <w:rPr>
          <w:bCs/>
        </w:rPr>
        <w:t>Based on the current situation's essential operating characteristics, a board member of this specific company group has worked together to develop a group of 13 employees, the main goal of which is to create a CSR committee</w:t>
      </w:r>
      <w:r w:rsidR="00CD4F87">
        <w:rPr>
          <w:bCs/>
        </w:rPr>
        <w:t>.</w:t>
      </w:r>
      <w:r>
        <w:t xml:space="preserve"> This </w:t>
      </w:r>
      <w:proofErr w:type="gramStart"/>
      <w:r>
        <w:t>particular committee</w:t>
      </w:r>
      <w:proofErr w:type="gramEnd"/>
      <w:r>
        <w:t xml:space="preserve"> is performing and responsible for formulating some of the basic welfare practices and also some philanthropic engagements so that positive statutory formulations towards society can be initiated</w:t>
      </w:r>
      <w:r w:rsidR="00302D23">
        <w:t xml:space="preserve"> (</w:t>
      </w:r>
      <w:r w:rsidR="00302D23">
        <w:rPr>
          <w:color w:val="000000" w:themeColor="text1"/>
          <w:shd w:val="clear" w:color="auto" w:fill="FFFFFF"/>
        </w:rPr>
        <w:t xml:space="preserve">Madura, </w:t>
      </w:r>
      <w:r w:rsidR="00302D23" w:rsidRPr="00A6764E">
        <w:rPr>
          <w:color w:val="000000" w:themeColor="text1"/>
          <w:shd w:val="clear" w:color="auto" w:fill="FFFFFF"/>
        </w:rPr>
        <w:t>2020</w:t>
      </w:r>
      <w:r w:rsidR="00302D23">
        <w:rPr>
          <w:color w:val="000000" w:themeColor="text1"/>
          <w:shd w:val="clear" w:color="auto" w:fill="FFFFFF"/>
        </w:rPr>
        <w:t>)</w:t>
      </w:r>
      <w:r>
        <w:t xml:space="preserve">. </w:t>
      </w:r>
    </w:p>
    <w:p w14:paraId="0B47F3B9" w14:textId="62144C59" w:rsidR="007F4C3F" w:rsidRDefault="00AD19C2">
      <w:r>
        <w:t xml:space="preserve">With the collaboration of the SOAR group, the management of this </w:t>
      </w:r>
      <w:proofErr w:type="gramStart"/>
      <w:r>
        <w:t>particular business</w:t>
      </w:r>
      <w:proofErr w:type="gramEnd"/>
      <w:r>
        <w:t xml:space="preserve"> is also intended to formulate a strategy for the development of individual women and children who are suffering from domestic violence</w:t>
      </w:r>
      <w:r w:rsidR="00CD4F87">
        <w:t>.</w:t>
      </w:r>
      <w:r>
        <w:t xml:space="preserve"> </w:t>
      </w:r>
      <w:r w:rsidR="00CD4F87" w:rsidRPr="00CD4F87">
        <w:t>With the current formulation of this kind of participation, the business's primary goals are to accomplish the Sustainable Development Goals of the United Nations and to contribute appropriately to the protection and uplift of individual members of society.</w:t>
      </w:r>
    </w:p>
    <w:p w14:paraId="625DA97E" w14:textId="368A0B17" w:rsidR="007F4C3F" w:rsidRDefault="00AD19C2">
      <w:r>
        <w:rPr>
          <w:b/>
        </w:rPr>
        <w:t xml:space="preserve">Ibis Hotels: </w:t>
      </w:r>
      <w:r>
        <w:t>The primary presence of the CSR committee of the business in the present position provides a significant level of contribution towards society with the initiative support of environmental contribution basis</w:t>
      </w:r>
      <w:r w:rsidR="00302D23">
        <w:t xml:space="preserve"> (</w:t>
      </w:r>
      <w:r w:rsidR="00302D23" w:rsidRPr="00A6764E">
        <w:rPr>
          <w:color w:val="000000" w:themeColor="text1"/>
          <w:shd w:val="clear" w:color="auto" w:fill="FFFFFF"/>
        </w:rPr>
        <w:t>Block</w:t>
      </w:r>
      <w:r w:rsidR="00302D23">
        <w:rPr>
          <w:color w:val="000000" w:themeColor="text1"/>
          <w:shd w:val="clear" w:color="auto" w:fill="FFFFFF"/>
        </w:rPr>
        <w:t xml:space="preserve"> </w:t>
      </w:r>
      <w:r w:rsidR="00302D23" w:rsidRPr="00302D23">
        <w:rPr>
          <w:i/>
          <w:color w:val="000000" w:themeColor="text1"/>
          <w:shd w:val="clear" w:color="auto" w:fill="FFFFFF"/>
        </w:rPr>
        <w:t>et al.,</w:t>
      </w:r>
      <w:r w:rsidR="00302D23">
        <w:rPr>
          <w:color w:val="000000" w:themeColor="text1"/>
          <w:shd w:val="clear" w:color="auto" w:fill="FFFFFF"/>
        </w:rPr>
        <w:t xml:space="preserve"> 2018)</w:t>
      </w:r>
      <w:r>
        <w:t xml:space="preserve">. The parent company Accor related to this </w:t>
      </w:r>
      <w:proofErr w:type="gramStart"/>
      <w:r>
        <w:t>particular business</w:t>
      </w:r>
      <w:proofErr w:type="gramEnd"/>
      <w:r>
        <w:t xml:space="preserve"> group mainly </w:t>
      </w:r>
      <w:r w:rsidR="004661F1">
        <w:t>focuses</w:t>
      </w:r>
      <w:r>
        <w:t xml:space="preserve"> on three different aspects related to building a sustainable business model, formulating a sustainable strategy</w:t>
      </w:r>
      <w:r w:rsidR="004661F1">
        <w:t>,</w:t>
      </w:r>
      <w:r>
        <w:t xml:space="preserve"> and also implementing some positive sustainable development through operational pillars. </w:t>
      </w:r>
    </w:p>
    <w:p w14:paraId="7D4DD172" w14:textId="4A7AA930" w:rsidR="004968CB" w:rsidRDefault="00AD19C2" w:rsidP="00CD4F87">
      <w:r>
        <w:t xml:space="preserve">As per the basic engagement, the managerial department of the business is intended to control the carbon emissions volume from 9% to 12% for the reason of avoiding greenhouse gas impact. Additionally, it also initiates the sustainable transformation strategy and some of the diversification approaches with mobility support to initiate a proper volume of compatibility formulations </w:t>
      </w:r>
      <w:proofErr w:type="gramStart"/>
      <w:r>
        <w:t>and also</w:t>
      </w:r>
      <w:proofErr w:type="gramEnd"/>
      <w:r>
        <w:t xml:space="preserve"> engage </w:t>
      </w:r>
      <w:r w:rsidR="004661F1">
        <w:t xml:space="preserve">the </w:t>
      </w:r>
      <w:r>
        <w:t xml:space="preserve">absolute </w:t>
      </w:r>
      <w:r w:rsidR="004661F1">
        <w:t>preservation</w:t>
      </w:r>
      <w:r>
        <w:t xml:space="preserve"> of natural resources effectively</w:t>
      </w:r>
      <w:r w:rsidR="00302D23">
        <w:t xml:space="preserve"> (</w:t>
      </w:r>
      <w:r w:rsidR="00302D23" w:rsidRPr="00A6764E">
        <w:rPr>
          <w:color w:val="000000" w:themeColor="text1"/>
          <w:shd w:val="clear" w:color="auto" w:fill="FFFFFF"/>
        </w:rPr>
        <w:t>Finkler</w:t>
      </w:r>
      <w:r w:rsidR="00302D23">
        <w:rPr>
          <w:color w:val="000000" w:themeColor="text1"/>
          <w:shd w:val="clear" w:color="auto" w:fill="FFFFFF"/>
        </w:rPr>
        <w:t xml:space="preserve"> </w:t>
      </w:r>
      <w:r w:rsidR="00302D23" w:rsidRPr="00302D23">
        <w:rPr>
          <w:i/>
          <w:color w:val="000000" w:themeColor="text1"/>
          <w:shd w:val="clear" w:color="auto" w:fill="FFFFFF"/>
        </w:rPr>
        <w:t xml:space="preserve">et al., </w:t>
      </w:r>
      <w:r w:rsidR="00302D23">
        <w:rPr>
          <w:color w:val="000000" w:themeColor="text1"/>
          <w:shd w:val="clear" w:color="auto" w:fill="FFFFFF"/>
        </w:rPr>
        <w:t>2022)</w:t>
      </w:r>
      <w:r>
        <w:t xml:space="preserve">. </w:t>
      </w:r>
      <w:bookmarkStart w:id="15" w:name="_Toc157262488"/>
      <w:bookmarkStart w:id="16" w:name="_Toc157759749"/>
      <w:bookmarkStart w:id="17" w:name="_Toc157759976"/>
      <w:r w:rsidR="00CD4F87" w:rsidRPr="00CD4F87">
        <w:t>In addition, the business's current ESG engagement was started by developing strategies for supporting sustainable hotel operations, adopting sustainable food chain participation, and advancing new travel and local ecosystem initiatives.</w:t>
      </w:r>
    </w:p>
    <w:p w14:paraId="1EB62776" w14:textId="77777777" w:rsidR="00CD4F87" w:rsidRDefault="00CD4F87" w:rsidP="00CD4F87"/>
    <w:p w14:paraId="1F06E79D" w14:textId="77777777" w:rsidR="00CD4F87" w:rsidRDefault="00CD4F87" w:rsidP="00CD4F87"/>
    <w:p w14:paraId="24379326" w14:textId="5EB97D03" w:rsidR="007F4C3F" w:rsidRDefault="00AD19C2" w:rsidP="00B54D88">
      <w:pPr>
        <w:pStyle w:val="Heading1"/>
      </w:pPr>
      <w:bookmarkStart w:id="18" w:name="_Toc157760297"/>
      <w:r>
        <w:lastRenderedPageBreak/>
        <w:t>Recommendation</w:t>
      </w:r>
      <w:bookmarkEnd w:id="15"/>
      <w:bookmarkEnd w:id="16"/>
      <w:bookmarkEnd w:id="17"/>
      <w:bookmarkEnd w:id="18"/>
      <w:r>
        <w:t xml:space="preserve">  </w:t>
      </w:r>
    </w:p>
    <w:p w14:paraId="0314DA72" w14:textId="77777777" w:rsidR="007F4C3F" w:rsidRDefault="00AD19C2">
      <w:r>
        <w:t xml:space="preserve">Associated with the present operating evaluations including the current benchmarking approach it is identifiable that at the present situation, both businesses need to initiate the following attribute and development supports for future compatibility. </w:t>
      </w:r>
    </w:p>
    <w:p w14:paraId="520CFF62" w14:textId="0B9C7B17" w:rsidR="007F4C3F" w:rsidRDefault="00AD19C2">
      <w:r>
        <w:rPr>
          <w:b/>
        </w:rPr>
        <w:t xml:space="preserve">For Corinthia Hotel Group: </w:t>
      </w:r>
      <w:r>
        <w:t xml:space="preserve">A primary importance to the capital development including the market </w:t>
      </w:r>
      <w:r w:rsidR="004661F1">
        <w:t>capitalized</w:t>
      </w:r>
      <w:r>
        <w:t xml:space="preserve"> value associated with the beta support needs to be maintained for the risk assessment benefit. This business also needs to provide importance over the promotional attributes and establish support on the optimal performance value specifically for expanding the volume of customer engagement properly. The overall initiated strategies committed by the business also need to be reformulated and restricted properly with a value-based structure for the operating formulation support in the upcoming period. </w:t>
      </w:r>
    </w:p>
    <w:p w14:paraId="57AE46BE" w14:textId="405EB39A" w:rsidR="007F4C3F" w:rsidRDefault="00AD19C2">
      <w:r>
        <w:rPr>
          <w:b/>
        </w:rPr>
        <w:t xml:space="preserve">For Ibis Hotels: </w:t>
      </w:r>
      <w:r>
        <w:t xml:space="preserve">The management of the business needs to provide primary importance for the optimal capital mix associated with the gearing ratio positions for developing the overall capital compatibility. With the </w:t>
      </w:r>
      <w:r w:rsidR="004661F1">
        <w:t>utilization</w:t>
      </w:r>
      <w:r>
        <w:t xml:space="preserve"> of present earning capability positions, the financial Strategies and the discounting approach also need to be formulated by the business properly for an effective amount of customer engagement. The contributed CSR processing of the business also needs to be restarted in a systematic optimised manner for gaining some of the basic Goodwill </w:t>
      </w:r>
      <w:proofErr w:type="gramStart"/>
      <w:r>
        <w:t>and also</w:t>
      </w:r>
      <w:proofErr w:type="gramEnd"/>
      <w:r>
        <w:t xml:space="preserve"> a proper volume of strategy sustainability progress reason. </w:t>
      </w:r>
    </w:p>
    <w:p w14:paraId="53DCC655" w14:textId="3939A5E8" w:rsidR="007F4C3F" w:rsidRDefault="00AD19C2" w:rsidP="00B54D88">
      <w:pPr>
        <w:pStyle w:val="Heading1"/>
      </w:pPr>
      <w:bookmarkStart w:id="19" w:name="_Toc157262489"/>
      <w:bookmarkStart w:id="20" w:name="_Toc157759750"/>
      <w:bookmarkStart w:id="21" w:name="_Toc157759977"/>
      <w:bookmarkStart w:id="22" w:name="_Toc157760298"/>
      <w:r>
        <w:t>Conclusions</w:t>
      </w:r>
      <w:bookmarkEnd w:id="19"/>
      <w:bookmarkEnd w:id="20"/>
      <w:bookmarkEnd w:id="21"/>
      <w:bookmarkEnd w:id="22"/>
    </w:p>
    <w:p w14:paraId="57B18684" w14:textId="4CD960D9" w:rsidR="007F4C3F" w:rsidRDefault="00AD19C2">
      <w:r>
        <w:t xml:space="preserve">In conclusion, applied positioning support including the operating approach of performance measurement for individual businesses is necessary for general growth including operating development support. A positive importance to the maintenance of financial analysis including the benchmarking approach has been initiated to provide some comparative development and accountability growth reasons that manage the statutory positioning benefit properly. An applied engagement of proper evaluations related to the performance approach related to both the hospitality business mainly indicates the requisition of some </w:t>
      </w:r>
      <w:r w:rsidR="004661F1">
        <w:t>optimized</w:t>
      </w:r>
      <w:r>
        <w:t xml:space="preserve"> development initiative associated with present trade policies for initiating the standardized compatibility growth in the present competitive environment. </w:t>
      </w:r>
    </w:p>
    <w:p w14:paraId="50825569" w14:textId="77777777" w:rsidR="007F4C3F" w:rsidRDefault="007F4C3F">
      <w:pPr>
        <w:rPr>
          <w:b/>
        </w:rPr>
      </w:pPr>
    </w:p>
    <w:p w14:paraId="331386B8" w14:textId="77777777" w:rsidR="007F4C3F" w:rsidRDefault="007F4C3F"/>
    <w:p w14:paraId="0F241810" w14:textId="77777777" w:rsidR="007F4C3F" w:rsidRDefault="007F4C3F">
      <w:pPr>
        <w:rPr>
          <w:b/>
        </w:rPr>
      </w:pPr>
    </w:p>
    <w:p w14:paraId="76BBE1C5" w14:textId="77777777" w:rsidR="00B54D88" w:rsidRDefault="00B54D88">
      <w:r>
        <w:br w:type="page"/>
      </w:r>
    </w:p>
    <w:p w14:paraId="20D1391B" w14:textId="77777777" w:rsidR="007F4C3F" w:rsidRDefault="00B54D88" w:rsidP="00B54D88">
      <w:pPr>
        <w:pStyle w:val="Heading1"/>
      </w:pPr>
      <w:bookmarkStart w:id="23" w:name="_Toc157262490"/>
      <w:bookmarkStart w:id="24" w:name="_Toc157759751"/>
      <w:bookmarkStart w:id="25" w:name="_Toc157759978"/>
      <w:bookmarkStart w:id="26" w:name="_Toc157760299"/>
      <w:r>
        <w:lastRenderedPageBreak/>
        <w:t>References</w:t>
      </w:r>
      <w:bookmarkEnd w:id="23"/>
      <w:bookmarkEnd w:id="24"/>
      <w:bookmarkEnd w:id="25"/>
      <w:bookmarkEnd w:id="26"/>
      <w:r>
        <w:t xml:space="preserve"> </w:t>
      </w:r>
    </w:p>
    <w:p w14:paraId="15888213" w14:textId="77777777" w:rsidR="00302D23" w:rsidRPr="003B0A36" w:rsidRDefault="00302D23" w:rsidP="00302D23">
      <w:pPr>
        <w:rPr>
          <w:shd w:val="clear" w:color="auto" w:fill="FFFFFF"/>
        </w:rPr>
      </w:pPr>
      <w:r w:rsidRPr="003B0A36">
        <w:rPr>
          <w:shd w:val="clear" w:color="auto" w:fill="FFFFFF"/>
        </w:rPr>
        <w:t xml:space="preserve">Alkaabi, H. and </w:t>
      </w:r>
      <w:proofErr w:type="spellStart"/>
      <w:r w:rsidRPr="003B0A36">
        <w:rPr>
          <w:shd w:val="clear" w:color="auto" w:fill="FFFFFF"/>
        </w:rPr>
        <w:t>Nobanee</w:t>
      </w:r>
      <w:proofErr w:type="spellEnd"/>
      <w:r w:rsidRPr="003B0A36">
        <w:rPr>
          <w:shd w:val="clear" w:color="auto" w:fill="FFFFFF"/>
        </w:rPr>
        <w:t>, H., 2019. A study on financial management in promoting sustainable business practices &amp; development. Available at SSRN 3472415.</w:t>
      </w:r>
    </w:p>
    <w:p w14:paraId="30F2CE66" w14:textId="5715CFCB" w:rsidR="00302D23" w:rsidRPr="003B0A36" w:rsidRDefault="00302D23" w:rsidP="00302D23">
      <w:pPr>
        <w:pStyle w:val="NoSpacing"/>
        <w:spacing w:line="360" w:lineRule="auto"/>
        <w:rPr>
          <w:lang w:val="en-IN"/>
        </w:rPr>
      </w:pPr>
      <w:proofErr w:type="spellStart"/>
      <w:r w:rsidRPr="003B0A36">
        <w:rPr>
          <w:lang w:val="en-IN"/>
        </w:rPr>
        <w:t>Atrill</w:t>
      </w:r>
      <w:proofErr w:type="spellEnd"/>
      <w:r w:rsidRPr="003B0A36">
        <w:rPr>
          <w:lang w:val="en-IN"/>
        </w:rPr>
        <w:t xml:space="preserve"> P, and McLaney E (2021) Management Accounting for Decision Makers, FT Prentice Hall</w:t>
      </w:r>
      <w:r w:rsidR="003B0A36">
        <w:rPr>
          <w:lang w:val="en-IN"/>
        </w:rPr>
        <w:t>.</w:t>
      </w:r>
    </w:p>
    <w:p w14:paraId="6DE4DB12" w14:textId="29A09878" w:rsidR="00302D23" w:rsidRPr="003B0A36" w:rsidRDefault="00302D23" w:rsidP="00302D23">
      <w:pPr>
        <w:rPr>
          <w:shd w:val="clear" w:color="auto" w:fill="FFFFFF"/>
        </w:rPr>
      </w:pPr>
      <w:r w:rsidRPr="003B0A36">
        <w:rPr>
          <w:shd w:val="clear" w:color="auto" w:fill="FFFFFF"/>
        </w:rPr>
        <w:t>Block, S.B., Hirt, G.A. and Danielsen, B.R., 2018. Foundations of financial management. McGraw-Hill Education</w:t>
      </w:r>
      <w:r w:rsidR="004661F1" w:rsidRPr="003B0A36">
        <w:rPr>
          <w:shd w:val="clear" w:color="auto" w:fill="FFFFFF"/>
        </w:rPr>
        <w:t>.</w:t>
      </w:r>
    </w:p>
    <w:p w14:paraId="7FB52E55" w14:textId="77777777" w:rsidR="00302D23" w:rsidRPr="003B0A36" w:rsidRDefault="00302D23" w:rsidP="00302D23">
      <w:pPr>
        <w:rPr>
          <w:shd w:val="clear" w:color="auto" w:fill="FFFFFF"/>
        </w:rPr>
      </w:pPr>
      <w:r w:rsidRPr="003B0A36">
        <w:rPr>
          <w:shd w:val="clear" w:color="auto" w:fill="FFFFFF"/>
        </w:rPr>
        <w:t xml:space="preserve">Brigham, E.F. and Daves, P.R., 2018. Intermediate financial management. Cengage Learning. </w:t>
      </w:r>
    </w:p>
    <w:p w14:paraId="64BF6930" w14:textId="77777777" w:rsidR="00302D23" w:rsidRPr="003B0A36" w:rsidRDefault="00302D23" w:rsidP="00302D23">
      <w:pPr>
        <w:rPr>
          <w:shd w:val="clear" w:color="auto" w:fill="FFFFFF"/>
        </w:rPr>
      </w:pPr>
      <w:r w:rsidRPr="003B0A36">
        <w:rPr>
          <w:shd w:val="clear" w:color="auto" w:fill="FFFFFF"/>
        </w:rPr>
        <w:t>Brigham, E.F. and Houston, J.F., 2021. Fundamentals of financial management. Cengage Learning.</w:t>
      </w:r>
    </w:p>
    <w:p w14:paraId="1E334F73" w14:textId="77777777" w:rsidR="00302D23" w:rsidRPr="003B0A36" w:rsidRDefault="00302D23" w:rsidP="00302D23">
      <w:pPr>
        <w:pStyle w:val="NoSpacing"/>
        <w:spacing w:line="360" w:lineRule="auto"/>
        <w:rPr>
          <w:lang w:val="en-IN"/>
        </w:rPr>
      </w:pPr>
      <w:r w:rsidRPr="003B0A36">
        <w:rPr>
          <w:lang w:val="en-IN"/>
        </w:rPr>
        <w:t>corinthia.com (2022). UPLIF TING LI V ES. [online] Available at: https://www.corinthia.com/globalassets/corinthia-global/documents/development/corinthia-development-presentation-may-2023-compressed.pdf [Accessed 27 Jan. 2024].</w:t>
      </w:r>
    </w:p>
    <w:p w14:paraId="317BAFAB" w14:textId="7AD18D1D" w:rsidR="00302D23" w:rsidRPr="003B0A36" w:rsidRDefault="00302D23" w:rsidP="00302D23">
      <w:pPr>
        <w:pStyle w:val="NoSpacing"/>
        <w:spacing w:line="360" w:lineRule="auto"/>
        <w:rPr>
          <w:lang w:val="en-IN"/>
        </w:rPr>
      </w:pPr>
      <w:r w:rsidRPr="003B0A36">
        <w:rPr>
          <w:lang w:val="en-IN"/>
        </w:rPr>
        <w:t>Drury C (2021) (11th Ed) Management and Cost Accounting, London, Prentice Hall</w:t>
      </w:r>
      <w:r w:rsidR="003B0A36">
        <w:rPr>
          <w:lang w:val="en-IN"/>
        </w:rPr>
        <w:t>.</w:t>
      </w:r>
    </w:p>
    <w:p w14:paraId="710EF222" w14:textId="77777777" w:rsidR="00302D23" w:rsidRPr="003B0A36" w:rsidRDefault="00302D23" w:rsidP="00302D23">
      <w:pPr>
        <w:rPr>
          <w:shd w:val="clear" w:color="auto" w:fill="FFFFFF"/>
        </w:rPr>
      </w:pPr>
      <w:r w:rsidRPr="003B0A36">
        <w:rPr>
          <w:shd w:val="clear" w:color="auto" w:fill="FFFFFF"/>
        </w:rPr>
        <w:t>Finkler, S.A., Calabrese, T.D. and Smith, D.L., 2022. Financial management for public, health, and not-for-profit organizations. CQ Press.</w:t>
      </w:r>
    </w:p>
    <w:p w14:paraId="656BF956" w14:textId="77777777" w:rsidR="00302D23" w:rsidRPr="003B0A36" w:rsidRDefault="00302D23" w:rsidP="00302D23">
      <w:pPr>
        <w:pStyle w:val="NoSpacing"/>
        <w:spacing w:line="360" w:lineRule="auto"/>
        <w:rPr>
          <w:lang w:val="en-IN"/>
        </w:rPr>
      </w:pPr>
      <w:proofErr w:type="spellStart"/>
      <w:r w:rsidRPr="003B0A36">
        <w:rPr>
          <w:lang w:val="en-IN"/>
        </w:rPr>
        <w:t>Framatome</w:t>
      </w:r>
      <w:proofErr w:type="spellEnd"/>
      <w:r w:rsidRPr="003B0A36">
        <w:rPr>
          <w:lang w:val="en-IN"/>
        </w:rPr>
        <w:t xml:space="preserve"> </w:t>
      </w:r>
      <w:proofErr w:type="spellStart"/>
      <w:r w:rsidRPr="003B0A36">
        <w:rPr>
          <w:lang w:val="en-IN"/>
        </w:rPr>
        <w:t>Espace</w:t>
      </w:r>
      <w:proofErr w:type="spellEnd"/>
      <w:r w:rsidRPr="003B0A36">
        <w:rPr>
          <w:lang w:val="en-IN"/>
        </w:rPr>
        <w:t xml:space="preserve"> </w:t>
      </w:r>
      <w:proofErr w:type="spellStart"/>
      <w:r w:rsidRPr="003B0A36">
        <w:rPr>
          <w:lang w:val="en-IN"/>
        </w:rPr>
        <w:t>presse</w:t>
      </w:r>
      <w:proofErr w:type="spellEnd"/>
      <w:r w:rsidRPr="003B0A36">
        <w:rPr>
          <w:lang w:val="en-IN"/>
        </w:rPr>
        <w:t>. (2022). Ibis family reaches over 1,700 hotels and pursues its pioneering revolution - Truffaut. [online] Available at: https://press.accor.com/la-famille-ibis-depasse-les-1-700-hotels-et-poursuit-sa-revolution-pionniere_5714_5714/?lang=en [Accessed 27 Jan. 2024].</w:t>
      </w:r>
    </w:p>
    <w:p w14:paraId="7A494329" w14:textId="1BAE1C0E" w:rsidR="00302D23" w:rsidRPr="003B0A36" w:rsidRDefault="00302D23" w:rsidP="00302D23">
      <w:pPr>
        <w:pStyle w:val="NoSpacing"/>
        <w:spacing w:line="360" w:lineRule="auto"/>
        <w:rPr>
          <w:lang w:val="en-IN"/>
        </w:rPr>
      </w:pPr>
      <w:proofErr w:type="spellStart"/>
      <w:r w:rsidRPr="003B0A36">
        <w:rPr>
          <w:lang w:val="en-IN"/>
        </w:rPr>
        <w:t>Guilding</w:t>
      </w:r>
      <w:proofErr w:type="spellEnd"/>
      <w:r w:rsidRPr="003B0A36">
        <w:rPr>
          <w:lang w:val="en-IN"/>
        </w:rPr>
        <w:t>, C. (2022) (3rd Edition) Accounting Essentials for Hospitality Managers, London, Routledge</w:t>
      </w:r>
      <w:r w:rsidR="00F74ED4">
        <w:rPr>
          <w:lang w:val="en-IN"/>
        </w:rPr>
        <w:t>.</w:t>
      </w:r>
    </w:p>
    <w:p w14:paraId="67A283D0" w14:textId="77777777" w:rsidR="00302D23" w:rsidRPr="003B0A36" w:rsidRDefault="00302D23" w:rsidP="00302D23">
      <w:pPr>
        <w:pStyle w:val="NoSpacing"/>
        <w:spacing w:line="360" w:lineRule="auto"/>
        <w:rPr>
          <w:lang w:val="en-IN"/>
        </w:rPr>
      </w:pPr>
      <w:r w:rsidRPr="003B0A36">
        <w:rPr>
          <w:lang w:val="en-IN"/>
        </w:rPr>
        <w:t xml:space="preserve">interglobe.com. (2023). </w:t>
      </w:r>
      <w:proofErr w:type="spellStart"/>
      <w:r w:rsidRPr="003B0A36">
        <w:rPr>
          <w:lang w:val="en-IN"/>
        </w:rPr>
        <w:t>InterGlobe</w:t>
      </w:r>
      <w:proofErr w:type="spellEnd"/>
      <w:r w:rsidRPr="003B0A36">
        <w:rPr>
          <w:lang w:val="en-IN"/>
        </w:rPr>
        <w:t xml:space="preserve"> Announces Major Expansion of ibis Hotel Network in India | </w:t>
      </w:r>
      <w:proofErr w:type="spellStart"/>
      <w:r w:rsidRPr="003B0A36">
        <w:rPr>
          <w:lang w:val="en-IN"/>
        </w:rPr>
        <w:t>InterGlobe</w:t>
      </w:r>
      <w:proofErr w:type="spellEnd"/>
      <w:r w:rsidRPr="003B0A36">
        <w:rPr>
          <w:lang w:val="en-IN"/>
        </w:rPr>
        <w:t>. [online] Available at: https://www.interglobe.com/InterGlobe-Announces-Major-Expansion-of-ibis-Hotel-Network-in-India [Accessed 27 Jan. 2024].</w:t>
      </w:r>
    </w:p>
    <w:p w14:paraId="60A7AF95" w14:textId="77777777" w:rsidR="00302D23" w:rsidRPr="003B0A36" w:rsidRDefault="00302D23" w:rsidP="00302D23">
      <w:pPr>
        <w:rPr>
          <w:shd w:val="clear" w:color="auto" w:fill="FFFFFF"/>
        </w:rPr>
      </w:pPr>
      <w:r w:rsidRPr="003B0A36">
        <w:rPr>
          <w:shd w:val="clear" w:color="auto" w:fill="FFFFFF"/>
        </w:rPr>
        <w:t>Madura, J., 2020. International financial management. Cengage Learning.</w:t>
      </w:r>
    </w:p>
    <w:p w14:paraId="1C07CBFC" w14:textId="584A9D95" w:rsidR="00302D23" w:rsidRPr="003B0A36" w:rsidRDefault="00302D23" w:rsidP="00302D23">
      <w:pPr>
        <w:pStyle w:val="NoSpacing"/>
        <w:spacing w:line="360" w:lineRule="auto"/>
        <w:contextualSpacing/>
        <w:rPr>
          <w:lang w:val="en-IN"/>
        </w:rPr>
      </w:pPr>
      <w:r w:rsidRPr="003B0A36">
        <w:rPr>
          <w:lang w:val="en-IN"/>
        </w:rPr>
        <w:t xml:space="preserve">MaltaToday.com.mt. (2022). </w:t>
      </w:r>
      <w:r w:rsidR="004661F1" w:rsidRPr="003B0A36">
        <w:rPr>
          <w:lang w:val="en-IN"/>
        </w:rPr>
        <w:t>The difficult</w:t>
      </w:r>
      <w:r w:rsidRPr="003B0A36">
        <w:rPr>
          <w:lang w:val="en-IN"/>
        </w:rPr>
        <w:t xml:space="preserve"> pandemic year costs Corinthia Hotels owner IHI €90 million</w:t>
      </w:r>
      <w:r w:rsidR="00E135ED" w:rsidRPr="00E135ED">
        <w:t xml:space="preserve"> </w:t>
      </w:r>
      <w:r w:rsidRPr="003B0A36">
        <w:rPr>
          <w:lang w:val="en-IN"/>
        </w:rPr>
        <w:t>in losses. [online] Available at: https://www.maltatoday.com.mt/business/business_news/110107/difficult_pandemic_year_costs_corinthia_hotels_owner_ihi_90_million_in_losses [Accessed 27 Jan. 2024].</w:t>
      </w:r>
    </w:p>
    <w:p w14:paraId="722948C0" w14:textId="4D98CA1F" w:rsidR="00302D23" w:rsidRPr="003B0A36" w:rsidRDefault="00302D23" w:rsidP="00302D23">
      <w:pPr>
        <w:pStyle w:val="NoSpacing"/>
        <w:spacing w:line="360" w:lineRule="auto"/>
        <w:rPr>
          <w:lang w:val="en-IN"/>
        </w:rPr>
      </w:pPr>
      <w:r w:rsidRPr="003B0A36">
        <w:rPr>
          <w:lang w:val="en-IN"/>
        </w:rPr>
        <w:t xml:space="preserve">reuters.com (2023). </w:t>
      </w:r>
      <w:r w:rsidR="004661F1" w:rsidRPr="003B0A36">
        <w:rPr>
          <w:lang w:val="en-IN"/>
        </w:rPr>
        <w:t>The market</w:t>
      </w:r>
      <w:r w:rsidRPr="003B0A36">
        <w:rPr>
          <w:lang w:val="en-IN"/>
        </w:rPr>
        <w:t xml:space="preserve"> value of International Hotel Investments PLC. [online] www.reuters.com. Available at: https://www.reuters.com/markets/companies/IHI.MT [Accessed 27 Jan. 2024].</w:t>
      </w:r>
    </w:p>
    <w:p w14:paraId="34D8F585" w14:textId="01770D3F" w:rsidR="00302D23" w:rsidRPr="003B0A36" w:rsidRDefault="00302D23" w:rsidP="00302D23">
      <w:pPr>
        <w:pStyle w:val="NoSpacing"/>
        <w:spacing w:line="360" w:lineRule="auto"/>
        <w:rPr>
          <w:lang w:val="en-IN"/>
        </w:rPr>
      </w:pPr>
      <w:r w:rsidRPr="003B0A36">
        <w:rPr>
          <w:lang w:val="en-IN"/>
        </w:rPr>
        <w:t>Seal W (2019) (6th Ed) Management Accounting, London, McGraw Hill</w:t>
      </w:r>
      <w:r w:rsidR="00F74ED4">
        <w:rPr>
          <w:lang w:val="en-IN"/>
        </w:rPr>
        <w:t>.</w:t>
      </w:r>
    </w:p>
    <w:p w14:paraId="024FCE41" w14:textId="77777777" w:rsidR="00302D23" w:rsidRPr="003B0A36" w:rsidRDefault="00302D23" w:rsidP="00302D23">
      <w:pPr>
        <w:rPr>
          <w:shd w:val="clear" w:color="auto" w:fill="FFFFFF"/>
        </w:rPr>
      </w:pPr>
      <w:r w:rsidRPr="003B0A36">
        <w:rPr>
          <w:shd w:val="clear" w:color="auto" w:fill="FFFFFF"/>
        </w:rPr>
        <w:lastRenderedPageBreak/>
        <w:t xml:space="preserve">Shapiro, A.C. and </w:t>
      </w:r>
      <w:proofErr w:type="spellStart"/>
      <w:r w:rsidRPr="003B0A36">
        <w:rPr>
          <w:shd w:val="clear" w:color="auto" w:fill="FFFFFF"/>
        </w:rPr>
        <w:t>Hanouna</w:t>
      </w:r>
      <w:proofErr w:type="spellEnd"/>
      <w:r w:rsidRPr="003B0A36">
        <w:rPr>
          <w:shd w:val="clear" w:color="auto" w:fill="FFFFFF"/>
        </w:rPr>
        <w:t>, P., 2019. Multinational financial management. John Wiley &amp; Sons.</w:t>
      </w:r>
    </w:p>
    <w:p w14:paraId="4AA84C69" w14:textId="77777777" w:rsidR="00302D23" w:rsidRPr="003B0A36" w:rsidRDefault="00302D23" w:rsidP="00302D23">
      <w:pPr>
        <w:rPr>
          <w:shd w:val="clear" w:color="auto" w:fill="FFFFFF"/>
        </w:rPr>
      </w:pPr>
      <w:r w:rsidRPr="003B0A36">
        <w:rPr>
          <w:shd w:val="clear" w:color="auto" w:fill="FFFFFF"/>
        </w:rPr>
        <w:t>Shim, J.K., 2022. Financial management. Professor of Finance and Accounting Queens College City University of New York.</w:t>
      </w:r>
    </w:p>
    <w:p w14:paraId="358825D9" w14:textId="798EEDD6" w:rsidR="00302D23" w:rsidRPr="003B0A36" w:rsidRDefault="00302D23" w:rsidP="00302D23">
      <w:pPr>
        <w:pStyle w:val="NoSpacing"/>
        <w:spacing w:line="360" w:lineRule="auto"/>
        <w:rPr>
          <w:lang w:val="en-IN"/>
        </w:rPr>
      </w:pPr>
      <w:r w:rsidRPr="003B0A36">
        <w:rPr>
          <w:lang w:val="en-IN"/>
        </w:rPr>
        <w:t xml:space="preserve">uk.finance.yahoo.com. (2023). Accor SA (AC.PA) stock price, news, quote &amp; </w:t>
      </w:r>
      <w:r w:rsidR="004661F1" w:rsidRPr="003B0A36">
        <w:rPr>
          <w:lang w:val="en-IN"/>
        </w:rPr>
        <w:t xml:space="preserve">and </w:t>
      </w:r>
      <w:r w:rsidRPr="003B0A36">
        <w:rPr>
          <w:lang w:val="en-IN"/>
        </w:rPr>
        <w:t>history – Yahoo Finance. [online] Available at: https://uk.finance.yahoo.com/quote/ac.pa/ [Accessed 27 Jan. 2024].</w:t>
      </w:r>
    </w:p>
    <w:p w14:paraId="4320CE2C" w14:textId="66065314" w:rsidR="00302D23" w:rsidRPr="003B0A36" w:rsidRDefault="00302D23" w:rsidP="00302D23">
      <w:pPr>
        <w:pStyle w:val="NoSpacing"/>
        <w:spacing w:line="360" w:lineRule="auto"/>
        <w:rPr>
          <w:lang w:val="en-IN"/>
        </w:rPr>
      </w:pPr>
      <w:r w:rsidRPr="003B0A36">
        <w:rPr>
          <w:lang w:val="en-IN"/>
        </w:rPr>
        <w:t>Walker J (2021) Introduction to Hospitality, Harlow, Pearson</w:t>
      </w:r>
      <w:r w:rsidR="00F74ED4">
        <w:rPr>
          <w:lang w:val="en-IN"/>
        </w:rPr>
        <w:t>.</w:t>
      </w:r>
    </w:p>
    <w:p w14:paraId="5C924DBE" w14:textId="7B471E21" w:rsidR="00302D23" w:rsidRPr="003B0A36" w:rsidRDefault="00302D23" w:rsidP="00302D23">
      <w:pPr>
        <w:pStyle w:val="NoSpacing"/>
        <w:spacing w:line="360" w:lineRule="auto"/>
        <w:rPr>
          <w:lang w:val="en-IN"/>
        </w:rPr>
      </w:pPr>
      <w:proofErr w:type="spellStart"/>
      <w:r w:rsidRPr="003B0A36">
        <w:rPr>
          <w:lang w:val="en-IN"/>
        </w:rPr>
        <w:t>whoswho</w:t>
      </w:r>
      <w:proofErr w:type="spellEnd"/>
      <w:r w:rsidRPr="003B0A36">
        <w:rPr>
          <w:lang w:val="en-IN"/>
        </w:rPr>
        <w:t>.</w:t>
      </w:r>
      <w:r w:rsidR="004661F1" w:rsidRPr="003B0A36">
        <w:rPr>
          <w:lang w:val="en-IN"/>
        </w:rPr>
        <w:t xml:space="preserve"> </w:t>
      </w:r>
      <w:r w:rsidRPr="003B0A36">
        <w:rPr>
          <w:lang w:val="en-IN"/>
        </w:rPr>
        <w:t>mt. (2023). Corinthia to inaugurate seven new hotels by 2026. [online] Available at: https://whoswho.mt/en/corinthia-to-inaugurate-seven-new-hotels-by-2026#:~:text=Corinthia%20Group%20has%20seven%20hotels [Accessed 27 Jan. 2024].</w:t>
      </w:r>
    </w:p>
    <w:p w14:paraId="73BD511B" w14:textId="77777777" w:rsidR="00302D23" w:rsidRPr="003B0A36" w:rsidRDefault="00302D23" w:rsidP="00302D23">
      <w:pPr>
        <w:pStyle w:val="NoSpacing"/>
        <w:spacing w:line="360" w:lineRule="auto"/>
        <w:rPr>
          <w:lang w:val="en-IN"/>
        </w:rPr>
      </w:pPr>
      <w:r w:rsidRPr="003B0A36">
        <w:rPr>
          <w:lang w:val="en-IN"/>
        </w:rPr>
        <w:t xml:space="preserve">Zhang, C. (2022). Third-quarter 2022 revenue of €1,149 million up 83% like-for-like. [online] Accor – Newsroom. Available at: https://press.accor.com/third-quarter-2022-revenue-of-e1149-millionup-83-like-for-like/?lang=en [Accessed 27 Jan. 2024]. </w:t>
      </w:r>
    </w:p>
    <w:p w14:paraId="40DD65E8" w14:textId="77777777" w:rsidR="00302D23" w:rsidRPr="003B0A36" w:rsidRDefault="00302D23" w:rsidP="003E1F09">
      <w:pPr>
        <w:pStyle w:val="NoSpacing"/>
        <w:spacing w:line="360" w:lineRule="auto"/>
      </w:pPr>
    </w:p>
    <w:sectPr w:rsidR="00302D23" w:rsidRPr="003B0A36" w:rsidSect="009E65D9">
      <w:footerReference w:type="default" r:id="rId13"/>
      <w:pgSz w:w="11909" w:h="16834"/>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11FFFD" w14:textId="77777777" w:rsidR="009E65D9" w:rsidRDefault="009E65D9" w:rsidP="00610102">
      <w:pPr>
        <w:spacing w:line="240" w:lineRule="auto"/>
      </w:pPr>
      <w:r>
        <w:separator/>
      </w:r>
    </w:p>
  </w:endnote>
  <w:endnote w:type="continuationSeparator" w:id="0">
    <w:p w14:paraId="37046D7F" w14:textId="77777777" w:rsidR="009E65D9" w:rsidRDefault="009E65D9" w:rsidP="0061010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6020414"/>
      <w:docPartObj>
        <w:docPartGallery w:val="Page Numbers (Bottom of Page)"/>
        <w:docPartUnique/>
      </w:docPartObj>
    </w:sdtPr>
    <w:sdtEndPr>
      <w:rPr>
        <w:noProof/>
      </w:rPr>
    </w:sdtEndPr>
    <w:sdtContent>
      <w:p w14:paraId="184CC793" w14:textId="77777777" w:rsidR="00610102" w:rsidRDefault="00610102">
        <w:pPr>
          <w:pStyle w:val="Footer"/>
          <w:jc w:val="right"/>
        </w:pPr>
        <w:r>
          <w:fldChar w:fldCharType="begin"/>
        </w:r>
        <w:r>
          <w:instrText xml:space="preserve"> PAGE   \* MERGEFORMAT </w:instrText>
        </w:r>
        <w:r>
          <w:fldChar w:fldCharType="separate"/>
        </w:r>
        <w:r w:rsidR="00302D23">
          <w:rPr>
            <w:noProof/>
          </w:rPr>
          <w:t>9</w:t>
        </w:r>
        <w:r>
          <w:rPr>
            <w:noProof/>
          </w:rPr>
          <w:fldChar w:fldCharType="end"/>
        </w:r>
      </w:p>
    </w:sdtContent>
  </w:sdt>
  <w:p w14:paraId="54911CA8" w14:textId="77777777" w:rsidR="00610102" w:rsidRDefault="006101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ACDCF8" w14:textId="77777777" w:rsidR="009E65D9" w:rsidRDefault="009E65D9" w:rsidP="00610102">
      <w:pPr>
        <w:spacing w:line="240" w:lineRule="auto"/>
      </w:pPr>
      <w:r>
        <w:separator/>
      </w:r>
    </w:p>
  </w:footnote>
  <w:footnote w:type="continuationSeparator" w:id="0">
    <w:p w14:paraId="245405BE" w14:textId="77777777" w:rsidR="009E65D9" w:rsidRDefault="009E65D9" w:rsidP="0061010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4D4453"/>
    <w:multiLevelType w:val="multilevel"/>
    <w:tmpl w:val="DC2289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4B5258F"/>
    <w:multiLevelType w:val="hybridMultilevel"/>
    <w:tmpl w:val="172E82D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B7262ED"/>
    <w:multiLevelType w:val="hybridMultilevel"/>
    <w:tmpl w:val="D9F08DF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589079737">
    <w:abstractNumId w:val="0"/>
  </w:num>
  <w:num w:numId="2" w16cid:durableId="1448546843">
    <w:abstractNumId w:val="2"/>
  </w:num>
  <w:num w:numId="3" w16cid:durableId="3261280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4C3F"/>
    <w:rsid w:val="000A0880"/>
    <w:rsid w:val="00253150"/>
    <w:rsid w:val="002C2A6B"/>
    <w:rsid w:val="00302D23"/>
    <w:rsid w:val="003B0A36"/>
    <w:rsid w:val="003B7AE4"/>
    <w:rsid w:val="003E1F09"/>
    <w:rsid w:val="00430776"/>
    <w:rsid w:val="0046244F"/>
    <w:rsid w:val="004661F1"/>
    <w:rsid w:val="004968CB"/>
    <w:rsid w:val="00610102"/>
    <w:rsid w:val="0076446E"/>
    <w:rsid w:val="007F4C3F"/>
    <w:rsid w:val="008C3179"/>
    <w:rsid w:val="009B00AF"/>
    <w:rsid w:val="009E65D9"/>
    <w:rsid w:val="00AA3235"/>
    <w:rsid w:val="00AD19C2"/>
    <w:rsid w:val="00AE1A49"/>
    <w:rsid w:val="00AF6B70"/>
    <w:rsid w:val="00B54D88"/>
    <w:rsid w:val="00B93B22"/>
    <w:rsid w:val="00CD4F87"/>
    <w:rsid w:val="00E1314D"/>
    <w:rsid w:val="00E135ED"/>
    <w:rsid w:val="00E3381F"/>
    <w:rsid w:val="00F14CAC"/>
    <w:rsid w:val="00F16CB5"/>
    <w:rsid w:val="00F74ED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B76291"/>
  <w15:docId w15:val="{D059467D-25C9-4292-B70F-ED80E16831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B54D88"/>
    <w:pPr>
      <w:outlineLvl w:val="0"/>
    </w:pPr>
    <w:rPr>
      <w:b/>
    </w:rPr>
  </w:style>
  <w:style w:type="paragraph" w:styleId="Heading2">
    <w:name w:val="heading 2"/>
    <w:basedOn w:val="Normal"/>
    <w:next w:val="Normal"/>
    <w:rsid w:val="00B54D88"/>
    <w:pPr>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NoSpacing">
    <w:name w:val="No Spacing"/>
    <w:link w:val="NoSpacingChar"/>
    <w:uiPriority w:val="1"/>
    <w:qFormat/>
    <w:rsid w:val="00B54D88"/>
    <w:pPr>
      <w:spacing w:line="240" w:lineRule="auto"/>
    </w:pPr>
    <w:rPr>
      <w:lang w:val="en-GB"/>
    </w:rPr>
  </w:style>
  <w:style w:type="paragraph" w:styleId="TOCHeading">
    <w:name w:val="TOC Heading"/>
    <w:basedOn w:val="Heading1"/>
    <w:next w:val="Normal"/>
    <w:uiPriority w:val="39"/>
    <w:unhideWhenUsed/>
    <w:qFormat/>
    <w:rsid w:val="00B54D88"/>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54D88"/>
    <w:pPr>
      <w:spacing w:after="100"/>
    </w:pPr>
  </w:style>
  <w:style w:type="paragraph" w:styleId="TOC2">
    <w:name w:val="toc 2"/>
    <w:basedOn w:val="Normal"/>
    <w:next w:val="Normal"/>
    <w:autoRedefine/>
    <w:uiPriority w:val="39"/>
    <w:unhideWhenUsed/>
    <w:rsid w:val="00B54D88"/>
    <w:pPr>
      <w:spacing w:after="100"/>
      <w:ind w:left="240"/>
    </w:pPr>
  </w:style>
  <w:style w:type="character" w:styleId="Hyperlink">
    <w:name w:val="Hyperlink"/>
    <w:basedOn w:val="DefaultParagraphFont"/>
    <w:uiPriority w:val="99"/>
    <w:unhideWhenUsed/>
    <w:rsid w:val="00B54D88"/>
    <w:rPr>
      <w:color w:val="0000FF" w:themeColor="hyperlink"/>
      <w:u w:val="single"/>
    </w:rPr>
  </w:style>
  <w:style w:type="paragraph" w:styleId="Header">
    <w:name w:val="header"/>
    <w:basedOn w:val="Normal"/>
    <w:link w:val="HeaderChar"/>
    <w:uiPriority w:val="99"/>
    <w:unhideWhenUsed/>
    <w:rsid w:val="00610102"/>
    <w:pPr>
      <w:tabs>
        <w:tab w:val="center" w:pos="4513"/>
        <w:tab w:val="right" w:pos="9026"/>
      </w:tabs>
      <w:spacing w:line="240" w:lineRule="auto"/>
    </w:pPr>
  </w:style>
  <w:style w:type="character" w:customStyle="1" w:styleId="HeaderChar">
    <w:name w:val="Header Char"/>
    <w:basedOn w:val="DefaultParagraphFont"/>
    <w:link w:val="Header"/>
    <w:uiPriority w:val="99"/>
    <w:rsid w:val="00610102"/>
    <w:rPr>
      <w:lang w:val="en-GB"/>
    </w:rPr>
  </w:style>
  <w:style w:type="paragraph" w:styleId="Footer">
    <w:name w:val="footer"/>
    <w:basedOn w:val="Normal"/>
    <w:link w:val="FooterChar"/>
    <w:uiPriority w:val="99"/>
    <w:unhideWhenUsed/>
    <w:rsid w:val="00610102"/>
    <w:pPr>
      <w:tabs>
        <w:tab w:val="center" w:pos="4513"/>
        <w:tab w:val="right" w:pos="9026"/>
      </w:tabs>
      <w:spacing w:line="240" w:lineRule="auto"/>
    </w:pPr>
  </w:style>
  <w:style w:type="character" w:customStyle="1" w:styleId="FooterChar">
    <w:name w:val="Footer Char"/>
    <w:basedOn w:val="DefaultParagraphFont"/>
    <w:link w:val="Footer"/>
    <w:uiPriority w:val="99"/>
    <w:rsid w:val="00610102"/>
    <w:rPr>
      <w:lang w:val="en-GB"/>
    </w:rPr>
  </w:style>
  <w:style w:type="paragraph" w:styleId="ListParagraph">
    <w:name w:val="List Paragraph"/>
    <w:basedOn w:val="Normal"/>
    <w:uiPriority w:val="34"/>
    <w:qFormat/>
    <w:rsid w:val="00302D23"/>
    <w:pPr>
      <w:ind w:left="720"/>
      <w:contextualSpacing/>
    </w:pPr>
  </w:style>
  <w:style w:type="paragraph" w:styleId="TOC3">
    <w:name w:val="toc 3"/>
    <w:basedOn w:val="Normal"/>
    <w:next w:val="Normal"/>
    <w:autoRedefine/>
    <w:uiPriority w:val="39"/>
    <w:unhideWhenUsed/>
    <w:rsid w:val="004968CB"/>
    <w:pPr>
      <w:spacing w:after="100" w:line="259" w:lineRule="auto"/>
      <w:ind w:left="440"/>
      <w:jc w:val="left"/>
    </w:pPr>
    <w:rPr>
      <w:rFonts w:asciiTheme="minorHAnsi" w:eastAsiaTheme="minorEastAsia" w:hAnsiTheme="minorHAnsi"/>
      <w:sz w:val="22"/>
      <w:szCs w:val="22"/>
      <w:lang w:val="en-US" w:eastAsia="en-US"/>
    </w:rPr>
  </w:style>
  <w:style w:type="character" w:customStyle="1" w:styleId="NoSpacingChar">
    <w:name w:val="No Spacing Char"/>
    <w:basedOn w:val="DefaultParagraphFont"/>
    <w:link w:val="NoSpacing"/>
    <w:uiPriority w:val="1"/>
    <w:rsid w:val="00430776"/>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7241433039C4A2A94A5F127D38F6C88"/>
        <w:category>
          <w:name w:val="General"/>
          <w:gallery w:val="placeholder"/>
        </w:category>
        <w:types>
          <w:type w:val="bbPlcHdr"/>
        </w:types>
        <w:behaviors>
          <w:behavior w:val="content"/>
        </w:behaviors>
        <w:guid w:val="{5C48C7D7-D8AC-4502-A48B-67F35069AE8D}"/>
      </w:docPartPr>
      <w:docPartBody>
        <w:p w:rsidR="00896298" w:rsidRDefault="00016B77" w:rsidP="00016B77">
          <w:pPr>
            <w:pStyle w:val="A7241433039C4A2A94A5F127D38F6C88"/>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B77"/>
    <w:rsid w:val="00016B77"/>
    <w:rsid w:val="00110DCF"/>
    <w:rsid w:val="00271D40"/>
    <w:rsid w:val="0028653B"/>
    <w:rsid w:val="00425A6B"/>
    <w:rsid w:val="00554DBD"/>
    <w:rsid w:val="00896298"/>
    <w:rsid w:val="00B05473"/>
    <w:rsid w:val="00CB608B"/>
    <w:rsid w:val="00D93C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7241433039C4A2A94A5F127D38F6C88">
    <w:name w:val="A7241433039C4A2A94A5F127D38F6C88"/>
    <w:rsid w:val="00016B7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The Module Title: Financial Management for the Hotel Industry BMIH5007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EACCFDA-66A8-49BA-A681-8DA97FAD58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2466</Words>
  <Characters>15751</Characters>
  <Application>Microsoft Office Word</Application>
  <DocSecurity>0</DocSecurity>
  <Lines>258</Lines>
  <Paragraphs>70</Paragraphs>
  <ScaleCrop>false</ScaleCrop>
  <HeadingPairs>
    <vt:vector size="2" baseType="variant">
      <vt:variant>
        <vt:lpstr>Title</vt:lpstr>
      </vt:variant>
      <vt:variant>
        <vt:i4>1</vt:i4>
      </vt:variant>
    </vt:vector>
  </HeadingPairs>
  <TitlesOfParts>
    <vt:vector size="1" baseType="lpstr">
      <vt:lpstr>COMPARISON OF TWO HOSPITALITY ORGANISATIONS</vt:lpstr>
    </vt:vector>
  </TitlesOfParts>
  <Company/>
  <LinksUpToDate>false</LinksUpToDate>
  <CharactersWithSpaces>18189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COMPARISON OF TWO HOSPITALITY ORGANISATIONS</dc:title>
  <dc:subject/>
  <cp:lastModifiedBy>Ada Roman (2207421)</cp:lastModifiedBy>
  <cp:revision>16</cp:revision>
  <dcterms:created xsi:type="dcterms:W3CDTF">2024-01-27T10:06:00Z</dcterms:created>
  <dcterms:modified xsi:type="dcterms:W3CDTF">2024-02-02T17:24:00Z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7168d20fd4f64ee86e529ff4bb04214362ad6a817037d7010863577dabb168c3</vt:lpwstr>
  </property>
</Properties>
</file>