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4D5F5" w:themeColor="accent2" w:themeTint="33"/>
  <w:body>
    <w:p w14:paraId="268659B3" w14:textId="2FE977ED" w:rsidR="00D27676" w:rsidRDefault="00D27676" w:rsidP="000F5148"/>
    <w:sdt>
      <w:sdtPr>
        <w:id w:val="1774505571"/>
        <w:docPartObj>
          <w:docPartGallery w:val="Cover Pages"/>
          <w:docPartUnique/>
        </w:docPartObj>
      </w:sdtPr>
      <w:sdtEndPr/>
      <w:sdtContent>
        <w:p w14:paraId="7B2F09DC" w14:textId="6789A4DB" w:rsidR="000F5148" w:rsidRPr="00517546" w:rsidRDefault="00AF4BAA" w:rsidP="000F5148">
          <w:pPr>
            <w:rPr>
              <w:sz w:val="52"/>
              <w:szCs w:val="52"/>
            </w:rPr>
          </w:pPr>
          <w:r w:rsidRPr="00517546">
            <w:rPr>
              <w:noProof/>
            </w:rPr>
            <mc:AlternateContent>
              <mc:Choice Requires="wps">
                <w:drawing>
                  <wp:anchor distT="0" distB="0" distL="114300" distR="114300" simplePos="0" relativeHeight="251658240" behindDoc="0" locked="0" layoutInCell="1" allowOverlap="1" wp14:anchorId="14417642" wp14:editId="271DA493">
                    <wp:simplePos x="0" y="0"/>
                    <wp:positionH relativeFrom="page">
                      <wp:posOffset>225083</wp:posOffset>
                    </wp:positionH>
                    <wp:positionV relativeFrom="page">
                      <wp:posOffset>1216855</wp:posOffset>
                    </wp:positionV>
                    <wp:extent cx="1712890" cy="8693834"/>
                    <wp:effectExtent l="0" t="0" r="0" b="0"/>
                    <wp:wrapNone/>
                    <wp:docPr id="138" name="Text Box 139"/>
                    <wp:cNvGraphicFramePr/>
                    <a:graphic xmlns:a="http://schemas.openxmlformats.org/drawingml/2006/main">
                      <a:graphicData uri="http://schemas.microsoft.com/office/word/2010/wordprocessingShape">
                        <wps:wsp>
                          <wps:cNvSpPr txBox="1"/>
                          <wps:spPr>
                            <a:xfrm>
                              <a:off x="0" y="0"/>
                              <a:ext cx="1712890" cy="869383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830CC" w:themeColor="accent2"/>
                                  </w:tblBorders>
                                  <w:tblCellMar>
                                    <w:top w:w="1296" w:type="dxa"/>
                                    <w:left w:w="360" w:type="dxa"/>
                                    <w:bottom w:w="1296" w:type="dxa"/>
                                    <w:right w:w="360" w:type="dxa"/>
                                  </w:tblCellMar>
                                  <w:tblLook w:val="04A0" w:firstRow="1" w:lastRow="0" w:firstColumn="1" w:lastColumn="0" w:noHBand="0" w:noVBand="1"/>
                                </w:tblPr>
                                <w:tblGrid>
                                  <w:gridCol w:w="5881"/>
                                  <w:gridCol w:w="1992"/>
                                </w:tblGrid>
                                <w:tr w:rsidR="000F5148" w:rsidRPr="00517546" w14:paraId="4A77D3A3" w14:textId="77777777">
                                  <w:trPr>
                                    <w:jc w:val="center"/>
                                  </w:trPr>
                                  <w:tc>
                                    <w:tcPr>
                                      <w:tcW w:w="2568" w:type="pct"/>
                                      <w:vAlign w:val="center"/>
                                    </w:tcPr>
                                    <w:p w14:paraId="1A7BBBC8" w14:textId="5B6540FC" w:rsidR="000F5148" w:rsidRPr="00517546" w:rsidRDefault="00C870D1">
                                      <w:pPr>
                                        <w:jc w:val="right"/>
                                      </w:pPr>
                                      <w:r w:rsidRPr="00517546">
                                        <w:rPr>
                                          <w:noProof/>
                                        </w:rPr>
                                        <w:drawing>
                                          <wp:inline distT="0" distB="0" distL="0" distR="0" wp14:anchorId="3C96397E" wp14:editId="43995C4F">
                                            <wp:extent cx="3277235" cy="3154127"/>
                                            <wp:effectExtent l="0" t="0" r="0" b="8255"/>
                                            <wp:docPr id="13022647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90144" cy="3166551"/>
                                                    </a:xfrm>
                                                    <a:prstGeom prst="rect">
                                                      <a:avLst/>
                                                    </a:prstGeom>
                                                    <a:noFill/>
                                                    <a:ln>
                                                      <a:noFill/>
                                                    </a:ln>
                                                  </pic:spPr>
                                                </pic:pic>
                                              </a:graphicData>
                                            </a:graphic>
                                          </wp:inline>
                                        </w:drawing>
                                      </w:r>
                                    </w:p>
                                    <w:sdt>
                                      <w:sdtPr>
                                        <w:rPr>
                                          <w:caps/>
                                          <w:color w:val="191919" w:themeColor="text1" w:themeTint="E6"/>
                                          <w:sz w:val="72"/>
                                          <w:szCs w:val="72"/>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7DFB0FA" w14:textId="41D58CB2" w:rsidR="000F5148" w:rsidRPr="00517546" w:rsidRDefault="0071282E">
                                          <w:pPr>
                                            <w:pStyle w:val="NoSpacing"/>
                                            <w:spacing w:line="312" w:lineRule="auto"/>
                                            <w:jc w:val="right"/>
                                            <w:rPr>
                                              <w:caps/>
                                              <w:color w:val="191919" w:themeColor="text1" w:themeTint="E6"/>
                                              <w:sz w:val="72"/>
                                              <w:szCs w:val="72"/>
                                              <w:lang w:val="en-GB"/>
                                            </w:rPr>
                                          </w:pPr>
                                          <w:r w:rsidRPr="00517546">
                                            <w:rPr>
                                              <w:caps/>
                                              <w:color w:val="191919" w:themeColor="text1" w:themeTint="E6"/>
                                              <w:sz w:val="72"/>
                                              <w:szCs w:val="72"/>
                                              <w:lang w:val="en-GB"/>
                                            </w:rPr>
                                            <w:t>rem</w:t>
                                          </w:r>
                                          <w:r w:rsidR="003A7149" w:rsidRPr="00517546">
                                            <w:rPr>
                                              <w:caps/>
                                              <w:color w:val="191919" w:themeColor="text1" w:themeTint="E6"/>
                                              <w:sz w:val="72"/>
                                              <w:szCs w:val="72"/>
                                              <w:lang w:val="en-GB"/>
                                            </w:rPr>
                                            <w:t>e</w:t>
                                          </w:r>
                                          <w:r w:rsidRPr="00517546">
                                            <w:rPr>
                                              <w:caps/>
                                              <w:color w:val="191919" w:themeColor="text1" w:themeTint="E6"/>
                                              <w:sz w:val="72"/>
                                              <w:szCs w:val="72"/>
                                              <w:lang w:val="en-GB"/>
                                            </w:rPr>
                                            <w:t>d</w:t>
                                          </w:r>
                                          <w:r w:rsidR="003A7149" w:rsidRPr="00517546">
                                            <w:rPr>
                                              <w:caps/>
                                              <w:color w:val="191919" w:themeColor="text1" w:themeTint="E6"/>
                                              <w:sz w:val="72"/>
                                              <w:szCs w:val="72"/>
                                              <w:lang w:val="en-GB"/>
                                            </w:rPr>
                                            <w:t>i</w:t>
                                          </w:r>
                                          <w:r w:rsidRPr="00517546">
                                            <w:rPr>
                                              <w:caps/>
                                              <w:color w:val="191919" w:themeColor="text1" w:themeTint="E6"/>
                                              <w:sz w:val="72"/>
                                              <w:szCs w:val="72"/>
                                              <w:lang w:val="en-GB"/>
                                            </w:rPr>
                                            <w:t>ation</w:t>
                                          </w:r>
                                          <w:r w:rsidR="0079779E" w:rsidRPr="00517546">
                                            <w:rPr>
                                              <w:caps/>
                                              <w:color w:val="191919" w:themeColor="text1" w:themeTint="E6"/>
                                              <w:sz w:val="72"/>
                                              <w:szCs w:val="72"/>
                                              <w:lang w:val="en-GB"/>
                                            </w:rPr>
                                            <w:t xml:space="preserve"> of kilvey hill using biochar</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B952352" w14:textId="234FB7DB" w:rsidR="000F5148" w:rsidRPr="00517546" w:rsidRDefault="003A7149">
                                          <w:pPr>
                                            <w:jc w:val="right"/>
                                            <w:rPr>
                                              <w:sz w:val="24"/>
                                              <w:szCs w:val="24"/>
                                            </w:rPr>
                                          </w:pPr>
                                          <w:r w:rsidRPr="00517546">
                                            <w:rPr>
                                              <w:color w:val="000000" w:themeColor="text1"/>
                                              <w:sz w:val="24"/>
                                              <w:szCs w:val="24"/>
                                            </w:rPr>
                                            <w:t xml:space="preserve">Supervisor: </w:t>
                                          </w:r>
                                          <w:r w:rsidR="000A2741" w:rsidRPr="00517546">
                                            <w:rPr>
                                              <w:color w:val="000000" w:themeColor="text1"/>
                                              <w:sz w:val="24"/>
                                              <w:szCs w:val="24"/>
                                            </w:rPr>
                                            <w:t>Elanor Alun</w:t>
                                          </w:r>
                                        </w:p>
                                      </w:sdtContent>
                                    </w:sdt>
                                  </w:tc>
                                  <w:tc>
                                    <w:tcPr>
                                      <w:tcW w:w="2432" w:type="pct"/>
                                      <w:vAlign w:val="center"/>
                                    </w:tcPr>
                                    <w:p w14:paraId="237907B3" w14:textId="77BCF49F" w:rsidR="000F5148" w:rsidRPr="00517546" w:rsidRDefault="000F5148">
                                      <w:pPr>
                                        <w:pStyle w:val="NoSpacing"/>
                                        <w:rPr>
                                          <w:caps/>
                                          <w:color w:val="D404A7"/>
                                          <w:sz w:val="26"/>
                                          <w:szCs w:val="26"/>
                                          <w:lang w:val="en-GB"/>
                                        </w:rPr>
                                      </w:pPr>
                                    </w:p>
                                    <w:p w14:paraId="75D4F564" w14:textId="77777777" w:rsidR="00DB7BC2" w:rsidRPr="00517546" w:rsidRDefault="000F5148" w:rsidP="00DB7BC2">
                                      <w:pPr>
                                        <w:pStyle w:val="NoSpacing"/>
                                        <w:rPr>
                                          <w:color w:val="D404A7"/>
                                          <w:sz w:val="26"/>
                                          <w:szCs w:val="26"/>
                                          <w:lang w:val="en-GB"/>
                                        </w:rPr>
                                      </w:pPr>
                                      <w:r w:rsidRPr="00517546">
                                        <w:rPr>
                                          <w:color w:val="D404A7"/>
                                          <w:sz w:val="26"/>
                                          <w:szCs w:val="26"/>
                                          <w:lang w:val="en-GB"/>
                                        </w:rPr>
                                        <w:t>Ysabelle Tuddenham</w:t>
                                      </w:r>
                                    </w:p>
                                    <w:p w14:paraId="398A785B" w14:textId="7FE76D51" w:rsidR="00DB7BC2" w:rsidRPr="00517546" w:rsidRDefault="00DB7BC2" w:rsidP="00DB7BC2">
                                      <w:pPr>
                                        <w:pStyle w:val="NoSpacing"/>
                                        <w:rPr>
                                          <w:lang w:val="en-GB"/>
                                        </w:rPr>
                                      </w:pPr>
                                      <w:r w:rsidRPr="00517546">
                                        <w:rPr>
                                          <w:lang w:val="en-GB"/>
                                        </w:rPr>
                                        <w:t>220544</w:t>
                                      </w:r>
                                      <w:r w:rsidR="00AF4BAA" w:rsidRPr="00517546">
                                        <w:rPr>
                                          <w:lang w:val="en-GB"/>
                                        </w:rPr>
                                        <w:t>5</w:t>
                                      </w:r>
                                    </w:p>
                                    <w:p w14:paraId="72D959B5" w14:textId="7F7F9EBC" w:rsidR="007628B6" w:rsidRPr="00517546" w:rsidRDefault="007628B6" w:rsidP="00DB7BC2">
                                      <w:pPr>
                                        <w:pStyle w:val="NoSpacing"/>
                                        <w:rPr>
                                          <w:lang w:val="en-GB"/>
                                        </w:rPr>
                                      </w:pPr>
                                      <w:r w:rsidRPr="00517546">
                                        <w:rPr>
                                          <w:lang w:val="en-GB"/>
                                        </w:rPr>
                                        <w:t>May 2026</w:t>
                                      </w:r>
                                    </w:p>
                                    <w:p w14:paraId="564259B2" w14:textId="2F665515" w:rsidR="000F5148" w:rsidRPr="00517546" w:rsidRDefault="00014402" w:rsidP="00DB7BC2">
                                      <w:pPr>
                                        <w:pStyle w:val="NoSpacing"/>
                                        <w:rPr>
                                          <w:color w:val="C830CC" w:themeColor="accent2"/>
                                          <w:sz w:val="26"/>
                                          <w:szCs w:val="26"/>
                                          <w:lang w:val="en-GB"/>
                                        </w:rPr>
                                      </w:pPr>
                                      <w:sdt>
                                        <w:sdtPr>
                                          <w:rPr>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DB7BC2" w:rsidRPr="00517546">
                                            <w:rPr>
                                              <w:lang w:val="en-GB"/>
                                            </w:rPr>
                                            <w:t xml:space="preserve">Environment </w:t>
                                          </w:r>
                                          <w:r w:rsidR="003A7149" w:rsidRPr="00517546">
                                            <w:rPr>
                                              <w:lang w:val="en-GB"/>
                                            </w:rPr>
                                            <w:t>S</w:t>
                                          </w:r>
                                          <w:r w:rsidR="00DB7BC2" w:rsidRPr="00517546">
                                            <w:rPr>
                                              <w:lang w:val="en-GB"/>
                                            </w:rPr>
                                            <w:t xml:space="preserve">ustainability and </w:t>
                                          </w:r>
                                          <w:r w:rsidR="003A7149" w:rsidRPr="00517546">
                                            <w:rPr>
                                              <w:lang w:val="en-GB"/>
                                            </w:rPr>
                                            <w:t>C</w:t>
                                          </w:r>
                                          <w:r w:rsidR="00DB7BC2" w:rsidRPr="00517546">
                                            <w:rPr>
                                              <w:lang w:val="en-GB"/>
                                            </w:rPr>
                                            <w:t xml:space="preserve">limate </w:t>
                                          </w:r>
                                          <w:r w:rsidR="003A7149" w:rsidRPr="00517546">
                                            <w:rPr>
                                              <w:lang w:val="en-GB"/>
                                            </w:rPr>
                                            <w:t>C</w:t>
                                          </w:r>
                                          <w:r w:rsidR="00DB7BC2" w:rsidRPr="00517546">
                                            <w:rPr>
                                              <w:lang w:val="en-GB"/>
                                            </w:rPr>
                                            <w:t>hange</w:t>
                                          </w:r>
                                        </w:sdtContent>
                                      </w:sdt>
                                    </w:p>
                                  </w:tc>
                                </w:tr>
                              </w:tbl>
                              <w:p w14:paraId="71FEE31D" w14:textId="77777777" w:rsidR="000F5148" w:rsidRPr="00517546" w:rsidRDefault="000F514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4417642" id="_x0000_t202" coordsize="21600,21600" o:spt="202" path="m,l,21600r21600,l21600,xe">
                    <v:stroke joinstyle="miter"/>
                    <v:path gradientshapeok="t" o:connecttype="rect"/>
                  </v:shapetype>
                  <v:shape id="Text Box 139" o:spid="_x0000_s1026" type="#_x0000_t202" style="position:absolute;margin-left:17.7pt;margin-top:95.8pt;width:134.85pt;height:684.55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" fillcolor="white [3201]" stroked="f" strokeweight=".5pt">
                    <v:textbox inset="0,0,0,0">
                      <w:txbxContent>
                        <w:tbl>
                          <w:tblPr>
                            <w:tblW w:w="5000" w:type="pct"/>
                            <w:jc w:val="center"/>
                            <w:tblBorders>
                              <w:insideV w:val="single" w:sz="12" w:space="0" w:color="C830CC" w:themeColor="accent2"/>
                            </w:tblBorders>
                            <w:tblCellMar>
                              <w:top w:w="1296" w:type="dxa"/>
                              <w:left w:w="360" w:type="dxa"/>
                              <w:bottom w:w="1296" w:type="dxa"/>
                              <w:right w:w="360" w:type="dxa"/>
                            </w:tblCellMar>
                            <w:tblLook w:val="04A0" w:firstRow="1" w:lastRow="0" w:firstColumn="1" w:lastColumn="0" w:noHBand="0" w:noVBand="1"/>
                          </w:tblPr>
                          <w:tblGrid>
                            <w:gridCol w:w="5881"/>
                            <w:gridCol w:w="1992"/>
                          </w:tblGrid>
                          <w:tr w:rsidR="000F5148" w:rsidRPr="00517546" w14:paraId="4A77D3A3" w14:textId="77777777">
                            <w:trPr>
                              <w:jc w:val="center"/>
                            </w:trPr>
                            <w:tc>
                              <w:tcPr>
                                <w:tcW w:w="2568" w:type="pct"/>
                                <w:vAlign w:val="center"/>
                              </w:tcPr>
                              <w:p w14:paraId="1A7BBBC8" w14:textId="5B6540FC" w:rsidR="000F5148" w:rsidRPr="00517546" w:rsidRDefault="00C870D1">
                                <w:pPr>
                                  <w:jc w:val="right"/>
                                </w:pPr>
                                <w:r w:rsidRPr="00517546">
                                  <w:rPr>
                                    <w:noProof/>
                                  </w:rPr>
                                  <w:drawing>
                                    <wp:inline distT="0" distB="0" distL="0" distR="0" wp14:anchorId="3C96397E" wp14:editId="43995C4F">
                                      <wp:extent cx="3277235" cy="3154127"/>
                                      <wp:effectExtent l="0" t="0" r="0" b="8255"/>
                                      <wp:docPr id="13022647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90144" cy="3166551"/>
                                              </a:xfrm>
                                              <a:prstGeom prst="rect">
                                                <a:avLst/>
                                              </a:prstGeom>
                                              <a:noFill/>
                                              <a:ln>
                                                <a:noFill/>
                                              </a:ln>
                                            </pic:spPr>
                                          </pic:pic>
                                        </a:graphicData>
                                      </a:graphic>
                                    </wp:inline>
                                  </w:drawing>
                                </w:r>
                              </w:p>
                              <w:sdt>
                                <w:sdtPr>
                                  <w:rPr>
                                    <w:caps/>
                                    <w:color w:val="191919" w:themeColor="text1" w:themeTint="E6"/>
                                    <w:sz w:val="72"/>
                                    <w:szCs w:val="72"/>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7DFB0FA" w14:textId="41D58CB2" w:rsidR="000F5148" w:rsidRPr="00517546" w:rsidRDefault="0071282E">
                                    <w:pPr>
                                      <w:pStyle w:val="NoSpacing"/>
                                      <w:spacing w:line="312" w:lineRule="auto"/>
                                      <w:jc w:val="right"/>
                                      <w:rPr>
                                        <w:caps/>
                                        <w:color w:val="191919" w:themeColor="text1" w:themeTint="E6"/>
                                        <w:sz w:val="72"/>
                                        <w:szCs w:val="72"/>
                                        <w:lang w:val="en-GB"/>
                                      </w:rPr>
                                    </w:pPr>
                                    <w:r w:rsidRPr="00517546">
                                      <w:rPr>
                                        <w:caps/>
                                        <w:color w:val="191919" w:themeColor="text1" w:themeTint="E6"/>
                                        <w:sz w:val="72"/>
                                        <w:szCs w:val="72"/>
                                        <w:lang w:val="en-GB"/>
                                      </w:rPr>
                                      <w:t>rem</w:t>
                                    </w:r>
                                    <w:r w:rsidR="003A7149" w:rsidRPr="00517546">
                                      <w:rPr>
                                        <w:caps/>
                                        <w:color w:val="191919" w:themeColor="text1" w:themeTint="E6"/>
                                        <w:sz w:val="72"/>
                                        <w:szCs w:val="72"/>
                                        <w:lang w:val="en-GB"/>
                                      </w:rPr>
                                      <w:t>e</w:t>
                                    </w:r>
                                    <w:r w:rsidRPr="00517546">
                                      <w:rPr>
                                        <w:caps/>
                                        <w:color w:val="191919" w:themeColor="text1" w:themeTint="E6"/>
                                        <w:sz w:val="72"/>
                                        <w:szCs w:val="72"/>
                                        <w:lang w:val="en-GB"/>
                                      </w:rPr>
                                      <w:t>d</w:t>
                                    </w:r>
                                    <w:r w:rsidR="003A7149" w:rsidRPr="00517546">
                                      <w:rPr>
                                        <w:caps/>
                                        <w:color w:val="191919" w:themeColor="text1" w:themeTint="E6"/>
                                        <w:sz w:val="72"/>
                                        <w:szCs w:val="72"/>
                                        <w:lang w:val="en-GB"/>
                                      </w:rPr>
                                      <w:t>i</w:t>
                                    </w:r>
                                    <w:r w:rsidRPr="00517546">
                                      <w:rPr>
                                        <w:caps/>
                                        <w:color w:val="191919" w:themeColor="text1" w:themeTint="E6"/>
                                        <w:sz w:val="72"/>
                                        <w:szCs w:val="72"/>
                                        <w:lang w:val="en-GB"/>
                                      </w:rPr>
                                      <w:t>ation</w:t>
                                    </w:r>
                                    <w:r w:rsidR="0079779E" w:rsidRPr="00517546">
                                      <w:rPr>
                                        <w:caps/>
                                        <w:color w:val="191919" w:themeColor="text1" w:themeTint="E6"/>
                                        <w:sz w:val="72"/>
                                        <w:szCs w:val="72"/>
                                        <w:lang w:val="en-GB"/>
                                      </w:rPr>
                                      <w:t xml:space="preserve"> of kilvey hill using biochar</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B952352" w14:textId="234FB7DB" w:rsidR="000F5148" w:rsidRPr="00517546" w:rsidRDefault="003A7149">
                                    <w:pPr>
                                      <w:jc w:val="right"/>
                                      <w:rPr>
                                        <w:sz w:val="24"/>
                                        <w:szCs w:val="24"/>
                                      </w:rPr>
                                    </w:pPr>
                                    <w:r w:rsidRPr="00517546">
                                      <w:rPr>
                                        <w:color w:val="000000" w:themeColor="text1"/>
                                        <w:sz w:val="24"/>
                                        <w:szCs w:val="24"/>
                                      </w:rPr>
                                      <w:t xml:space="preserve">Supervisor: </w:t>
                                    </w:r>
                                    <w:r w:rsidR="000A2741" w:rsidRPr="00517546">
                                      <w:rPr>
                                        <w:color w:val="000000" w:themeColor="text1"/>
                                        <w:sz w:val="24"/>
                                        <w:szCs w:val="24"/>
                                      </w:rPr>
                                      <w:t>Elanor Alun</w:t>
                                    </w:r>
                                  </w:p>
                                </w:sdtContent>
                              </w:sdt>
                            </w:tc>
                            <w:tc>
                              <w:tcPr>
                                <w:tcW w:w="2432" w:type="pct"/>
                                <w:vAlign w:val="center"/>
                              </w:tcPr>
                              <w:p w14:paraId="237907B3" w14:textId="77BCF49F" w:rsidR="000F5148" w:rsidRPr="00517546" w:rsidRDefault="000F5148">
                                <w:pPr>
                                  <w:pStyle w:val="NoSpacing"/>
                                  <w:rPr>
                                    <w:caps/>
                                    <w:color w:val="D404A7"/>
                                    <w:sz w:val="26"/>
                                    <w:szCs w:val="26"/>
                                    <w:lang w:val="en-GB"/>
                                  </w:rPr>
                                </w:pPr>
                              </w:p>
                              <w:p w14:paraId="75D4F564" w14:textId="77777777" w:rsidR="00DB7BC2" w:rsidRPr="00517546" w:rsidRDefault="000F5148" w:rsidP="00DB7BC2">
                                <w:pPr>
                                  <w:pStyle w:val="NoSpacing"/>
                                  <w:rPr>
                                    <w:color w:val="D404A7"/>
                                    <w:sz w:val="26"/>
                                    <w:szCs w:val="26"/>
                                    <w:lang w:val="en-GB"/>
                                  </w:rPr>
                                </w:pPr>
                                <w:r w:rsidRPr="00517546">
                                  <w:rPr>
                                    <w:color w:val="D404A7"/>
                                    <w:sz w:val="26"/>
                                    <w:szCs w:val="26"/>
                                    <w:lang w:val="en-GB"/>
                                  </w:rPr>
                                  <w:t>Ysabelle Tuddenham</w:t>
                                </w:r>
                              </w:p>
                              <w:p w14:paraId="398A785B" w14:textId="7FE76D51" w:rsidR="00DB7BC2" w:rsidRPr="00517546" w:rsidRDefault="00DB7BC2" w:rsidP="00DB7BC2">
                                <w:pPr>
                                  <w:pStyle w:val="NoSpacing"/>
                                  <w:rPr>
                                    <w:lang w:val="en-GB"/>
                                  </w:rPr>
                                </w:pPr>
                                <w:r w:rsidRPr="00517546">
                                  <w:rPr>
                                    <w:lang w:val="en-GB"/>
                                  </w:rPr>
                                  <w:t>220544</w:t>
                                </w:r>
                                <w:r w:rsidR="00AF4BAA" w:rsidRPr="00517546">
                                  <w:rPr>
                                    <w:lang w:val="en-GB"/>
                                  </w:rPr>
                                  <w:t>5</w:t>
                                </w:r>
                              </w:p>
                              <w:p w14:paraId="72D959B5" w14:textId="7F7F9EBC" w:rsidR="007628B6" w:rsidRPr="00517546" w:rsidRDefault="007628B6" w:rsidP="00DB7BC2">
                                <w:pPr>
                                  <w:pStyle w:val="NoSpacing"/>
                                  <w:rPr>
                                    <w:lang w:val="en-GB"/>
                                  </w:rPr>
                                </w:pPr>
                                <w:r w:rsidRPr="00517546">
                                  <w:rPr>
                                    <w:lang w:val="en-GB"/>
                                  </w:rPr>
                                  <w:t>May 2026</w:t>
                                </w:r>
                              </w:p>
                              <w:p w14:paraId="564259B2" w14:textId="2F665515" w:rsidR="000F5148" w:rsidRPr="00517546" w:rsidRDefault="00014402" w:rsidP="00DB7BC2">
                                <w:pPr>
                                  <w:pStyle w:val="NoSpacing"/>
                                  <w:rPr>
                                    <w:color w:val="C830CC" w:themeColor="accent2"/>
                                    <w:sz w:val="26"/>
                                    <w:szCs w:val="26"/>
                                    <w:lang w:val="en-GB"/>
                                  </w:rPr>
                                </w:pPr>
                                <w:sdt>
                                  <w:sdtPr>
                                    <w:rPr>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DB7BC2" w:rsidRPr="00517546">
                                      <w:rPr>
                                        <w:lang w:val="en-GB"/>
                                      </w:rPr>
                                      <w:t xml:space="preserve">Environment </w:t>
                                    </w:r>
                                    <w:r w:rsidR="003A7149" w:rsidRPr="00517546">
                                      <w:rPr>
                                        <w:lang w:val="en-GB"/>
                                      </w:rPr>
                                      <w:t>S</w:t>
                                    </w:r>
                                    <w:r w:rsidR="00DB7BC2" w:rsidRPr="00517546">
                                      <w:rPr>
                                        <w:lang w:val="en-GB"/>
                                      </w:rPr>
                                      <w:t xml:space="preserve">ustainability and </w:t>
                                    </w:r>
                                    <w:r w:rsidR="003A7149" w:rsidRPr="00517546">
                                      <w:rPr>
                                        <w:lang w:val="en-GB"/>
                                      </w:rPr>
                                      <w:t>C</w:t>
                                    </w:r>
                                    <w:r w:rsidR="00DB7BC2" w:rsidRPr="00517546">
                                      <w:rPr>
                                        <w:lang w:val="en-GB"/>
                                      </w:rPr>
                                      <w:t xml:space="preserve">limate </w:t>
                                    </w:r>
                                    <w:r w:rsidR="003A7149" w:rsidRPr="00517546">
                                      <w:rPr>
                                        <w:lang w:val="en-GB"/>
                                      </w:rPr>
                                      <w:t>C</w:t>
                                    </w:r>
                                    <w:r w:rsidR="00DB7BC2" w:rsidRPr="00517546">
                                      <w:rPr>
                                        <w:lang w:val="en-GB"/>
                                      </w:rPr>
                                      <w:t>hange</w:t>
                                    </w:r>
                                  </w:sdtContent>
                                </w:sdt>
                              </w:p>
                            </w:tc>
                          </w:tr>
                        </w:tbl>
                        <w:p w14:paraId="71FEE31D" w14:textId="77777777" w:rsidR="000F5148" w:rsidRPr="00517546" w:rsidRDefault="000F5148"/>
                      </w:txbxContent>
                    </v:textbox>
                    <w10:wrap anchorx="page" anchory="page"/>
                  </v:shape>
                </w:pict>
              </mc:Fallback>
            </mc:AlternateContent>
          </w:r>
          <w:r w:rsidR="00233F9A" w:rsidRPr="00517546">
            <w:rPr>
              <w:noProof/>
            </w:rPr>
            <w:drawing>
              <wp:anchor distT="0" distB="0" distL="114300" distR="114300" simplePos="0" relativeHeight="251658241" behindDoc="0" locked="0" layoutInCell="1" allowOverlap="1" wp14:anchorId="2CB6BD01" wp14:editId="4C06CE59">
                <wp:simplePos x="0" y="0"/>
                <wp:positionH relativeFrom="column">
                  <wp:posOffset>-365467</wp:posOffset>
                </wp:positionH>
                <wp:positionV relativeFrom="paragraph">
                  <wp:posOffset>261669</wp:posOffset>
                </wp:positionV>
                <wp:extent cx="2583180" cy="1289050"/>
                <wp:effectExtent l="0" t="0" r="7620" b="6350"/>
                <wp:wrapSquare wrapText="bothSides"/>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83180" cy="1289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CDA1C0" w14:textId="57D805F0" w:rsidR="00DA4101" w:rsidRPr="00517546" w:rsidRDefault="00014402" w:rsidP="0071282E">
          <w:pPr>
            <w:rPr>
              <w:sz w:val="52"/>
              <w:szCs w:val="52"/>
            </w:rPr>
          </w:pPr>
        </w:p>
      </w:sdtContent>
    </w:sdt>
    <w:p w14:paraId="5E3CE57E" w14:textId="668C48BF" w:rsidR="00CA513F" w:rsidRPr="00517546" w:rsidRDefault="00CA513F" w:rsidP="008C633F">
      <w:pPr>
        <w:sectPr w:rsidR="00CA513F" w:rsidRPr="00517546" w:rsidSect="000F5148">
          <w:headerReference w:type="default"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pPr>
    </w:p>
    <w:p w14:paraId="2297118A" w14:textId="7AE159B7" w:rsidR="00027864" w:rsidRPr="00AE59FD" w:rsidRDefault="000F4D0C" w:rsidP="00AE59FD">
      <w:pPr>
        <w:rPr>
          <w:rFonts w:asciiTheme="majorHAnsi" w:hAnsiTheme="majorHAnsi" w:cstheme="majorHAnsi"/>
          <w:color w:val="B3186D" w:themeColor="accent1" w:themeShade="BF"/>
          <w:sz w:val="32"/>
          <w:szCs w:val="32"/>
        </w:rPr>
      </w:pPr>
      <w:r w:rsidRPr="00AE59FD">
        <w:rPr>
          <w:rFonts w:asciiTheme="majorHAnsi" w:hAnsiTheme="majorHAnsi" w:cstheme="majorHAnsi"/>
          <w:color w:val="B3186D" w:themeColor="accent1" w:themeShade="BF"/>
          <w:sz w:val="32"/>
          <w:szCs w:val="32"/>
        </w:rPr>
        <w:lastRenderedPageBreak/>
        <w:t xml:space="preserve">Abstract </w:t>
      </w:r>
    </w:p>
    <w:p w14:paraId="6F4C65D8" w14:textId="3A5E74EB" w:rsidR="00714CBC" w:rsidRDefault="00644B13" w:rsidP="0071282E">
      <w:r>
        <w:t xml:space="preserve">Kilvey Hill is contaminated with industrial waste due to years of copper smelting </w:t>
      </w:r>
      <w:r w:rsidR="008530BA">
        <w:t>during the industrial revolution, which left heavy metal contaminants such as copper. This has led to degraded soils, limited vegetation growth. The aim is to evaluate the effectiveness of biochar as a sustainable remediation technique for immobilising heavy metals, slowing soil degradation and providing</w:t>
      </w:r>
      <w:r w:rsidR="001A2076">
        <w:t xml:space="preserve"> </w:t>
      </w:r>
      <w:r w:rsidR="008530BA">
        <w:t xml:space="preserve">ecological restoration. </w:t>
      </w:r>
      <w:r w:rsidR="001A2076" w:rsidRPr="001A2076">
        <w:t xml:space="preserve">To explore whether biochar could help remediate Kilvey Hill, eight paired control and treatment plots were set up across four different habitat types: heathland, </w:t>
      </w:r>
      <w:r w:rsidR="000E3088" w:rsidRPr="000E3088">
        <w:t>broadleaf/conifer forest</w:t>
      </w:r>
      <w:r w:rsidR="001A2076" w:rsidRPr="001A2076">
        <w:t>, scrub</w:t>
      </w:r>
      <w:r w:rsidR="008664D2">
        <w:t>(mixed)</w:t>
      </w:r>
      <w:r w:rsidR="001A2076" w:rsidRPr="001A2076">
        <w:t>, and forest edge. Biochar was applied to the treatment plots in August 2025, and soil samples</w:t>
      </w:r>
      <w:r w:rsidR="001A2076">
        <w:t xml:space="preserve"> and pH</w:t>
      </w:r>
      <w:r w:rsidR="001A2076" w:rsidRPr="001A2076">
        <w:t xml:space="preserve"> </w:t>
      </w:r>
      <w:r w:rsidR="001A2076">
        <w:t xml:space="preserve">readings </w:t>
      </w:r>
      <w:r w:rsidR="001A2076" w:rsidRPr="001A2076">
        <w:t xml:space="preserve">were collected </w:t>
      </w:r>
      <w:r w:rsidR="001A2076">
        <w:t xml:space="preserve">twice </w:t>
      </w:r>
      <w:r w:rsidR="001A2076" w:rsidRPr="001A2076">
        <w:t>over the following eight months to track changes in copper concentrations and soil pH. By carrying out the study in the field rather than under laboratory conditions, it was possible to assess how biochar performed in a real-world environment and whether its effects varied between habitats.</w:t>
      </w:r>
      <w:r w:rsidR="001A2076">
        <w:t xml:space="preserve"> </w:t>
      </w:r>
      <w:r w:rsidR="008530BA">
        <w:t>The test plots showed a significant reduction i</w:t>
      </w:r>
      <w:r w:rsidR="000F4D0C" w:rsidRPr="000F4D0C">
        <w:t>n copper concentrations over the 8-month</w:t>
      </w:r>
      <w:r w:rsidR="008530BA">
        <w:t xml:space="preserve"> </w:t>
      </w:r>
      <w:r w:rsidR="000F4D0C" w:rsidRPr="000F4D0C">
        <w:t>period, whereas control plots exhibited no significant changes,</w:t>
      </w:r>
      <w:r w:rsidR="008530BA">
        <w:t xml:space="preserve"> this proved that the reduction in copper concentrations was due</w:t>
      </w:r>
      <w:r w:rsidR="000F4D0C" w:rsidRPr="000F4D0C">
        <w:t xml:space="preserve"> to </w:t>
      </w:r>
      <w:r w:rsidR="008530BA">
        <w:t xml:space="preserve">the </w:t>
      </w:r>
      <w:r w:rsidR="000F4D0C" w:rsidRPr="000F4D0C">
        <w:t xml:space="preserve">biochar application rather than natural variation. </w:t>
      </w:r>
      <w:r w:rsidR="008530BA">
        <w:t>The difference between the habitat types did not influence copper reduction even though this was expected to be the case</w:t>
      </w:r>
      <w:r w:rsidR="00F54D78">
        <w:t xml:space="preserve">. The pH had decreased </w:t>
      </w:r>
      <w:r w:rsidR="000F4D0C" w:rsidRPr="000F4D0C">
        <w:t xml:space="preserve">significantly in </w:t>
      </w:r>
      <w:r w:rsidR="00F54D78">
        <w:t xml:space="preserve">the </w:t>
      </w:r>
      <w:r w:rsidR="000F4D0C" w:rsidRPr="000F4D0C">
        <w:t>t</w:t>
      </w:r>
      <w:r w:rsidR="00F54D78">
        <w:t xml:space="preserve">est </w:t>
      </w:r>
      <w:r w:rsidR="000F4D0C" w:rsidRPr="000F4D0C">
        <w:t>plots</w:t>
      </w:r>
      <w:r w:rsidR="00F54D78">
        <w:t xml:space="preserve">. The </w:t>
      </w:r>
      <w:r w:rsidR="000F4D0C" w:rsidRPr="000F4D0C">
        <w:t xml:space="preserve">control plots showed only limited pH change, suggesting that biochar </w:t>
      </w:r>
      <w:r w:rsidR="00F54D78">
        <w:t xml:space="preserve">had made the soils more acidic during the treatment period. </w:t>
      </w:r>
      <w:r w:rsidR="001A2076">
        <w:t xml:space="preserve"> </w:t>
      </w:r>
      <w:r w:rsidR="00F06E71">
        <w:t>The overall</w:t>
      </w:r>
      <w:r w:rsidR="00F06E71" w:rsidRPr="00F06E71">
        <w:t xml:space="preserve"> results suggest that biochar could be </w:t>
      </w:r>
      <w:r w:rsidR="00F06E71">
        <w:t xml:space="preserve">used as </w:t>
      </w:r>
      <w:r w:rsidR="00F06E71" w:rsidRPr="00F06E71">
        <w:t xml:space="preserve">practical and sustainable way to help remediate copper-contaminated soils on Kilvey Hill, </w:t>
      </w:r>
      <w:r w:rsidR="00F06E71">
        <w:t>even though</w:t>
      </w:r>
      <w:r w:rsidR="00F06E71" w:rsidRPr="00F06E71">
        <w:t xml:space="preserve"> its effects may take time to become fully apparent. </w:t>
      </w:r>
      <w:r w:rsidR="00F06E71">
        <w:t>Some of the reasons that habitat types didn’t play a role in copper reduction could be due</w:t>
      </w:r>
      <w:r w:rsidR="00F06E71" w:rsidRPr="00F06E71">
        <w:t xml:space="preserve"> factors such as winter dormancy, tree characteristics, and high rainfall</w:t>
      </w:r>
      <w:r w:rsidR="00F06E71">
        <w:t xml:space="preserve"> which</w:t>
      </w:r>
      <w:r w:rsidR="00F06E71" w:rsidRPr="00F06E71">
        <w:t xml:space="preserve"> had a greater influence on soil conditions during the study. </w:t>
      </w:r>
      <w:r w:rsidR="00F06E71">
        <w:t>Some of the f</w:t>
      </w:r>
      <w:r w:rsidR="00F06E71" w:rsidRPr="00F06E71">
        <w:t xml:space="preserve">uture research </w:t>
      </w:r>
      <w:r w:rsidR="00F06E71">
        <w:t>on this topic c</w:t>
      </w:r>
      <w:r w:rsidR="00F06E71" w:rsidRPr="00F06E71">
        <w:t>ould focus on how biochar performs over longer periods and whether different feedstocks or soil amendments could improve its effectiveness.</w:t>
      </w:r>
      <w:r w:rsidR="001A2076">
        <w:t xml:space="preserve"> </w:t>
      </w:r>
      <w:r w:rsidR="00186E76" w:rsidRPr="00186E76">
        <w:t>Th</w:t>
      </w:r>
      <w:r w:rsidR="00186E76">
        <w:t xml:space="preserve">e </w:t>
      </w:r>
      <w:r w:rsidR="00186E76" w:rsidRPr="00186E76">
        <w:t xml:space="preserve">study found that biochar can be an effective, low-cost, and sustainable way of reducing copper contamination </w:t>
      </w:r>
      <w:r w:rsidR="00186E76">
        <w:t>on</w:t>
      </w:r>
      <w:r w:rsidR="00186E76" w:rsidRPr="00186E76">
        <w:t xml:space="preserve"> Kilvey Hill, </w:t>
      </w:r>
      <w:r w:rsidR="00186E76">
        <w:t>O</w:t>
      </w:r>
      <w:r w:rsidR="00186E76" w:rsidRPr="00186E76">
        <w:t>ver the eight-month study period</w:t>
      </w:r>
      <w:r w:rsidR="00186E76">
        <w:t xml:space="preserve"> it was seen to decrease copper levels.</w:t>
      </w:r>
      <w:r w:rsidR="00186E76" w:rsidRPr="00186E76">
        <w:t xml:space="preserve"> However, the decrease in soil pH shows that </w:t>
      </w:r>
      <w:r w:rsidR="00186E76">
        <w:t>the feedstock used to produce biochar needs to be further researched to assess the impact that biochar has on soils.</w:t>
      </w:r>
      <w:r w:rsidR="00186E76" w:rsidRPr="00186E76">
        <w:t xml:space="preserve"> </w:t>
      </w:r>
    </w:p>
    <w:p w14:paraId="5695DFAF" w14:textId="77777777" w:rsidR="00714CBC" w:rsidRDefault="00714CBC" w:rsidP="0071282E"/>
    <w:p w14:paraId="469DDB9F" w14:textId="77777777" w:rsidR="00714CBC" w:rsidRDefault="00714CBC" w:rsidP="0071282E"/>
    <w:p w14:paraId="49CA9CDE" w14:textId="4BBBD162" w:rsidR="00186E76" w:rsidRDefault="00186E76">
      <w:r>
        <w:br w:type="page"/>
      </w:r>
    </w:p>
    <w:p w14:paraId="7F5C69A0" w14:textId="77777777" w:rsidR="00714CBC" w:rsidRDefault="00714CBC" w:rsidP="0071282E"/>
    <w:p w14:paraId="2F72A373" w14:textId="1948FF22" w:rsidR="0071282E" w:rsidRPr="00517546" w:rsidRDefault="0071282E" w:rsidP="0071282E">
      <w:r w:rsidRPr="00517546">
        <w:t xml:space="preserve">Acknowledgements </w:t>
      </w:r>
    </w:p>
    <w:p w14:paraId="5E451AB5" w14:textId="40533FE2" w:rsidR="00BF2A93" w:rsidRPr="00BF2A93" w:rsidRDefault="00BF2A93" w:rsidP="00BF2A93">
      <w:r w:rsidRPr="00BF2A93">
        <w:t xml:space="preserve">I would like to express my sincere and heartfelt thanks to my supervisor, Elanor Alun, whose guidance, patience, and steady support have been a constant source of strength throughout this project. Her insight </w:t>
      </w:r>
      <w:r w:rsidR="009F711C">
        <w:t>lit</w:t>
      </w:r>
      <w:r w:rsidRPr="00BF2A93">
        <w:t xml:space="preserve"> the path forward more times than I can count, and her belief in me remained firm even when my own faltered. I am deeply grateful for her kindness and her faith in my work.</w:t>
      </w:r>
    </w:p>
    <w:p w14:paraId="1C1E7E54" w14:textId="77777777" w:rsidR="00BF2A93" w:rsidRPr="00BF2A93" w:rsidRDefault="00BF2A93" w:rsidP="00BF2A93">
      <w:r w:rsidRPr="00BF2A93">
        <w:t>I am also thankful to Sean Hathaway for granting permission and facilitating essential aspects of this project. His support made it possible to carry out the work in its full scope.</w:t>
      </w:r>
    </w:p>
    <w:p w14:paraId="58E1178F" w14:textId="77777777" w:rsidR="00BF2A93" w:rsidRPr="00BF2A93" w:rsidRDefault="00BF2A93" w:rsidP="00BF2A93">
      <w:r w:rsidRPr="00BF2A93">
        <w:t>My warmest thanks go to Aoife Ryan of Blackhills CSA for her help with biochar. Her knowledge, enthusiasm, and willingness to assist were truly appreciated and added real depth to this research.</w:t>
      </w:r>
    </w:p>
    <w:p w14:paraId="443748D5" w14:textId="53C58548" w:rsidR="0071282E" w:rsidRPr="00517546" w:rsidRDefault="003B2E1B" w:rsidP="0071282E">
      <w:r w:rsidRPr="003B2E1B">
        <w:t xml:space="preserve">Finally, I must acknowledge the true engines of this dissertation: spite and tears. They hauled my limp academic corpse across the finish line like two unhinged Victorian ghosts determined to see me suffer productively. Together they formed a volatile emotional </w:t>
      </w:r>
      <w:r w:rsidR="006033DA">
        <w:t>cocktail</w:t>
      </w:r>
      <w:r w:rsidRPr="003B2E1B">
        <w:t xml:space="preserve"> that kept me typing long after sanity clocked out, whispering “</w:t>
      </w:r>
      <w:r w:rsidR="007249BF">
        <w:t>just keep typing just keep typing</w:t>
      </w:r>
      <w:r w:rsidRPr="003B2E1B">
        <w:t>” while my motivation evaporated, my sleep schedule disintegrated, and my will to live tried to escape through the nearest window.</w:t>
      </w:r>
      <w:r w:rsidR="0071282E" w:rsidRPr="00517546">
        <w:rPr>
          <w:rFonts w:eastAsiaTheme="minorEastAsia"/>
        </w:rPr>
        <w:br w:type="page"/>
      </w:r>
    </w:p>
    <w:p w14:paraId="17F1E9D9" w14:textId="77777777" w:rsidR="0071282E" w:rsidRPr="00517546" w:rsidRDefault="0071282E" w:rsidP="0071282E">
      <w:pPr>
        <w:jc w:val="center"/>
      </w:pPr>
    </w:p>
    <w:p w14:paraId="36A4F4D6" w14:textId="77777777" w:rsidR="0071282E" w:rsidRPr="00517546" w:rsidRDefault="0071282E" w:rsidP="0071282E">
      <w:r w:rsidRPr="00517546">
        <w:rPr>
          <w:noProof/>
        </w:rPr>
        <w:drawing>
          <wp:inline distT="0" distB="0" distL="0" distR="0" wp14:anchorId="7CA8EB9D" wp14:editId="7763EFFA">
            <wp:extent cx="1639613" cy="491884"/>
            <wp:effectExtent l="0" t="0" r="0" b="3810"/>
            <wp:docPr id="766762200"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21031" name="Picture 2" descr="A close up of a sign&#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44180" cy="493254"/>
                    </a:xfrm>
                    <a:prstGeom prst="rect">
                      <a:avLst/>
                    </a:prstGeom>
                    <a:noFill/>
                    <a:ln>
                      <a:noFill/>
                    </a:ln>
                  </pic:spPr>
                </pic:pic>
              </a:graphicData>
            </a:graphic>
          </wp:inline>
        </w:drawing>
      </w:r>
      <w:r w:rsidRPr="00517546">
        <w:t> </w:t>
      </w:r>
    </w:p>
    <w:p w14:paraId="715188C3" w14:textId="77777777" w:rsidR="0071282E" w:rsidRPr="00517546" w:rsidRDefault="0071282E" w:rsidP="0071282E">
      <w:r w:rsidRPr="00517546">
        <w:t> </w:t>
      </w:r>
    </w:p>
    <w:p w14:paraId="5FF88491" w14:textId="77777777" w:rsidR="0071282E" w:rsidRPr="00517546" w:rsidRDefault="76F13526" w:rsidP="0071282E">
      <w:r w:rsidRPr="00517546">
        <w:rPr>
          <w:b/>
          <w:bCs/>
          <w:u w:val="single"/>
        </w:rPr>
        <w:t>Copyright</w:t>
      </w:r>
      <w:r w:rsidRPr="00517546">
        <w:t> </w:t>
      </w:r>
    </w:p>
    <w:p w14:paraId="5C02A5E3" w14:textId="77777777" w:rsidR="0071282E" w:rsidRPr="00517546" w:rsidRDefault="0071282E" w:rsidP="0071282E">
      <w:r w:rsidRPr="00517546">
        <w:t> </w:t>
      </w:r>
    </w:p>
    <w:p w14:paraId="6CA2CEED" w14:textId="77777777" w:rsidR="0071282E" w:rsidRPr="00517546" w:rsidRDefault="0071282E" w:rsidP="0071282E">
      <w:r w:rsidRPr="00517546">
        <w:t>The copyright of this dissertation rests with the University of Wales, Trinity Saint David.  No information derived from this dissertation shall be published without the prior consent of the University. </w:t>
      </w:r>
    </w:p>
    <w:p w14:paraId="3CE955A8" w14:textId="77777777" w:rsidR="0071282E" w:rsidRPr="00517546" w:rsidRDefault="0071282E" w:rsidP="0071282E"/>
    <w:p w14:paraId="5E87D5BC" w14:textId="149AE7E1" w:rsidR="0071282E" w:rsidRPr="00517546" w:rsidRDefault="76F13526" w:rsidP="0071282E">
      <w:r w:rsidRPr="00517546">
        <w:t>Signed</w:t>
      </w:r>
      <w:r w:rsidR="35CFA471" w:rsidRPr="00517546">
        <w:t>: Ysabelle Tuddenham</w:t>
      </w:r>
    </w:p>
    <w:p w14:paraId="1C1F86FC" w14:textId="30F94C7E" w:rsidR="0071282E" w:rsidRPr="00517546" w:rsidRDefault="76F13526" w:rsidP="0071282E">
      <w:r w:rsidRPr="00517546">
        <w:t xml:space="preserve">Date:  </w:t>
      </w:r>
      <w:r w:rsidR="0C02A1E3" w:rsidRPr="00517546">
        <w:t>28/0</w:t>
      </w:r>
      <w:r w:rsidR="4D78E1FD" w:rsidRPr="00517546">
        <w:t>5</w:t>
      </w:r>
      <w:r w:rsidR="0C02A1E3" w:rsidRPr="00517546">
        <w:t>/2026</w:t>
      </w:r>
    </w:p>
    <w:p w14:paraId="008A246D" w14:textId="77777777" w:rsidR="0071282E" w:rsidRPr="00517546" w:rsidRDefault="0071282E" w:rsidP="0071282E">
      <w:r w:rsidRPr="00517546">
        <w:t> </w:t>
      </w:r>
    </w:p>
    <w:p w14:paraId="4EA429E3" w14:textId="77777777" w:rsidR="0071282E" w:rsidRPr="00517546" w:rsidRDefault="0071282E" w:rsidP="0071282E">
      <w:r w:rsidRPr="00517546">
        <w:rPr>
          <w:b/>
          <w:bCs/>
        </w:rPr>
        <w:t>Author’s Declaration</w:t>
      </w:r>
      <w:r w:rsidRPr="00517546">
        <w:t> </w:t>
      </w:r>
    </w:p>
    <w:p w14:paraId="0AE7BD77" w14:textId="1DC5658E" w:rsidR="0071282E" w:rsidRPr="00517546" w:rsidRDefault="0071282E" w:rsidP="0071282E">
      <w:r w:rsidRPr="00517546">
        <w:t xml:space="preserve">I declare that the work in this dissertation was carried out in accordance with the regulations of the University of Wales, Trinity Saint David.  The work is original except </w:t>
      </w:r>
      <w:r w:rsidR="00517546" w:rsidRPr="00517546">
        <w:t>were</w:t>
      </w:r>
      <w:r w:rsidRPr="00517546">
        <w:t xml:space="preserve"> indicated by special references in the text and no part of the dissertation has been submitted for any other degree. </w:t>
      </w:r>
    </w:p>
    <w:p w14:paraId="775C2E8E" w14:textId="77777777" w:rsidR="0071282E" w:rsidRPr="00517546" w:rsidRDefault="0071282E" w:rsidP="0071282E">
      <w:r w:rsidRPr="00517546">
        <w:t>Any views expressed in the dissertation are those of the author and in no way represent those of the University of Wales, Trinity Saint David. </w:t>
      </w:r>
    </w:p>
    <w:p w14:paraId="267303DC" w14:textId="77777777" w:rsidR="0071282E" w:rsidRPr="00517546" w:rsidRDefault="0071282E" w:rsidP="0071282E">
      <w:r w:rsidRPr="00517546">
        <w:t>The dissertation has not been presented to any other University for examination either in the United Kingdom or overseas. </w:t>
      </w:r>
    </w:p>
    <w:p w14:paraId="2567D595" w14:textId="77777777" w:rsidR="0071282E" w:rsidRPr="00517546" w:rsidRDefault="0071282E" w:rsidP="0071282E">
      <w:r w:rsidRPr="00517546">
        <w:t>I hereby give permission for my work, if accepted, to be available for photocopying and inter-library loan, and for the title and summary to be made available to outside organisations. </w:t>
      </w:r>
    </w:p>
    <w:p w14:paraId="1B79739F" w14:textId="77777777" w:rsidR="0071282E" w:rsidRPr="00517546" w:rsidRDefault="0071282E" w:rsidP="0071282E">
      <w:r w:rsidRPr="00517546">
        <w:t> </w:t>
      </w:r>
    </w:p>
    <w:p w14:paraId="1D5560F9" w14:textId="77777777" w:rsidR="0071282E" w:rsidRPr="00517546" w:rsidRDefault="0071282E" w:rsidP="0071282E">
      <w:r w:rsidRPr="00517546">
        <w:t> </w:t>
      </w:r>
    </w:p>
    <w:p w14:paraId="6F75EB7F" w14:textId="03EBA535" w:rsidR="0071282E" w:rsidRPr="00517546" w:rsidRDefault="76F13526" w:rsidP="0071282E">
      <w:r w:rsidRPr="00517546">
        <w:t>Signed</w:t>
      </w:r>
      <w:r w:rsidR="232BF43D" w:rsidRPr="00517546">
        <w:t>: Ysabelle Tuddenham</w:t>
      </w:r>
    </w:p>
    <w:p w14:paraId="19D86C70" w14:textId="3F9C9328" w:rsidR="0071282E" w:rsidRPr="00517546" w:rsidRDefault="76F13526" w:rsidP="0071282E">
      <w:r w:rsidRPr="00517546">
        <w:t>Date</w:t>
      </w:r>
      <w:r w:rsidR="1055600E" w:rsidRPr="00517546">
        <w:t>: 28/05/2026</w:t>
      </w:r>
    </w:p>
    <w:p w14:paraId="54801E9D" w14:textId="1EC4BD8F" w:rsidR="0071282E" w:rsidRPr="00517546" w:rsidRDefault="0071282E">
      <w:pPr>
        <w:rPr>
          <w:rFonts w:eastAsiaTheme="minorEastAsia"/>
        </w:rPr>
      </w:pPr>
    </w:p>
    <w:p w14:paraId="64F477C9" w14:textId="77777777" w:rsidR="0071282E" w:rsidRPr="00517546" w:rsidRDefault="0071282E">
      <w:pPr>
        <w:rPr>
          <w:rFonts w:eastAsiaTheme="minorEastAsia"/>
        </w:rPr>
      </w:pPr>
    </w:p>
    <w:p w14:paraId="6412C8D5" w14:textId="77777777" w:rsidR="0071282E" w:rsidRPr="00517546" w:rsidRDefault="0071282E">
      <w:pPr>
        <w:rPr>
          <w:rFonts w:eastAsiaTheme="minorEastAsia"/>
        </w:rPr>
      </w:pPr>
      <w:r w:rsidRPr="00517546">
        <w:rPr>
          <w:rFonts w:eastAsiaTheme="minorEastAsia"/>
        </w:rPr>
        <w:br w:type="page"/>
      </w:r>
    </w:p>
    <w:sdt>
      <w:sdtPr>
        <w:rPr>
          <w:rFonts w:asciiTheme="minorHAnsi" w:eastAsiaTheme="minorEastAsia" w:hAnsiTheme="minorHAnsi" w:cstheme="minorBidi"/>
          <w:color w:val="auto"/>
          <w:sz w:val="22"/>
          <w:szCs w:val="22"/>
        </w:rPr>
        <w:id w:val="83198752"/>
        <w:docPartObj>
          <w:docPartGallery w:val="Table of Contents"/>
          <w:docPartUnique/>
        </w:docPartObj>
      </w:sdtPr>
      <w:sdtEndPr>
        <w:rPr>
          <w:b/>
          <w:bCs/>
          <w:lang w:val="en-GB"/>
        </w:rPr>
      </w:sdtEndPr>
      <w:sdtContent>
        <w:p w14:paraId="50721EAD" w14:textId="11A4385B" w:rsidR="00B25D24" w:rsidRPr="00517546" w:rsidRDefault="00B25D24" w:rsidP="0066298F">
          <w:pPr>
            <w:pStyle w:val="TOCHeading"/>
          </w:pPr>
          <w:r w:rsidRPr="00517546">
            <w:t>Contents</w:t>
          </w:r>
        </w:p>
        <w:p w14:paraId="2926ECDF" w14:textId="245D0586" w:rsidR="0073485D" w:rsidRDefault="00B25D24">
          <w:pPr>
            <w:pStyle w:val="TOC1"/>
            <w:tabs>
              <w:tab w:val="left" w:pos="440"/>
              <w:tab w:val="right" w:leader="dot" w:pos="9016"/>
            </w:tabs>
            <w:rPr>
              <w:rFonts w:eastAsiaTheme="minorEastAsia"/>
              <w:noProof/>
              <w:kern w:val="2"/>
              <w:sz w:val="24"/>
              <w:szCs w:val="24"/>
              <w:lang w:eastAsia="en-GB"/>
              <w14:ligatures w14:val="standardContextual"/>
            </w:rPr>
          </w:pPr>
          <w:r w:rsidRPr="00517546">
            <w:fldChar w:fldCharType="begin"/>
          </w:r>
          <w:r w:rsidRPr="00517546">
            <w:instrText>TOC \o "1-3" \z \u \h</w:instrText>
          </w:r>
          <w:r w:rsidRPr="00517546">
            <w:fldChar w:fldCharType="separate"/>
          </w:r>
          <w:hyperlink w:anchor="_Toc232977663" w:history="1">
            <w:r w:rsidR="0073485D" w:rsidRPr="009A5E86">
              <w:rPr>
                <w:rStyle w:val="Hyperlink"/>
                <w:noProof/>
              </w:rPr>
              <w:t>1</w:t>
            </w:r>
            <w:r w:rsidR="0073485D">
              <w:rPr>
                <w:rFonts w:eastAsiaTheme="minorEastAsia"/>
                <w:noProof/>
                <w:kern w:val="2"/>
                <w:sz w:val="24"/>
                <w:szCs w:val="24"/>
                <w:lang w:eastAsia="en-GB"/>
                <w14:ligatures w14:val="standardContextual"/>
              </w:rPr>
              <w:tab/>
            </w:r>
            <w:r w:rsidR="0073485D" w:rsidRPr="009A5E86">
              <w:rPr>
                <w:rStyle w:val="Hyperlink"/>
                <w:noProof/>
              </w:rPr>
              <w:t>Introduction</w:t>
            </w:r>
            <w:r w:rsidR="0073485D">
              <w:rPr>
                <w:noProof/>
                <w:webHidden/>
              </w:rPr>
              <w:tab/>
            </w:r>
            <w:r w:rsidR="0073485D">
              <w:rPr>
                <w:noProof/>
                <w:webHidden/>
              </w:rPr>
              <w:fldChar w:fldCharType="begin"/>
            </w:r>
            <w:r w:rsidR="0073485D">
              <w:rPr>
                <w:noProof/>
                <w:webHidden/>
              </w:rPr>
              <w:instrText xml:space="preserve"> PAGEREF _Toc232977663 \h </w:instrText>
            </w:r>
            <w:r w:rsidR="0073485D">
              <w:rPr>
                <w:noProof/>
                <w:webHidden/>
              </w:rPr>
            </w:r>
            <w:r w:rsidR="0073485D">
              <w:rPr>
                <w:noProof/>
                <w:webHidden/>
              </w:rPr>
              <w:fldChar w:fldCharType="separate"/>
            </w:r>
            <w:r w:rsidR="0073485D">
              <w:rPr>
                <w:noProof/>
                <w:webHidden/>
              </w:rPr>
              <w:t>1</w:t>
            </w:r>
            <w:r w:rsidR="0073485D">
              <w:rPr>
                <w:noProof/>
                <w:webHidden/>
              </w:rPr>
              <w:fldChar w:fldCharType="end"/>
            </w:r>
          </w:hyperlink>
        </w:p>
        <w:p w14:paraId="5559E0A1" w14:textId="4A22F128"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64" w:history="1">
            <w:r w:rsidRPr="009A5E86">
              <w:rPr>
                <w:rStyle w:val="Hyperlink"/>
                <w:noProof/>
              </w:rPr>
              <w:t>1.1</w:t>
            </w:r>
            <w:r>
              <w:rPr>
                <w:rFonts w:eastAsiaTheme="minorEastAsia"/>
                <w:noProof/>
                <w:kern w:val="2"/>
                <w:sz w:val="24"/>
                <w:szCs w:val="24"/>
                <w:lang w:eastAsia="en-GB"/>
                <w14:ligatures w14:val="standardContextual"/>
              </w:rPr>
              <w:tab/>
            </w:r>
            <w:r w:rsidRPr="009A5E86">
              <w:rPr>
                <w:rStyle w:val="Hyperlink"/>
                <w:noProof/>
              </w:rPr>
              <w:t>Aims and Objectives</w:t>
            </w:r>
            <w:r>
              <w:rPr>
                <w:noProof/>
                <w:webHidden/>
              </w:rPr>
              <w:tab/>
            </w:r>
            <w:r>
              <w:rPr>
                <w:noProof/>
                <w:webHidden/>
              </w:rPr>
              <w:fldChar w:fldCharType="begin"/>
            </w:r>
            <w:r>
              <w:rPr>
                <w:noProof/>
                <w:webHidden/>
              </w:rPr>
              <w:instrText xml:space="preserve"> PAGEREF _Toc232977664 \h </w:instrText>
            </w:r>
            <w:r>
              <w:rPr>
                <w:noProof/>
                <w:webHidden/>
              </w:rPr>
            </w:r>
            <w:r>
              <w:rPr>
                <w:noProof/>
                <w:webHidden/>
              </w:rPr>
              <w:fldChar w:fldCharType="separate"/>
            </w:r>
            <w:r>
              <w:rPr>
                <w:noProof/>
                <w:webHidden/>
              </w:rPr>
              <w:t>2</w:t>
            </w:r>
            <w:r>
              <w:rPr>
                <w:noProof/>
                <w:webHidden/>
              </w:rPr>
              <w:fldChar w:fldCharType="end"/>
            </w:r>
          </w:hyperlink>
        </w:p>
        <w:p w14:paraId="740B7479" w14:textId="0F5108D0"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65" w:history="1">
            <w:r w:rsidRPr="009A5E86">
              <w:rPr>
                <w:rStyle w:val="Hyperlink"/>
                <w:noProof/>
              </w:rPr>
              <w:t>1.2</w:t>
            </w:r>
            <w:r>
              <w:rPr>
                <w:rFonts w:eastAsiaTheme="minorEastAsia"/>
                <w:noProof/>
                <w:kern w:val="2"/>
                <w:sz w:val="24"/>
                <w:szCs w:val="24"/>
                <w:lang w:eastAsia="en-GB"/>
                <w14:ligatures w14:val="standardContextual"/>
              </w:rPr>
              <w:tab/>
            </w:r>
            <w:r w:rsidRPr="009A5E86">
              <w:rPr>
                <w:rStyle w:val="Hyperlink"/>
                <w:noProof/>
              </w:rPr>
              <w:t>Site background</w:t>
            </w:r>
            <w:r>
              <w:rPr>
                <w:noProof/>
                <w:webHidden/>
              </w:rPr>
              <w:tab/>
            </w:r>
            <w:r>
              <w:rPr>
                <w:noProof/>
                <w:webHidden/>
              </w:rPr>
              <w:fldChar w:fldCharType="begin"/>
            </w:r>
            <w:r>
              <w:rPr>
                <w:noProof/>
                <w:webHidden/>
              </w:rPr>
              <w:instrText xml:space="preserve"> PAGEREF _Toc232977665 \h </w:instrText>
            </w:r>
            <w:r>
              <w:rPr>
                <w:noProof/>
                <w:webHidden/>
              </w:rPr>
            </w:r>
            <w:r>
              <w:rPr>
                <w:noProof/>
                <w:webHidden/>
              </w:rPr>
              <w:fldChar w:fldCharType="separate"/>
            </w:r>
            <w:r>
              <w:rPr>
                <w:noProof/>
                <w:webHidden/>
              </w:rPr>
              <w:t>2</w:t>
            </w:r>
            <w:r>
              <w:rPr>
                <w:noProof/>
                <w:webHidden/>
              </w:rPr>
              <w:fldChar w:fldCharType="end"/>
            </w:r>
          </w:hyperlink>
        </w:p>
        <w:p w14:paraId="76804D0D" w14:textId="50F2A189" w:rsidR="0073485D" w:rsidRDefault="0073485D">
          <w:pPr>
            <w:pStyle w:val="TOC1"/>
            <w:tabs>
              <w:tab w:val="left" w:pos="440"/>
              <w:tab w:val="right" w:leader="dot" w:pos="9016"/>
            </w:tabs>
            <w:rPr>
              <w:rFonts w:eastAsiaTheme="minorEastAsia"/>
              <w:noProof/>
              <w:kern w:val="2"/>
              <w:sz w:val="24"/>
              <w:szCs w:val="24"/>
              <w:lang w:eastAsia="en-GB"/>
              <w14:ligatures w14:val="standardContextual"/>
            </w:rPr>
          </w:pPr>
          <w:hyperlink w:anchor="_Toc232977666" w:history="1">
            <w:r w:rsidRPr="009A5E86">
              <w:rPr>
                <w:rStyle w:val="Hyperlink"/>
                <w:noProof/>
              </w:rPr>
              <w:t>2</w:t>
            </w:r>
            <w:r>
              <w:rPr>
                <w:rFonts w:eastAsiaTheme="minorEastAsia"/>
                <w:noProof/>
                <w:kern w:val="2"/>
                <w:sz w:val="24"/>
                <w:szCs w:val="24"/>
                <w:lang w:eastAsia="en-GB"/>
                <w14:ligatures w14:val="standardContextual"/>
              </w:rPr>
              <w:tab/>
            </w:r>
            <w:r w:rsidRPr="009A5E86">
              <w:rPr>
                <w:rStyle w:val="Hyperlink"/>
                <w:noProof/>
              </w:rPr>
              <w:t>Literature review</w:t>
            </w:r>
            <w:r>
              <w:rPr>
                <w:noProof/>
                <w:webHidden/>
              </w:rPr>
              <w:tab/>
            </w:r>
            <w:r>
              <w:rPr>
                <w:noProof/>
                <w:webHidden/>
              </w:rPr>
              <w:fldChar w:fldCharType="begin"/>
            </w:r>
            <w:r>
              <w:rPr>
                <w:noProof/>
                <w:webHidden/>
              </w:rPr>
              <w:instrText xml:space="preserve"> PAGEREF _Toc232977666 \h </w:instrText>
            </w:r>
            <w:r>
              <w:rPr>
                <w:noProof/>
                <w:webHidden/>
              </w:rPr>
            </w:r>
            <w:r>
              <w:rPr>
                <w:noProof/>
                <w:webHidden/>
              </w:rPr>
              <w:fldChar w:fldCharType="separate"/>
            </w:r>
            <w:r>
              <w:rPr>
                <w:noProof/>
                <w:webHidden/>
              </w:rPr>
              <w:t>3</w:t>
            </w:r>
            <w:r>
              <w:rPr>
                <w:noProof/>
                <w:webHidden/>
              </w:rPr>
              <w:fldChar w:fldCharType="end"/>
            </w:r>
          </w:hyperlink>
        </w:p>
        <w:p w14:paraId="3318D8BF" w14:textId="379AC8C5"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67" w:history="1">
            <w:r w:rsidRPr="009A5E86">
              <w:rPr>
                <w:rStyle w:val="Hyperlink"/>
                <w:noProof/>
              </w:rPr>
              <w:t>2.1</w:t>
            </w:r>
            <w:r>
              <w:rPr>
                <w:rFonts w:eastAsiaTheme="minorEastAsia"/>
                <w:noProof/>
                <w:kern w:val="2"/>
                <w:sz w:val="24"/>
                <w:szCs w:val="24"/>
                <w:lang w:eastAsia="en-GB"/>
                <w14:ligatures w14:val="standardContextual"/>
              </w:rPr>
              <w:tab/>
            </w:r>
            <w:r w:rsidRPr="009A5E86">
              <w:rPr>
                <w:rStyle w:val="Hyperlink"/>
                <w:noProof/>
              </w:rPr>
              <w:t>Introduction</w:t>
            </w:r>
            <w:r>
              <w:rPr>
                <w:noProof/>
                <w:webHidden/>
              </w:rPr>
              <w:tab/>
            </w:r>
            <w:r>
              <w:rPr>
                <w:noProof/>
                <w:webHidden/>
              </w:rPr>
              <w:fldChar w:fldCharType="begin"/>
            </w:r>
            <w:r>
              <w:rPr>
                <w:noProof/>
                <w:webHidden/>
              </w:rPr>
              <w:instrText xml:space="preserve"> PAGEREF _Toc232977667 \h </w:instrText>
            </w:r>
            <w:r>
              <w:rPr>
                <w:noProof/>
                <w:webHidden/>
              </w:rPr>
            </w:r>
            <w:r>
              <w:rPr>
                <w:noProof/>
                <w:webHidden/>
              </w:rPr>
              <w:fldChar w:fldCharType="separate"/>
            </w:r>
            <w:r>
              <w:rPr>
                <w:noProof/>
                <w:webHidden/>
              </w:rPr>
              <w:t>3</w:t>
            </w:r>
            <w:r>
              <w:rPr>
                <w:noProof/>
                <w:webHidden/>
              </w:rPr>
              <w:fldChar w:fldCharType="end"/>
            </w:r>
          </w:hyperlink>
        </w:p>
        <w:p w14:paraId="5B3FD5F3" w14:textId="67AAAAE5"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68" w:history="1">
            <w:r w:rsidRPr="009A5E86">
              <w:rPr>
                <w:rStyle w:val="Hyperlink"/>
                <w:noProof/>
              </w:rPr>
              <w:t>2.2</w:t>
            </w:r>
            <w:r>
              <w:rPr>
                <w:rFonts w:eastAsiaTheme="minorEastAsia"/>
                <w:noProof/>
                <w:kern w:val="2"/>
                <w:sz w:val="24"/>
                <w:szCs w:val="24"/>
                <w:lang w:eastAsia="en-GB"/>
                <w14:ligatures w14:val="standardContextual"/>
              </w:rPr>
              <w:tab/>
            </w:r>
            <w:r w:rsidRPr="009A5E86">
              <w:rPr>
                <w:rStyle w:val="Hyperlink"/>
                <w:noProof/>
              </w:rPr>
              <w:t>Characteristics and impacts of Copper Mine Spoil</w:t>
            </w:r>
            <w:r>
              <w:rPr>
                <w:noProof/>
                <w:webHidden/>
              </w:rPr>
              <w:tab/>
            </w:r>
            <w:r>
              <w:rPr>
                <w:noProof/>
                <w:webHidden/>
              </w:rPr>
              <w:fldChar w:fldCharType="begin"/>
            </w:r>
            <w:r>
              <w:rPr>
                <w:noProof/>
                <w:webHidden/>
              </w:rPr>
              <w:instrText xml:space="preserve"> PAGEREF _Toc232977668 \h </w:instrText>
            </w:r>
            <w:r>
              <w:rPr>
                <w:noProof/>
                <w:webHidden/>
              </w:rPr>
            </w:r>
            <w:r>
              <w:rPr>
                <w:noProof/>
                <w:webHidden/>
              </w:rPr>
              <w:fldChar w:fldCharType="separate"/>
            </w:r>
            <w:r>
              <w:rPr>
                <w:noProof/>
                <w:webHidden/>
              </w:rPr>
              <w:t>3</w:t>
            </w:r>
            <w:r>
              <w:rPr>
                <w:noProof/>
                <w:webHidden/>
              </w:rPr>
              <w:fldChar w:fldCharType="end"/>
            </w:r>
          </w:hyperlink>
        </w:p>
        <w:p w14:paraId="3AFFBED1" w14:textId="37C06A4F"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69" w:history="1">
            <w:r w:rsidRPr="009A5E86">
              <w:rPr>
                <w:rStyle w:val="Hyperlink"/>
                <w:noProof/>
              </w:rPr>
              <w:t>2.3</w:t>
            </w:r>
            <w:r>
              <w:rPr>
                <w:rFonts w:eastAsiaTheme="minorEastAsia"/>
                <w:noProof/>
                <w:kern w:val="2"/>
                <w:sz w:val="24"/>
                <w:szCs w:val="24"/>
                <w:lang w:eastAsia="en-GB"/>
                <w14:ligatures w14:val="standardContextual"/>
              </w:rPr>
              <w:tab/>
            </w:r>
            <w:r w:rsidRPr="009A5E86">
              <w:rPr>
                <w:rStyle w:val="Hyperlink"/>
                <w:noProof/>
              </w:rPr>
              <w:t>Conventional Remediation Techniques and Their Limitations</w:t>
            </w:r>
            <w:r>
              <w:rPr>
                <w:noProof/>
                <w:webHidden/>
              </w:rPr>
              <w:tab/>
            </w:r>
            <w:r>
              <w:rPr>
                <w:noProof/>
                <w:webHidden/>
              </w:rPr>
              <w:fldChar w:fldCharType="begin"/>
            </w:r>
            <w:r>
              <w:rPr>
                <w:noProof/>
                <w:webHidden/>
              </w:rPr>
              <w:instrText xml:space="preserve"> PAGEREF _Toc232977669 \h </w:instrText>
            </w:r>
            <w:r>
              <w:rPr>
                <w:noProof/>
                <w:webHidden/>
              </w:rPr>
            </w:r>
            <w:r>
              <w:rPr>
                <w:noProof/>
                <w:webHidden/>
              </w:rPr>
              <w:fldChar w:fldCharType="separate"/>
            </w:r>
            <w:r>
              <w:rPr>
                <w:noProof/>
                <w:webHidden/>
              </w:rPr>
              <w:t>3</w:t>
            </w:r>
            <w:r>
              <w:rPr>
                <w:noProof/>
                <w:webHidden/>
              </w:rPr>
              <w:fldChar w:fldCharType="end"/>
            </w:r>
          </w:hyperlink>
        </w:p>
        <w:p w14:paraId="00483537" w14:textId="0774CAF9"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70" w:history="1">
            <w:r w:rsidRPr="009A5E86">
              <w:rPr>
                <w:rStyle w:val="Hyperlink"/>
                <w:noProof/>
              </w:rPr>
              <w:t>2.4</w:t>
            </w:r>
            <w:r>
              <w:rPr>
                <w:rFonts w:eastAsiaTheme="minorEastAsia"/>
                <w:noProof/>
                <w:kern w:val="2"/>
                <w:sz w:val="24"/>
                <w:szCs w:val="24"/>
                <w:lang w:eastAsia="en-GB"/>
                <w14:ligatures w14:val="standardContextual"/>
              </w:rPr>
              <w:tab/>
            </w:r>
            <w:r w:rsidRPr="009A5E86">
              <w:rPr>
                <w:rStyle w:val="Hyperlink"/>
                <w:noProof/>
              </w:rPr>
              <w:t>Biochar as an Emerging Solution for Heavy Metal Remediation</w:t>
            </w:r>
            <w:r>
              <w:rPr>
                <w:noProof/>
                <w:webHidden/>
              </w:rPr>
              <w:tab/>
            </w:r>
            <w:r>
              <w:rPr>
                <w:noProof/>
                <w:webHidden/>
              </w:rPr>
              <w:fldChar w:fldCharType="begin"/>
            </w:r>
            <w:r>
              <w:rPr>
                <w:noProof/>
                <w:webHidden/>
              </w:rPr>
              <w:instrText xml:space="preserve"> PAGEREF _Toc232977670 \h </w:instrText>
            </w:r>
            <w:r>
              <w:rPr>
                <w:noProof/>
                <w:webHidden/>
              </w:rPr>
            </w:r>
            <w:r>
              <w:rPr>
                <w:noProof/>
                <w:webHidden/>
              </w:rPr>
              <w:fldChar w:fldCharType="separate"/>
            </w:r>
            <w:r>
              <w:rPr>
                <w:noProof/>
                <w:webHidden/>
              </w:rPr>
              <w:t>4</w:t>
            </w:r>
            <w:r>
              <w:rPr>
                <w:noProof/>
                <w:webHidden/>
              </w:rPr>
              <w:fldChar w:fldCharType="end"/>
            </w:r>
          </w:hyperlink>
        </w:p>
        <w:p w14:paraId="6D2E37EC" w14:textId="32631658"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71" w:history="1">
            <w:r w:rsidRPr="009A5E86">
              <w:rPr>
                <w:rStyle w:val="Hyperlink"/>
                <w:noProof/>
              </w:rPr>
              <w:t>2.5</w:t>
            </w:r>
            <w:r>
              <w:rPr>
                <w:rFonts w:eastAsiaTheme="minorEastAsia"/>
                <w:noProof/>
                <w:kern w:val="2"/>
                <w:sz w:val="24"/>
                <w:szCs w:val="24"/>
                <w:lang w:eastAsia="en-GB"/>
                <w14:ligatures w14:val="standardContextual"/>
              </w:rPr>
              <w:tab/>
            </w:r>
            <w:r w:rsidRPr="009A5E86">
              <w:rPr>
                <w:rStyle w:val="Hyperlink"/>
                <w:noProof/>
              </w:rPr>
              <w:t>Kilvey Hill—Legacy of Copper Smelting and Soil Contamination</w:t>
            </w:r>
            <w:r>
              <w:rPr>
                <w:noProof/>
                <w:webHidden/>
              </w:rPr>
              <w:tab/>
            </w:r>
            <w:r>
              <w:rPr>
                <w:noProof/>
                <w:webHidden/>
              </w:rPr>
              <w:fldChar w:fldCharType="begin"/>
            </w:r>
            <w:r>
              <w:rPr>
                <w:noProof/>
                <w:webHidden/>
              </w:rPr>
              <w:instrText xml:space="preserve"> PAGEREF _Toc232977671 \h </w:instrText>
            </w:r>
            <w:r>
              <w:rPr>
                <w:noProof/>
                <w:webHidden/>
              </w:rPr>
            </w:r>
            <w:r>
              <w:rPr>
                <w:noProof/>
                <w:webHidden/>
              </w:rPr>
              <w:fldChar w:fldCharType="separate"/>
            </w:r>
            <w:r>
              <w:rPr>
                <w:noProof/>
                <w:webHidden/>
              </w:rPr>
              <w:t>6</w:t>
            </w:r>
            <w:r>
              <w:rPr>
                <w:noProof/>
                <w:webHidden/>
              </w:rPr>
              <w:fldChar w:fldCharType="end"/>
            </w:r>
          </w:hyperlink>
        </w:p>
        <w:p w14:paraId="21245ABD" w14:textId="6E470CCE"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72" w:history="1">
            <w:r w:rsidRPr="009A5E86">
              <w:rPr>
                <w:rStyle w:val="Hyperlink"/>
                <w:noProof/>
              </w:rPr>
              <w:t>2.6</w:t>
            </w:r>
            <w:r>
              <w:rPr>
                <w:rFonts w:eastAsiaTheme="minorEastAsia"/>
                <w:noProof/>
                <w:kern w:val="2"/>
                <w:sz w:val="24"/>
                <w:szCs w:val="24"/>
                <w:lang w:eastAsia="en-GB"/>
                <w14:ligatures w14:val="standardContextual"/>
              </w:rPr>
              <w:tab/>
            </w:r>
            <w:r w:rsidRPr="009A5E86">
              <w:rPr>
                <w:rStyle w:val="Hyperlink"/>
                <w:noProof/>
              </w:rPr>
              <w:t>Conclusion and Implications for Kilvey hill Restoration</w:t>
            </w:r>
            <w:r>
              <w:rPr>
                <w:noProof/>
                <w:webHidden/>
              </w:rPr>
              <w:tab/>
            </w:r>
            <w:r>
              <w:rPr>
                <w:noProof/>
                <w:webHidden/>
              </w:rPr>
              <w:fldChar w:fldCharType="begin"/>
            </w:r>
            <w:r>
              <w:rPr>
                <w:noProof/>
                <w:webHidden/>
              </w:rPr>
              <w:instrText xml:space="preserve"> PAGEREF _Toc232977672 \h </w:instrText>
            </w:r>
            <w:r>
              <w:rPr>
                <w:noProof/>
                <w:webHidden/>
              </w:rPr>
            </w:r>
            <w:r>
              <w:rPr>
                <w:noProof/>
                <w:webHidden/>
              </w:rPr>
              <w:fldChar w:fldCharType="separate"/>
            </w:r>
            <w:r>
              <w:rPr>
                <w:noProof/>
                <w:webHidden/>
              </w:rPr>
              <w:t>7</w:t>
            </w:r>
            <w:r>
              <w:rPr>
                <w:noProof/>
                <w:webHidden/>
              </w:rPr>
              <w:fldChar w:fldCharType="end"/>
            </w:r>
          </w:hyperlink>
        </w:p>
        <w:p w14:paraId="0AB9CC38" w14:textId="78BD1765" w:rsidR="0073485D" w:rsidRDefault="0073485D">
          <w:pPr>
            <w:pStyle w:val="TOC1"/>
            <w:tabs>
              <w:tab w:val="left" w:pos="440"/>
              <w:tab w:val="right" w:leader="dot" w:pos="9016"/>
            </w:tabs>
            <w:rPr>
              <w:rFonts w:eastAsiaTheme="minorEastAsia"/>
              <w:noProof/>
              <w:kern w:val="2"/>
              <w:sz w:val="24"/>
              <w:szCs w:val="24"/>
              <w:lang w:eastAsia="en-GB"/>
              <w14:ligatures w14:val="standardContextual"/>
            </w:rPr>
          </w:pPr>
          <w:hyperlink w:anchor="_Toc232977673" w:history="1">
            <w:r w:rsidRPr="009A5E86">
              <w:rPr>
                <w:rStyle w:val="Hyperlink"/>
                <w:noProof/>
              </w:rPr>
              <w:t>3</w:t>
            </w:r>
            <w:r>
              <w:rPr>
                <w:rFonts w:eastAsiaTheme="minorEastAsia"/>
                <w:noProof/>
                <w:kern w:val="2"/>
                <w:sz w:val="24"/>
                <w:szCs w:val="24"/>
                <w:lang w:eastAsia="en-GB"/>
                <w14:ligatures w14:val="standardContextual"/>
              </w:rPr>
              <w:tab/>
            </w:r>
            <w:r w:rsidRPr="009A5E86">
              <w:rPr>
                <w:rStyle w:val="Hyperlink"/>
                <w:noProof/>
              </w:rPr>
              <w:t>Methodology</w:t>
            </w:r>
            <w:r>
              <w:rPr>
                <w:noProof/>
                <w:webHidden/>
              </w:rPr>
              <w:tab/>
            </w:r>
            <w:r>
              <w:rPr>
                <w:noProof/>
                <w:webHidden/>
              </w:rPr>
              <w:fldChar w:fldCharType="begin"/>
            </w:r>
            <w:r>
              <w:rPr>
                <w:noProof/>
                <w:webHidden/>
              </w:rPr>
              <w:instrText xml:space="preserve"> PAGEREF _Toc232977673 \h </w:instrText>
            </w:r>
            <w:r>
              <w:rPr>
                <w:noProof/>
                <w:webHidden/>
              </w:rPr>
            </w:r>
            <w:r>
              <w:rPr>
                <w:noProof/>
                <w:webHidden/>
              </w:rPr>
              <w:fldChar w:fldCharType="separate"/>
            </w:r>
            <w:r>
              <w:rPr>
                <w:noProof/>
                <w:webHidden/>
              </w:rPr>
              <w:t>8</w:t>
            </w:r>
            <w:r>
              <w:rPr>
                <w:noProof/>
                <w:webHidden/>
              </w:rPr>
              <w:fldChar w:fldCharType="end"/>
            </w:r>
          </w:hyperlink>
        </w:p>
        <w:p w14:paraId="14DC45BB" w14:textId="3291D898"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74" w:history="1">
            <w:r w:rsidRPr="009A5E86">
              <w:rPr>
                <w:rStyle w:val="Hyperlink"/>
                <w:noProof/>
              </w:rPr>
              <w:t>3.1</w:t>
            </w:r>
            <w:r>
              <w:rPr>
                <w:rFonts w:eastAsiaTheme="minorEastAsia"/>
                <w:noProof/>
                <w:kern w:val="2"/>
                <w:sz w:val="24"/>
                <w:szCs w:val="24"/>
                <w:lang w:eastAsia="en-GB"/>
                <w14:ligatures w14:val="standardContextual"/>
              </w:rPr>
              <w:tab/>
            </w:r>
            <w:r w:rsidRPr="009A5E86">
              <w:rPr>
                <w:rStyle w:val="Hyperlink"/>
                <w:noProof/>
              </w:rPr>
              <w:t>Overview</w:t>
            </w:r>
            <w:r>
              <w:rPr>
                <w:noProof/>
                <w:webHidden/>
              </w:rPr>
              <w:tab/>
            </w:r>
            <w:r>
              <w:rPr>
                <w:noProof/>
                <w:webHidden/>
              </w:rPr>
              <w:fldChar w:fldCharType="begin"/>
            </w:r>
            <w:r>
              <w:rPr>
                <w:noProof/>
                <w:webHidden/>
              </w:rPr>
              <w:instrText xml:space="preserve"> PAGEREF _Toc232977674 \h </w:instrText>
            </w:r>
            <w:r>
              <w:rPr>
                <w:noProof/>
                <w:webHidden/>
              </w:rPr>
            </w:r>
            <w:r>
              <w:rPr>
                <w:noProof/>
                <w:webHidden/>
              </w:rPr>
              <w:fldChar w:fldCharType="separate"/>
            </w:r>
            <w:r>
              <w:rPr>
                <w:noProof/>
                <w:webHidden/>
              </w:rPr>
              <w:t>8</w:t>
            </w:r>
            <w:r>
              <w:rPr>
                <w:noProof/>
                <w:webHidden/>
              </w:rPr>
              <w:fldChar w:fldCharType="end"/>
            </w:r>
          </w:hyperlink>
        </w:p>
        <w:p w14:paraId="616BD20D" w14:textId="49C74749"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75" w:history="1">
            <w:r w:rsidRPr="009A5E86">
              <w:rPr>
                <w:rStyle w:val="Hyperlink"/>
                <w:noProof/>
              </w:rPr>
              <w:t>3.2</w:t>
            </w:r>
            <w:r>
              <w:rPr>
                <w:rFonts w:eastAsiaTheme="minorEastAsia"/>
                <w:noProof/>
                <w:kern w:val="2"/>
                <w:sz w:val="24"/>
                <w:szCs w:val="24"/>
                <w:lang w:eastAsia="en-GB"/>
                <w14:ligatures w14:val="standardContextual"/>
              </w:rPr>
              <w:tab/>
            </w:r>
            <w:r w:rsidRPr="009A5E86">
              <w:rPr>
                <w:rStyle w:val="Hyperlink"/>
                <w:noProof/>
              </w:rPr>
              <w:t>Protocol</w:t>
            </w:r>
            <w:r>
              <w:rPr>
                <w:noProof/>
                <w:webHidden/>
              </w:rPr>
              <w:tab/>
            </w:r>
            <w:r>
              <w:rPr>
                <w:noProof/>
                <w:webHidden/>
              </w:rPr>
              <w:fldChar w:fldCharType="begin"/>
            </w:r>
            <w:r>
              <w:rPr>
                <w:noProof/>
                <w:webHidden/>
              </w:rPr>
              <w:instrText xml:space="preserve"> PAGEREF _Toc232977675 \h </w:instrText>
            </w:r>
            <w:r>
              <w:rPr>
                <w:noProof/>
                <w:webHidden/>
              </w:rPr>
            </w:r>
            <w:r>
              <w:rPr>
                <w:noProof/>
                <w:webHidden/>
              </w:rPr>
              <w:fldChar w:fldCharType="separate"/>
            </w:r>
            <w:r>
              <w:rPr>
                <w:noProof/>
                <w:webHidden/>
              </w:rPr>
              <w:t>9</w:t>
            </w:r>
            <w:r>
              <w:rPr>
                <w:noProof/>
                <w:webHidden/>
              </w:rPr>
              <w:fldChar w:fldCharType="end"/>
            </w:r>
          </w:hyperlink>
        </w:p>
        <w:p w14:paraId="006622A1" w14:textId="005A9F13"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76" w:history="1">
            <w:r w:rsidRPr="009A5E86">
              <w:rPr>
                <w:rStyle w:val="Hyperlink"/>
                <w:noProof/>
              </w:rPr>
              <w:t>3.3</w:t>
            </w:r>
            <w:r>
              <w:rPr>
                <w:rFonts w:eastAsiaTheme="minorEastAsia"/>
                <w:noProof/>
                <w:kern w:val="2"/>
                <w:sz w:val="24"/>
                <w:szCs w:val="24"/>
                <w:lang w:eastAsia="en-GB"/>
                <w14:ligatures w14:val="standardContextual"/>
              </w:rPr>
              <w:tab/>
            </w:r>
            <w:r w:rsidRPr="009A5E86">
              <w:rPr>
                <w:rStyle w:val="Hyperlink"/>
                <w:noProof/>
              </w:rPr>
              <w:t>Justification</w:t>
            </w:r>
            <w:r>
              <w:rPr>
                <w:noProof/>
                <w:webHidden/>
              </w:rPr>
              <w:tab/>
            </w:r>
            <w:r>
              <w:rPr>
                <w:noProof/>
                <w:webHidden/>
              </w:rPr>
              <w:fldChar w:fldCharType="begin"/>
            </w:r>
            <w:r>
              <w:rPr>
                <w:noProof/>
                <w:webHidden/>
              </w:rPr>
              <w:instrText xml:space="preserve"> PAGEREF _Toc232977676 \h </w:instrText>
            </w:r>
            <w:r>
              <w:rPr>
                <w:noProof/>
                <w:webHidden/>
              </w:rPr>
            </w:r>
            <w:r>
              <w:rPr>
                <w:noProof/>
                <w:webHidden/>
              </w:rPr>
              <w:fldChar w:fldCharType="separate"/>
            </w:r>
            <w:r>
              <w:rPr>
                <w:noProof/>
                <w:webHidden/>
              </w:rPr>
              <w:t>9</w:t>
            </w:r>
            <w:r>
              <w:rPr>
                <w:noProof/>
                <w:webHidden/>
              </w:rPr>
              <w:fldChar w:fldCharType="end"/>
            </w:r>
          </w:hyperlink>
        </w:p>
        <w:p w14:paraId="694B2F29" w14:textId="0AF9B19C" w:rsidR="0073485D" w:rsidRDefault="0073485D">
          <w:pPr>
            <w:pStyle w:val="TOC1"/>
            <w:tabs>
              <w:tab w:val="left" w:pos="440"/>
              <w:tab w:val="right" w:leader="dot" w:pos="9016"/>
            </w:tabs>
            <w:rPr>
              <w:rFonts w:eastAsiaTheme="minorEastAsia"/>
              <w:noProof/>
              <w:kern w:val="2"/>
              <w:sz w:val="24"/>
              <w:szCs w:val="24"/>
              <w:lang w:eastAsia="en-GB"/>
              <w14:ligatures w14:val="standardContextual"/>
            </w:rPr>
          </w:pPr>
          <w:hyperlink w:anchor="_Toc232977677" w:history="1">
            <w:r w:rsidRPr="009A5E86">
              <w:rPr>
                <w:rStyle w:val="Hyperlink"/>
                <w:noProof/>
              </w:rPr>
              <w:t>4</w:t>
            </w:r>
            <w:r>
              <w:rPr>
                <w:rFonts w:eastAsiaTheme="minorEastAsia"/>
                <w:noProof/>
                <w:kern w:val="2"/>
                <w:sz w:val="24"/>
                <w:szCs w:val="24"/>
                <w:lang w:eastAsia="en-GB"/>
                <w14:ligatures w14:val="standardContextual"/>
              </w:rPr>
              <w:tab/>
            </w:r>
            <w:r w:rsidRPr="009A5E86">
              <w:rPr>
                <w:rStyle w:val="Hyperlink"/>
                <w:noProof/>
              </w:rPr>
              <w:t>Results</w:t>
            </w:r>
            <w:r>
              <w:rPr>
                <w:noProof/>
                <w:webHidden/>
              </w:rPr>
              <w:tab/>
            </w:r>
            <w:r>
              <w:rPr>
                <w:noProof/>
                <w:webHidden/>
              </w:rPr>
              <w:fldChar w:fldCharType="begin"/>
            </w:r>
            <w:r>
              <w:rPr>
                <w:noProof/>
                <w:webHidden/>
              </w:rPr>
              <w:instrText xml:space="preserve"> PAGEREF _Toc232977677 \h </w:instrText>
            </w:r>
            <w:r>
              <w:rPr>
                <w:noProof/>
                <w:webHidden/>
              </w:rPr>
            </w:r>
            <w:r>
              <w:rPr>
                <w:noProof/>
                <w:webHidden/>
              </w:rPr>
              <w:fldChar w:fldCharType="separate"/>
            </w:r>
            <w:r>
              <w:rPr>
                <w:noProof/>
                <w:webHidden/>
              </w:rPr>
              <w:t>11</w:t>
            </w:r>
            <w:r>
              <w:rPr>
                <w:noProof/>
                <w:webHidden/>
              </w:rPr>
              <w:fldChar w:fldCharType="end"/>
            </w:r>
          </w:hyperlink>
        </w:p>
        <w:p w14:paraId="045D2C57" w14:textId="56EFFFB3"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78" w:history="1">
            <w:r w:rsidRPr="009A5E86">
              <w:rPr>
                <w:rStyle w:val="Hyperlink"/>
                <w:noProof/>
              </w:rPr>
              <w:t>4.1</w:t>
            </w:r>
            <w:r>
              <w:rPr>
                <w:rFonts w:eastAsiaTheme="minorEastAsia"/>
                <w:noProof/>
                <w:kern w:val="2"/>
                <w:sz w:val="24"/>
                <w:szCs w:val="24"/>
                <w:lang w:eastAsia="en-GB"/>
                <w14:ligatures w14:val="standardContextual"/>
              </w:rPr>
              <w:tab/>
            </w:r>
            <w:r w:rsidRPr="009A5E86">
              <w:rPr>
                <w:rStyle w:val="Hyperlink"/>
                <w:noProof/>
              </w:rPr>
              <w:t>Copper reduction</w:t>
            </w:r>
            <w:r>
              <w:rPr>
                <w:noProof/>
                <w:webHidden/>
              </w:rPr>
              <w:tab/>
            </w:r>
            <w:r>
              <w:rPr>
                <w:noProof/>
                <w:webHidden/>
              </w:rPr>
              <w:fldChar w:fldCharType="begin"/>
            </w:r>
            <w:r>
              <w:rPr>
                <w:noProof/>
                <w:webHidden/>
              </w:rPr>
              <w:instrText xml:space="preserve"> PAGEREF _Toc232977678 \h </w:instrText>
            </w:r>
            <w:r>
              <w:rPr>
                <w:noProof/>
                <w:webHidden/>
              </w:rPr>
            </w:r>
            <w:r>
              <w:rPr>
                <w:noProof/>
                <w:webHidden/>
              </w:rPr>
              <w:fldChar w:fldCharType="separate"/>
            </w:r>
            <w:r>
              <w:rPr>
                <w:noProof/>
                <w:webHidden/>
              </w:rPr>
              <w:t>13</w:t>
            </w:r>
            <w:r>
              <w:rPr>
                <w:noProof/>
                <w:webHidden/>
              </w:rPr>
              <w:fldChar w:fldCharType="end"/>
            </w:r>
          </w:hyperlink>
        </w:p>
        <w:p w14:paraId="057AAB73" w14:textId="10CBB290"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79" w:history="1">
            <w:r w:rsidRPr="009A5E86">
              <w:rPr>
                <w:rStyle w:val="Hyperlink"/>
                <w:noProof/>
              </w:rPr>
              <w:t>4.2</w:t>
            </w:r>
            <w:r>
              <w:rPr>
                <w:rFonts w:eastAsiaTheme="minorEastAsia"/>
                <w:noProof/>
                <w:kern w:val="2"/>
                <w:sz w:val="24"/>
                <w:szCs w:val="24"/>
                <w:lang w:eastAsia="en-GB"/>
                <w14:ligatures w14:val="standardContextual"/>
              </w:rPr>
              <w:tab/>
            </w:r>
            <w:r w:rsidRPr="009A5E86">
              <w:rPr>
                <w:rStyle w:val="Hyperlink"/>
                <w:noProof/>
              </w:rPr>
              <w:t>Habitat type influences</w:t>
            </w:r>
            <w:r>
              <w:rPr>
                <w:noProof/>
                <w:webHidden/>
              </w:rPr>
              <w:tab/>
            </w:r>
            <w:r>
              <w:rPr>
                <w:noProof/>
                <w:webHidden/>
              </w:rPr>
              <w:fldChar w:fldCharType="begin"/>
            </w:r>
            <w:r>
              <w:rPr>
                <w:noProof/>
                <w:webHidden/>
              </w:rPr>
              <w:instrText xml:space="preserve"> PAGEREF _Toc232977679 \h </w:instrText>
            </w:r>
            <w:r>
              <w:rPr>
                <w:noProof/>
                <w:webHidden/>
              </w:rPr>
            </w:r>
            <w:r>
              <w:rPr>
                <w:noProof/>
                <w:webHidden/>
              </w:rPr>
              <w:fldChar w:fldCharType="separate"/>
            </w:r>
            <w:r>
              <w:rPr>
                <w:noProof/>
                <w:webHidden/>
              </w:rPr>
              <w:t>14</w:t>
            </w:r>
            <w:r>
              <w:rPr>
                <w:noProof/>
                <w:webHidden/>
              </w:rPr>
              <w:fldChar w:fldCharType="end"/>
            </w:r>
          </w:hyperlink>
        </w:p>
        <w:p w14:paraId="4E1003D6" w14:textId="6DFA5E9F"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80" w:history="1">
            <w:r w:rsidRPr="009A5E86">
              <w:rPr>
                <w:rStyle w:val="Hyperlink"/>
                <w:noProof/>
              </w:rPr>
              <w:t>4.3</w:t>
            </w:r>
            <w:r>
              <w:rPr>
                <w:rFonts w:eastAsiaTheme="minorEastAsia"/>
                <w:noProof/>
                <w:kern w:val="2"/>
                <w:sz w:val="24"/>
                <w:szCs w:val="24"/>
                <w:lang w:eastAsia="en-GB"/>
                <w14:ligatures w14:val="standardContextual"/>
              </w:rPr>
              <w:tab/>
            </w:r>
            <w:r w:rsidRPr="009A5E86">
              <w:rPr>
                <w:rStyle w:val="Hyperlink"/>
                <w:noProof/>
              </w:rPr>
              <w:t>pH Changes</w:t>
            </w:r>
            <w:r>
              <w:rPr>
                <w:noProof/>
                <w:webHidden/>
              </w:rPr>
              <w:tab/>
            </w:r>
            <w:r>
              <w:rPr>
                <w:noProof/>
                <w:webHidden/>
              </w:rPr>
              <w:fldChar w:fldCharType="begin"/>
            </w:r>
            <w:r>
              <w:rPr>
                <w:noProof/>
                <w:webHidden/>
              </w:rPr>
              <w:instrText xml:space="preserve"> PAGEREF _Toc232977680 \h </w:instrText>
            </w:r>
            <w:r>
              <w:rPr>
                <w:noProof/>
                <w:webHidden/>
              </w:rPr>
            </w:r>
            <w:r>
              <w:rPr>
                <w:noProof/>
                <w:webHidden/>
              </w:rPr>
              <w:fldChar w:fldCharType="separate"/>
            </w:r>
            <w:r>
              <w:rPr>
                <w:noProof/>
                <w:webHidden/>
              </w:rPr>
              <w:t>14</w:t>
            </w:r>
            <w:r>
              <w:rPr>
                <w:noProof/>
                <w:webHidden/>
              </w:rPr>
              <w:fldChar w:fldCharType="end"/>
            </w:r>
          </w:hyperlink>
        </w:p>
        <w:p w14:paraId="57701743" w14:textId="3EDBED23" w:rsidR="0073485D" w:rsidRDefault="0073485D">
          <w:pPr>
            <w:pStyle w:val="TOC1"/>
            <w:tabs>
              <w:tab w:val="left" w:pos="440"/>
              <w:tab w:val="right" w:leader="dot" w:pos="9016"/>
            </w:tabs>
            <w:rPr>
              <w:rFonts w:eastAsiaTheme="minorEastAsia"/>
              <w:noProof/>
              <w:kern w:val="2"/>
              <w:sz w:val="24"/>
              <w:szCs w:val="24"/>
              <w:lang w:eastAsia="en-GB"/>
              <w14:ligatures w14:val="standardContextual"/>
            </w:rPr>
          </w:pPr>
          <w:hyperlink w:anchor="_Toc232977681" w:history="1">
            <w:r w:rsidRPr="009A5E86">
              <w:rPr>
                <w:rStyle w:val="Hyperlink"/>
                <w:noProof/>
              </w:rPr>
              <w:t>5</w:t>
            </w:r>
            <w:r>
              <w:rPr>
                <w:rFonts w:eastAsiaTheme="minorEastAsia"/>
                <w:noProof/>
                <w:kern w:val="2"/>
                <w:sz w:val="24"/>
                <w:szCs w:val="24"/>
                <w:lang w:eastAsia="en-GB"/>
                <w14:ligatures w14:val="standardContextual"/>
              </w:rPr>
              <w:tab/>
            </w:r>
            <w:r w:rsidRPr="009A5E86">
              <w:rPr>
                <w:rStyle w:val="Hyperlink"/>
                <w:noProof/>
              </w:rPr>
              <w:t>Discussion</w:t>
            </w:r>
            <w:r>
              <w:rPr>
                <w:noProof/>
                <w:webHidden/>
              </w:rPr>
              <w:tab/>
            </w:r>
            <w:r>
              <w:rPr>
                <w:noProof/>
                <w:webHidden/>
              </w:rPr>
              <w:fldChar w:fldCharType="begin"/>
            </w:r>
            <w:r>
              <w:rPr>
                <w:noProof/>
                <w:webHidden/>
              </w:rPr>
              <w:instrText xml:space="preserve"> PAGEREF _Toc232977681 \h </w:instrText>
            </w:r>
            <w:r>
              <w:rPr>
                <w:noProof/>
                <w:webHidden/>
              </w:rPr>
            </w:r>
            <w:r>
              <w:rPr>
                <w:noProof/>
                <w:webHidden/>
              </w:rPr>
              <w:fldChar w:fldCharType="separate"/>
            </w:r>
            <w:r>
              <w:rPr>
                <w:noProof/>
                <w:webHidden/>
              </w:rPr>
              <w:t>16</w:t>
            </w:r>
            <w:r>
              <w:rPr>
                <w:noProof/>
                <w:webHidden/>
              </w:rPr>
              <w:fldChar w:fldCharType="end"/>
            </w:r>
          </w:hyperlink>
        </w:p>
        <w:p w14:paraId="02393C1C" w14:textId="2BAE88FA"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82" w:history="1">
            <w:r w:rsidRPr="009A5E86">
              <w:rPr>
                <w:rStyle w:val="Hyperlink"/>
                <w:noProof/>
              </w:rPr>
              <w:t>5.1</w:t>
            </w:r>
            <w:r>
              <w:rPr>
                <w:rFonts w:eastAsiaTheme="minorEastAsia"/>
                <w:noProof/>
                <w:kern w:val="2"/>
                <w:sz w:val="24"/>
                <w:szCs w:val="24"/>
                <w:lang w:eastAsia="en-GB"/>
                <w14:ligatures w14:val="standardContextual"/>
              </w:rPr>
              <w:tab/>
            </w:r>
            <w:r w:rsidRPr="009A5E86">
              <w:rPr>
                <w:rStyle w:val="Hyperlink"/>
                <w:noProof/>
              </w:rPr>
              <w:t>Overall copper concentrations</w:t>
            </w:r>
            <w:r>
              <w:rPr>
                <w:noProof/>
                <w:webHidden/>
              </w:rPr>
              <w:tab/>
            </w:r>
            <w:r>
              <w:rPr>
                <w:noProof/>
                <w:webHidden/>
              </w:rPr>
              <w:fldChar w:fldCharType="begin"/>
            </w:r>
            <w:r>
              <w:rPr>
                <w:noProof/>
                <w:webHidden/>
              </w:rPr>
              <w:instrText xml:space="preserve"> PAGEREF _Toc232977682 \h </w:instrText>
            </w:r>
            <w:r>
              <w:rPr>
                <w:noProof/>
                <w:webHidden/>
              </w:rPr>
            </w:r>
            <w:r>
              <w:rPr>
                <w:noProof/>
                <w:webHidden/>
              </w:rPr>
              <w:fldChar w:fldCharType="separate"/>
            </w:r>
            <w:r>
              <w:rPr>
                <w:noProof/>
                <w:webHidden/>
              </w:rPr>
              <w:t>16</w:t>
            </w:r>
            <w:r>
              <w:rPr>
                <w:noProof/>
                <w:webHidden/>
              </w:rPr>
              <w:fldChar w:fldCharType="end"/>
            </w:r>
          </w:hyperlink>
        </w:p>
        <w:p w14:paraId="68C3BEAF" w14:textId="0E658F1E"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83" w:history="1">
            <w:r w:rsidRPr="009A5E86">
              <w:rPr>
                <w:rStyle w:val="Hyperlink"/>
                <w:noProof/>
              </w:rPr>
              <w:t>5.2</w:t>
            </w:r>
            <w:r>
              <w:rPr>
                <w:rFonts w:eastAsiaTheme="minorEastAsia"/>
                <w:noProof/>
                <w:kern w:val="2"/>
                <w:sz w:val="24"/>
                <w:szCs w:val="24"/>
                <w:lang w:eastAsia="en-GB"/>
                <w14:ligatures w14:val="standardContextual"/>
              </w:rPr>
              <w:tab/>
            </w:r>
            <w:r w:rsidRPr="009A5E86">
              <w:rPr>
                <w:rStyle w:val="Hyperlink"/>
                <w:noProof/>
              </w:rPr>
              <w:t>Habitat types</w:t>
            </w:r>
            <w:r>
              <w:rPr>
                <w:noProof/>
                <w:webHidden/>
              </w:rPr>
              <w:tab/>
            </w:r>
            <w:r>
              <w:rPr>
                <w:noProof/>
                <w:webHidden/>
              </w:rPr>
              <w:fldChar w:fldCharType="begin"/>
            </w:r>
            <w:r>
              <w:rPr>
                <w:noProof/>
                <w:webHidden/>
              </w:rPr>
              <w:instrText xml:space="preserve"> PAGEREF _Toc232977683 \h </w:instrText>
            </w:r>
            <w:r>
              <w:rPr>
                <w:noProof/>
                <w:webHidden/>
              </w:rPr>
            </w:r>
            <w:r>
              <w:rPr>
                <w:noProof/>
                <w:webHidden/>
              </w:rPr>
              <w:fldChar w:fldCharType="separate"/>
            </w:r>
            <w:r>
              <w:rPr>
                <w:noProof/>
                <w:webHidden/>
              </w:rPr>
              <w:t>16</w:t>
            </w:r>
            <w:r>
              <w:rPr>
                <w:noProof/>
                <w:webHidden/>
              </w:rPr>
              <w:fldChar w:fldCharType="end"/>
            </w:r>
          </w:hyperlink>
        </w:p>
        <w:p w14:paraId="3877287A" w14:textId="7A4FA06D"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84" w:history="1">
            <w:r w:rsidRPr="009A5E86">
              <w:rPr>
                <w:rStyle w:val="Hyperlink"/>
                <w:noProof/>
              </w:rPr>
              <w:t>5.3</w:t>
            </w:r>
            <w:r>
              <w:rPr>
                <w:rFonts w:eastAsiaTheme="minorEastAsia"/>
                <w:noProof/>
                <w:kern w:val="2"/>
                <w:sz w:val="24"/>
                <w:szCs w:val="24"/>
                <w:lang w:eastAsia="en-GB"/>
                <w14:ligatures w14:val="standardContextual"/>
              </w:rPr>
              <w:tab/>
            </w:r>
            <w:r w:rsidRPr="009A5E86">
              <w:rPr>
                <w:rStyle w:val="Hyperlink"/>
                <w:noProof/>
              </w:rPr>
              <w:t>pH</w:t>
            </w:r>
            <w:r>
              <w:rPr>
                <w:noProof/>
                <w:webHidden/>
              </w:rPr>
              <w:tab/>
            </w:r>
            <w:r>
              <w:rPr>
                <w:noProof/>
                <w:webHidden/>
              </w:rPr>
              <w:fldChar w:fldCharType="begin"/>
            </w:r>
            <w:r>
              <w:rPr>
                <w:noProof/>
                <w:webHidden/>
              </w:rPr>
              <w:instrText xml:space="preserve"> PAGEREF _Toc232977684 \h </w:instrText>
            </w:r>
            <w:r>
              <w:rPr>
                <w:noProof/>
                <w:webHidden/>
              </w:rPr>
            </w:r>
            <w:r>
              <w:rPr>
                <w:noProof/>
                <w:webHidden/>
              </w:rPr>
              <w:fldChar w:fldCharType="separate"/>
            </w:r>
            <w:r>
              <w:rPr>
                <w:noProof/>
                <w:webHidden/>
              </w:rPr>
              <w:t>18</w:t>
            </w:r>
            <w:r>
              <w:rPr>
                <w:noProof/>
                <w:webHidden/>
              </w:rPr>
              <w:fldChar w:fldCharType="end"/>
            </w:r>
          </w:hyperlink>
        </w:p>
        <w:p w14:paraId="4E58A630" w14:textId="01FEE0AC"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85" w:history="1">
            <w:r w:rsidRPr="009A5E86">
              <w:rPr>
                <w:rStyle w:val="Hyperlink"/>
                <w:noProof/>
              </w:rPr>
              <w:t>5.4</w:t>
            </w:r>
            <w:r>
              <w:rPr>
                <w:rFonts w:eastAsiaTheme="minorEastAsia"/>
                <w:noProof/>
                <w:kern w:val="2"/>
                <w:sz w:val="24"/>
                <w:szCs w:val="24"/>
                <w:lang w:eastAsia="en-GB"/>
                <w14:ligatures w14:val="standardContextual"/>
              </w:rPr>
              <w:tab/>
            </w:r>
            <w:r w:rsidRPr="009A5E86">
              <w:rPr>
                <w:rStyle w:val="Hyperlink"/>
                <w:noProof/>
              </w:rPr>
              <w:t>Practical applications and management</w:t>
            </w:r>
            <w:r>
              <w:rPr>
                <w:noProof/>
                <w:webHidden/>
              </w:rPr>
              <w:tab/>
            </w:r>
            <w:r>
              <w:rPr>
                <w:noProof/>
                <w:webHidden/>
              </w:rPr>
              <w:fldChar w:fldCharType="begin"/>
            </w:r>
            <w:r>
              <w:rPr>
                <w:noProof/>
                <w:webHidden/>
              </w:rPr>
              <w:instrText xml:space="preserve"> PAGEREF _Toc232977685 \h </w:instrText>
            </w:r>
            <w:r>
              <w:rPr>
                <w:noProof/>
                <w:webHidden/>
              </w:rPr>
            </w:r>
            <w:r>
              <w:rPr>
                <w:noProof/>
                <w:webHidden/>
              </w:rPr>
              <w:fldChar w:fldCharType="separate"/>
            </w:r>
            <w:r>
              <w:rPr>
                <w:noProof/>
                <w:webHidden/>
              </w:rPr>
              <w:t>19</w:t>
            </w:r>
            <w:r>
              <w:rPr>
                <w:noProof/>
                <w:webHidden/>
              </w:rPr>
              <w:fldChar w:fldCharType="end"/>
            </w:r>
          </w:hyperlink>
        </w:p>
        <w:p w14:paraId="39EC5F6C" w14:textId="0C461109"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86" w:history="1">
            <w:r w:rsidRPr="009A5E86">
              <w:rPr>
                <w:rStyle w:val="Hyperlink"/>
                <w:noProof/>
              </w:rPr>
              <w:t>5.5</w:t>
            </w:r>
            <w:r>
              <w:rPr>
                <w:rFonts w:eastAsiaTheme="minorEastAsia"/>
                <w:noProof/>
                <w:kern w:val="2"/>
                <w:sz w:val="24"/>
                <w:szCs w:val="24"/>
                <w:lang w:eastAsia="en-GB"/>
                <w14:ligatures w14:val="standardContextual"/>
              </w:rPr>
              <w:tab/>
            </w:r>
            <w:r w:rsidRPr="009A5E86">
              <w:rPr>
                <w:rStyle w:val="Hyperlink"/>
                <w:noProof/>
              </w:rPr>
              <w:t>Limitations</w:t>
            </w:r>
            <w:r>
              <w:rPr>
                <w:noProof/>
                <w:webHidden/>
              </w:rPr>
              <w:tab/>
            </w:r>
            <w:r>
              <w:rPr>
                <w:noProof/>
                <w:webHidden/>
              </w:rPr>
              <w:fldChar w:fldCharType="begin"/>
            </w:r>
            <w:r>
              <w:rPr>
                <w:noProof/>
                <w:webHidden/>
              </w:rPr>
              <w:instrText xml:space="preserve"> PAGEREF _Toc232977686 \h </w:instrText>
            </w:r>
            <w:r>
              <w:rPr>
                <w:noProof/>
                <w:webHidden/>
              </w:rPr>
            </w:r>
            <w:r>
              <w:rPr>
                <w:noProof/>
                <w:webHidden/>
              </w:rPr>
              <w:fldChar w:fldCharType="separate"/>
            </w:r>
            <w:r>
              <w:rPr>
                <w:noProof/>
                <w:webHidden/>
              </w:rPr>
              <w:t>20</w:t>
            </w:r>
            <w:r>
              <w:rPr>
                <w:noProof/>
                <w:webHidden/>
              </w:rPr>
              <w:fldChar w:fldCharType="end"/>
            </w:r>
          </w:hyperlink>
        </w:p>
        <w:p w14:paraId="3C157FDC" w14:textId="10713383" w:rsidR="0073485D" w:rsidRDefault="0073485D">
          <w:pPr>
            <w:pStyle w:val="TOC2"/>
            <w:tabs>
              <w:tab w:val="left" w:pos="960"/>
              <w:tab w:val="right" w:leader="dot" w:pos="9016"/>
            </w:tabs>
            <w:rPr>
              <w:rFonts w:eastAsiaTheme="minorEastAsia"/>
              <w:noProof/>
              <w:kern w:val="2"/>
              <w:sz w:val="24"/>
              <w:szCs w:val="24"/>
              <w:lang w:eastAsia="en-GB"/>
              <w14:ligatures w14:val="standardContextual"/>
            </w:rPr>
          </w:pPr>
          <w:hyperlink w:anchor="_Toc232977687" w:history="1">
            <w:r w:rsidRPr="009A5E86">
              <w:rPr>
                <w:rStyle w:val="Hyperlink"/>
                <w:noProof/>
              </w:rPr>
              <w:t>5.6</w:t>
            </w:r>
            <w:r>
              <w:rPr>
                <w:rFonts w:eastAsiaTheme="minorEastAsia"/>
                <w:noProof/>
                <w:kern w:val="2"/>
                <w:sz w:val="24"/>
                <w:szCs w:val="24"/>
                <w:lang w:eastAsia="en-GB"/>
                <w14:ligatures w14:val="standardContextual"/>
              </w:rPr>
              <w:tab/>
            </w:r>
            <w:r w:rsidRPr="009A5E86">
              <w:rPr>
                <w:rStyle w:val="Hyperlink"/>
                <w:noProof/>
              </w:rPr>
              <w:t>Future research</w:t>
            </w:r>
            <w:r>
              <w:rPr>
                <w:noProof/>
                <w:webHidden/>
              </w:rPr>
              <w:tab/>
            </w:r>
            <w:r>
              <w:rPr>
                <w:noProof/>
                <w:webHidden/>
              </w:rPr>
              <w:fldChar w:fldCharType="begin"/>
            </w:r>
            <w:r>
              <w:rPr>
                <w:noProof/>
                <w:webHidden/>
              </w:rPr>
              <w:instrText xml:space="preserve"> PAGEREF _Toc232977687 \h </w:instrText>
            </w:r>
            <w:r>
              <w:rPr>
                <w:noProof/>
                <w:webHidden/>
              </w:rPr>
            </w:r>
            <w:r>
              <w:rPr>
                <w:noProof/>
                <w:webHidden/>
              </w:rPr>
              <w:fldChar w:fldCharType="separate"/>
            </w:r>
            <w:r>
              <w:rPr>
                <w:noProof/>
                <w:webHidden/>
              </w:rPr>
              <w:t>22</w:t>
            </w:r>
            <w:r>
              <w:rPr>
                <w:noProof/>
                <w:webHidden/>
              </w:rPr>
              <w:fldChar w:fldCharType="end"/>
            </w:r>
          </w:hyperlink>
        </w:p>
        <w:p w14:paraId="1FD6FBA8" w14:textId="4BE5BEFC" w:rsidR="0073485D" w:rsidRDefault="0073485D">
          <w:pPr>
            <w:pStyle w:val="TOC1"/>
            <w:tabs>
              <w:tab w:val="left" w:pos="440"/>
              <w:tab w:val="right" w:leader="dot" w:pos="9016"/>
            </w:tabs>
            <w:rPr>
              <w:rFonts w:eastAsiaTheme="minorEastAsia"/>
              <w:noProof/>
              <w:kern w:val="2"/>
              <w:sz w:val="24"/>
              <w:szCs w:val="24"/>
              <w:lang w:eastAsia="en-GB"/>
              <w14:ligatures w14:val="standardContextual"/>
            </w:rPr>
          </w:pPr>
          <w:hyperlink w:anchor="_Toc232977688" w:history="1">
            <w:r w:rsidRPr="009A5E86">
              <w:rPr>
                <w:rStyle w:val="Hyperlink"/>
                <w:noProof/>
              </w:rPr>
              <w:t>6</w:t>
            </w:r>
            <w:r>
              <w:rPr>
                <w:rFonts w:eastAsiaTheme="minorEastAsia"/>
                <w:noProof/>
                <w:kern w:val="2"/>
                <w:sz w:val="24"/>
                <w:szCs w:val="24"/>
                <w:lang w:eastAsia="en-GB"/>
                <w14:ligatures w14:val="standardContextual"/>
              </w:rPr>
              <w:tab/>
            </w:r>
            <w:r w:rsidRPr="009A5E86">
              <w:rPr>
                <w:rStyle w:val="Hyperlink"/>
                <w:noProof/>
              </w:rPr>
              <w:t>Conclusion</w:t>
            </w:r>
            <w:r>
              <w:rPr>
                <w:noProof/>
                <w:webHidden/>
              </w:rPr>
              <w:tab/>
            </w:r>
            <w:r>
              <w:rPr>
                <w:noProof/>
                <w:webHidden/>
              </w:rPr>
              <w:fldChar w:fldCharType="begin"/>
            </w:r>
            <w:r>
              <w:rPr>
                <w:noProof/>
                <w:webHidden/>
              </w:rPr>
              <w:instrText xml:space="preserve"> PAGEREF _Toc232977688 \h </w:instrText>
            </w:r>
            <w:r>
              <w:rPr>
                <w:noProof/>
                <w:webHidden/>
              </w:rPr>
            </w:r>
            <w:r>
              <w:rPr>
                <w:noProof/>
                <w:webHidden/>
              </w:rPr>
              <w:fldChar w:fldCharType="separate"/>
            </w:r>
            <w:r>
              <w:rPr>
                <w:noProof/>
                <w:webHidden/>
              </w:rPr>
              <w:t>23</w:t>
            </w:r>
            <w:r>
              <w:rPr>
                <w:noProof/>
                <w:webHidden/>
              </w:rPr>
              <w:fldChar w:fldCharType="end"/>
            </w:r>
          </w:hyperlink>
        </w:p>
        <w:p w14:paraId="1581229E" w14:textId="764120F6" w:rsidR="0073485D" w:rsidRDefault="0073485D">
          <w:pPr>
            <w:pStyle w:val="TOC1"/>
            <w:tabs>
              <w:tab w:val="left" w:pos="440"/>
              <w:tab w:val="right" w:leader="dot" w:pos="9016"/>
            </w:tabs>
            <w:rPr>
              <w:rFonts w:eastAsiaTheme="minorEastAsia"/>
              <w:noProof/>
              <w:kern w:val="2"/>
              <w:sz w:val="24"/>
              <w:szCs w:val="24"/>
              <w:lang w:eastAsia="en-GB"/>
              <w14:ligatures w14:val="standardContextual"/>
            </w:rPr>
          </w:pPr>
          <w:hyperlink w:anchor="_Toc232977689" w:history="1">
            <w:r w:rsidRPr="009A5E86">
              <w:rPr>
                <w:rStyle w:val="Hyperlink"/>
                <w:noProof/>
              </w:rPr>
              <w:t>7</w:t>
            </w:r>
            <w:r>
              <w:rPr>
                <w:rFonts w:eastAsiaTheme="minorEastAsia"/>
                <w:noProof/>
                <w:kern w:val="2"/>
                <w:sz w:val="24"/>
                <w:szCs w:val="24"/>
                <w:lang w:eastAsia="en-GB"/>
                <w14:ligatures w14:val="standardContextual"/>
              </w:rPr>
              <w:tab/>
            </w:r>
            <w:r w:rsidRPr="009A5E86">
              <w:rPr>
                <w:rStyle w:val="Hyperlink"/>
                <w:noProof/>
              </w:rPr>
              <w:t>References</w:t>
            </w:r>
            <w:r>
              <w:rPr>
                <w:noProof/>
                <w:webHidden/>
              </w:rPr>
              <w:tab/>
            </w:r>
            <w:r>
              <w:rPr>
                <w:noProof/>
                <w:webHidden/>
              </w:rPr>
              <w:fldChar w:fldCharType="begin"/>
            </w:r>
            <w:r>
              <w:rPr>
                <w:noProof/>
                <w:webHidden/>
              </w:rPr>
              <w:instrText xml:space="preserve"> PAGEREF _Toc232977689 \h </w:instrText>
            </w:r>
            <w:r>
              <w:rPr>
                <w:noProof/>
                <w:webHidden/>
              </w:rPr>
            </w:r>
            <w:r>
              <w:rPr>
                <w:noProof/>
                <w:webHidden/>
              </w:rPr>
              <w:fldChar w:fldCharType="separate"/>
            </w:r>
            <w:r>
              <w:rPr>
                <w:noProof/>
                <w:webHidden/>
              </w:rPr>
              <w:t>25</w:t>
            </w:r>
            <w:r>
              <w:rPr>
                <w:noProof/>
                <w:webHidden/>
              </w:rPr>
              <w:fldChar w:fldCharType="end"/>
            </w:r>
          </w:hyperlink>
        </w:p>
        <w:p w14:paraId="1619BEEC" w14:textId="305D20F6" w:rsidR="0073485D" w:rsidRDefault="0073485D">
          <w:pPr>
            <w:pStyle w:val="TOC1"/>
            <w:tabs>
              <w:tab w:val="left" w:pos="440"/>
              <w:tab w:val="right" w:leader="dot" w:pos="9016"/>
            </w:tabs>
            <w:rPr>
              <w:rFonts w:eastAsiaTheme="minorEastAsia"/>
              <w:noProof/>
              <w:kern w:val="2"/>
              <w:sz w:val="24"/>
              <w:szCs w:val="24"/>
              <w:lang w:eastAsia="en-GB"/>
              <w14:ligatures w14:val="standardContextual"/>
            </w:rPr>
          </w:pPr>
          <w:hyperlink w:anchor="_Toc232977690" w:history="1">
            <w:r w:rsidRPr="009A5E86">
              <w:rPr>
                <w:rStyle w:val="Hyperlink"/>
                <w:noProof/>
              </w:rPr>
              <w:t>8</w:t>
            </w:r>
            <w:r>
              <w:rPr>
                <w:rFonts w:eastAsiaTheme="minorEastAsia"/>
                <w:noProof/>
                <w:kern w:val="2"/>
                <w:sz w:val="24"/>
                <w:szCs w:val="24"/>
                <w:lang w:eastAsia="en-GB"/>
                <w14:ligatures w14:val="standardContextual"/>
              </w:rPr>
              <w:tab/>
            </w:r>
            <w:r w:rsidRPr="009A5E86">
              <w:rPr>
                <w:rStyle w:val="Hyperlink"/>
                <w:noProof/>
              </w:rPr>
              <w:t>Appendix</w:t>
            </w:r>
            <w:r>
              <w:rPr>
                <w:noProof/>
                <w:webHidden/>
              </w:rPr>
              <w:tab/>
            </w:r>
            <w:r>
              <w:rPr>
                <w:noProof/>
                <w:webHidden/>
              </w:rPr>
              <w:fldChar w:fldCharType="begin"/>
            </w:r>
            <w:r>
              <w:rPr>
                <w:noProof/>
                <w:webHidden/>
              </w:rPr>
              <w:instrText xml:space="preserve"> PAGEREF _Toc232977690 \h </w:instrText>
            </w:r>
            <w:r>
              <w:rPr>
                <w:noProof/>
                <w:webHidden/>
              </w:rPr>
            </w:r>
            <w:r>
              <w:rPr>
                <w:noProof/>
                <w:webHidden/>
              </w:rPr>
              <w:fldChar w:fldCharType="separate"/>
            </w:r>
            <w:r>
              <w:rPr>
                <w:noProof/>
                <w:webHidden/>
              </w:rPr>
              <w:t>34</w:t>
            </w:r>
            <w:r>
              <w:rPr>
                <w:noProof/>
                <w:webHidden/>
              </w:rPr>
              <w:fldChar w:fldCharType="end"/>
            </w:r>
          </w:hyperlink>
        </w:p>
        <w:p w14:paraId="450FA7E4" w14:textId="74BE2E0F" w:rsidR="00B25D24" w:rsidRPr="00517546" w:rsidRDefault="00B25D24">
          <w:r w:rsidRPr="00517546">
            <w:rPr>
              <w:b/>
              <w:bCs/>
            </w:rPr>
            <w:fldChar w:fldCharType="end"/>
          </w:r>
        </w:p>
      </w:sdtContent>
    </w:sdt>
    <w:p w14:paraId="5BFD4D8A" w14:textId="1ABD69B0" w:rsidR="000974CE" w:rsidRDefault="00384FAC">
      <w:pPr>
        <w:pStyle w:val="TableofFigures"/>
        <w:tabs>
          <w:tab w:val="right" w:leader="dot" w:pos="9016"/>
        </w:tabs>
        <w:rPr>
          <w:rFonts w:eastAsiaTheme="minorEastAsia"/>
          <w:noProof/>
          <w:kern w:val="2"/>
          <w:sz w:val="24"/>
          <w:szCs w:val="24"/>
          <w:lang w:eastAsia="en-GB"/>
          <w14:ligatures w14:val="standardContextual"/>
        </w:rPr>
      </w:pPr>
      <w:r w:rsidRPr="00517546">
        <w:fldChar w:fldCharType="begin"/>
      </w:r>
      <w:r w:rsidRPr="00517546">
        <w:instrText xml:space="preserve"> TOC \h \z \t "Caption" \c </w:instrText>
      </w:r>
      <w:r w:rsidRPr="00517546">
        <w:fldChar w:fldCharType="separate"/>
      </w:r>
      <w:hyperlink w:anchor="_Toc232977740" w:history="1">
        <w:r w:rsidR="000974CE" w:rsidRPr="00F21269">
          <w:rPr>
            <w:rStyle w:val="Hyperlink"/>
            <w:noProof/>
          </w:rPr>
          <w:t>Fig 1.2.1: chemical forms of trace elements of copper in soils (Dybowska et al., 2006)</w:t>
        </w:r>
        <w:r w:rsidR="000974CE">
          <w:rPr>
            <w:noProof/>
            <w:webHidden/>
          </w:rPr>
          <w:tab/>
        </w:r>
        <w:r w:rsidR="000974CE">
          <w:rPr>
            <w:noProof/>
            <w:webHidden/>
          </w:rPr>
          <w:fldChar w:fldCharType="begin"/>
        </w:r>
        <w:r w:rsidR="000974CE">
          <w:rPr>
            <w:noProof/>
            <w:webHidden/>
          </w:rPr>
          <w:instrText xml:space="preserve"> PAGEREF _Toc232977740 \h </w:instrText>
        </w:r>
        <w:r w:rsidR="000974CE">
          <w:rPr>
            <w:noProof/>
            <w:webHidden/>
          </w:rPr>
        </w:r>
        <w:r w:rsidR="000974CE">
          <w:rPr>
            <w:noProof/>
            <w:webHidden/>
          </w:rPr>
          <w:fldChar w:fldCharType="separate"/>
        </w:r>
        <w:r w:rsidR="000974CE">
          <w:rPr>
            <w:noProof/>
            <w:webHidden/>
          </w:rPr>
          <w:t>3</w:t>
        </w:r>
        <w:r w:rsidR="000974CE">
          <w:rPr>
            <w:noProof/>
            <w:webHidden/>
          </w:rPr>
          <w:fldChar w:fldCharType="end"/>
        </w:r>
      </w:hyperlink>
    </w:p>
    <w:p w14:paraId="1F948B8A" w14:textId="71F28574"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41" w:history="1">
        <w:r w:rsidRPr="00F21269">
          <w:rPr>
            <w:rStyle w:val="Hyperlink"/>
            <w:noProof/>
          </w:rPr>
          <w:t>Fig 2.2.3: A summary of remediation techniques and their limitations. Reproduced from (Dybowska et al., 2006).</w:t>
        </w:r>
        <w:r>
          <w:rPr>
            <w:noProof/>
            <w:webHidden/>
          </w:rPr>
          <w:tab/>
        </w:r>
        <w:r>
          <w:rPr>
            <w:noProof/>
            <w:webHidden/>
          </w:rPr>
          <w:fldChar w:fldCharType="begin"/>
        </w:r>
        <w:r>
          <w:rPr>
            <w:noProof/>
            <w:webHidden/>
          </w:rPr>
          <w:instrText xml:space="preserve"> PAGEREF _Toc232977741 \h </w:instrText>
        </w:r>
        <w:r>
          <w:rPr>
            <w:noProof/>
            <w:webHidden/>
          </w:rPr>
        </w:r>
        <w:r>
          <w:rPr>
            <w:noProof/>
            <w:webHidden/>
          </w:rPr>
          <w:fldChar w:fldCharType="separate"/>
        </w:r>
        <w:r>
          <w:rPr>
            <w:noProof/>
            <w:webHidden/>
          </w:rPr>
          <w:t>4</w:t>
        </w:r>
        <w:r>
          <w:rPr>
            <w:noProof/>
            <w:webHidden/>
          </w:rPr>
          <w:fldChar w:fldCharType="end"/>
        </w:r>
      </w:hyperlink>
    </w:p>
    <w:p w14:paraId="20B9EFE5" w14:textId="32E13008"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42" w:history="1">
        <w:r w:rsidRPr="00F21269">
          <w:rPr>
            <w:rStyle w:val="Hyperlink"/>
            <w:noProof/>
          </w:rPr>
          <w:t>Fig 3.4.1: A map showing sample plots</w:t>
        </w:r>
        <w:r>
          <w:rPr>
            <w:noProof/>
            <w:webHidden/>
          </w:rPr>
          <w:tab/>
        </w:r>
        <w:r>
          <w:rPr>
            <w:noProof/>
            <w:webHidden/>
          </w:rPr>
          <w:fldChar w:fldCharType="begin"/>
        </w:r>
        <w:r>
          <w:rPr>
            <w:noProof/>
            <w:webHidden/>
          </w:rPr>
          <w:instrText xml:space="preserve"> PAGEREF _Toc232977742 \h </w:instrText>
        </w:r>
        <w:r>
          <w:rPr>
            <w:noProof/>
            <w:webHidden/>
          </w:rPr>
        </w:r>
        <w:r>
          <w:rPr>
            <w:noProof/>
            <w:webHidden/>
          </w:rPr>
          <w:fldChar w:fldCharType="separate"/>
        </w:r>
        <w:r>
          <w:rPr>
            <w:noProof/>
            <w:webHidden/>
          </w:rPr>
          <w:t>8</w:t>
        </w:r>
        <w:r>
          <w:rPr>
            <w:noProof/>
            <w:webHidden/>
          </w:rPr>
          <w:fldChar w:fldCharType="end"/>
        </w:r>
      </w:hyperlink>
    </w:p>
    <w:p w14:paraId="1834F7F7" w14:textId="074D8871"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43" w:history="1">
        <w:r w:rsidRPr="00F21269">
          <w:rPr>
            <w:rStyle w:val="Hyperlink"/>
            <w:noProof/>
          </w:rPr>
          <w:t>Fig 4.5.0 : a map showing baseline copper levels</w:t>
        </w:r>
        <w:r>
          <w:rPr>
            <w:noProof/>
            <w:webHidden/>
          </w:rPr>
          <w:tab/>
        </w:r>
        <w:r>
          <w:rPr>
            <w:noProof/>
            <w:webHidden/>
          </w:rPr>
          <w:fldChar w:fldCharType="begin"/>
        </w:r>
        <w:r>
          <w:rPr>
            <w:noProof/>
            <w:webHidden/>
          </w:rPr>
          <w:instrText xml:space="preserve"> PAGEREF _Toc232977743 \h </w:instrText>
        </w:r>
        <w:r>
          <w:rPr>
            <w:noProof/>
            <w:webHidden/>
          </w:rPr>
        </w:r>
        <w:r>
          <w:rPr>
            <w:noProof/>
            <w:webHidden/>
          </w:rPr>
          <w:fldChar w:fldCharType="separate"/>
        </w:r>
        <w:r>
          <w:rPr>
            <w:noProof/>
            <w:webHidden/>
          </w:rPr>
          <w:t>11</w:t>
        </w:r>
        <w:r>
          <w:rPr>
            <w:noProof/>
            <w:webHidden/>
          </w:rPr>
          <w:fldChar w:fldCharType="end"/>
        </w:r>
      </w:hyperlink>
    </w:p>
    <w:p w14:paraId="4319750E" w14:textId="4EC2517D"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44" w:history="1">
        <w:r w:rsidRPr="00F21269">
          <w:rPr>
            <w:rStyle w:val="Hyperlink"/>
            <w:noProof/>
          </w:rPr>
          <w:t>Fig 5.5.0: A map showing 1</w:t>
        </w:r>
        <w:r w:rsidRPr="00F21269">
          <w:rPr>
            <w:rStyle w:val="Hyperlink"/>
            <w:noProof/>
            <w:vertAlign w:val="superscript"/>
          </w:rPr>
          <w:t>st</w:t>
        </w:r>
        <w:r w:rsidRPr="00F21269">
          <w:rPr>
            <w:rStyle w:val="Hyperlink"/>
            <w:noProof/>
          </w:rPr>
          <w:t xml:space="preserve"> data collection</w:t>
        </w:r>
        <w:r>
          <w:rPr>
            <w:noProof/>
            <w:webHidden/>
          </w:rPr>
          <w:tab/>
        </w:r>
        <w:r>
          <w:rPr>
            <w:noProof/>
            <w:webHidden/>
          </w:rPr>
          <w:fldChar w:fldCharType="begin"/>
        </w:r>
        <w:r>
          <w:rPr>
            <w:noProof/>
            <w:webHidden/>
          </w:rPr>
          <w:instrText xml:space="preserve"> PAGEREF _Toc232977744 \h </w:instrText>
        </w:r>
        <w:r>
          <w:rPr>
            <w:noProof/>
            <w:webHidden/>
          </w:rPr>
        </w:r>
        <w:r>
          <w:rPr>
            <w:noProof/>
            <w:webHidden/>
          </w:rPr>
          <w:fldChar w:fldCharType="separate"/>
        </w:r>
        <w:r>
          <w:rPr>
            <w:noProof/>
            <w:webHidden/>
          </w:rPr>
          <w:t>12</w:t>
        </w:r>
        <w:r>
          <w:rPr>
            <w:noProof/>
            <w:webHidden/>
          </w:rPr>
          <w:fldChar w:fldCharType="end"/>
        </w:r>
      </w:hyperlink>
    </w:p>
    <w:p w14:paraId="42AC6803" w14:textId="5F62B60F"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45" w:history="1">
        <w:r w:rsidRPr="00F21269">
          <w:rPr>
            <w:rStyle w:val="Hyperlink"/>
            <w:noProof/>
          </w:rPr>
          <w:t>Fig 6.5.0: a map showing 2nd data collection</w:t>
        </w:r>
        <w:r>
          <w:rPr>
            <w:noProof/>
            <w:webHidden/>
          </w:rPr>
          <w:tab/>
        </w:r>
        <w:r>
          <w:rPr>
            <w:noProof/>
            <w:webHidden/>
          </w:rPr>
          <w:fldChar w:fldCharType="begin"/>
        </w:r>
        <w:r>
          <w:rPr>
            <w:noProof/>
            <w:webHidden/>
          </w:rPr>
          <w:instrText xml:space="preserve"> PAGEREF _Toc232977745 \h </w:instrText>
        </w:r>
        <w:r>
          <w:rPr>
            <w:noProof/>
            <w:webHidden/>
          </w:rPr>
        </w:r>
        <w:r>
          <w:rPr>
            <w:noProof/>
            <w:webHidden/>
          </w:rPr>
          <w:fldChar w:fldCharType="separate"/>
        </w:r>
        <w:r>
          <w:rPr>
            <w:noProof/>
            <w:webHidden/>
          </w:rPr>
          <w:t>12</w:t>
        </w:r>
        <w:r>
          <w:rPr>
            <w:noProof/>
            <w:webHidden/>
          </w:rPr>
          <w:fldChar w:fldCharType="end"/>
        </w:r>
      </w:hyperlink>
    </w:p>
    <w:p w14:paraId="6B1F1154" w14:textId="4141E8D7"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46" w:history="1">
        <w:r w:rsidRPr="00F21269">
          <w:rPr>
            <w:rStyle w:val="Hyperlink"/>
            <w:noProof/>
          </w:rPr>
          <w:t>Table 1.5.1: a paired samples t test comparing reduction in copper concentrations in test plots</w:t>
        </w:r>
        <w:r>
          <w:rPr>
            <w:noProof/>
            <w:webHidden/>
          </w:rPr>
          <w:tab/>
        </w:r>
        <w:r>
          <w:rPr>
            <w:noProof/>
            <w:webHidden/>
          </w:rPr>
          <w:fldChar w:fldCharType="begin"/>
        </w:r>
        <w:r>
          <w:rPr>
            <w:noProof/>
            <w:webHidden/>
          </w:rPr>
          <w:instrText xml:space="preserve"> PAGEREF _Toc232977746 \h </w:instrText>
        </w:r>
        <w:r>
          <w:rPr>
            <w:noProof/>
            <w:webHidden/>
          </w:rPr>
        </w:r>
        <w:r>
          <w:rPr>
            <w:noProof/>
            <w:webHidden/>
          </w:rPr>
          <w:fldChar w:fldCharType="separate"/>
        </w:r>
        <w:r>
          <w:rPr>
            <w:noProof/>
            <w:webHidden/>
          </w:rPr>
          <w:t>13</w:t>
        </w:r>
        <w:r>
          <w:rPr>
            <w:noProof/>
            <w:webHidden/>
          </w:rPr>
          <w:fldChar w:fldCharType="end"/>
        </w:r>
      </w:hyperlink>
    </w:p>
    <w:p w14:paraId="21E8C658" w14:textId="295F5C1A"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47" w:history="1">
        <w:r w:rsidRPr="00F21269">
          <w:rPr>
            <w:rStyle w:val="Hyperlink"/>
            <w:noProof/>
          </w:rPr>
          <w:t>Table 2.5.1: a paired samples t test comparing reduction in copper concentrations in control plots</w:t>
        </w:r>
        <w:r>
          <w:rPr>
            <w:noProof/>
            <w:webHidden/>
          </w:rPr>
          <w:tab/>
        </w:r>
        <w:r>
          <w:rPr>
            <w:noProof/>
            <w:webHidden/>
          </w:rPr>
          <w:fldChar w:fldCharType="begin"/>
        </w:r>
        <w:r>
          <w:rPr>
            <w:noProof/>
            <w:webHidden/>
          </w:rPr>
          <w:instrText xml:space="preserve"> PAGEREF _Toc232977747 \h </w:instrText>
        </w:r>
        <w:r>
          <w:rPr>
            <w:noProof/>
            <w:webHidden/>
          </w:rPr>
        </w:r>
        <w:r>
          <w:rPr>
            <w:noProof/>
            <w:webHidden/>
          </w:rPr>
          <w:fldChar w:fldCharType="separate"/>
        </w:r>
        <w:r>
          <w:rPr>
            <w:noProof/>
            <w:webHidden/>
          </w:rPr>
          <w:t>13</w:t>
        </w:r>
        <w:r>
          <w:rPr>
            <w:noProof/>
            <w:webHidden/>
          </w:rPr>
          <w:fldChar w:fldCharType="end"/>
        </w:r>
      </w:hyperlink>
    </w:p>
    <w:p w14:paraId="7A0DD723" w14:textId="73132409"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48" w:history="1">
        <w:r w:rsidRPr="00F21269">
          <w:rPr>
            <w:rStyle w:val="Hyperlink"/>
            <w:noProof/>
          </w:rPr>
          <w:t>Table 3.5.2: this is the two-way ANOVA table to show interactions between habitat type and copper reduction</w:t>
        </w:r>
        <w:r>
          <w:rPr>
            <w:noProof/>
            <w:webHidden/>
          </w:rPr>
          <w:tab/>
        </w:r>
        <w:r>
          <w:rPr>
            <w:noProof/>
            <w:webHidden/>
          </w:rPr>
          <w:fldChar w:fldCharType="begin"/>
        </w:r>
        <w:r>
          <w:rPr>
            <w:noProof/>
            <w:webHidden/>
          </w:rPr>
          <w:instrText xml:space="preserve"> PAGEREF _Toc232977748 \h </w:instrText>
        </w:r>
        <w:r>
          <w:rPr>
            <w:noProof/>
            <w:webHidden/>
          </w:rPr>
        </w:r>
        <w:r>
          <w:rPr>
            <w:noProof/>
            <w:webHidden/>
          </w:rPr>
          <w:fldChar w:fldCharType="separate"/>
        </w:r>
        <w:r>
          <w:rPr>
            <w:noProof/>
            <w:webHidden/>
          </w:rPr>
          <w:t>14</w:t>
        </w:r>
        <w:r>
          <w:rPr>
            <w:noProof/>
            <w:webHidden/>
          </w:rPr>
          <w:fldChar w:fldCharType="end"/>
        </w:r>
      </w:hyperlink>
    </w:p>
    <w:p w14:paraId="00034A43" w14:textId="646C37A3"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49" w:history="1">
        <w:r w:rsidRPr="00F21269">
          <w:rPr>
            <w:rStyle w:val="Hyperlink"/>
            <w:noProof/>
          </w:rPr>
          <w:t>Table 4.5.3: This is a paired samples t test assessing significant difference in pH change test plots</w:t>
        </w:r>
        <w:r>
          <w:rPr>
            <w:noProof/>
            <w:webHidden/>
          </w:rPr>
          <w:tab/>
        </w:r>
        <w:r>
          <w:rPr>
            <w:noProof/>
            <w:webHidden/>
          </w:rPr>
          <w:fldChar w:fldCharType="begin"/>
        </w:r>
        <w:r>
          <w:rPr>
            <w:noProof/>
            <w:webHidden/>
          </w:rPr>
          <w:instrText xml:space="preserve"> PAGEREF _Toc232977749 \h </w:instrText>
        </w:r>
        <w:r>
          <w:rPr>
            <w:noProof/>
            <w:webHidden/>
          </w:rPr>
        </w:r>
        <w:r>
          <w:rPr>
            <w:noProof/>
            <w:webHidden/>
          </w:rPr>
          <w:fldChar w:fldCharType="separate"/>
        </w:r>
        <w:r>
          <w:rPr>
            <w:noProof/>
            <w:webHidden/>
          </w:rPr>
          <w:t>14</w:t>
        </w:r>
        <w:r>
          <w:rPr>
            <w:noProof/>
            <w:webHidden/>
          </w:rPr>
          <w:fldChar w:fldCharType="end"/>
        </w:r>
      </w:hyperlink>
    </w:p>
    <w:p w14:paraId="19449939" w14:textId="4B814D89"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50" w:history="1">
        <w:r w:rsidRPr="00F21269">
          <w:rPr>
            <w:rStyle w:val="Hyperlink"/>
            <w:noProof/>
          </w:rPr>
          <w:t>Table 5.5.3: This is a paired samples t test assessing significant difference in ph change control plots</w:t>
        </w:r>
        <w:r>
          <w:rPr>
            <w:noProof/>
            <w:webHidden/>
          </w:rPr>
          <w:tab/>
        </w:r>
        <w:r>
          <w:rPr>
            <w:noProof/>
            <w:webHidden/>
          </w:rPr>
          <w:fldChar w:fldCharType="begin"/>
        </w:r>
        <w:r>
          <w:rPr>
            <w:noProof/>
            <w:webHidden/>
          </w:rPr>
          <w:instrText xml:space="preserve"> PAGEREF _Toc232977750 \h </w:instrText>
        </w:r>
        <w:r>
          <w:rPr>
            <w:noProof/>
            <w:webHidden/>
          </w:rPr>
        </w:r>
        <w:r>
          <w:rPr>
            <w:noProof/>
            <w:webHidden/>
          </w:rPr>
          <w:fldChar w:fldCharType="separate"/>
        </w:r>
        <w:r>
          <w:rPr>
            <w:noProof/>
            <w:webHidden/>
          </w:rPr>
          <w:t>15</w:t>
        </w:r>
        <w:r>
          <w:rPr>
            <w:noProof/>
            <w:webHidden/>
          </w:rPr>
          <w:fldChar w:fldCharType="end"/>
        </w:r>
      </w:hyperlink>
    </w:p>
    <w:p w14:paraId="77B6F1FA" w14:textId="1CB83C75"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51" w:history="1">
        <w:r w:rsidRPr="00F21269">
          <w:rPr>
            <w:rStyle w:val="Hyperlink"/>
            <w:noProof/>
          </w:rPr>
          <w:t>Fig 7.6.1: summer vs winter cadmium concentrations in trees (Rahman et al.,2022)</w:t>
        </w:r>
        <w:r>
          <w:rPr>
            <w:noProof/>
            <w:webHidden/>
          </w:rPr>
          <w:tab/>
        </w:r>
        <w:r>
          <w:rPr>
            <w:noProof/>
            <w:webHidden/>
          </w:rPr>
          <w:fldChar w:fldCharType="begin"/>
        </w:r>
        <w:r>
          <w:rPr>
            <w:noProof/>
            <w:webHidden/>
          </w:rPr>
          <w:instrText xml:space="preserve"> PAGEREF _Toc232977751 \h </w:instrText>
        </w:r>
        <w:r>
          <w:rPr>
            <w:noProof/>
            <w:webHidden/>
          </w:rPr>
        </w:r>
        <w:r>
          <w:rPr>
            <w:noProof/>
            <w:webHidden/>
          </w:rPr>
          <w:fldChar w:fldCharType="separate"/>
        </w:r>
        <w:r>
          <w:rPr>
            <w:noProof/>
            <w:webHidden/>
          </w:rPr>
          <w:t>17</w:t>
        </w:r>
        <w:r>
          <w:rPr>
            <w:noProof/>
            <w:webHidden/>
          </w:rPr>
          <w:fldChar w:fldCharType="end"/>
        </w:r>
      </w:hyperlink>
    </w:p>
    <w:p w14:paraId="406DFC6B" w14:textId="4963FD04"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52" w:history="1">
        <w:r w:rsidRPr="00F21269">
          <w:rPr>
            <w:rStyle w:val="Hyperlink"/>
            <w:noProof/>
          </w:rPr>
          <w:t>Fig 8.6.2: a weather map showing UK rainfall between December and February.(Met Office, 2026)</w:t>
        </w:r>
        <w:r>
          <w:rPr>
            <w:noProof/>
            <w:webHidden/>
          </w:rPr>
          <w:tab/>
        </w:r>
        <w:r>
          <w:rPr>
            <w:noProof/>
            <w:webHidden/>
          </w:rPr>
          <w:fldChar w:fldCharType="begin"/>
        </w:r>
        <w:r>
          <w:rPr>
            <w:noProof/>
            <w:webHidden/>
          </w:rPr>
          <w:instrText xml:space="preserve"> PAGEREF _Toc232977752 \h </w:instrText>
        </w:r>
        <w:r>
          <w:rPr>
            <w:noProof/>
            <w:webHidden/>
          </w:rPr>
        </w:r>
        <w:r>
          <w:rPr>
            <w:noProof/>
            <w:webHidden/>
          </w:rPr>
          <w:fldChar w:fldCharType="separate"/>
        </w:r>
        <w:r>
          <w:rPr>
            <w:noProof/>
            <w:webHidden/>
          </w:rPr>
          <w:t>18</w:t>
        </w:r>
        <w:r>
          <w:rPr>
            <w:noProof/>
            <w:webHidden/>
          </w:rPr>
          <w:fldChar w:fldCharType="end"/>
        </w:r>
      </w:hyperlink>
    </w:p>
    <w:p w14:paraId="56796904" w14:textId="228858B9"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53" w:history="1">
        <w:r w:rsidRPr="00F21269">
          <w:rPr>
            <w:rStyle w:val="Hyperlink"/>
            <w:noProof/>
          </w:rPr>
          <w:t>Fig 8.6.4: a map showing the W</w:t>
        </w:r>
        <w:r w:rsidRPr="00F21269">
          <w:rPr>
            <w:rStyle w:val="Hyperlink"/>
            <w:noProof/>
          </w:rPr>
          <w:t>e</w:t>
        </w:r>
        <w:r w:rsidRPr="00F21269">
          <w:rPr>
            <w:rStyle w:val="Hyperlink"/>
            <w:noProof/>
          </w:rPr>
          <w:t>lsh index of multiple deprivation including Bon-y-maen and Port Tennant (Local insight , 2026)</w:t>
        </w:r>
        <w:r>
          <w:rPr>
            <w:noProof/>
            <w:webHidden/>
          </w:rPr>
          <w:tab/>
        </w:r>
        <w:r>
          <w:rPr>
            <w:noProof/>
            <w:webHidden/>
          </w:rPr>
          <w:fldChar w:fldCharType="begin"/>
        </w:r>
        <w:r>
          <w:rPr>
            <w:noProof/>
            <w:webHidden/>
          </w:rPr>
          <w:instrText xml:space="preserve"> PAGEREF _Toc232977753 \h </w:instrText>
        </w:r>
        <w:r>
          <w:rPr>
            <w:noProof/>
            <w:webHidden/>
          </w:rPr>
        </w:r>
        <w:r>
          <w:rPr>
            <w:noProof/>
            <w:webHidden/>
          </w:rPr>
          <w:fldChar w:fldCharType="separate"/>
        </w:r>
        <w:r>
          <w:rPr>
            <w:noProof/>
            <w:webHidden/>
          </w:rPr>
          <w:t>20</w:t>
        </w:r>
        <w:r>
          <w:rPr>
            <w:noProof/>
            <w:webHidden/>
          </w:rPr>
          <w:fldChar w:fldCharType="end"/>
        </w:r>
      </w:hyperlink>
    </w:p>
    <w:p w14:paraId="0ABE979F" w14:textId="67D1F483" w:rsidR="000974CE" w:rsidRDefault="000974CE">
      <w:pPr>
        <w:pStyle w:val="TableofFigures"/>
        <w:tabs>
          <w:tab w:val="right" w:leader="dot" w:pos="9016"/>
        </w:tabs>
        <w:rPr>
          <w:rFonts w:eastAsiaTheme="minorEastAsia"/>
          <w:noProof/>
          <w:kern w:val="2"/>
          <w:sz w:val="24"/>
          <w:szCs w:val="24"/>
          <w:lang w:eastAsia="en-GB"/>
          <w14:ligatures w14:val="standardContextual"/>
        </w:rPr>
      </w:pPr>
      <w:hyperlink w:anchor="_Toc232977754" w:history="1">
        <w:r w:rsidRPr="00F21269">
          <w:rPr>
            <w:rStyle w:val="Hyperlink"/>
            <w:noProof/>
          </w:rPr>
          <w:t>Appendix 1: Table of raw data</w:t>
        </w:r>
        <w:r>
          <w:rPr>
            <w:noProof/>
            <w:webHidden/>
          </w:rPr>
          <w:tab/>
        </w:r>
        <w:r>
          <w:rPr>
            <w:noProof/>
            <w:webHidden/>
          </w:rPr>
          <w:fldChar w:fldCharType="begin"/>
        </w:r>
        <w:r>
          <w:rPr>
            <w:noProof/>
            <w:webHidden/>
          </w:rPr>
          <w:instrText xml:space="preserve"> PAGEREF _Toc232977754 \h </w:instrText>
        </w:r>
        <w:r>
          <w:rPr>
            <w:noProof/>
            <w:webHidden/>
          </w:rPr>
        </w:r>
        <w:r>
          <w:rPr>
            <w:noProof/>
            <w:webHidden/>
          </w:rPr>
          <w:fldChar w:fldCharType="separate"/>
        </w:r>
        <w:r>
          <w:rPr>
            <w:noProof/>
            <w:webHidden/>
          </w:rPr>
          <w:t>34</w:t>
        </w:r>
        <w:r>
          <w:rPr>
            <w:noProof/>
            <w:webHidden/>
          </w:rPr>
          <w:fldChar w:fldCharType="end"/>
        </w:r>
      </w:hyperlink>
    </w:p>
    <w:p w14:paraId="1C2F6BBC" w14:textId="4CCB6815" w:rsidR="00384FAC" w:rsidRPr="00517546" w:rsidRDefault="00384FAC" w:rsidP="00B25D24">
      <w:pPr>
        <w:sectPr w:rsidR="00384FAC" w:rsidRPr="00517546" w:rsidSect="00962E5F">
          <w:headerReference w:type="first" r:id="rId19"/>
          <w:footerReference w:type="first" r:id="rId20"/>
          <w:pgSz w:w="11906" w:h="16838"/>
          <w:pgMar w:top="1440" w:right="1440" w:bottom="1440" w:left="1440" w:header="708" w:footer="708" w:gutter="0"/>
          <w:pgNumType w:fmt="lowerRoman" w:start="1"/>
          <w:cols w:space="708"/>
          <w:docGrid w:linePitch="360"/>
        </w:sectPr>
      </w:pPr>
      <w:r w:rsidRPr="00517546">
        <w:rPr>
          <w:b/>
          <w:bCs/>
        </w:rPr>
        <w:fldChar w:fldCharType="end"/>
      </w:r>
    </w:p>
    <w:p w14:paraId="09758EED" w14:textId="5F0000AB" w:rsidR="00301299" w:rsidRPr="00517546" w:rsidRDefault="00D64933" w:rsidP="0066298F">
      <w:pPr>
        <w:pStyle w:val="Heading1"/>
      </w:pPr>
      <w:r>
        <w:lastRenderedPageBreak/>
        <w:t xml:space="preserve"> </w:t>
      </w:r>
      <w:bookmarkStart w:id="0" w:name="_Toc232977663"/>
      <w:r w:rsidR="657CFFD1" w:rsidRPr="00517546">
        <w:t>Introduction</w:t>
      </w:r>
      <w:bookmarkEnd w:id="0"/>
    </w:p>
    <w:p w14:paraId="23EFD0B7" w14:textId="43A3C2F9" w:rsidR="00C20C8A" w:rsidRPr="00517546" w:rsidRDefault="02C938C0" w:rsidP="70F8A30C">
      <w:r w:rsidRPr="00517546">
        <w:t>Heavy metal contamination in soils represents a persistent environmental challenge, particularly in regions with a legacy of intensive mining and smelting activities. In the United Kingdom, South Wales is among the most heavily industrialised areas historically affected by pollution</w:t>
      </w:r>
      <w:r w:rsidR="4118026F" w:rsidRPr="00517546">
        <w:t xml:space="preserve"> </w:t>
      </w:r>
      <w:r w:rsidR="68937E9D" w:rsidRPr="00517546">
        <w:t>(Rees, 2026)</w:t>
      </w:r>
      <w:r w:rsidRPr="00517546">
        <w:t>. Kilvey Hill, located in Swansea, serves as a prominent example of this legacy, having endured extensive ecological degradation due to copper smelting operations that began in the 18th century and persisted well into the 20th century (Morgan, 20</w:t>
      </w:r>
      <w:r w:rsidR="00B00E20" w:rsidRPr="00517546">
        <w:t>2</w:t>
      </w:r>
      <w:r w:rsidRPr="00517546">
        <w:t>6). The residual contamination from these activities, primarily from copper (Cu), lead (Pb), and zinc (Zn), has resulted in poor soil quality, limited vegetation cover, and risks to surrounding ecosystems and human health (</w:t>
      </w:r>
      <w:r w:rsidR="51D80991" w:rsidRPr="00517546">
        <w:t xml:space="preserve">Jarup, 2003; </w:t>
      </w:r>
      <w:r w:rsidRPr="00517546">
        <w:t>Alloway, 2013).</w:t>
      </w:r>
    </w:p>
    <w:p w14:paraId="45B35456" w14:textId="59E95318" w:rsidR="00C5261A" w:rsidRPr="00517546" w:rsidRDefault="00EE66CB" w:rsidP="00C5261A">
      <w:r w:rsidRPr="00517546">
        <w:t>Heavy metals are persistent bioaccumulative pollutants that do not degrade and can become toxic through environmental pathways, including the food chain and inhalation of contaminated dust (</w:t>
      </w:r>
      <w:r w:rsidR="008C26FA" w:rsidRPr="00517546">
        <w:t xml:space="preserve">Khan et al., 2021; </w:t>
      </w:r>
      <w:r w:rsidRPr="00517546">
        <w:t>Alengebawy et al., 2022; Zhang et al., 2024</w:t>
      </w:r>
      <w:r w:rsidR="00D95E19" w:rsidRPr="00517546">
        <w:t>)</w:t>
      </w:r>
      <w:r w:rsidR="002C0748" w:rsidRPr="00517546">
        <w:t>.</w:t>
      </w:r>
      <w:r w:rsidR="00D95E19" w:rsidRPr="00517546">
        <w:t xml:space="preserve"> Copper, in particular, poses serious environmental and health concerns at elevated concentrations; it has been linked to toxicity in aquatic organisms, disruption of soil microbial activity, and potential human health effects such as liver and kidney damage, and remains a persistent environmental issue in the UK due to legacy mining and smelting activities </w:t>
      </w:r>
      <w:r w:rsidRPr="00517546">
        <w:t>(</w:t>
      </w:r>
      <w:r w:rsidR="003078A6" w:rsidRPr="00517546">
        <w:t>Hughes, 2024</w:t>
      </w:r>
      <w:r w:rsidRPr="00517546">
        <w:t xml:space="preserve">). Globally, </w:t>
      </w:r>
      <w:r w:rsidR="46DF3DE9" w:rsidRPr="00517546">
        <w:t>14</w:t>
      </w:r>
      <w:r w:rsidRPr="00517546">
        <w:t xml:space="preserve">–17 % of cropland—equivalent to 242 million hectares—is contaminated by toxic heavy metals at levels harmful to ecosystems, food safety, and human health </w:t>
      </w:r>
      <w:r w:rsidR="00B40F5E" w:rsidRPr="00517546">
        <w:t xml:space="preserve">(Hou </w:t>
      </w:r>
      <w:r w:rsidR="00B40F5E" w:rsidRPr="00517546">
        <w:rPr>
          <w:i/>
          <w:iCs/>
        </w:rPr>
        <w:t>et al.</w:t>
      </w:r>
      <w:r w:rsidR="00B40F5E" w:rsidRPr="00517546">
        <w:t xml:space="preserve">, 2025). </w:t>
      </w:r>
      <w:r w:rsidRPr="00517546">
        <w:t>This makes remediation a critical priority, and testing biochar as a sustainable amendment offers promise by immobilising metals and reducing their bioavailability (</w:t>
      </w:r>
      <w:r w:rsidR="00D95E19" w:rsidRPr="00517546">
        <w:t>Liu et al., 202</w:t>
      </w:r>
      <w:r w:rsidR="00BF3E62" w:rsidRPr="00517546">
        <w:t>2</w:t>
      </w:r>
      <w:r w:rsidR="00D95E19" w:rsidRPr="00517546">
        <w:t xml:space="preserve">; </w:t>
      </w:r>
      <w:r w:rsidRPr="00517546">
        <w:t>Gwenzi et al., 20</w:t>
      </w:r>
      <w:r w:rsidR="00B00E20" w:rsidRPr="00517546">
        <w:t>15</w:t>
      </w:r>
      <w:r w:rsidRPr="00517546">
        <w:t>; Wu et al., 2023).</w:t>
      </w:r>
    </w:p>
    <w:p w14:paraId="0BB739D1" w14:textId="6169F4F4" w:rsidR="00C5261A" w:rsidRPr="00517546" w:rsidRDefault="65A9F804" w:rsidP="00C5261A">
      <w:r w:rsidRPr="00517546">
        <w:t>Traditional remediation strategies for heavy metal pollution—such as soil excavation, chemical stabilisation, or phytoremediation—often present economic, logistical, and ecological limitations (Bolan et al., 2014). Recently, the use of biochar, a carbon-rich byproduct of biomass pyrolysis</w:t>
      </w:r>
      <w:r w:rsidR="003E1044" w:rsidRPr="003E1044">
        <w:rPr>
          <w:rFonts w:ascii="Times New Roman" w:eastAsia="Times New Roman" w:hAnsi="Times New Roman" w:cs="Times New Roman"/>
          <w:sz w:val="24"/>
          <w:szCs w:val="24"/>
          <w:lang w:eastAsia="en-GB"/>
        </w:rPr>
        <w:t xml:space="preserve"> </w:t>
      </w:r>
      <w:r w:rsidR="003E1044" w:rsidRPr="003E1044">
        <w:t xml:space="preserve">(Yu </w:t>
      </w:r>
      <w:r w:rsidR="003E1044" w:rsidRPr="003E1044">
        <w:rPr>
          <w:i/>
          <w:iCs/>
        </w:rPr>
        <w:t>et al.</w:t>
      </w:r>
      <w:r w:rsidR="003E1044" w:rsidRPr="003E1044">
        <w:t>, 2019)</w:t>
      </w:r>
      <w:r w:rsidRPr="00517546">
        <w:t>, has emerged as a promising alternative for the immobilisation of heavy metals in contaminated soils</w:t>
      </w:r>
      <w:r w:rsidR="00FA4DCA" w:rsidRPr="00517546">
        <w:rPr>
          <w:rFonts w:ascii="Times New Roman" w:eastAsia="Times New Roman" w:hAnsi="Times New Roman" w:cs="Times New Roman"/>
          <w:sz w:val="24"/>
          <w:szCs w:val="24"/>
          <w:lang w:eastAsia="en-GB"/>
        </w:rPr>
        <w:t xml:space="preserve"> </w:t>
      </w:r>
      <w:r w:rsidR="00FA4DCA" w:rsidRPr="00517546">
        <w:t>(Islam and Xia, 2026)</w:t>
      </w:r>
      <w:r w:rsidRPr="00517546">
        <w:t>.</w:t>
      </w:r>
      <w:r w:rsidR="003E1044">
        <w:t xml:space="preserve"> Due </w:t>
      </w:r>
      <w:r w:rsidRPr="00517546">
        <w:t>to its high surface area, porous structure, and functional surface groups, biochar can reduce metal bioavailability, improve soil physicochemical properties, and foster conditions conducive to vegetation regrowth and microbial activity (Beesley et al., 2011; Méndez et al., 2012</w:t>
      </w:r>
      <w:r w:rsidR="25216D9E" w:rsidRPr="00517546">
        <w:t>; Lehmann and Joseph, 2015</w:t>
      </w:r>
      <w:r w:rsidRPr="00517546">
        <w:t>).</w:t>
      </w:r>
    </w:p>
    <w:p w14:paraId="0F31C0D9" w14:textId="20413AE2" w:rsidR="00C5261A" w:rsidRPr="00517546" w:rsidRDefault="02C938C0" w:rsidP="00C5261A">
      <w:r w:rsidRPr="00517546">
        <w:t>Despite increasing global interest in biochar as a soil amendment, its specific efficacy in remediating legacy contamination at post-industrial Welsh landscapes—such as Kilvey Hill—remains poorly understood. The</w:t>
      </w:r>
      <w:r w:rsidR="12FA8FAD" w:rsidRPr="00517546">
        <w:t xml:space="preserve"> specific</w:t>
      </w:r>
      <w:r w:rsidRPr="00517546">
        <w:t xml:space="preserve"> combination of steep topography, shallow soils, and fluctuating climatic conditions in this region poses practical challenges for biochar application and necessitates the development of context-sensitive methods. Biochar slurry injection, which facilitates subsurface delivery while minimising erosion and dust generation, may offer a more viable alternative to conventional surface application methods </w:t>
      </w:r>
      <w:r w:rsidR="00B40F5E" w:rsidRPr="00517546">
        <w:t>(Johannes Lehmann and Joseph, 2015</w:t>
      </w:r>
      <w:r w:rsidRPr="00517546">
        <w:t>; Zhang et al., 2023).</w:t>
      </w:r>
    </w:p>
    <w:p w14:paraId="48C4C9FD" w14:textId="2B50D091" w:rsidR="00C5261A" w:rsidRPr="00517546" w:rsidRDefault="00C5261A" w:rsidP="00C5261A">
      <w:r w:rsidRPr="00517546">
        <w:t>By exploring the practical and environmental efficacy of biochar slurry application in a real-world</w:t>
      </w:r>
      <w:r w:rsidR="003E1044">
        <w:t xml:space="preserve"> </w:t>
      </w:r>
      <w:r w:rsidRPr="00517546">
        <w:t>post-industr</w:t>
      </w:r>
      <w:r w:rsidR="003E1044">
        <w:t>y</w:t>
      </w:r>
      <w:r w:rsidRPr="00517546">
        <w:t>, this study contributes to the growing body of literature on sustainable soil remediation. The findings may inform land management practices in South Wales and similar post-mining landscapes globally, aligning with the principles of ecological restoration, circular economy, and climate-smart soil management (Jeffery et al., 2015; Rawat et al., 2019). Furthermore, the research supports wider policy goals relating to land regeneration, carbon sequestration, and environmental justice in historically marginalised industrial communities (DEFRA, 2023).</w:t>
      </w:r>
    </w:p>
    <w:p w14:paraId="790F93CD" w14:textId="77777777" w:rsidR="002E4267" w:rsidRPr="00517546" w:rsidRDefault="002E4267" w:rsidP="002E4267"/>
    <w:p w14:paraId="37AD9E3E" w14:textId="211AED74" w:rsidR="00301299" w:rsidRPr="00517546" w:rsidRDefault="16268559" w:rsidP="4E322AAD">
      <w:pPr>
        <w:pStyle w:val="Heading2"/>
      </w:pPr>
      <w:bookmarkStart w:id="1" w:name="_Toc232977664"/>
      <w:r w:rsidRPr="00517546">
        <w:lastRenderedPageBreak/>
        <w:t>Aims and Objectives</w:t>
      </w:r>
      <w:bookmarkEnd w:id="1"/>
    </w:p>
    <w:p w14:paraId="3AADFAC5" w14:textId="604E3E24" w:rsidR="00351D32" w:rsidRPr="00517546" w:rsidRDefault="00351D32" w:rsidP="0071282E">
      <w:r w:rsidRPr="00517546">
        <w:t>This study aims to evaluate the effectiveness of biochar slurry injection in immobilising heavy metals in contaminated soils at Kilvey Hill. Specifically, the research will:</w:t>
      </w:r>
    </w:p>
    <w:p w14:paraId="3F7A37A0" w14:textId="586F32B1" w:rsidR="00351D32" w:rsidRPr="00517546" w:rsidRDefault="00351D32" w:rsidP="00351D32">
      <w:pPr>
        <w:numPr>
          <w:ilvl w:val="0"/>
          <w:numId w:val="15"/>
        </w:numPr>
      </w:pPr>
      <w:r w:rsidRPr="00517546">
        <w:t>Produce biochar derived from locally available biomass.</w:t>
      </w:r>
    </w:p>
    <w:p w14:paraId="349F7376" w14:textId="7BD6C995" w:rsidR="00351D32" w:rsidRPr="00517546" w:rsidRDefault="6C927901" w:rsidP="0071282E">
      <w:pPr>
        <w:numPr>
          <w:ilvl w:val="0"/>
          <w:numId w:val="15"/>
        </w:numPr>
      </w:pPr>
      <w:r w:rsidRPr="00517546">
        <w:t>Apply biochar as a slurry via subsurface injection and monitor changes in:</w:t>
      </w:r>
      <w:r w:rsidR="76F13526" w:rsidRPr="00517546">
        <w:t xml:space="preserve"> </w:t>
      </w:r>
      <w:r w:rsidRPr="00517546">
        <w:t>Soil pH, and heavy metal availability.</w:t>
      </w:r>
    </w:p>
    <w:p w14:paraId="641D503B" w14:textId="66EFFD69" w:rsidR="00351D32" w:rsidRPr="00517546" w:rsidRDefault="00351D32" w:rsidP="00351D32">
      <w:pPr>
        <w:numPr>
          <w:ilvl w:val="0"/>
          <w:numId w:val="15"/>
        </w:numPr>
      </w:pPr>
      <w:r w:rsidRPr="00517546">
        <w:t xml:space="preserve">Compare treatment effects </w:t>
      </w:r>
      <w:r w:rsidR="0071282E" w:rsidRPr="00517546">
        <w:t>between habitat types</w:t>
      </w:r>
    </w:p>
    <w:p w14:paraId="015A2860" w14:textId="2886EDFC" w:rsidR="001E773C" w:rsidRPr="00517546" w:rsidRDefault="001E773C" w:rsidP="00752E06"/>
    <w:p w14:paraId="5BE816A1" w14:textId="66AC0EBE" w:rsidR="004E520E" w:rsidRPr="00517546" w:rsidRDefault="3BD904CC" w:rsidP="4E322AAD">
      <w:pPr>
        <w:pStyle w:val="Heading2"/>
      </w:pPr>
      <w:bookmarkStart w:id="2" w:name="_Toc232977665"/>
      <w:r w:rsidRPr="00517546">
        <w:t>Site background</w:t>
      </w:r>
      <w:bookmarkEnd w:id="2"/>
    </w:p>
    <w:p w14:paraId="5365DCC9" w14:textId="67817ECC" w:rsidR="002C4F48" w:rsidRPr="00517546" w:rsidRDefault="002C4F48" w:rsidP="004E520E">
      <w:r w:rsidRPr="00517546">
        <w:t xml:space="preserve">Kilvey Hill is a 193 m rising on Swansea’s eastern outskirts, overlooking Swansea city, docks, and Swansea Bay. The terrain blends woodland, heathland, meadow, and wetland across </w:t>
      </w:r>
      <w:r w:rsidR="33B4EED6" w:rsidRPr="00517546">
        <w:t>3</w:t>
      </w:r>
      <w:r w:rsidRPr="00517546">
        <w:t xml:space="preserve"> km², forming the Kilvey Community Woodland, an urban fringe nature reserve maintained collaboratively by Swansea Council, Natural Resources Wales, and the Kilvey Hill Community Woodland Volunteers</w:t>
      </w:r>
      <w:r w:rsidR="00750DBB" w:rsidRPr="00517546">
        <w:t xml:space="preserve"> (</w:t>
      </w:r>
      <w:r w:rsidRPr="00517546">
        <w:t>Swansea Council, 2024).</w:t>
      </w:r>
    </w:p>
    <w:p w14:paraId="2FE25C5C" w14:textId="30F41ABC" w:rsidR="002C4F48" w:rsidRPr="00517546" w:rsidRDefault="002C4F48" w:rsidP="002C4F48">
      <w:r w:rsidRPr="00517546">
        <w:t xml:space="preserve">Historically, the hill was farmland until industrialisation introduced toxic contamination. Significant volumes of slag, furnace ash, and airborne pollutants—byproducts of copper, iron, zinc, lead, and arsenic processing—rendered the lower slopes sterile and devoid of vegetation from the late 18th century onward </w:t>
      </w:r>
      <w:r w:rsidR="77871826" w:rsidRPr="00517546">
        <w:t>(</w:t>
      </w:r>
      <w:r w:rsidR="00634F42" w:rsidRPr="00517546">
        <w:t xml:space="preserve">Hughes, 2008). </w:t>
      </w:r>
      <w:r w:rsidRPr="00517546">
        <w:t xml:space="preserve">In the 1970s, as part of the Lower Swansea Valley Forest Resource Plan, the site was extensively reforested with conifers to stabilise the land, with long-term aims to transition to native broadleaved woodland (Natural Resources Wales, </w:t>
      </w:r>
      <w:r w:rsidR="00BC095A" w:rsidRPr="00517546">
        <w:t>2022</w:t>
      </w:r>
      <w:r w:rsidRPr="00517546">
        <w:t>).</w:t>
      </w:r>
    </w:p>
    <w:p w14:paraId="3F0D1802" w14:textId="1CDD30F7" w:rsidR="002C4F48" w:rsidRPr="00517546" w:rsidRDefault="1D41B30D" w:rsidP="002C4F48">
      <w:r w:rsidRPr="00517546">
        <w:t>Today, Kilvey Hill is a Green Flag-winning community woodland, recognised for excellence in biodiversity, safety, and community engagement (Swansea Bay News, 2025). It also hosts archaeological features such as WWII-era bomb craters and anti-landing trenches, which have become valuable microhabitats (Robins, 2025).</w:t>
      </w:r>
    </w:p>
    <w:p w14:paraId="62916A41" w14:textId="2E3C3D7F" w:rsidR="00161479" w:rsidRPr="00517546" w:rsidRDefault="1D41B30D" w:rsidP="00161479">
      <w:r w:rsidRPr="00517546">
        <w:t>The climate at Swansea—and by extension Kilvey Hill—is temperate oceanic, moderated by the Atlantic. Nearby Mumbles Head station reports annual mean maximum temperatures of ~12.8 °C, minima of ~5.5 °C, and total rainfall exceeding 1,160 mm per year (Met Office,</w:t>
      </w:r>
      <w:r w:rsidR="6CE5EB8F" w:rsidRPr="00517546">
        <w:t>2022</w:t>
      </w:r>
      <w:r w:rsidRPr="00517546">
        <w:t xml:space="preserve">). Kilvey’s elevation </w:t>
      </w:r>
      <w:r w:rsidR="635D1462" w:rsidRPr="00517546">
        <w:t>makes</w:t>
      </w:r>
      <w:r w:rsidRPr="00517546">
        <w:t xml:space="preserve"> it slightly cooler and wetter, especially on exposed slopes</w:t>
      </w:r>
    </w:p>
    <w:p w14:paraId="408225A8" w14:textId="77777777" w:rsidR="005B5AA0" w:rsidRPr="00517546" w:rsidRDefault="005B5AA0" w:rsidP="002C4F48"/>
    <w:p w14:paraId="34819C0D" w14:textId="77777777" w:rsidR="002B6769" w:rsidRDefault="002B6769">
      <w:pPr>
        <w:rPr>
          <w:rFonts w:asciiTheme="majorHAnsi" w:eastAsiaTheme="majorEastAsia" w:hAnsiTheme="majorHAnsi" w:cstheme="majorBidi"/>
          <w:color w:val="B3186D" w:themeColor="accent1" w:themeShade="BF"/>
          <w:sz w:val="32"/>
          <w:szCs w:val="32"/>
        </w:rPr>
      </w:pPr>
      <w:r>
        <w:br w:type="page"/>
      </w:r>
    </w:p>
    <w:p w14:paraId="2BE6F409" w14:textId="689B9A76" w:rsidR="00686421" w:rsidRPr="00517546" w:rsidRDefault="16268559" w:rsidP="0066298F">
      <w:pPr>
        <w:pStyle w:val="Heading1"/>
      </w:pPr>
      <w:bookmarkStart w:id="3" w:name="_Toc232977666"/>
      <w:r w:rsidRPr="00517546">
        <w:lastRenderedPageBreak/>
        <w:t>Literature review</w:t>
      </w:r>
      <w:bookmarkEnd w:id="3"/>
      <w:r w:rsidRPr="00517546">
        <w:t xml:space="preserve"> </w:t>
      </w:r>
    </w:p>
    <w:p w14:paraId="36D008AB" w14:textId="0BA5F80A" w:rsidR="6D57E4FE" w:rsidRPr="00517546" w:rsidRDefault="6D57E4FE" w:rsidP="4E322AAD">
      <w:pPr>
        <w:pStyle w:val="Heading2"/>
      </w:pPr>
      <w:bookmarkStart w:id="4" w:name="_Toc232977667"/>
      <w:r w:rsidRPr="00517546">
        <w:t>Introductio</w:t>
      </w:r>
      <w:r w:rsidR="51323171" w:rsidRPr="00517546">
        <w:t>n</w:t>
      </w:r>
      <w:bookmarkEnd w:id="4"/>
    </w:p>
    <w:p w14:paraId="2B44F2B2" w14:textId="7580E450" w:rsidR="00686421" w:rsidRPr="00517546" w:rsidRDefault="4C453E21" w:rsidP="70F8A30C">
      <w:r w:rsidRPr="00517546">
        <w:t>Mine spoil has been a global issue since the industrial revolution</w:t>
      </w:r>
      <w:r w:rsidR="003E1044">
        <w:t>, but literature on reclamation has been dated since the Second World War (Kohnke, 1950). Solutions</w:t>
      </w:r>
      <w:r w:rsidR="77839361" w:rsidRPr="00517546">
        <w:t xml:space="preserve"> such as biochar </w:t>
      </w:r>
      <w:r w:rsidR="62060F4E" w:rsidRPr="00517546">
        <w:t>are still quite new (Meng, Wang and Wei, 2025)</w:t>
      </w:r>
      <w:r w:rsidR="17609FA7" w:rsidRPr="00517546">
        <w:t xml:space="preserve">. This </w:t>
      </w:r>
      <w:r w:rsidR="4A6FBB86" w:rsidRPr="00517546">
        <w:t xml:space="preserve">is also mainly done in </w:t>
      </w:r>
      <w:r w:rsidR="00517546" w:rsidRPr="00517546">
        <w:t>lab-based</w:t>
      </w:r>
      <w:r w:rsidR="4A6FBB86" w:rsidRPr="00517546">
        <w:t xml:space="preserve"> environments </w:t>
      </w:r>
      <w:r w:rsidR="2A063B21" w:rsidRPr="00517546">
        <w:t>(Wang and Wang, 2019</w:t>
      </w:r>
      <w:r w:rsidR="00517546" w:rsidRPr="00517546">
        <w:t>). This</w:t>
      </w:r>
      <w:r w:rsidR="5FF022F0" w:rsidRPr="00517546">
        <w:t xml:space="preserve"> literature review evaluates the mechanisms, performance, and limitations of biochar as a soil amendment in heavy metal remediation. Special attention is given to Kilvey Hill, Swansea—a landscape severely impacted by historical copper smelting—to contextualise the practical relevance of this approach</w:t>
      </w:r>
      <w:r w:rsidR="0934D3C8" w:rsidRPr="00517546">
        <w:t xml:space="preserve"> (Hughes, 2008)</w:t>
      </w:r>
      <w:r w:rsidR="5FF022F0" w:rsidRPr="00517546">
        <w:t>.</w:t>
      </w:r>
    </w:p>
    <w:p w14:paraId="66FDB83F" w14:textId="77777777" w:rsidR="005B557A" w:rsidRPr="00517546" w:rsidRDefault="005B557A" w:rsidP="005B557A"/>
    <w:p w14:paraId="54B7AF98" w14:textId="15D11620" w:rsidR="009545B4" w:rsidRPr="00517546" w:rsidRDefault="09410596" w:rsidP="4E322AAD">
      <w:pPr>
        <w:pStyle w:val="Heading2"/>
      </w:pPr>
      <w:bookmarkStart w:id="5" w:name="_Toc232977668"/>
      <w:r w:rsidRPr="00517546">
        <w:t>Characteristics and</w:t>
      </w:r>
      <w:r w:rsidR="0F6FAD27" w:rsidRPr="00517546">
        <w:t xml:space="preserve"> impacts </w:t>
      </w:r>
      <w:r w:rsidR="6D57E4FE" w:rsidRPr="00517546">
        <w:t>of Copper Mine Spoil</w:t>
      </w:r>
      <w:bookmarkEnd w:id="5"/>
    </w:p>
    <w:p w14:paraId="6A79B683" w14:textId="580E0ECD" w:rsidR="009545B4" w:rsidRPr="006377CE" w:rsidRDefault="4F39189B" w:rsidP="2A6BB68B">
      <w:pPr>
        <w:rPr>
          <w:rFonts w:eastAsiaTheme="minorEastAsia"/>
        </w:rPr>
      </w:pPr>
      <w:r w:rsidRPr="00517546">
        <w:rPr>
          <w:rFonts w:eastAsiaTheme="minorEastAsia"/>
        </w:rPr>
        <w:t>Physically, copper mine spoil is typically highly compacted and dense, a result of the deposition of crushed waste rock and smelting by-products with little natural soil development</w:t>
      </w:r>
      <w:r w:rsidR="4EBD4071" w:rsidRPr="00517546">
        <w:rPr>
          <w:rFonts w:eastAsiaTheme="minorEastAsia"/>
        </w:rPr>
        <w:t xml:space="preserve"> (So </w:t>
      </w:r>
      <w:r w:rsidR="4EBD4071" w:rsidRPr="00517546">
        <w:rPr>
          <w:rFonts w:eastAsiaTheme="minorEastAsia"/>
          <w:i/>
          <w:iCs/>
        </w:rPr>
        <w:t>et al.</w:t>
      </w:r>
      <w:r w:rsidR="4EBD4071" w:rsidRPr="00517546">
        <w:rPr>
          <w:rFonts w:eastAsiaTheme="minorEastAsia"/>
        </w:rPr>
        <w:t>, 2022)</w:t>
      </w:r>
      <w:r w:rsidRPr="00517546">
        <w:rPr>
          <w:rFonts w:eastAsiaTheme="minorEastAsia"/>
          <w:sz w:val="20"/>
          <w:szCs w:val="20"/>
        </w:rPr>
        <w:t>.</w:t>
      </w:r>
      <w:r w:rsidRPr="00517546">
        <w:rPr>
          <w:rFonts w:eastAsiaTheme="minorEastAsia"/>
        </w:rPr>
        <w:t xml:space="preserve"> This compaction reduces porosity, leading to poor water infiltration and restricted root penetration, which in turn inhibits plant establishment and </w:t>
      </w:r>
      <w:r w:rsidR="00517546" w:rsidRPr="00517546">
        <w:rPr>
          <w:rFonts w:eastAsiaTheme="minorEastAsia"/>
        </w:rPr>
        <w:t>long-term</w:t>
      </w:r>
      <w:r w:rsidRPr="00517546">
        <w:rPr>
          <w:rFonts w:eastAsiaTheme="minorEastAsia"/>
        </w:rPr>
        <w:t xml:space="preserve"> ecosystem recovery</w:t>
      </w:r>
      <w:r w:rsidR="55474D01" w:rsidRPr="00517546">
        <w:rPr>
          <w:rFonts w:eastAsiaTheme="minorEastAsia"/>
        </w:rPr>
        <w:t xml:space="preserve"> (Feng </w:t>
      </w:r>
      <w:r w:rsidR="55474D01" w:rsidRPr="00517546">
        <w:rPr>
          <w:rFonts w:eastAsiaTheme="minorEastAsia"/>
          <w:i/>
          <w:iCs/>
        </w:rPr>
        <w:t>et al.</w:t>
      </w:r>
      <w:r w:rsidR="55474D01" w:rsidRPr="00517546">
        <w:rPr>
          <w:rFonts w:eastAsiaTheme="minorEastAsia"/>
        </w:rPr>
        <w:t>, 2019)</w:t>
      </w:r>
      <w:r w:rsidRPr="00517546">
        <w:rPr>
          <w:rFonts w:eastAsiaTheme="minorEastAsia"/>
        </w:rPr>
        <w:t>. In addition, these deposits often lack well-defined soil horizons, meaning there is no structured layering of organic-rich topsoil, subsoil, and mineral layers. Without this vertical organisation, essential soil processes such as nutrient cycling, microbial activity, and water retention are severely disrupted, leaving the substrate functionally closer to inert industrial waste than a natural soil system</w:t>
      </w:r>
      <w:r w:rsidR="52694AE1" w:rsidRPr="00517546">
        <w:rPr>
          <w:rFonts w:eastAsiaTheme="minorEastAsia"/>
        </w:rPr>
        <w:t xml:space="preserve"> (Hartmann and Six, 2023</w:t>
      </w:r>
      <w:r w:rsidR="2C6D2101" w:rsidRPr="00517546">
        <w:rPr>
          <w:rFonts w:eastAsiaTheme="minorEastAsia"/>
        </w:rPr>
        <w:t xml:space="preserve">; Peng </w:t>
      </w:r>
      <w:r w:rsidR="2C6D2101" w:rsidRPr="00517546">
        <w:rPr>
          <w:rFonts w:eastAsiaTheme="minorEastAsia"/>
          <w:i/>
          <w:iCs/>
        </w:rPr>
        <w:t>et al.</w:t>
      </w:r>
      <w:r w:rsidR="2C6D2101" w:rsidRPr="00517546">
        <w:rPr>
          <w:rFonts w:eastAsiaTheme="minorEastAsia"/>
        </w:rPr>
        <w:t>, 2025)</w:t>
      </w:r>
      <w:r w:rsidRPr="00517546">
        <w:rPr>
          <w:rFonts w:eastAsiaTheme="minorEastAsia"/>
        </w:rPr>
        <w:t>.</w:t>
      </w:r>
      <w:r w:rsidR="34E67785" w:rsidRPr="00517546">
        <w:rPr>
          <w:rFonts w:eastAsiaTheme="minorEastAsia"/>
        </w:rPr>
        <w:t xml:space="preserve"> </w:t>
      </w:r>
      <w:r w:rsidR="78300A63" w:rsidRPr="00517546">
        <w:rPr>
          <w:rFonts w:eastAsiaTheme="minorEastAsia"/>
        </w:rPr>
        <w:t>Mine spoils have high h</w:t>
      </w:r>
      <w:r w:rsidR="34E67785" w:rsidRPr="00517546">
        <w:rPr>
          <w:rFonts w:eastAsiaTheme="minorEastAsia"/>
        </w:rPr>
        <w:t>eterogeneity</w:t>
      </w:r>
      <w:r w:rsidR="003E1044">
        <w:rPr>
          <w:rFonts w:eastAsiaTheme="minorEastAsia"/>
        </w:rPr>
        <w:t>,</w:t>
      </w:r>
      <w:r w:rsidR="10B845A9" w:rsidRPr="00517546">
        <w:rPr>
          <w:rFonts w:eastAsiaTheme="minorEastAsia"/>
        </w:rPr>
        <w:t xml:space="preserve"> meaning characteristics can change in small areas</w:t>
      </w:r>
      <w:r w:rsidR="34E67785" w:rsidRPr="00517546">
        <w:rPr>
          <w:rFonts w:eastAsiaTheme="minorEastAsia"/>
        </w:rPr>
        <w:t xml:space="preserve"> </w:t>
      </w:r>
      <w:r w:rsidR="6A38EB74" w:rsidRPr="00517546">
        <w:rPr>
          <w:rFonts w:eastAsiaTheme="minorEastAsia"/>
        </w:rPr>
        <w:t xml:space="preserve">(Zhang </w:t>
      </w:r>
      <w:r w:rsidR="6A38EB74" w:rsidRPr="00517546">
        <w:rPr>
          <w:rFonts w:eastAsiaTheme="minorEastAsia"/>
          <w:i/>
          <w:iCs/>
        </w:rPr>
        <w:t>et al.</w:t>
      </w:r>
      <w:r w:rsidR="6A38EB74" w:rsidRPr="00517546">
        <w:rPr>
          <w:rFonts w:eastAsiaTheme="minorEastAsia"/>
        </w:rPr>
        <w:t>, 2025)</w:t>
      </w:r>
      <w:r w:rsidR="20AE5C22" w:rsidRPr="00517546">
        <w:rPr>
          <w:rFonts w:eastAsiaTheme="minorEastAsia"/>
        </w:rPr>
        <w:t>.</w:t>
      </w:r>
    </w:p>
    <w:p w14:paraId="34B14635" w14:textId="04A1771F" w:rsidR="009545B4" w:rsidRPr="00517546" w:rsidRDefault="14F110CB" w:rsidP="70F8A30C">
      <w:pPr>
        <w:rPr>
          <w:rFonts w:eastAsiaTheme="minorEastAsia"/>
        </w:rPr>
      </w:pPr>
      <w:r w:rsidRPr="00517546">
        <w:rPr>
          <w:rFonts w:eastAsiaTheme="minorEastAsia"/>
          <w:sz w:val="21"/>
          <w:szCs w:val="21"/>
        </w:rPr>
        <w:t>Owing to surging industry activities and the fact that the resulting heavy metals are non-biodegradable and persist in the environment, heavy metal pollution is causing serious environmental and health consequences</w:t>
      </w:r>
      <w:r w:rsidRPr="00517546">
        <w:rPr>
          <w:rFonts w:ascii="Calibri" w:eastAsia="Calibri" w:hAnsi="Calibri" w:cs="Calibri"/>
        </w:rPr>
        <w:t xml:space="preserve"> </w:t>
      </w:r>
      <w:r w:rsidR="6AA26E71" w:rsidRPr="00517546">
        <w:rPr>
          <w:rFonts w:eastAsiaTheme="minorEastAsia"/>
        </w:rPr>
        <w:t xml:space="preserve">(see figure </w:t>
      </w:r>
      <w:r w:rsidR="00587E09">
        <w:rPr>
          <w:rFonts w:eastAsiaTheme="minorEastAsia"/>
        </w:rPr>
        <w:t>1.</w:t>
      </w:r>
      <w:r w:rsidR="6AA26E71" w:rsidRPr="00517546">
        <w:rPr>
          <w:rFonts w:eastAsiaTheme="minorEastAsia"/>
        </w:rPr>
        <w:t>2.1)</w:t>
      </w:r>
      <w:r w:rsidR="34C2FB55" w:rsidRPr="00517546">
        <w:rPr>
          <w:rFonts w:eastAsiaTheme="minorEastAsia"/>
        </w:rPr>
        <w:t xml:space="preserve"> (Ullah </w:t>
      </w:r>
      <w:r w:rsidR="34C2FB55" w:rsidRPr="00517546">
        <w:rPr>
          <w:rFonts w:eastAsiaTheme="minorEastAsia"/>
          <w:i/>
          <w:iCs/>
        </w:rPr>
        <w:t>et al.</w:t>
      </w:r>
      <w:r w:rsidR="34C2FB55" w:rsidRPr="00517546">
        <w:rPr>
          <w:rFonts w:eastAsiaTheme="minorEastAsia"/>
        </w:rPr>
        <w:t xml:space="preserve">, 2025). </w:t>
      </w:r>
      <w:r w:rsidR="0269236D" w:rsidRPr="00517546">
        <w:rPr>
          <w:rFonts w:eastAsiaTheme="minorEastAsia"/>
        </w:rPr>
        <w:t>Copper can build up in tissues and organs in animals, including humans</w:t>
      </w:r>
      <w:r w:rsidR="2C4FAF42" w:rsidRPr="00517546">
        <w:rPr>
          <w:rFonts w:eastAsiaTheme="minorEastAsia"/>
        </w:rPr>
        <w:t xml:space="preserve">, </w:t>
      </w:r>
      <w:r w:rsidR="175D3868" w:rsidRPr="00517546">
        <w:rPr>
          <w:rFonts w:eastAsiaTheme="minorEastAsia"/>
        </w:rPr>
        <w:t xml:space="preserve">which </w:t>
      </w:r>
      <w:r w:rsidR="2C4FAF42" w:rsidRPr="00517546">
        <w:rPr>
          <w:rFonts w:eastAsiaTheme="minorEastAsia"/>
        </w:rPr>
        <w:t xml:space="preserve">can lead to </w:t>
      </w:r>
      <w:r w:rsidR="1B418D44" w:rsidRPr="00517546">
        <w:rPr>
          <w:rFonts w:eastAsiaTheme="minorEastAsia"/>
        </w:rPr>
        <w:t xml:space="preserve">health complications such as </w:t>
      </w:r>
      <w:r w:rsidR="2C4FAF42" w:rsidRPr="00517546">
        <w:rPr>
          <w:rFonts w:eastAsiaTheme="minorEastAsia"/>
        </w:rPr>
        <w:t>cell death, apoptosis and autophagy. The number of cases of copper toxi</w:t>
      </w:r>
      <w:r w:rsidR="423CD22B" w:rsidRPr="00517546">
        <w:rPr>
          <w:rFonts w:eastAsiaTheme="minorEastAsia"/>
        </w:rPr>
        <w:t>city has been increasing due to environmental pollution</w:t>
      </w:r>
      <w:r w:rsidR="4F7CBE84" w:rsidRPr="00517546">
        <w:rPr>
          <w:rFonts w:eastAsiaTheme="minorEastAsia"/>
        </w:rPr>
        <w:t xml:space="preserve"> </w:t>
      </w:r>
      <w:r w:rsidR="0269236D" w:rsidRPr="00517546">
        <w:rPr>
          <w:rFonts w:eastAsiaTheme="minorEastAsia"/>
        </w:rPr>
        <w:t xml:space="preserve">(Wang </w:t>
      </w:r>
      <w:r w:rsidR="0269236D" w:rsidRPr="00517546">
        <w:rPr>
          <w:rFonts w:eastAsiaTheme="minorEastAsia"/>
          <w:i/>
          <w:iCs/>
        </w:rPr>
        <w:t>et al.</w:t>
      </w:r>
      <w:r w:rsidR="0269236D" w:rsidRPr="00517546">
        <w:rPr>
          <w:rFonts w:eastAsiaTheme="minorEastAsia"/>
        </w:rPr>
        <w:t>, 2024)</w:t>
      </w:r>
      <w:r w:rsidR="1B418D44" w:rsidRPr="00517546">
        <w:rPr>
          <w:rFonts w:eastAsiaTheme="minorEastAsia"/>
        </w:rPr>
        <w:t>,</w:t>
      </w:r>
      <w:r w:rsidR="333F2F7D" w:rsidRPr="00517546">
        <w:rPr>
          <w:rFonts w:eastAsiaTheme="minorEastAsia"/>
        </w:rPr>
        <w:t xml:space="preserve"> </w:t>
      </w:r>
      <w:r w:rsidR="1B418D44" w:rsidRPr="00517546">
        <w:rPr>
          <w:rFonts w:eastAsiaTheme="minorEastAsia"/>
        </w:rPr>
        <w:t xml:space="preserve">which </w:t>
      </w:r>
      <w:r w:rsidR="333F2F7D" w:rsidRPr="00517546">
        <w:rPr>
          <w:rFonts w:eastAsiaTheme="minorEastAsia"/>
        </w:rPr>
        <w:t xml:space="preserve">is greater than </w:t>
      </w:r>
      <w:r w:rsidR="674FB648" w:rsidRPr="00517546">
        <w:rPr>
          <w:rFonts w:eastAsiaTheme="minorEastAsia"/>
        </w:rPr>
        <w:t>previously</w:t>
      </w:r>
      <w:r w:rsidR="333F2F7D" w:rsidRPr="00517546">
        <w:rPr>
          <w:rFonts w:eastAsiaTheme="minorEastAsia"/>
        </w:rPr>
        <w:t xml:space="preserve"> thought</w:t>
      </w:r>
      <w:r w:rsidR="6CD81240" w:rsidRPr="00517546">
        <w:rPr>
          <w:rFonts w:eastAsiaTheme="minorEastAsia"/>
          <w:sz w:val="20"/>
          <w:szCs w:val="20"/>
        </w:rPr>
        <w:t xml:space="preserve"> </w:t>
      </w:r>
      <w:r w:rsidR="51BF821A" w:rsidRPr="00517546">
        <w:rPr>
          <w:rFonts w:eastAsiaTheme="minorEastAsia"/>
        </w:rPr>
        <w:t xml:space="preserve">(Ullah </w:t>
      </w:r>
      <w:r w:rsidR="51BF821A" w:rsidRPr="00517546">
        <w:rPr>
          <w:rFonts w:eastAsiaTheme="minorEastAsia"/>
          <w:i/>
          <w:iCs/>
        </w:rPr>
        <w:t>et al.</w:t>
      </w:r>
      <w:r w:rsidR="51BF821A" w:rsidRPr="00517546">
        <w:rPr>
          <w:rFonts w:eastAsiaTheme="minorEastAsia"/>
        </w:rPr>
        <w:t>, 2025</w:t>
      </w:r>
      <w:r w:rsidR="5C0EEA14" w:rsidRPr="00517546">
        <w:rPr>
          <w:rFonts w:eastAsiaTheme="minorEastAsia"/>
        </w:rPr>
        <w:t>)</w:t>
      </w:r>
      <w:r w:rsidR="081BBFAF" w:rsidRPr="00517546">
        <w:rPr>
          <w:rFonts w:eastAsiaTheme="minorEastAsia"/>
        </w:rPr>
        <w:t xml:space="preserve">. </w:t>
      </w:r>
    </w:p>
    <w:p w14:paraId="3DF49310" w14:textId="7523117A" w:rsidR="1E09F02F" w:rsidRPr="00517546" w:rsidRDefault="1E09F02F" w:rsidP="2A6BB68B">
      <w:r w:rsidRPr="00517546">
        <w:rPr>
          <w:noProof/>
        </w:rPr>
        <w:drawing>
          <wp:inline distT="0" distB="0" distL="0" distR="0" wp14:anchorId="251A6DE4" wp14:editId="05651EDB">
            <wp:extent cx="3416476" cy="1771756"/>
            <wp:effectExtent l="0" t="0" r="0" b="0"/>
            <wp:docPr id="11153118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311837" name="Picture 1115311837"/>
                    <pic:cNvPicPr/>
                  </pic:nvPicPr>
                  <pic:blipFill>
                    <a:blip r:embed="rId21">
                      <a:extLst>
                        <a:ext uri="{28A0092B-C50C-407E-A947-70E740481C1C}">
                          <a14:useLocalDpi xmlns:a14="http://schemas.microsoft.com/office/drawing/2010/main"/>
                        </a:ext>
                      </a:extLst>
                    </a:blip>
                    <a:srcRect b="9708"/>
                    <a:stretch>
                      <a:fillRect/>
                    </a:stretch>
                  </pic:blipFill>
                  <pic:spPr>
                    <a:xfrm>
                      <a:off x="0" y="0"/>
                      <a:ext cx="3416476" cy="1771756"/>
                    </a:xfrm>
                    <a:prstGeom prst="rect">
                      <a:avLst/>
                    </a:prstGeom>
                  </pic:spPr>
                </pic:pic>
              </a:graphicData>
            </a:graphic>
          </wp:inline>
        </w:drawing>
      </w:r>
    </w:p>
    <w:p w14:paraId="24315F29" w14:textId="4CCE7A83" w:rsidR="1E09F02F" w:rsidRPr="00517546" w:rsidRDefault="1E09F02F" w:rsidP="4E322AAD">
      <w:pPr>
        <w:pStyle w:val="Caption"/>
      </w:pPr>
      <w:bookmarkStart w:id="6" w:name="_Toc232977740"/>
      <w:r w:rsidRPr="00517546">
        <w:t xml:space="preserve">Fig </w:t>
      </w:r>
      <w:r w:rsidR="00311092">
        <w:t>1.</w:t>
      </w:r>
      <w:r w:rsidRPr="00517546">
        <w:t xml:space="preserve">2.1: chemical forms of trace elements of copper in soils </w:t>
      </w:r>
      <w:r w:rsidR="12E169A6" w:rsidRPr="00517546">
        <w:t>(Dybowska et al., 2006)</w:t>
      </w:r>
      <w:bookmarkEnd w:id="6"/>
    </w:p>
    <w:p w14:paraId="67646A25" w14:textId="6C0EB3D9" w:rsidR="4E322AAD" w:rsidRPr="00517546" w:rsidRDefault="4E322AAD" w:rsidP="4E322AAD"/>
    <w:p w14:paraId="335C828B" w14:textId="55D1B01E" w:rsidR="00686421" w:rsidRPr="00517546" w:rsidRDefault="31F4D326" w:rsidP="4E322AAD">
      <w:pPr>
        <w:pStyle w:val="Heading2"/>
        <w:rPr>
          <w:rStyle w:val="Heading2Char"/>
        </w:rPr>
      </w:pPr>
      <w:r w:rsidRPr="00517546">
        <w:t xml:space="preserve"> </w:t>
      </w:r>
      <w:bookmarkStart w:id="7" w:name="_Toc232977669"/>
      <w:r w:rsidR="6D57E4FE" w:rsidRPr="00517546">
        <w:t>Conventional Remediation Techniques and Their Limitations</w:t>
      </w:r>
      <w:bookmarkEnd w:id="7"/>
    </w:p>
    <w:p w14:paraId="6474C2FD" w14:textId="3B0658D1" w:rsidR="005D71C5" w:rsidRPr="00587E09" w:rsidRDefault="32D40C5C" w:rsidP="005D71C5">
      <w:pPr>
        <w:rPr>
          <w:rFonts w:ascii="Calibri" w:eastAsia="Calibri" w:hAnsi="Calibri" w:cs="Calibri"/>
        </w:rPr>
      </w:pPr>
      <w:r w:rsidRPr="00517546">
        <w:rPr>
          <w:rFonts w:ascii="Calibri" w:eastAsia="Calibri" w:hAnsi="Calibri" w:cs="Calibri"/>
        </w:rPr>
        <w:t xml:space="preserve">Common approaches included capping mine spoil with layers of clean soil to reduce direct exposure to heavy metals, alongside liming to increase soil pH and reduce the mobility of contaminants such as copper, lead, and arsenic </w:t>
      </w:r>
      <w:r w:rsidR="002C0FD1" w:rsidRPr="00517546">
        <w:rPr>
          <w:rFonts w:ascii="Calibri" w:eastAsia="Calibri" w:hAnsi="Calibri" w:cs="Calibri"/>
        </w:rPr>
        <w:t xml:space="preserve">(Bingbing </w:t>
      </w:r>
      <w:r w:rsidR="002C0FD1" w:rsidRPr="00517546">
        <w:rPr>
          <w:rFonts w:ascii="Calibri" w:eastAsia="Calibri" w:hAnsi="Calibri" w:cs="Calibri"/>
          <w:i/>
          <w:iCs/>
        </w:rPr>
        <w:t>et al.</w:t>
      </w:r>
      <w:r w:rsidR="002C0FD1" w:rsidRPr="00517546">
        <w:rPr>
          <w:rFonts w:ascii="Calibri" w:eastAsia="Calibri" w:hAnsi="Calibri" w:cs="Calibri"/>
        </w:rPr>
        <w:t>, 2022)</w:t>
      </w:r>
      <w:r w:rsidRPr="00517546">
        <w:rPr>
          <w:rFonts w:ascii="Calibri" w:eastAsia="Calibri" w:hAnsi="Calibri" w:cs="Calibri"/>
        </w:rPr>
        <w:t xml:space="preserve">. These methods were often combined with </w:t>
      </w:r>
      <w:r w:rsidRPr="00517546">
        <w:rPr>
          <w:rFonts w:ascii="Calibri" w:eastAsia="Calibri" w:hAnsi="Calibri" w:cs="Calibri"/>
        </w:rPr>
        <w:lastRenderedPageBreak/>
        <w:t>revegetation schemes, in which hardy grass and tree species were established to stabilise spoil heaps, reduce erosion, and limit dust and particulate dispersal</w:t>
      </w:r>
      <w:r w:rsidR="66BA3481" w:rsidRPr="00517546">
        <w:rPr>
          <w:rFonts w:ascii="Calibri" w:eastAsia="Calibri" w:hAnsi="Calibri" w:cs="Calibri"/>
        </w:rPr>
        <w:t xml:space="preserve"> (Dybowska et al</w:t>
      </w:r>
      <w:r w:rsidR="57D259A3" w:rsidRPr="00517546">
        <w:rPr>
          <w:rFonts w:ascii="Calibri" w:eastAsia="Calibri" w:hAnsi="Calibri" w:cs="Calibri"/>
        </w:rPr>
        <w:t>, 2006)</w:t>
      </w:r>
      <w:r w:rsidRPr="00517546">
        <w:rPr>
          <w:rFonts w:ascii="Calibri" w:eastAsia="Calibri" w:hAnsi="Calibri" w:cs="Calibri"/>
        </w:rPr>
        <w:t>. In some cases, more interventionist approaches were also applied, including the excavation and relocation of heavily contaminated spoil, as well as drainage and water management systems designed to reduce leaching into local waterways such as the River Taw</w:t>
      </w:r>
      <w:r w:rsidRPr="00517546">
        <w:rPr>
          <w:rFonts w:eastAsiaTheme="minorEastAsia"/>
        </w:rPr>
        <w:t>e (Killingley, 2025).</w:t>
      </w:r>
      <w:r w:rsidR="6653557E" w:rsidRPr="00517546">
        <w:rPr>
          <w:rFonts w:eastAsiaTheme="minorEastAsia"/>
        </w:rPr>
        <w:t xml:space="preserve"> </w:t>
      </w:r>
      <w:r w:rsidR="0BC444DD" w:rsidRPr="00517546">
        <w:rPr>
          <w:rFonts w:eastAsiaTheme="minorEastAsia"/>
        </w:rPr>
        <w:t>Other traditional remediation techniques are seen in figure 2.2</w:t>
      </w:r>
      <w:r w:rsidR="00587E09">
        <w:rPr>
          <w:rFonts w:ascii="Calibri" w:eastAsia="Calibri" w:hAnsi="Calibri" w:cs="Calibri"/>
        </w:rPr>
        <w:t>.3</w:t>
      </w:r>
      <w:r w:rsidR="2491A71E" w:rsidRPr="00517546">
        <w:rPr>
          <w:noProof/>
        </w:rPr>
        <w:drawing>
          <wp:inline distT="0" distB="0" distL="0" distR="0" wp14:anchorId="0E72ACFC" wp14:editId="0639BEA5">
            <wp:extent cx="5724525" cy="3114675"/>
            <wp:effectExtent l="0" t="0" r="0" b="0"/>
            <wp:docPr id="7215313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31319" name="Picture 721531319"/>
                    <pic:cNvPicPr/>
                  </pic:nvPicPr>
                  <pic:blipFill>
                    <a:blip r:embed="rId22">
                      <a:extLst>
                        <a:ext uri="{28A0092B-C50C-407E-A947-70E740481C1C}">
                          <a14:useLocalDpi xmlns:a14="http://schemas.microsoft.com/office/drawing/2010/main"/>
                        </a:ext>
                      </a:extLst>
                    </a:blip>
                    <a:stretch>
                      <a:fillRect/>
                    </a:stretch>
                  </pic:blipFill>
                  <pic:spPr>
                    <a:xfrm>
                      <a:off x="0" y="0"/>
                      <a:ext cx="5724525" cy="3114675"/>
                    </a:xfrm>
                    <a:prstGeom prst="rect">
                      <a:avLst/>
                    </a:prstGeom>
                  </pic:spPr>
                </pic:pic>
              </a:graphicData>
            </a:graphic>
          </wp:inline>
        </w:drawing>
      </w:r>
    </w:p>
    <w:p w14:paraId="53BE2C5C" w14:textId="0B984F6E" w:rsidR="2491A71E" w:rsidRPr="00517546" w:rsidRDefault="0BC444DD" w:rsidP="005D71C5">
      <w:pPr>
        <w:pStyle w:val="Caption"/>
      </w:pPr>
      <w:bookmarkStart w:id="8" w:name="_Toc232977741"/>
      <w:r w:rsidRPr="00517546">
        <w:t>Fig 2.2</w:t>
      </w:r>
      <w:r w:rsidR="00311092">
        <w:t>.3</w:t>
      </w:r>
      <w:r w:rsidRPr="00517546">
        <w:t xml:space="preserve">: </w:t>
      </w:r>
      <w:r w:rsidR="4E3A789A" w:rsidRPr="00517546">
        <w:t xml:space="preserve">A </w:t>
      </w:r>
      <w:r w:rsidRPr="00517546">
        <w:t>summ</w:t>
      </w:r>
      <w:r w:rsidR="4E3A789A" w:rsidRPr="00517546">
        <w:t>a</w:t>
      </w:r>
      <w:r w:rsidRPr="00517546">
        <w:t xml:space="preserve">ry of </w:t>
      </w:r>
      <w:r w:rsidR="4E3A789A" w:rsidRPr="00517546">
        <w:t>remediation</w:t>
      </w:r>
      <w:r w:rsidRPr="00517546">
        <w:t xml:space="preserve"> techniques and their limitations. Reproduced from (Dybowska et al., 2006)</w:t>
      </w:r>
      <w:r w:rsidR="2C8FCEE7" w:rsidRPr="00517546">
        <w:t>.</w:t>
      </w:r>
      <w:bookmarkEnd w:id="8"/>
    </w:p>
    <w:p w14:paraId="634472B7" w14:textId="65C10AAD" w:rsidR="4CE598D4" w:rsidRPr="00517546" w:rsidRDefault="4CE598D4" w:rsidP="70F8A30C">
      <w:pPr>
        <w:rPr>
          <w:rFonts w:eastAsiaTheme="minorEastAsia"/>
        </w:rPr>
      </w:pPr>
      <w:r w:rsidRPr="00517546">
        <w:rPr>
          <w:rFonts w:eastAsiaTheme="minorEastAsia"/>
        </w:rPr>
        <w:t xml:space="preserve">While these have various successes, all of these methods </w:t>
      </w:r>
      <w:r w:rsidR="00517546" w:rsidRPr="00517546">
        <w:rPr>
          <w:rFonts w:eastAsiaTheme="minorEastAsia"/>
        </w:rPr>
        <w:t>cannot</w:t>
      </w:r>
      <w:r w:rsidRPr="00517546">
        <w:rPr>
          <w:rFonts w:eastAsiaTheme="minorEastAsia"/>
        </w:rPr>
        <w:t xml:space="preserve"> fully remove the metals, and many create their own toxic </w:t>
      </w:r>
      <w:r w:rsidR="00517546" w:rsidRPr="00517546">
        <w:rPr>
          <w:rFonts w:eastAsiaTheme="minorEastAsia"/>
        </w:rPr>
        <w:t>byproducts</w:t>
      </w:r>
      <w:r w:rsidRPr="00517546">
        <w:rPr>
          <w:rFonts w:eastAsiaTheme="minorEastAsia"/>
        </w:rPr>
        <w:t>.</w:t>
      </w:r>
      <w:r w:rsidRPr="00517546">
        <w:rPr>
          <w:rFonts w:eastAsiaTheme="minorEastAsia"/>
          <w:b/>
          <w:bCs/>
        </w:rPr>
        <w:t xml:space="preserve"> </w:t>
      </w:r>
      <w:r w:rsidRPr="00517546">
        <w:rPr>
          <w:rFonts w:eastAsiaTheme="minorEastAsia"/>
        </w:rPr>
        <w:t>The more successful methods</w:t>
      </w:r>
      <w:r w:rsidRPr="00517546">
        <w:rPr>
          <w:rFonts w:eastAsiaTheme="minorEastAsia"/>
          <w:b/>
          <w:bCs/>
        </w:rPr>
        <w:t xml:space="preserve"> </w:t>
      </w:r>
      <w:r w:rsidRPr="00517546">
        <w:rPr>
          <w:rFonts w:eastAsiaTheme="minorEastAsia"/>
        </w:rPr>
        <w:t>take a significantly longer time to be achieved. (Dybowska et al, 2006).</w:t>
      </w:r>
    </w:p>
    <w:p w14:paraId="4E1D09BE" w14:textId="55F0078C" w:rsidR="00686421" w:rsidRPr="00517546" w:rsidRDefault="2B653A8E" w:rsidP="00686421">
      <w:r w:rsidRPr="00517546">
        <w:rPr>
          <w:rFonts w:ascii="Calibri" w:eastAsia="Calibri" w:hAnsi="Calibri" w:cs="Calibri"/>
        </w:rPr>
        <w:t>Collectively, these techniques reflect a largely containment-based philosophy typical of mid-to-late twentieth-century remediation practice in Swansea, prioritising risk reduction and landscape stabilisation over full ecological restoration. In contrast, more recent approaches such as biochar amendment represent a shift towards enhancing soil function and long-term contaminant immobilisation, although their effectiveness in Swansea’s specific legacy copper spoil environments remains an emerging area</w:t>
      </w:r>
      <w:r w:rsidRPr="00517546">
        <w:rPr>
          <w:rFonts w:eastAsiaTheme="minorEastAsia"/>
        </w:rPr>
        <w:t xml:space="preserve"> of research (Borah </w:t>
      </w:r>
      <w:r w:rsidRPr="00517546">
        <w:rPr>
          <w:rFonts w:eastAsiaTheme="minorEastAsia"/>
          <w:i/>
          <w:iCs/>
        </w:rPr>
        <w:t>et al.</w:t>
      </w:r>
      <w:r w:rsidRPr="00517546">
        <w:rPr>
          <w:rFonts w:eastAsiaTheme="minorEastAsia"/>
        </w:rPr>
        <w:t>, 2025).</w:t>
      </w:r>
      <w:r w:rsidRPr="00517546">
        <w:t xml:space="preserve"> </w:t>
      </w:r>
    </w:p>
    <w:p w14:paraId="026FE5F6" w14:textId="11A063EA" w:rsidR="2A6BB68B" w:rsidRPr="00517546" w:rsidRDefault="096C661F" w:rsidP="432F59BF">
      <w:pPr>
        <w:pStyle w:val="Heading2"/>
      </w:pPr>
      <w:bookmarkStart w:id="9" w:name="_Toc232977670"/>
      <w:r w:rsidRPr="00517546">
        <w:t>Biochar as an Emerging Solution for Heavy Metal Remediation</w:t>
      </w:r>
      <w:bookmarkEnd w:id="9"/>
    </w:p>
    <w:p w14:paraId="17207DEA" w14:textId="39C38A55" w:rsidR="005C7CFF" w:rsidRPr="00517546" w:rsidRDefault="73E47244" w:rsidP="70F8A30C">
      <w:pPr>
        <w:rPr>
          <w:rFonts w:ascii="Calibri" w:eastAsia="Calibri" w:hAnsi="Calibri" w:cs="Calibri"/>
        </w:rPr>
      </w:pPr>
      <w:r w:rsidRPr="00517546">
        <w:rPr>
          <w:rFonts w:ascii="Calibri" w:eastAsia="Calibri" w:hAnsi="Calibri" w:cs="Calibri"/>
        </w:rPr>
        <w:t xml:space="preserve">Abandoned mine spoil has remained a long-term environmental problem since the Industrial Revolution </w:t>
      </w:r>
      <w:r w:rsidR="008455A8" w:rsidRPr="00517546">
        <w:rPr>
          <w:rFonts w:ascii="Calibri" w:eastAsia="Calibri" w:hAnsi="Calibri" w:cs="Calibri"/>
        </w:rPr>
        <w:t>(Great Britain. Environment Agency, 2008)</w:t>
      </w:r>
      <w:r w:rsidRPr="00517546">
        <w:rPr>
          <w:rFonts w:ascii="Calibri" w:eastAsia="Calibri" w:hAnsi="Calibri" w:cs="Calibri"/>
        </w:rPr>
        <w:t xml:space="preserve">, </w:t>
      </w:r>
      <w:r w:rsidR="018B1FA8" w:rsidRPr="00517546">
        <w:rPr>
          <w:rFonts w:eastAsiaTheme="minorEastAsia"/>
          <w:color w:val="000000" w:themeColor="text1"/>
        </w:rPr>
        <w:t xml:space="preserve">Many of these sites have been increasingly neglected after the decline of heavy industry post-Second World War. These historical mining </w:t>
      </w:r>
      <w:r w:rsidR="0035209A">
        <w:rPr>
          <w:rFonts w:eastAsiaTheme="minorEastAsia"/>
          <w:color w:val="000000" w:themeColor="text1"/>
        </w:rPr>
        <w:t>sites continue to contribute to soil and water pollution due to the persistent presence and mobility</w:t>
      </w:r>
      <w:r w:rsidR="018B1FA8" w:rsidRPr="00517546">
        <w:rPr>
          <w:rFonts w:eastAsiaTheme="minorEastAsia"/>
          <w:color w:val="000000" w:themeColor="text1"/>
        </w:rPr>
        <w:t xml:space="preserve"> of heavy metals</w:t>
      </w:r>
      <w:r w:rsidR="018B1FA8" w:rsidRPr="00517546">
        <w:rPr>
          <w:rFonts w:ascii="Calibri" w:eastAsia="Calibri" w:hAnsi="Calibri" w:cs="Calibri"/>
          <w:color w:val="000000" w:themeColor="text1"/>
          <w:sz w:val="27"/>
          <w:szCs w:val="27"/>
        </w:rPr>
        <w:t xml:space="preserve"> </w:t>
      </w:r>
      <w:r w:rsidR="028C5CDF" w:rsidRPr="00517546">
        <w:rPr>
          <w:rFonts w:eastAsiaTheme="minorEastAsia"/>
        </w:rPr>
        <w:t>(Bini, 2012)</w:t>
      </w:r>
      <w:r w:rsidRPr="00517546">
        <w:rPr>
          <w:rFonts w:ascii="Calibri" w:eastAsia="Calibri" w:hAnsi="Calibri" w:cs="Calibri"/>
        </w:rPr>
        <w:t xml:space="preserve">. </w:t>
      </w:r>
      <w:r w:rsidR="463C4EFC" w:rsidRPr="00517546">
        <w:t>In the mining context, Ghosh and Kumar Maiti (202</w:t>
      </w:r>
      <w:r w:rsidR="008455A8" w:rsidRPr="00517546">
        <w:t>0</w:t>
      </w:r>
      <w:r w:rsidR="463C4EFC" w:rsidRPr="00517546">
        <w:t xml:space="preserve">) tested biochar application on copper mine tailings and reported reduced mobility of Cu and Zn, alongside improved soil structure, and organic content. This dual role—as both a contaminant binder and a soil amendment—makes biochar uniquely suited for </w:t>
      </w:r>
      <w:r w:rsidR="00517546" w:rsidRPr="00517546">
        <w:t>mine spoil</w:t>
      </w:r>
      <w:r w:rsidR="00CE0F50" w:rsidRPr="00517546">
        <w:t xml:space="preserve"> </w:t>
      </w:r>
      <w:r w:rsidR="2A06BA5B" w:rsidRPr="00517546">
        <w:t>due</w:t>
      </w:r>
      <w:r w:rsidR="463C4EFC" w:rsidRPr="00517546">
        <w:t xml:space="preserve"> to the degraded soil and high metal content.</w:t>
      </w:r>
      <w:r w:rsidR="006F24D8" w:rsidRPr="00517546">
        <w:t xml:space="preserve"> </w:t>
      </w:r>
    </w:p>
    <w:p w14:paraId="3FC6B942" w14:textId="6E792369" w:rsidR="00CE72D4" w:rsidRPr="00517546" w:rsidRDefault="3734E3C3" w:rsidP="00CE72D4">
      <w:r w:rsidRPr="00517546">
        <w:rPr>
          <w:rFonts w:eastAsiaTheme="minorEastAsia"/>
        </w:rPr>
        <w:t>Biochar is an organic matter that has been burnt with low oxygen,</w:t>
      </w:r>
      <w:r w:rsidR="46027FD6" w:rsidRPr="00517546">
        <w:rPr>
          <w:rFonts w:eastAsiaTheme="minorEastAsia"/>
        </w:rPr>
        <w:t xml:space="preserve"> </w:t>
      </w:r>
      <w:r w:rsidR="2813DEF0" w:rsidRPr="00517546">
        <w:rPr>
          <w:rFonts w:eastAsiaTheme="minorEastAsia"/>
        </w:rPr>
        <w:t xml:space="preserve">which </w:t>
      </w:r>
      <w:r w:rsidR="46027FD6" w:rsidRPr="00517546">
        <w:rPr>
          <w:rFonts w:eastAsiaTheme="minorEastAsia"/>
        </w:rPr>
        <w:t>is</w:t>
      </w:r>
      <w:r w:rsidRPr="00517546">
        <w:rPr>
          <w:rFonts w:eastAsiaTheme="minorEastAsia"/>
        </w:rPr>
        <w:t xml:space="preserve"> rich in inert carbon, very low </w:t>
      </w:r>
      <w:r w:rsidR="18A79EC1" w:rsidRPr="00517546">
        <w:rPr>
          <w:rFonts w:eastAsiaTheme="minorEastAsia"/>
        </w:rPr>
        <w:t>density</w:t>
      </w:r>
      <w:r w:rsidRPr="00517546">
        <w:rPr>
          <w:rFonts w:eastAsiaTheme="minorEastAsia"/>
        </w:rPr>
        <w:t xml:space="preserve"> and very </w:t>
      </w:r>
      <w:r w:rsidR="2BA301C6" w:rsidRPr="00517546">
        <w:rPr>
          <w:rFonts w:eastAsiaTheme="minorEastAsia"/>
        </w:rPr>
        <w:t>porous</w:t>
      </w:r>
      <w:r w:rsidR="0CDA9AB5" w:rsidRPr="00517546">
        <w:rPr>
          <w:rFonts w:eastAsiaTheme="minorEastAsia"/>
        </w:rPr>
        <w:t xml:space="preserve">. </w:t>
      </w:r>
      <w:r w:rsidR="2B6BC04E" w:rsidRPr="00517546">
        <w:t xml:space="preserve">During pyrolysis, biomass develops a highly heterogeneous pore </w:t>
      </w:r>
      <w:r w:rsidR="2B6BC04E" w:rsidRPr="00517546">
        <w:lastRenderedPageBreak/>
        <w:t xml:space="preserve">network ranging from micro- to macropores. These pores provide extensive reactive surface area for metal sorption and precipitation reactions (Lehmann and Joseph, 2015). High-temperature </w:t>
      </w:r>
      <w:r w:rsidR="00517546" w:rsidRPr="00517546">
        <w:t>biochar</w:t>
      </w:r>
      <w:r w:rsidR="2B6BC04E" w:rsidRPr="00517546">
        <w:t xml:space="preserve"> generally </w:t>
      </w:r>
      <w:r w:rsidR="00517546" w:rsidRPr="00517546">
        <w:t>possesses</w:t>
      </w:r>
      <w:r w:rsidR="2B6BC04E" w:rsidRPr="00517546">
        <w:t xml:space="preserve"> greater aromaticity and surface area, increasing their adsorption potential for inorganic contaminants </w:t>
      </w:r>
      <w:r w:rsidR="00B40F5E" w:rsidRPr="00517546">
        <w:t xml:space="preserve">(Tan </w:t>
      </w:r>
      <w:r w:rsidR="00B40F5E" w:rsidRPr="00517546">
        <w:rPr>
          <w:i/>
          <w:iCs/>
        </w:rPr>
        <w:t>et al.</w:t>
      </w:r>
      <w:r w:rsidR="00B40F5E" w:rsidRPr="00517546">
        <w:t xml:space="preserve">, 2015). </w:t>
      </w:r>
      <w:r w:rsidR="2B6BC04E" w:rsidRPr="00517546">
        <w:t>This porous structure may additionally improve soil aeration and water retention, indirectly supporting microbial recovery and vegetation establishment within degraded mine spoil environments.</w:t>
      </w:r>
    </w:p>
    <w:p w14:paraId="748BFA25" w14:textId="083A6D7F" w:rsidR="522B82AB" w:rsidRPr="00517546" w:rsidRDefault="025099AD" w:rsidP="70F8A30C">
      <w:r w:rsidRPr="00517546">
        <w:t>Due to the structure of biochar,</w:t>
      </w:r>
      <w:r w:rsidR="0AD9F94D" w:rsidRPr="00517546">
        <w:t xml:space="preserve"> it can remediate a variety of contaminants found within soils ranging from nutrients to heavy metals. Some of the mechanisms that biochar use </w:t>
      </w:r>
      <w:r w:rsidR="00517546" w:rsidRPr="00517546">
        <w:t>includes</w:t>
      </w:r>
      <w:r w:rsidR="0AD9F94D" w:rsidRPr="00517546">
        <w:t xml:space="preserve"> ion exchange, adsorption, and surface precipitation. Ion exchange is a reversible chemical reaction during which dissolved ions from a liquid are swapped with other ions that have the same charge but are attached to a solid. Adsorption occurs when atoms or molecules adhere onto the surface of a solid. Surface precipitation is the coating of a layer of mineral on the surface of a material through dissolved ions reacting and becoming insoluble. (Zhang et al., 2013; </w:t>
      </w:r>
      <w:r w:rsidR="00717AE8" w:rsidRPr="00517546">
        <w:t xml:space="preserve">Philipp </w:t>
      </w:r>
      <w:r w:rsidR="00717AE8" w:rsidRPr="00517546">
        <w:rPr>
          <w:i/>
          <w:iCs/>
        </w:rPr>
        <w:t>et al.</w:t>
      </w:r>
      <w:r w:rsidR="00717AE8" w:rsidRPr="00517546">
        <w:t>, 2025</w:t>
      </w:r>
      <w:r w:rsidR="0AD9F94D" w:rsidRPr="00517546">
        <w:t>). The mechanism biochar uses most effectively when dealing with heavy metals is chemical fixation through binding with cations. Chemical immobilisation through biochar application has been shown to decrease bioavailability, mobility, and leachability of heavy metals from contaminated soils. (Meng, Wang and Wei, 2025). Biochar has negatively charged functional groups such as carboxyl, hydroxyl, and phenolic groups that allow for attraction to occur with positively charged metal ions such as Cu²</w:t>
      </w:r>
      <w:r w:rsidR="00517546" w:rsidRPr="00517546">
        <w:t>⁺ and</w:t>
      </w:r>
      <w:r w:rsidR="0AD9F94D" w:rsidRPr="00517546">
        <w:t xml:space="preserve"> Zn²⁺</w:t>
      </w:r>
      <w:r w:rsidR="00522C55" w:rsidRPr="00517546">
        <w:t xml:space="preserve"> (Long </w:t>
      </w:r>
      <w:r w:rsidR="00522C55" w:rsidRPr="00517546">
        <w:rPr>
          <w:i/>
          <w:iCs/>
        </w:rPr>
        <w:t>et al.</w:t>
      </w:r>
      <w:r w:rsidR="00522C55" w:rsidRPr="00517546">
        <w:t>, 2026)</w:t>
      </w:r>
      <w:r w:rsidR="0AD9F94D" w:rsidRPr="00517546">
        <w:t>. Once the metals are bound to the biochar surface through cation exchange, mobility within the pore water is decreased</w:t>
      </w:r>
      <w:r w:rsidR="0035209A">
        <w:t xml:space="preserve">, limiting leaching to the </w:t>
      </w:r>
      <w:r w:rsidR="0AD9F94D" w:rsidRPr="00517546">
        <w:t>surrounding environments. pH adjustment occurs because biochar is generally alkaline which can help with acidic mine soils limiting metal solubility</w:t>
      </w:r>
      <w:r w:rsidR="00143CF6">
        <w:t xml:space="preserve"> </w:t>
      </w:r>
      <w:r w:rsidR="00143CF6" w:rsidRPr="00143CF6">
        <w:t>(Herb, 2025)</w:t>
      </w:r>
      <w:r w:rsidR="0AD9F94D" w:rsidRPr="00517546">
        <w:t>. Increase in microbial habitat occurs because the porous texture of biochar creates habitat for microbial growth. This then can transform metals through microbial sequestration</w:t>
      </w:r>
      <w:r w:rsidR="0017147F">
        <w:t xml:space="preserve"> </w:t>
      </w:r>
      <w:r w:rsidR="00143CF6" w:rsidRPr="00143CF6">
        <w:t xml:space="preserve">(Bolan </w:t>
      </w:r>
      <w:r w:rsidR="00143CF6" w:rsidRPr="00143CF6">
        <w:rPr>
          <w:i/>
          <w:iCs/>
        </w:rPr>
        <w:t>et al.</w:t>
      </w:r>
      <w:r w:rsidR="00143CF6" w:rsidRPr="00143CF6">
        <w:t>, 2023)</w:t>
      </w:r>
      <w:r w:rsidR="0035209A">
        <w:t>.</w:t>
      </w:r>
      <w:r w:rsidR="005D7F9D" w:rsidRPr="00517546">
        <w:t xml:space="preserve"> </w:t>
      </w:r>
      <w:r w:rsidR="0AD9F94D" w:rsidRPr="00517546">
        <w:t>Overall these effects can decrease heavy metal bioavailability allowing for revegetation to occur.</w:t>
      </w:r>
    </w:p>
    <w:p w14:paraId="403D23B5" w14:textId="77777777" w:rsidR="005D7F9D" w:rsidRPr="00517546" w:rsidRDefault="005D7F9D" w:rsidP="005D7F9D">
      <w:r w:rsidRPr="00517546">
        <w:t>Another important mechanism is surface complexation and metal precipitation. Heavy metals may form stable complexes with oxygen-containing functional groups on biochar surfaces, producing less soluble compounds that remain immobilised in the soil matrix (Beesley et al., 2011). In alkaline conditions, dissolved copper ions can also turn into solid copper hydroxides, carbonates or phosphates, which makes them less accessible to living things (Park et al., 2011). These reactions become increasingly significant in acidic mine spoil sites, where metal mobility is typically elevated.</w:t>
      </w:r>
    </w:p>
    <w:p w14:paraId="7D518335" w14:textId="4E724AE7" w:rsidR="00C57BD5" w:rsidRPr="00517546" w:rsidRDefault="005D7F9D" w:rsidP="00C57BD5">
      <w:r w:rsidRPr="00517546">
        <w:t xml:space="preserve">Biochar may also alter soil conditions, affecting the chemical speciation of metals. Changes in oxidation–reduction potential can affect whether metals exist in soluble or insoluble forms, consequently affecting toxicity and transport within contaminated soils (Paz-Ferreiro et al., 2014). In addition, biochar can provide better habitat conditions for microbial communities due to its porous structure and carbon-rich composition, though effects on soil microbial communities and fauna beyond metals immobilisation are poorly understood (Li </w:t>
      </w:r>
      <w:r w:rsidRPr="00517546">
        <w:rPr>
          <w:i/>
          <w:iCs/>
        </w:rPr>
        <w:t>et al.</w:t>
      </w:r>
      <w:r w:rsidRPr="00517546">
        <w:t xml:space="preserve">, 2024). </w:t>
      </w:r>
      <w:r w:rsidR="27DC9394" w:rsidRPr="00517546">
        <w:t>Microorganisms may contribute to remediation through processes such as biomineralisation, metal reduction, and organic matter decomposition, further stabilising contaminants within the soil environment (</w:t>
      </w:r>
      <w:r w:rsidR="00BC095A" w:rsidRPr="00517546">
        <w:t xml:space="preserve">Li </w:t>
      </w:r>
      <w:r w:rsidR="00BC095A" w:rsidRPr="00517546">
        <w:rPr>
          <w:i/>
          <w:iCs/>
        </w:rPr>
        <w:t>et al.</w:t>
      </w:r>
      <w:r w:rsidR="00BC095A" w:rsidRPr="00517546">
        <w:t>, 2022</w:t>
      </w:r>
      <w:r w:rsidR="27DC9394" w:rsidRPr="00517546">
        <w:t>).</w:t>
      </w:r>
      <w:r w:rsidR="2AD54F89" w:rsidRPr="00517546">
        <w:t xml:space="preserve"> Collectively, the findings support biochar’s ability to immobilise metals and enhance soil quality. (He et al, 2019) found that biochar significantly reduced the bioavailability of cadmium and lead in contaminated agricultural soils, which increased microbial activity and crop yield. Similarly, Asadi et al. (2021) demonstrated that rice husk biochar lowered the leaching potential of Cd and Pb while enhancing plant nutrient uptake.</w:t>
      </w:r>
    </w:p>
    <w:p w14:paraId="2C669725" w14:textId="04086FA7" w:rsidR="00890915" w:rsidRPr="00517546" w:rsidRDefault="49C2824D" w:rsidP="70F8A30C">
      <w:r w:rsidRPr="00517546">
        <w:rPr>
          <w:rFonts w:eastAsiaTheme="minorEastAsia"/>
        </w:rPr>
        <w:t xml:space="preserve">Biochar can be made from crop residues, woodchip, manure and plant tissues (Bingbing </w:t>
      </w:r>
      <w:r w:rsidRPr="00517546">
        <w:rPr>
          <w:rFonts w:eastAsiaTheme="minorEastAsia"/>
          <w:i/>
          <w:iCs/>
        </w:rPr>
        <w:t>et al.</w:t>
      </w:r>
      <w:r w:rsidRPr="00517546">
        <w:rPr>
          <w:rFonts w:eastAsiaTheme="minorEastAsia"/>
        </w:rPr>
        <w:t>, 2022). The biochar</w:t>
      </w:r>
      <w:r w:rsidR="5A6585B0" w:rsidRPr="00517546">
        <w:rPr>
          <w:rFonts w:eastAsiaTheme="minorEastAsia"/>
        </w:rPr>
        <w:t>’s effectiveness</w:t>
      </w:r>
      <w:r w:rsidRPr="00517546">
        <w:rPr>
          <w:rFonts w:eastAsiaTheme="minorEastAsia"/>
        </w:rPr>
        <w:t xml:space="preserve"> is affected by the underlying feedstock, as different pollutants are </w:t>
      </w:r>
      <w:r w:rsidRPr="00517546">
        <w:rPr>
          <w:rFonts w:eastAsiaTheme="minorEastAsia"/>
        </w:rPr>
        <w:lastRenderedPageBreak/>
        <w:t xml:space="preserve">removed more effectively by different feedstocks. For example, Ji et al (2022) found that biochar derived from wood or straw biomass contains more lignin and cellulose, making it a have a higher porosity and larger surface area, which means it is most effective at removing organic pollutants. However, high ash feedstocks such as manure or sewage sludge </w:t>
      </w:r>
      <w:r w:rsidR="386E86FA" w:rsidRPr="00517546">
        <w:t>contain greater mineral ash content, including calcium, phosphorus, and magnesium compounds, which may enhance heavy metal precipitation and immobilisation</w:t>
      </w:r>
      <w:r w:rsidRPr="00517546">
        <w:rPr>
          <w:rFonts w:eastAsiaTheme="minorEastAsia"/>
        </w:rPr>
        <w:t xml:space="preserve">. </w:t>
      </w:r>
      <w:r w:rsidR="2CA76212" w:rsidRPr="00517546">
        <w:t>Consequently, selecting appropriate feedstocks is critical for optimising remediation effectiveness within specific contaminated environments.</w:t>
      </w:r>
      <w:r w:rsidR="7E7C1EAA" w:rsidRPr="00517546">
        <w:t xml:space="preserve"> </w:t>
      </w:r>
      <w:r w:rsidRPr="00517546">
        <w:rPr>
          <w:rFonts w:eastAsiaTheme="minorEastAsia"/>
        </w:rPr>
        <w:t xml:space="preserve">However, all types of biochar are effective at removing heavy metals. </w:t>
      </w:r>
      <w:r w:rsidR="5F0ADD25" w:rsidRPr="00517546">
        <w:rPr>
          <w:rFonts w:eastAsiaTheme="minorEastAsia"/>
        </w:rPr>
        <w:t>More research is being conducted on added additional substances to increase the biochar effectiveness (Meng, Wang and Wei, 2025).  For example, s</w:t>
      </w:r>
      <w:r w:rsidR="5F0ADD25" w:rsidRPr="00517546">
        <w:t xml:space="preserve">tudies show synergistic benefits when biochar is applied alongside compost, lime, or clay minerals </w:t>
      </w:r>
      <w:r w:rsidR="00B00E20" w:rsidRPr="00517546">
        <w:t xml:space="preserve">(Li </w:t>
      </w:r>
      <w:r w:rsidR="00B00E20" w:rsidRPr="00517546">
        <w:rPr>
          <w:i/>
          <w:iCs/>
        </w:rPr>
        <w:t>et al.</w:t>
      </w:r>
      <w:r w:rsidR="00B00E20" w:rsidRPr="00517546">
        <w:t>, 2024)</w:t>
      </w:r>
      <w:r w:rsidR="00DD2364">
        <w:t>.</w:t>
      </w:r>
      <w:r w:rsidR="00DD2364" w:rsidRPr="00DD2364">
        <w:t xml:space="preserve"> The effectiveness of biochar is strongly influenced by feedstock selection, pyrolysis temperature and modification methods. Modified biochars often exhibit greater adsorption capacity because of increased surface area and functional groups, although production costs are generally higher than conventional biochar</w:t>
      </w:r>
      <w:r w:rsidR="007919D9" w:rsidRPr="007919D9">
        <w:t xml:space="preserve">(Liang </w:t>
      </w:r>
      <w:r w:rsidR="007919D9" w:rsidRPr="007919D9">
        <w:rPr>
          <w:i/>
          <w:iCs/>
        </w:rPr>
        <w:t>et al.</w:t>
      </w:r>
      <w:r w:rsidR="007919D9" w:rsidRPr="007919D9">
        <w:t>, 2021)</w:t>
      </w:r>
      <w:r w:rsidR="007919D9">
        <w:t>.</w:t>
      </w:r>
    </w:p>
    <w:p w14:paraId="1F11CBAB" w14:textId="77777777" w:rsidR="005D7F9D" w:rsidRPr="00517546" w:rsidRDefault="005D7F9D" w:rsidP="005D7F9D">
      <w:pPr>
        <w:spacing w:after="0" w:line="240" w:lineRule="auto"/>
        <w:rPr>
          <w:rFonts w:eastAsia="Times New Roman" w:cstheme="minorHAnsi"/>
          <w:lang w:eastAsia="en-GB"/>
        </w:rPr>
      </w:pPr>
      <w:r w:rsidRPr="00517546">
        <w:rPr>
          <w:rFonts w:eastAsia="Times New Roman" w:cstheme="minorHAnsi"/>
          <w:lang w:eastAsia="en-GB"/>
        </w:rPr>
        <w:t>However, while biochar holds notable promise, its effectiveness in mine spoil remediation is dependent on a variety of interacting factors. These include:</w:t>
      </w:r>
    </w:p>
    <w:p w14:paraId="08BF22C9" w14:textId="75491CFE" w:rsidR="005D7F9D" w:rsidRPr="00517546" w:rsidRDefault="005D7F9D" w:rsidP="005D7F9D">
      <w:pPr>
        <w:pStyle w:val="ListParagraph"/>
        <w:numPr>
          <w:ilvl w:val="0"/>
          <w:numId w:val="33"/>
        </w:numPr>
        <w:rPr>
          <w:rFonts w:asciiTheme="minorHAnsi" w:hAnsiTheme="minorHAnsi" w:cstheme="minorHAnsi"/>
          <w:szCs w:val="22"/>
        </w:rPr>
      </w:pPr>
      <w:r w:rsidRPr="00517546">
        <w:rPr>
          <w:rFonts w:asciiTheme="minorHAnsi" w:hAnsiTheme="minorHAnsi" w:cstheme="minorHAnsi"/>
          <w:szCs w:val="22"/>
        </w:rPr>
        <w:t xml:space="preserve">Soil pH and texture: Spoils tend to be acidic and require high alkalinity </w:t>
      </w:r>
      <w:r w:rsidR="00517546" w:rsidRPr="00517546">
        <w:rPr>
          <w:rFonts w:asciiTheme="minorHAnsi" w:hAnsiTheme="minorHAnsi" w:cstheme="minorHAnsi"/>
          <w:szCs w:val="22"/>
        </w:rPr>
        <w:t>biochar</w:t>
      </w:r>
      <w:r w:rsidRPr="00517546">
        <w:rPr>
          <w:rFonts w:asciiTheme="minorHAnsi" w:hAnsiTheme="minorHAnsi" w:cstheme="minorHAnsi"/>
          <w:szCs w:val="22"/>
        </w:rPr>
        <w:t xml:space="preserve">. Sandy or loamy textures may also affect amendment retention (Novak </w:t>
      </w:r>
      <w:r w:rsidRPr="00517546">
        <w:rPr>
          <w:rFonts w:asciiTheme="minorHAnsi" w:hAnsiTheme="minorHAnsi" w:cstheme="minorHAnsi"/>
          <w:i/>
          <w:iCs/>
          <w:szCs w:val="22"/>
        </w:rPr>
        <w:t>et al.</w:t>
      </w:r>
      <w:r w:rsidRPr="00517546">
        <w:rPr>
          <w:rFonts w:asciiTheme="minorHAnsi" w:hAnsiTheme="minorHAnsi" w:cstheme="minorHAnsi"/>
          <w:szCs w:val="22"/>
        </w:rPr>
        <w:t>, 2016)</w:t>
      </w:r>
    </w:p>
    <w:p w14:paraId="663E5428" w14:textId="16420970" w:rsidR="001A2D66" w:rsidRPr="00517546" w:rsidRDefault="431C5F03" w:rsidP="005D7F9D">
      <w:pPr>
        <w:pStyle w:val="ListParagraph"/>
        <w:numPr>
          <w:ilvl w:val="0"/>
          <w:numId w:val="33"/>
        </w:numPr>
        <w:rPr>
          <w:rFonts w:asciiTheme="minorHAnsi" w:hAnsiTheme="minorHAnsi" w:cstheme="minorHAnsi"/>
          <w:szCs w:val="22"/>
        </w:rPr>
      </w:pPr>
      <w:r w:rsidRPr="00517546">
        <w:rPr>
          <w:rFonts w:asciiTheme="minorHAnsi" w:hAnsiTheme="minorHAnsi" w:cstheme="minorHAnsi"/>
          <w:szCs w:val="22"/>
        </w:rPr>
        <w:t>Aging and Weathering: Over time, biochar may oxidise or develop surface coatings that alter its reactivity (</w:t>
      </w:r>
      <w:r w:rsidR="00634F42" w:rsidRPr="00517546">
        <w:rPr>
          <w:rFonts w:asciiTheme="minorHAnsi" w:hAnsiTheme="minorHAnsi" w:cstheme="minorHAnsi"/>
          <w:szCs w:val="22"/>
        </w:rPr>
        <w:t xml:space="preserve">Ghaffar </w:t>
      </w:r>
      <w:r w:rsidR="00634F42" w:rsidRPr="00517546">
        <w:rPr>
          <w:rFonts w:asciiTheme="minorHAnsi" w:hAnsiTheme="minorHAnsi" w:cstheme="minorHAnsi"/>
          <w:i/>
          <w:iCs/>
          <w:szCs w:val="22"/>
        </w:rPr>
        <w:t>et al.</w:t>
      </w:r>
      <w:r w:rsidR="00634F42" w:rsidRPr="00517546">
        <w:rPr>
          <w:rFonts w:asciiTheme="minorHAnsi" w:hAnsiTheme="minorHAnsi" w:cstheme="minorHAnsi"/>
          <w:szCs w:val="22"/>
        </w:rPr>
        <w:t>, 2015)</w:t>
      </w:r>
    </w:p>
    <w:p w14:paraId="531F0BA9" w14:textId="785684C9" w:rsidR="001A2D66" w:rsidRPr="00517546" w:rsidRDefault="431C5F03" w:rsidP="00B00E20">
      <w:pPr>
        <w:pStyle w:val="ListParagraph"/>
        <w:numPr>
          <w:ilvl w:val="0"/>
          <w:numId w:val="28"/>
        </w:numPr>
        <w:rPr>
          <w:rFonts w:asciiTheme="minorHAnsi" w:hAnsiTheme="minorHAnsi" w:cstheme="minorHAnsi"/>
          <w:szCs w:val="22"/>
        </w:rPr>
      </w:pPr>
      <w:r w:rsidRPr="00517546">
        <w:rPr>
          <w:rFonts w:asciiTheme="minorHAnsi" w:hAnsiTheme="minorHAnsi" w:cstheme="minorHAnsi"/>
          <w:szCs w:val="22"/>
        </w:rPr>
        <w:t xml:space="preserve">Hydrological Conditions: Moisture levels impact microbial activity and the transport of solubilised </w:t>
      </w:r>
      <w:r w:rsidR="00517546" w:rsidRPr="00517546">
        <w:rPr>
          <w:rFonts w:asciiTheme="minorHAnsi" w:hAnsiTheme="minorHAnsi" w:cstheme="minorHAnsi"/>
          <w:szCs w:val="22"/>
        </w:rPr>
        <w:t>metals (</w:t>
      </w:r>
      <w:r w:rsidR="634EF6FE" w:rsidRPr="00517546">
        <w:rPr>
          <w:rFonts w:asciiTheme="minorHAnsi" w:hAnsiTheme="minorHAnsi" w:cstheme="minorHAnsi"/>
          <w:szCs w:val="22"/>
        </w:rPr>
        <w:t>Liu et al., 2026)</w:t>
      </w:r>
    </w:p>
    <w:p w14:paraId="14A10764" w14:textId="2EA868D3" w:rsidR="00C716E8" w:rsidRPr="00517546" w:rsidRDefault="00511624" w:rsidP="00511624">
      <w:r w:rsidRPr="00517546">
        <w:br/>
      </w:r>
      <w:r w:rsidR="5A6585B0" w:rsidRPr="00517546">
        <w:t xml:space="preserve">Field-scale application also brings practical considerations such as transport logistics, uniform distribution, and interactions with native vegetation. </w:t>
      </w:r>
      <w:r w:rsidR="1ADB9CE9" w:rsidRPr="00517546">
        <w:t xml:space="preserve">Studies range from tightly controlled laboratory trials to more variable field-scale applications, </w:t>
      </w:r>
      <w:r w:rsidR="36CD517D" w:rsidRPr="00517546">
        <w:t xml:space="preserve">but </w:t>
      </w:r>
      <w:r w:rsidR="1ADB9CE9" w:rsidRPr="00517546">
        <w:t>field application and lab tests might give different results because</w:t>
      </w:r>
      <w:r w:rsidR="1ADB9CE9" w:rsidRPr="00517546">
        <w:rPr>
          <w:rStyle w:val="CommentReference"/>
        </w:rPr>
        <w:t xml:space="preserve"> </w:t>
      </w:r>
      <w:r w:rsidR="1ADB9CE9" w:rsidRPr="00517546">
        <w:t>labs do not have all the other variables nature can offer, such as hydrology washing biochar away, or biotic activity, or weathering</w:t>
      </w:r>
      <w:r w:rsidR="25FE7BA4" w:rsidRPr="00517546">
        <w:t xml:space="preserve"> </w:t>
      </w:r>
      <w:r w:rsidR="00717AE8" w:rsidRPr="00517546">
        <w:t xml:space="preserve">(Rombolà </w:t>
      </w:r>
      <w:r w:rsidR="00717AE8" w:rsidRPr="00517546">
        <w:rPr>
          <w:i/>
          <w:iCs/>
        </w:rPr>
        <w:t>et al.</w:t>
      </w:r>
      <w:r w:rsidR="00717AE8" w:rsidRPr="00517546">
        <w:t>, 2015).</w:t>
      </w:r>
      <w:r w:rsidR="5A6585B0" w:rsidRPr="00517546">
        <w:t>The absence of standardised protocols complicates replication and policy development.</w:t>
      </w:r>
    </w:p>
    <w:p w14:paraId="44168C89" w14:textId="208F074C" w:rsidR="00686421" w:rsidRPr="00517546" w:rsidRDefault="41AD8CF0" w:rsidP="70F8A30C">
      <w:pPr>
        <w:rPr>
          <w:rFonts w:eastAsiaTheme="minorEastAsia"/>
        </w:rPr>
      </w:pPr>
      <w:r w:rsidRPr="00517546">
        <w:rPr>
          <w:rFonts w:ascii="Calibri" w:eastAsia="Calibri" w:hAnsi="Calibri" w:cs="Calibri"/>
        </w:rPr>
        <w:t>Although remediation approaches such as biochar amendment have gained increasing attention, the literature is still relatively recent, with most significant studies emerging only within the last few decades. As a result, research on the long-term effectiveness, environmental impacts, and site-specific performance of these remediation strategies remains li</w:t>
      </w:r>
      <w:r w:rsidRPr="00517546">
        <w:rPr>
          <w:rFonts w:eastAsiaTheme="minorEastAsia"/>
        </w:rPr>
        <w:t>mited</w:t>
      </w:r>
      <w:r w:rsidR="01F708CA" w:rsidRPr="00517546">
        <w:rPr>
          <w:rFonts w:eastAsiaTheme="minorEastAsia"/>
        </w:rPr>
        <w:t xml:space="preserve">. </w:t>
      </w:r>
    </w:p>
    <w:p w14:paraId="588A1A38" w14:textId="04D286B1" w:rsidR="00686421" w:rsidRDefault="00446528" w:rsidP="70F8A30C">
      <w:pPr>
        <w:rPr>
          <w:rFonts w:eastAsiaTheme="minorEastAsia"/>
        </w:rPr>
      </w:pPr>
      <w:r w:rsidRPr="00517546">
        <w:t>Recent research continues to affirm biochar’s effectiveness in immobilising heavy metals. For example, vetiver-root biochar has been shown to reduce copper bioavailability in contaminated soils while improving soil quality under controlled conditions (Neve et al., 2025). Similarly, studies of biochar-mediated remediation indicate that moderate biochar amendments can enhance nutrient uptake and reduce metal toxicity in plants</w:t>
      </w:r>
      <w:r w:rsidR="0035209A">
        <w:t xml:space="preserve"> </w:t>
      </w:r>
      <w:r w:rsidRPr="00517546">
        <w:t>(Ghassemi-Golezani et al., 2025)</w:t>
      </w:r>
      <w:r w:rsidR="0035209A">
        <w:t>.</w:t>
      </w:r>
    </w:p>
    <w:p w14:paraId="7A5EB75E" w14:textId="77777777" w:rsidR="00B26A45" w:rsidRPr="00B26A45" w:rsidRDefault="00B26A45" w:rsidP="70F8A30C">
      <w:pPr>
        <w:rPr>
          <w:rFonts w:eastAsiaTheme="minorEastAsia"/>
        </w:rPr>
      </w:pPr>
    </w:p>
    <w:p w14:paraId="728A19CA" w14:textId="2482991E" w:rsidR="00686421" w:rsidRPr="00517546" w:rsidRDefault="096C661F" w:rsidP="00B26A45">
      <w:pPr>
        <w:pStyle w:val="Heading2"/>
      </w:pPr>
      <w:bookmarkStart w:id="10" w:name="_Toc232977671"/>
      <w:r w:rsidRPr="00517546">
        <w:t>Kilvey Hill—Legacy of Copper Smelting and Soil Contamination</w:t>
      </w:r>
      <w:bookmarkEnd w:id="10"/>
    </w:p>
    <w:p w14:paraId="2737EE5E" w14:textId="24C3E12C" w:rsidR="00CE0F50" w:rsidRPr="00517546" w:rsidRDefault="5E35A801" w:rsidP="432F59BF">
      <w:r w:rsidRPr="00517546">
        <w:t>The Lower Swansea Valley, including Kilvey Hill, represents one of the most significant examples of historic industrial contamination in the United Kingdom due to extensive copper smelting and associated waste disposal during the Industrial Revolution</w:t>
      </w:r>
      <w:r w:rsidR="050C3A46" w:rsidRPr="00517546">
        <w:t xml:space="preserve"> </w:t>
      </w:r>
      <w:r w:rsidR="00717AE8" w:rsidRPr="00517546">
        <w:t>(Hughes, 2008)</w:t>
      </w:r>
      <w:r w:rsidRPr="00517546">
        <w:t>. Large quantities of slag, ash and metalliferous waste were deposited across the valley, with an estimated seven million tonnes of industrial waste remaining in the wider Lower Swansea Valley by the 1960s</w:t>
      </w:r>
      <w:r w:rsidR="65ED730B" w:rsidRPr="00517546">
        <w:t xml:space="preserve"> (Riley et al., </w:t>
      </w:r>
      <w:r w:rsidR="65ED730B" w:rsidRPr="00517546">
        <w:lastRenderedPageBreak/>
        <w:t>2020</w:t>
      </w:r>
      <w:r w:rsidR="00517546" w:rsidRPr="00517546">
        <w:t>).</w:t>
      </w:r>
      <w:r w:rsidRPr="00517546">
        <w:t xml:space="preserve"> Kilvey Hill became heavily degraded </w:t>
      </w:r>
      <w:r w:rsidR="0035209A">
        <w:t>by the accumulation of copper mine spoil and smelting waste, resulting in acidic, nutrient-poor soils with elevated heavy-metal concentrations</w:t>
      </w:r>
      <w:r w:rsidRPr="00517546">
        <w:t xml:space="preserve"> that restricted vegetation growth and contributed to long-term environmental degradation. Concern surrounding these impacts led to the establishment of the Lower Swansea Valley Project during the 1960s</w:t>
      </w:r>
      <w:r w:rsidR="56A54D31" w:rsidRPr="00517546">
        <w:t xml:space="preserve"> (</w:t>
      </w:r>
      <w:r w:rsidR="00CE0F50" w:rsidRPr="00517546">
        <w:t>Hilton</w:t>
      </w:r>
      <w:r w:rsidR="56A54D31" w:rsidRPr="00517546">
        <w:t>, 196</w:t>
      </w:r>
      <w:r w:rsidR="00CE0F50" w:rsidRPr="00517546">
        <w:t>8</w:t>
      </w:r>
      <w:r w:rsidR="56A54D31" w:rsidRPr="00517546">
        <w:t>)</w:t>
      </w:r>
      <w:r w:rsidRPr="00517546">
        <w:t>, one of Britain’s earliest large-scale post-industrial reclamation schemes. The project assessed contamination through soil sampling, vegetation surveys, hydrological analysis and geomorphological mapping, while also investigating methods of land reclamation and ecological recovery. Later studies examined the effectiveness of redevelopment and reclamation efforts throughout the 1970s and 1980s</w:t>
      </w:r>
      <w:r w:rsidR="26D53638" w:rsidRPr="00517546">
        <w:t xml:space="preserve"> (Rosemary and Humphrys, 1979)</w:t>
      </w:r>
      <w:r w:rsidRPr="00517546">
        <w:t>. These studies demonstrated that although regeneration improved vegetation cover and landscape stability, heavy metal contamination persisted within soils and spoil deposits.</w:t>
      </w:r>
      <w:r w:rsidR="00CE0F50" w:rsidRPr="00517546">
        <w:t xml:space="preserve"> </w:t>
      </w:r>
    </w:p>
    <w:p w14:paraId="370C3E30" w14:textId="197DECB1" w:rsidR="00686421" w:rsidRPr="00517546" w:rsidRDefault="00CE0F50" w:rsidP="432F59BF">
      <w:r w:rsidRPr="00517546">
        <w:t xml:space="preserve">The wider Lower Swansea Valley demonstrates the continued persistence of contamination associated with historic copper smelting. Thornton and Walsh (2001) identified ongoing heavy metal pollution within valley water systems despite extensive reclamation and redevelopment, indicating the long-term mobility of contaminants throughout the post-industrial landscape. Similarly, more recent soil studies have reported elevated concentrations of Cu, Ni, Zn and Pb within Lower Swansea Valley soils, with several metals remaining highly bioavailable </w:t>
      </w:r>
      <w:r w:rsidR="00517546" w:rsidRPr="00517546">
        <w:t>because of</w:t>
      </w:r>
      <w:r w:rsidRPr="00517546">
        <w:t xml:space="preserve"> historic metallurgical activity (Schilling et al., 2021).</w:t>
      </w:r>
    </w:p>
    <w:p w14:paraId="35F308E8" w14:textId="3BABFD07" w:rsidR="00686421" w:rsidRPr="00517546" w:rsidRDefault="00686421" w:rsidP="00686421"/>
    <w:p w14:paraId="47A96C32" w14:textId="7582EA9B" w:rsidR="00686421" w:rsidRPr="00517546" w:rsidRDefault="6D57E4FE" w:rsidP="001F426E">
      <w:pPr>
        <w:pStyle w:val="Heading2"/>
        <w:rPr>
          <w:rStyle w:val="Heading2Char"/>
        </w:rPr>
      </w:pPr>
      <w:bookmarkStart w:id="11" w:name="_Toc232977672"/>
      <w:r w:rsidRPr="00517546">
        <w:rPr>
          <w:rStyle w:val="Heading2Char"/>
        </w:rPr>
        <w:t xml:space="preserve">Conclusion and Implications for </w:t>
      </w:r>
      <w:r w:rsidR="7DC31B56" w:rsidRPr="00517546">
        <w:rPr>
          <w:rStyle w:val="Heading2Char"/>
        </w:rPr>
        <w:t>Kilvey hill</w:t>
      </w:r>
      <w:r w:rsidRPr="00517546">
        <w:rPr>
          <w:rStyle w:val="Heading2Char"/>
        </w:rPr>
        <w:t xml:space="preserve"> Restoration</w:t>
      </w:r>
      <w:bookmarkEnd w:id="11"/>
    </w:p>
    <w:p w14:paraId="49A891AE" w14:textId="76FEE8A6" w:rsidR="00686421" w:rsidRPr="00517546" w:rsidRDefault="00686421" w:rsidP="00686421">
      <w:r w:rsidRPr="00517546">
        <w:t>In summary, biochar represents a promising, multi-functional tool for remediating heavy metal-contaminated copper mine spoil and legacy smelting sites such as Kilvey Hill. Its ability to immobilise metals, adjust soil pH, and improve soil biological activity positions it as a sustainable alternative to conventional remediation techniques. However, to fully realise this potential, more comprehensive field studies, standardised methodologies, and integrated restoration plans are essential.</w:t>
      </w:r>
      <w:r w:rsidRPr="00517546">
        <w:br/>
        <w:t>Future research should prioritise site-specific biochar formulations, long-term monitoring of metal bioavailability, and socio-economic evaluations. By addressing these challenges, biochar could become a cornerstone of sustainable mine site restoration, contributing to healthier ecosystems and communities affected by industrial legacies</w:t>
      </w:r>
      <w:r w:rsidR="00E22060" w:rsidRPr="00517546">
        <w:t xml:space="preserve"> th</w:t>
      </w:r>
      <w:r w:rsidR="003A306C" w:rsidRPr="00517546">
        <w:t xml:space="preserve">is represents a suitable potential solution </w:t>
      </w:r>
      <w:r w:rsidR="00E22060" w:rsidRPr="00517546">
        <w:t>for this study.</w:t>
      </w:r>
    </w:p>
    <w:p w14:paraId="0D5CCBDA" w14:textId="77777777" w:rsidR="00686421" w:rsidRPr="00517546" w:rsidRDefault="00686421" w:rsidP="003E7B9E"/>
    <w:p w14:paraId="6511F58A" w14:textId="77777777" w:rsidR="00DD419A" w:rsidRPr="00517546" w:rsidRDefault="00DD419A" w:rsidP="70F8A30C">
      <w:pPr>
        <w:rPr>
          <w:rFonts w:asciiTheme="majorHAnsi" w:eastAsiaTheme="majorEastAsia" w:hAnsiTheme="majorHAnsi" w:cstheme="majorBidi"/>
          <w:color w:val="B3186D" w:themeColor="accent1" w:themeShade="BF"/>
          <w:sz w:val="32"/>
          <w:szCs w:val="32"/>
        </w:rPr>
      </w:pPr>
      <w:r w:rsidRPr="00517546">
        <w:br w:type="page"/>
      </w:r>
    </w:p>
    <w:p w14:paraId="1F1C2193" w14:textId="6B00FB0C" w:rsidR="00157168" w:rsidRPr="00517546" w:rsidRDefault="0F88DA1D" w:rsidP="0066298F">
      <w:pPr>
        <w:pStyle w:val="Heading1"/>
      </w:pPr>
      <w:bookmarkStart w:id="12" w:name="_Toc232977673"/>
      <w:r w:rsidRPr="00517546">
        <w:lastRenderedPageBreak/>
        <w:t>Methodology</w:t>
      </w:r>
      <w:bookmarkEnd w:id="12"/>
    </w:p>
    <w:p w14:paraId="4EDBC8F1" w14:textId="29BCD4CB" w:rsidR="00157168" w:rsidRPr="00517546" w:rsidRDefault="5C89E84E" w:rsidP="70F8A30C">
      <w:pPr>
        <w:pStyle w:val="Heading2"/>
      </w:pPr>
      <w:bookmarkStart w:id="13" w:name="_Toc232977674"/>
      <w:r w:rsidRPr="00517546">
        <w:t>O</w:t>
      </w:r>
      <w:r w:rsidR="7C6F532C" w:rsidRPr="00517546">
        <w:t>verview</w:t>
      </w:r>
      <w:bookmarkEnd w:id="13"/>
    </w:p>
    <w:p w14:paraId="79F7378E" w14:textId="0953C859" w:rsidR="00FC5D96" w:rsidRPr="00517546" w:rsidRDefault="00B26A45" w:rsidP="00FC5D96">
      <w:pPr>
        <w:spacing w:line="278" w:lineRule="auto"/>
        <w:contextualSpacing/>
      </w:pPr>
      <w:r>
        <w:t>The r</w:t>
      </w:r>
      <w:r w:rsidR="00FC5D96" w:rsidRPr="00517546">
        <w:t xml:space="preserve">esearch questions </w:t>
      </w:r>
      <w:r>
        <w:t>for this study are:</w:t>
      </w:r>
    </w:p>
    <w:p w14:paraId="089FF8AF" w14:textId="77777777" w:rsidR="00FC5D96" w:rsidRPr="00517546" w:rsidRDefault="04DADEA1" w:rsidP="00FC5D96">
      <w:pPr>
        <w:pStyle w:val="ListParagraph"/>
        <w:numPr>
          <w:ilvl w:val="0"/>
          <w:numId w:val="31"/>
        </w:numPr>
        <w:spacing w:line="278" w:lineRule="auto"/>
        <w:contextualSpacing/>
      </w:pPr>
      <w:r w:rsidRPr="00517546">
        <w:t>Will biochar remediate copper from Kilvey soils?</w:t>
      </w:r>
    </w:p>
    <w:p w14:paraId="1B511BCF" w14:textId="77777777" w:rsidR="00FC5D96" w:rsidRPr="00517546" w:rsidRDefault="04DADEA1" w:rsidP="00FC5D96">
      <w:pPr>
        <w:pStyle w:val="ListParagraph"/>
        <w:numPr>
          <w:ilvl w:val="0"/>
          <w:numId w:val="31"/>
        </w:numPr>
        <w:spacing w:line="278" w:lineRule="auto"/>
        <w:contextualSpacing/>
      </w:pPr>
      <w:r w:rsidRPr="00517546">
        <w:t>Will habitat-type affect the remediation rate of the biocha</w:t>
      </w:r>
      <w:r w:rsidR="00FC5D96" w:rsidRPr="00517546">
        <w:t>r?</w:t>
      </w:r>
    </w:p>
    <w:p w14:paraId="3E507270" w14:textId="5398786F" w:rsidR="00513D80" w:rsidRPr="00517546" w:rsidRDefault="04DADEA1" w:rsidP="00FC5D96">
      <w:pPr>
        <w:pStyle w:val="ListParagraph"/>
        <w:numPr>
          <w:ilvl w:val="0"/>
          <w:numId w:val="31"/>
        </w:numPr>
        <w:spacing w:line="278" w:lineRule="auto"/>
        <w:contextualSpacing/>
      </w:pPr>
      <w:r w:rsidRPr="00517546">
        <w:t>Will biochar affect the pH of the soils?</w:t>
      </w:r>
    </w:p>
    <w:p w14:paraId="07364DBA" w14:textId="738A078A" w:rsidR="00204482" w:rsidRDefault="00B02D04" w:rsidP="00B02D04">
      <w:pPr>
        <w:rPr>
          <w:lang w:eastAsia="en-GB"/>
        </w:rPr>
      </w:pPr>
      <w:r w:rsidRPr="00517546">
        <w:rPr>
          <w:lang w:eastAsia="en-GB"/>
        </w:rPr>
        <w:t>Sites were selected across Kilvey Hill to represent four distinct habitat types present within the contaminated landscape: heathland, woodland, mixed</w:t>
      </w:r>
      <w:r w:rsidR="00493D03">
        <w:rPr>
          <w:lang w:eastAsia="en-GB"/>
        </w:rPr>
        <w:t xml:space="preserve"> (scrub)</w:t>
      </w:r>
      <w:r w:rsidRPr="00517546">
        <w:rPr>
          <w:lang w:eastAsia="en-GB"/>
        </w:rPr>
        <w:t>, and forest edge. These habitats were chosen to account for environmental variation in vegetation cover, soil structure, moisture retention, and organic matter, all of which may influence heavy metal mobility and remediation effectiveness. Within each habitat type, paired control and treatment plots were established in close proximity under similar slope and aspect conditions to minimise environmental variability. Control plots were positioned upslope from the treatment plots to reduce the risk of biochar runoff or downslope movement influencing untreated soils during rainfall events. This arrangement helped ensure that any observed changes in copper concentrations or soil pH were more likely to reflect the effects of the biochar treatment rather than contamination transfer between plots.</w:t>
      </w:r>
    </w:p>
    <w:p w14:paraId="3C389236" w14:textId="0A0FCC6B" w:rsidR="00513D80" w:rsidRPr="00493D03" w:rsidRDefault="0035209A" w:rsidP="00493D03">
      <w:pPr>
        <w:rPr>
          <w:lang w:eastAsia="en-GB"/>
        </w:rPr>
      </w:pPr>
      <w:r>
        <w:rPr>
          <w:lang w:eastAsia="en-GB"/>
        </w:rPr>
        <w:t>The biochar was applied on the test sites on the 13</w:t>
      </w:r>
      <w:r w:rsidRPr="0035209A">
        <w:rPr>
          <w:vertAlign w:val="superscript"/>
          <w:lang w:eastAsia="en-GB"/>
        </w:rPr>
        <w:t>th</w:t>
      </w:r>
      <w:r>
        <w:rPr>
          <w:lang w:eastAsia="en-GB"/>
        </w:rPr>
        <w:t xml:space="preserve"> August</w:t>
      </w:r>
      <w:r w:rsidR="00BF7C7E">
        <w:rPr>
          <w:lang w:eastAsia="en-GB"/>
        </w:rPr>
        <w:t>, the 1</w:t>
      </w:r>
      <w:r w:rsidR="00BF7C7E" w:rsidRPr="00BF7C7E">
        <w:rPr>
          <w:vertAlign w:val="superscript"/>
          <w:lang w:eastAsia="en-GB"/>
        </w:rPr>
        <w:t>st</w:t>
      </w:r>
      <w:r w:rsidR="00BF7C7E">
        <w:rPr>
          <w:lang w:eastAsia="en-GB"/>
        </w:rPr>
        <w:t xml:space="preserve"> data collection followed on the 25</w:t>
      </w:r>
      <w:r w:rsidR="00BF7C7E" w:rsidRPr="00BF7C7E">
        <w:rPr>
          <w:vertAlign w:val="superscript"/>
          <w:lang w:eastAsia="en-GB"/>
        </w:rPr>
        <w:t>th</w:t>
      </w:r>
      <w:r w:rsidR="00BF7C7E">
        <w:rPr>
          <w:lang w:eastAsia="en-GB"/>
        </w:rPr>
        <w:t xml:space="preserve"> January with the last collection being on the 17</w:t>
      </w:r>
      <w:r w:rsidR="00BF7C7E" w:rsidRPr="00BF7C7E">
        <w:rPr>
          <w:vertAlign w:val="superscript"/>
          <w:lang w:eastAsia="en-GB"/>
        </w:rPr>
        <w:t>th</w:t>
      </w:r>
      <w:r w:rsidR="00BF7C7E">
        <w:rPr>
          <w:lang w:eastAsia="en-GB"/>
        </w:rPr>
        <w:t xml:space="preserve"> April.</w:t>
      </w:r>
    </w:p>
    <w:p w14:paraId="3D09CA04" w14:textId="77636A3E" w:rsidR="00DF2BCB" w:rsidRDefault="1F2BA942" w:rsidP="00D852B3">
      <w:r w:rsidRPr="00517546">
        <w:t>A total of eight paired plots (one control and one experimental) were established across four habitat types: heathland, mixed forest, scrub, and forest edge. Plots were paired to control for variables such as slope aspect and other environmental factors</w:t>
      </w:r>
      <w:r w:rsidR="00DB3FF1">
        <w:t>(see figure 3.4.1)</w:t>
      </w:r>
      <w:r w:rsidRPr="00517546">
        <w:t xml:space="preserve"> (Smith et al., 2021).</w:t>
      </w:r>
      <w:r w:rsidR="00DA0394">
        <w:t xml:space="preserve"> </w:t>
      </w:r>
    </w:p>
    <w:p w14:paraId="54FD2F74" w14:textId="77777777" w:rsidR="003D13D5" w:rsidRPr="00D852B3" w:rsidRDefault="003D13D5" w:rsidP="00D852B3"/>
    <w:p w14:paraId="1E4D9220" w14:textId="77777777" w:rsidR="00311092" w:rsidRDefault="00D852B3" w:rsidP="00311092">
      <w:r>
        <w:rPr>
          <w:noProof/>
        </w:rPr>
        <w:drawing>
          <wp:inline distT="0" distB="0" distL="0" distR="0" wp14:anchorId="01401B61" wp14:editId="07D39DD4">
            <wp:extent cx="5399509" cy="3816626"/>
            <wp:effectExtent l="0" t="0" r="0" b="0"/>
            <wp:docPr id="84195974" name="Picture 2" descr="The diagram illustrates a map of Kilvey Hill with various sample plots, including control and test areas for PH points, and indicates distances in me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5974" name="Picture 2" descr="The diagram illustrates a map of Kilvey Hill with various sample plots, including control and test areas for PH points, and indicates distances in meters.&#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04358" cy="3820053"/>
                    </a:xfrm>
                    <a:prstGeom prst="rect">
                      <a:avLst/>
                    </a:prstGeom>
                    <a:noFill/>
                    <a:ln>
                      <a:noFill/>
                    </a:ln>
                  </pic:spPr>
                </pic:pic>
              </a:graphicData>
            </a:graphic>
          </wp:inline>
        </w:drawing>
      </w:r>
    </w:p>
    <w:p w14:paraId="59F23AD9" w14:textId="518546B9" w:rsidR="0035209A" w:rsidRPr="00311092" w:rsidRDefault="00311092" w:rsidP="00311092">
      <w:pPr>
        <w:pStyle w:val="Caption"/>
        <w:rPr>
          <w:highlight w:val="green"/>
        </w:rPr>
      </w:pPr>
      <w:bookmarkStart w:id="14" w:name="_Toc232977742"/>
      <w:r>
        <w:t>Fig 3.4.1</w:t>
      </w:r>
      <w:r w:rsidR="00D852B3" w:rsidRPr="00D852B3">
        <w:t>:</w:t>
      </w:r>
      <w:r>
        <w:t xml:space="preserve"> A</w:t>
      </w:r>
      <w:r w:rsidR="00D852B3" w:rsidRPr="00D852B3">
        <w:t xml:space="preserve"> map showing sample plot</w:t>
      </w:r>
      <w:r w:rsidR="00D852B3">
        <w:t>s</w:t>
      </w:r>
      <w:bookmarkEnd w:id="14"/>
    </w:p>
    <w:p w14:paraId="52353FB8" w14:textId="71781396" w:rsidR="006507FB" w:rsidRPr="00517546" w:rsidRDefault="00B02D04" w:rsidP="006507FB">
      <w:r w:rsidRPr="00517546">
        <w:lastRenderedPageBreak/>
        <w:t>Biochar was sourced locally from the Blackhills Community Supported Agriculture (CSA) site and produced from woody biomass generated through scrub clearance activities, primarily willow (</w:t>
      </w:r>
      <w:r w:rsidRPr="00517546">
        <w:rPr>
          <w:i/>
          <w:iCs/>
        </w:rPr>
        <w:t>Salix</w:t>
      </w:r>
      <w:r w:rsidRPr="00517546">
        <w:t xml:space="preserve"> spp.) and hazel (</w:t>
      </w:r>
      <w:r w:rsidRPr="00517546">
        <w:rPr>
          <w:i/>
          <w:iCs/>
        </w:rPr>
        <w:t>Corylus avellana</w:t>
      </w:r>
      <w:r w:rsidRPr="00517546">
        <w:t>). The use of locally derived feedstock supported the sustainability of the remediation approach by recycling organic waste material into a soil amendment suitable for environmental restoration.</w:t>
      </w:r>
    </w:p>
    <w:p w14:paraId="32A8E577" w14:textId="77777777" w:rsidR="006507FB" w:rsidRPr="00517546" w:rsidRDefault="006507FB" w:rsidP="006507FB"/>
    <w:p w14:paraId="22B8E1E4" w14:textId="526FF528" w:rsidR="006507FB" w:rsidRPr="00517546" w:rsidRDefault="7C6F532C" w:rsidP="006507FB">
      <w:pPr>
        <w:pStyle w:val="Heading2"/>
      </w:pPr>
      <w:bookmarkStart w:id="15" w:name="_Toc232977675"/>
      <w:r w:rsidRPr="00517546">
        <w:t>Protocol</w:t>
      </w:r>
      <w:bookmarkEnd w:id="15"/>
    </w:p>
    <w:p w14:paraId="3896F243" w14:textId="2D9365FD" w:rsidR="00A25146" w:rsidRPr="00517546" w:rsidRDefault="40575F62" w:rsidP="00A25146">
      <w:r w:rsidRPr="00517546">
        <w:t xml:space="preserve">Composite soil samples were collected from each plot in August 2025 to establish initial baselines and commence treatments. Approximately 100 g of soil, with vegetation removed, were collected from the top 0–15 cm, which reflects the rooting zone of many plants and the most biologically active soil layer </w:t>
      </w:r>
      <w:r w:rsidR="00717AE8" w:rsidRPr="00517546">
        <w:t xml:space="preserve">(Philipp </w:t>
      </w:r>
      <w:r w:rsidR="00717AE8" w:rsidRPr="00517546">
        <w:rPr>
          <w:i/>
          <w:iCs/>
        </w:rPr>
        <w:t>et al.</w:t>
      </w:r>
      <w:r w:rsidR="00717AE8" w:rsidRPr="00517546">
        <w:t>, 2025)</w:t>
      </w:r>
      <w:r w:rsidRPr="00517546">
        <w:t>. The samples were dried in an oven for 24 hours, sieved, and mixed with reagents for analysis. Copper (Cu) concentrations were measured using a colour spectrometer (Thomas, 1996). This was measured in Mg/L CU based on colorimetric methodology and Beers and Lamberts law (Hardesty and Attili, 2010) which measures the absorbance of u/s transmittance.</w:t>
      </w:r>
    </w:p>
    <w:p w14:paraId="4709DB8E" w14:textId="1D3A2942" w:rsidR="00DE7C60" w:rsidRPr="00517546" w:rsidRDefault="61EB8CE0" w:rsidP="00DE7C60">
      <w:r w:rsidRPr="00517546">
        <w:t xml:space="preserve">Biochar was applied following the method described by </w:t>
      </w:r>
      <w:r w:rsidR="000F1664" w:rsidRPr="00517546">
        <w:t>Berglund, Deluca and Zackrisson,</w:t>
      </w:r>
      <w:r w:rsidRPr="00517546">
        <w:t xml:space="preserve"> (2004). Biochar </w:t>
      </w:r>
      <w:r w:rsidR="329C2ADD" w:rsidRPr="00517546">
        <w:t>was</w:t>
      </w:r>
      <w:r w:rsidRPr="00517546">
        <w:t xml:space="preserve"> mixed with distilled water and injected into the soil at a depth of 0–10 cm within 2 × 2 m plots. Each plot receive</w:t>
      </w:r>
      <w:r w:rsidR="329C2ADD" w:rsidRPr="00517546">
        <w:t>d</w:t>
      </w:r>
      <w:r w:rsidRPr="00517546">
        <w:t xml:space="preserve"> 800 g of biochar, with quantities scaled proportionally for application to 2 m × 2 m plots </w:t>
      </w:r>
      <w:r w:rsidR="000F1664" w:rsidRPr="00517546">
        <w:t>(Berglund, Deluca and Zackrisson, 2004</w:t>
      </w:r>
      <w:r w:rsidRPr="00517546">
        <w:t>; Hardie et al., 201</w:t>
      </w:r>
      <w:r w:rsidR="000F1664" w:rsidRPr="00517546">
        <w:t>3</w:t>
      </w:r>
      <w:r w:rsidRPr="00517546">
        <w:t xml:space="preserve">). </w:t>
      </w:r>
    </w:p>
    <w:p w14:paraId="261C7A30" w14:textId="3CE8C9E0" w:rsidR="00B16B45" w:rsidRPr="00517546" w:rsidRDefault="4BBE4E6F" w:rsidP="00B16B45">
      <w:pPr>
        <w:rPr>
          <w:color w:val="EE0000"/>
        </w:rPr>
      </w:pPr>
      <w:r w:rsidRPr="00517546">
        <w:t xml:space="preserve">Follow-up soil sampling was conducted at 4 and 8 months post-treatment to evaluate changes in copper concentrations, assessing the effectiveness of the biochar amendments (Beesley et al., 2011). </w:t>
      </w:r>
    </w:p>
    <w:p w14:paraId="2B492B4A" w14:textId="25B12059" w:rsidR="6432B922" w:rsidRPr="00517546" w:rsidRDefault="6432B922" w:rsidP="70F8A30C"/>
    <w:p w14:paraId="2DB68740" w14:textId="2564836E" w:rsidR="002D5FD9" w:rsidRDefault="538BC164" w:rsidP="4E322AAD">
      <w:pPr>
        <w:pStyle w:val="Heading2"/>
      </w:pPr>
      <w:bookmarkStart w:id="16" w:name="_Toc232977676"/>
      <w:r w:rsidRPr="00517546">
        <w:t>Justification</w:t>
      </w:r>
      <w:bookmarkEnd w:id="16"/>
      <w:r w:rsidRPr="00517546">
        <w:t xml:space="preserve"> </w:t>
      </w:r>
    </w:p>
    <w:p w14:paraId="783D7A83" w14:textId="4B042F48" w:rsidR="00A327AF" w:rsidRDefault="005D7F9D" w:rsidP="70F8A30C">
      <w:r w:rsidRPr="00517546">
        <w:t>The experimental design drew on previous field studies on biochar remediation in contaminated soils</w:t>
      </w:r>
      <w:r w:rsidR="00D50419">
        <w:t>, this particular study</w:t>
      </w:r>
      <w:r w:rsidR="007E3960" w:rsidRPr="00517546">
        <w:t>(Berglund, DeLuca and Zackrisson, 2004</w:t>
      </w:r>
      <w:r w:rsidR="007E3960">
        <w:t>)</w:t>
      </w:r>
      <w:r w:rsidR="00D50419">
        <w:t xml:space="preserve"> used a biochar slurry to apply the biochar to soils</w:t>
      </w:r>
      <w:r w:rsidR="00A35280">
        <w:t>. This was as the application methods used were in situ and matched the environmental conditions of Kilvey Hill</w:t>
      </w:r>
      <w:r w:rsidRPr="00517546">
        <w:t>.</w:t>
      </w:r>
      <w:r w:rsidR="00A35280">
        <w:t xml:space="preserve"> </w:t>
      </w:r>
      <w:r w:rsidRPr="00517546">
        <w:t xml:space="preserve">Factors </w:t>
      </w:r>
      <w:r w:rsidR="00A35280">
        <w:t xml:space="preserve">such as </w:t>
      </w:r>
      <w:r w:rsidRPr="00517546">
        <w:t>vegetation cover, soil moisture, slope, drainage, and uneven contaminant distribution affect copper mobility and the success of remediation in post-industrial mine spoil areas</w:t>
      </w:r>
      <w:r w:rsidR="00A35280" w:rsidRPr="00A35280">
        <w:rPr>
          <w:rFonts w:ascii="Times New Roman" w:eastAsia="Times New Roman" w:hAnsi="Times New Roman" w:cs="Times New Roman"/>
          <w:sz w:val="24"/>
          <w:szCs w:val="24"/>
          <w:lang w:eastAsia="en-GB"/>
        </w:rPr>
        <w:t xml:space="preserve"> </w:t>
      </w:r>
      <w:r w:rsidR="00A35280" w:rsidRPr="00A35280">
        <w:t>(Agriculture Institute, 2025)</w:t>
      </w:r>
      <w:r w:rsidRPr="00517546">
        <w:t>.</w:t>
      </w:r>
      <w:r w:rsidR="007E3960">
        <w:t xml:space="preserve"> </w:t>
      </w:r>
      <w:r w:rsidR="00A327AF">
        <w:t>As discussed in section 2, there is more literature on the effect of biochar from laboratory studies than field studies</w:t>
      </w:r>
    </w:p>
    <w:p w14:paraId="418D9958" w14:textId="131D88D5" w:rsidR="00A35280" w:rsidRDefault="003D19C4" w:rsidP="70F8A30C">
      <w:r w:rsidRPr="003D19C4">
        <w:t>Lab</w:t>
      </w:r>
      <w:r>
        <w:t xml:space="preserve">-based studies are used </w:t>
      </w:r>
      <w:r w:rsidRPr="003D19C4">
        <w:t xml:space="preserve">to stop other factors </w:t>
      </w:r>
      <w:r>
        <w:t xml:space="preserve">such as rain, human disturbance, weathering and erosion </w:t>
      </w:r>
      <w:r w:rsidRPr="003D19C4">
        <w:t xml:space="preserve">affecting the results, so </w:t>
      </w:r>
      <w:r>
        <w:t>it</w:t>
      </w:r>
      <w:r w:rsidRPr="003D19C4">
        <w:t xml:space="preserve"> can prove the results are down to </w:t>
      </w:r>
      <w:r>
        <w:t xml:space="preserve">the </w:t>
      </w:r>
      <w:r w:rsidRPr="003D19C4">
        <w:t>study and not t</w:t>
      </w:r>
      <w:r>
        <w:t xml:space="preserve">he </w:t>
      </w:r>
      <w:r w:rsidRPr="003D19C4">
        <w:t>other factors</w:t>
      </w:r>
      <w:r w:rsidR="007E3960" w:rsidRPr="007E3960">
        <w:t>(Science Insights, 2026)</w:t>
      </w:r>
      <w:r w:rsidR="007E3960">
        <w:t>.</w:t>
      </w:r>
      <w:r>
        <w:t xml:space="preserve"> </w:t>
      </w:r>
      <w:r w:rsidR="007E3960">
        <w:t>T</w:t>
      </w:r>
      <w:r>
        <w:t>his isn’t great for being applied to practical application</w:t>
      </w:r>
      <w:r w:rsidR="007E3960">
        <w:t>. This is best done</w:t>
      </w:r>
      <w:r w:rsidR="007E3960" w:rsidRPr="003D19C4">
        <w:t xml:space="preserve"> in situ to see if it still performs that function when those variables are in play</w:t>
      </w:r>
      <w:r w:rsidR="007E3960">
        <w:t xml:space="preserve"> as they can have powerful effects on the biological phenomenon being studied</w:t>
      </w:r>
      <w:r w:rsidR="007E3960" w:rsidRPr="007E3960">
        <w:rPr>
          <w:rFonts w:ascii="Times New Roman" w:eastAsia="Times New Roman" w:hAnsi="Times New Roman" w:cs="Times New Roman"/>
          <w:sz w:val="24"/>
          <w:szCs w:val="24"/>
          <w:lang w:eastAsia="en-GB"/>
        </w:rPr>
        <w:t xml:space="preserve"> </w:t>
      </w:r>
      <w:r w:rsidR="007E3960" w:rsidRPr="007E3960">
        <w:t>(Jones, Reynolds and Raffaelli, 2006)</w:t>
      </w:r>
      <w:r w:rsidR="007E3960">
        <w:t>.</w:t>
      </w:r>
    </w:p>
    <w:p w14:paraId="6842C795" w14:textId="7BD5112F" w:rsidR="00C421AE" w:rsidRDefault="00323C9A" w:rsidP="00A327AF">
      <w:r w:rsidRPr="00517546">
        <w:t xml:space="preserve">Berglund, DeLuca and Zackrisson, </w:t>
      </w:r>
      <w:r>
        <w:t>(</w:t>
      </w:r>
      <w:r w:rsidRPr="00517546">
        <w:t>2004</w:t>
      </w:r>
      <w:r w:rsidR="003B1BD0">
        <w:t>), looked at three sites that all had the same vegetation type of Scots Pine (</w:t>
      </w:r>
      <w:r w:rsidR="003B1BD0">
        <w:rPr>
          <w:i/>
          <w:iCs/>
        </w:rPr>
        <w:t>Pinus sylvestris</w:t>
      </w:r>
      <w:r w:rsidR="003B1BD0">
        <w:t>) forest. However, this means they did not explore the effects of different habitat types. This study wanted to explore this variable, meaning that the study sites chosen for this was more diverse. Both of these studies used composite sampling, this is due to minespoil being heterogeneous and having shallow soil depth. Composite sampling is more reliable than individual cores, as</w:t>
      </w:r>
      <w:r w:rsidR="00A327AF">
        <w:t xml:space="preserve"> there can be different copper concentrations across the 2m x 2m plots </w:t>
      </w:r>
      <w:r w:rsidR="003B1BD0">
        <w:lastRenderedPageBreak/>
        <w:t>(</w:t>
      </w:r>
      <w:r w:rsidR="00C421AE" w:rsidRPr="00C421AE">
        <w:t xml:space="preserve">Cichoń </w:t>
      </w:r>
      <w:r w:rsidR="00C421AE" w:rsidRPr="00C421AE">
        <w:rPr>
          <w:i/>
          <w:iCs/>
        </w:rPr>
        <w:t>et al.</w:t>
      </w:r>
      <w:r w:rsidR="00C421AE" w:rsidRPr="00C421AE">
        <w:t>, 2026)</w:t>
      </w:r>
      <w:r w:rsidR="00A327AF">
        <w:t>. They had more time available to complete the study, so they applied two sets of biochar slurry. However, this study only applied biochar once due to time constraints.</w:t>
      </w:r>
    </w:p>
    <w:p w14:paraId="71E2CCC4" w14:textId="5A15AAEB" w:rsidR="00C421AE" w:rsidRPr="00674129" w:rsidRDefault="00A327AF" w:rsidP="70F8A30C">
      <w:pPr>
        <w:rPr>
          <w:rFonts w:ascii="Times New Roman" w:eastAsia="Times New Roman" w:hAnsi="Times New Roman" w:cs="Times New Roman"/>
          <w:sz w:val="24"/>
          <w:szCs w:val="24"/>
          <w:lang w:eastAsia="en-GB"/>
        </w:rPr>
      </w:pPr>
      <w:r>
        <w:t xml:space="preserve">Within each habitat type, the control and test plots </w:t>
      </w:r>
      <w:r w:rsidR="00C40A6A">
        <w:t xml:space="preserve">are located in a close proximity as to have a similar set of site characteristics and to reduce variables, such as </w:t>
      </w:r>
      <w:r>
        <w:t>habitat type,</w:t>
      </w:r>
      <w:r w:rsidR="00C40A6A">
        <w:t xml:space="preserve"> </w:t>
      </w:r>
      <w:r>
        <w:t>hydrology, slope aspect</w:t>
      </w:r>
      <w:r w:rsidR="00C40A6A">
        <w:t xml:space="preserve">. Furthermore, the control plots were positioned higher than the test sites </w:t>
      </w:r>
      <w:r>
        <w:t xml:space="preserve">so surface run off </w:t>
      </w:r>
      <w:r w:rsidR="00C40A6A">
        <w:t>can’t</w:t>
      </w:r>
      <w:r>
        <w:t xml:space="preserve"> contaminate control plots with biochar</w:t>
      </w:r>
      <w:r w:rsidR="00C40A6A">
        <w:t xml:space="preserve">. The study took place </w:t>
      </w:r>
      <w:r w:rsidR="00C40A6A" w:rsidRPr="00150785">
        <w:t xml:space="preserve">over eight months due to time constraints. However, a lot of literature </w:t>
      </w:r>
      <w:r w:rsidR="00150785" w:rsidRPr="00150785">
        <w:t>only start measuring after a year (Wang et al., 2021)</w:t>
      </w:r>
      <w:r w:rsidR="00150785">
        <w:t xml:space="preserve">. </w:t>
      </w:r>
      <w:r w:rsidR="00150785" w:rsidRPr="00150785">
        <w:t>However, it can be effective after</w:t>
      </w:r>
      <w:r w:rsidR="00674129">
        <w:t xml:space="preserve"> as little as</w:t>
      </w:r>
      <w:r w:rsidR="00150785" w:rsidRPr="00150785">
        <w:t xml:space="preserve"> 49 days (Chen et al., 2016)</w:t>
      </w:r>
      <w:r w:rsidR="00674129">
        <w:t xml:space="preserve"> this shows there still validity for the study being eight months. </w:t>
      </w:r>
    </w:p>
    <w:p w14:paraId="1D9996F3" w14:textId="77777777" w:rsidR="00D32D80" w:rsidRDefault="00D32D80">
      <w:pPr>
        <w:rPr>
          <w:rFonts w:asciiTheme="majorHAnsi" w:eastAsiaTheme="majorEastAsia" w:hAnsiTheme="majorHAnsi" w:cstheme="majorBidi"/>
          <w:color w:val="B3186D" w:themeColor="accent1" w:themeShade="BF"/>
          <w:sz w:val="32"/>
          <w:szCs w:val="32"/>
        </w:rPr>
      </w:pPr>
      <w:r>
        <w:br w:type="page"/>
      </w:r>
    </w:p>
    <w:p w14:paraId="1425D3D9" w14:textId="7AA4C153" w:rsidR="00261178" w:rsidRPr="00517546" w:rsidRDefault="6DE0F143" w:rsidP="0066298F">
      <w:pPr>
        <w:pStyle w:val="Heading1"/>
      </w:pPr>
      <w:bookmarkStart w:id="17" w:name="_Toc232977677"/>
      <w:r w:rsidRPr="00517546">
        <w:lastRenderedPageBreak/>
        <w:t>Results</w:t>
      </w:r>
      <w:bookmarkEnd w:id="17"/>
    </w:p>
    <w:p w14:paraId="0633D571" w14:textId="3CBAE578" w:rsidR="0099280D" w:rsidRDefault="0099280D" w:rsidP="0099280D">
      <w:r w:rsidRPr="00517546">
        <w:t>Raw data is listed in appendix A</w:t>
      </w:r>
      <w:r w:rsidR="003446A2">
        <w:t>. Baseline copper levels are shown in map 2. 1</w:t>
      </w:r>
      <w:r w:rsidR="003446A2" w:rsidRPr="003446A2">
        <w:rPr>
          <w:vertAlign w:val="superscript"/>
        </w:rPr>
        <w:t>st</w:t>
      </w:r>
      <w:r w:rsidR="003446A2">
        <w:t xml:space="preserve"> collection </w:t>
      </w:r>
      <w:r w:rsidR="008A48D8">
        <w:t xml:space="preserve">in </w:t>
      </w:r>
      <w:r w:rsidR="0088474F">
        <w:t>figure 4.5.0</w:t>
      </w:r>
      <w:r w:rsidR="008A48D8">
        <w:t>. 2</w:t>
      </w:r>
      <w:r w:rsidR="008A48D8" w:rsidRPr="008A48D8">
        <w:rPr>
          <w:vertAlign w:val="superscript"/>
        </w:rPr>
        <w:t>nd</w:t>
      </w:r>
      <w:r w:rsidR="008A48D8">
        <w:t xml:space="preserve"> collection in </w:t>
      </w:r>
      <w:r w:rsidR="0088474F">
        <w:t>figure 5.5.0</w:t>
      </w:r>
    </w:p>
    <w:p w14:paraId="4E4645B5" w14:textId="77777777" w:rsidR="003446A2" w:rsidRPr="00517546" w:rsidRDefault="003446A2" w:rsidP="003446A2">
      <w:r w:rsidRPr="00517546">
        <w:rPr>
          <w:noProof/>
        </w:rPr>
        <w:drawing>
          <wp:inline distT="0" distB="0" distL="0" distR="0" wp14:anchorId="386E9E62" wp14:editId="06BEEB40">
            <wp:extent cx="5048250" cy="3784600"/>
            <wp:effectExtent l="0" t="0" r="0" b="6350"/>
            <wp:docPr id="1966883942" name="Picture 1" descr="The diagram depicts a map showing baseline copper concentration levels across different sample plots, with values ranging from 9.2 to 23.2 mg/k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828576" name="Picture 1" descr="The diagram depicts a map showing baseline copper concentration levels across different sample plots, with values ranging from 9.2 to 23.2 mg/kg.&#10;&#10;AI-generated content may be incorrect."/>
                    <pic:cNvPicPr/>
                  </pic:nvPicPr>
                  <pic:blipFill>
                    <a:blip r:embed="rId24"/>
                    <a:stretch>
                      <a:fillRect/>
                    </a:stretch>
                  </pic:blipFill>
                  <pic:spPr>
                    <a:xfrm>
                      <a:off x="0" y="0"/>
                      <a:ext cx="5048250" cy="3784600"/>
                    </a:xfrm>
                    <a:prstGeom prst="rect">
                      <a:avLst/>
                    </a:prstGeom>
                  </pic:spPr>
                </pic:pic>
              </a:graphicData>
            </a:graphic>
          </wp:inline>
        </w:drawing>
      </w:r>
    </w:p>
    <w:p w14:paraId="78ED0891" w14:textId="27F33377" w:rsidR="003446A2" w:rsidRDefault="00311092" w:rsidP="003446A2">
      <w:pPr>
        <w:pStyle w:val="Caption"/>
      </w:pPr>
      <w:bookmarkStart w:id="18" w:name="_Toc232977743"/>
      <w:r>
        <w:t xml:space="preserve">Fig 4.5.0 </w:t>
      </w:r>
      <w:r w:rsidR="003446A2" w:rsidRPr="00517546">
        <w:t xml:space="preserve">: </w:t>
      </w:r>
      <w:r>
        <w:t xml:space="preserve">a map showing </w:t>
      </w:r>
      <w:r w:rsidR="003446A2" w:rsidRPr="00517546">
        <w:t>baseline copper levels</w:t>
      </w:r>
      <w:bookmarkEnd w:id="18"/>
      <w:r w:rsidR="003446A2" w:rsidRPr="00517546">
        <w:t xml:space="preserve"> </w:t>
      </w:r>
    </w:p>
    <w:p w14:paraId="656DE3A0" w14:textId="77777777" w:rsidR="003446A2" w:rsidRPr="00517546" w:rsidRDefault="003446A2" w:rsidP="003446A2">
      <w:r w:rsidRPr="00517546">
        <w:rPr>
          <w:noProof/>
        </w:rPr>
        <w:drawing>
          <wp:inline distT="0" distB="0" distL="0" distR="0" wp14:anchorId="12189C81" wp14:editId="4DD89048">
            <wp:extent cx="5067040" cy="3578253"/>
            <wp:effectExtent l="0" t="0" r="635" b="3175"/>
            <wp:docPr id="1903160211" name="Picture 1" descr="The image is a map overlay showing a series of sample plots with numerical coordinates, likely representing a forest or field survey area, marked by a boundary, and labeled with ESRI soft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36489" name="Picture 1" descr="The image is a map overlay showing a series of sample plots with numerical coordinates, likely representing a forest or field survey area, marked by a boundary, and labeled with ESRI software.&#10;&#10;AI-generated content may be incorrect."/>
                    <pic:cNvPicPr/>
                  </pic:nvPicPr>
                  <pic:blipFill>
                    <a:blip r:embed="rId25"/>
                    <a:stretch>
                      <a:fillRect/>
                    </a:stretch>
                  </pic:blipFill>
                  <pic:spPr>
                    <a:xfrm>
                      <a:off x="0" y="0"/>
                      <a:ext cx="5084844" cy="3590826"/>
                    </a:xfrm>
                    <a:prstGeom prst="rect">
                      <a:avLst/>
                    </a:prstGeom>
                  </pic:spPr>
                </pic:pic>
              </a:graphicData>
            </a:graphic>
          </wp:inline>
        </w:drawing>
      </w:r>
    </w:p>
    <w:p w14:paraId="43C25A8D" w14:textId="338D02F6" w:rsidR="003446A2" w:rsidRDefault="00311092" w:rsidP="003446A2">
      <w:pPr>
        <w:pStyle w:val="Caption"/>
      </w:pPr>
      <w:bookmarkStart w:id="19" w:name="_Toc232977744"/>
      <w:r>
        <w:t>Fig 5.5.0: A map showing</w:t>
      </w:r>
      <w:r w:rsidR="003446A2" w:rsidRPr="00517546">
        <w:t xml:space="preserve"> 1</w:t>
      </w:r>
      <w:r w:rsidR="003446A2" w:rsidRPr="00517546">
        <w:rPr>
          <w:vertAlign w:val="superscript"/>
        </w:rPr>
        <w:t>st</w:t>
      </w:r>
      <w:r w:rsidR="003446A2" w:rsidRPr="00517546">
        <w:t xml:space="preserve"> data collection</w:t>
      </w:r>
      <w:bookmarkEnd w:id="19"/>
    </w:p>
    <w:p w14:paraId="24024A1E" w14:textId="77777777" w:rsidR="008A48D8" w:rsidRPr="00517546" w:rsidRDefault="008A48D8" w:rsidP="008A48D8">
      <w:r w:rsidRPr="00517546">
        <w:rPr>
          <w:noProof/>
        </w:rPr>
        <w:lastRenderedPageBreak/>
        <w:drawing>
          <wp:inline distT="0" distB="0" distL="0" distR="0" wp14:anchorId="2F8CBAFD" wp14:editId="2E1E5F19">
            <wp:extent cx="5192202" cy="3615443"/>
            <wp:effectExtent l="0" t="0" r="8890" b="4445"/>
            <wp:docPr id="831013782" name="Picture 1" descr="The image is a topographic map displaying a series of sample plots with elevation ranges, marked by a boundary and scale in me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33575" name="Picture 1" descr="The image is a topographic map displaying a series of sample plots with elevation ranges, marked by a boundary and scale in meters.&#10;&#10;AI-generated content may be incorrect."/>
                    <pic:cNvPicPr/>
                  </pic:nvPicPr>
                  <pic:blipFill>
                    <a:blip r:embed="rId26"/>
                    <a:stretch>
                      <a:fillRect/>
                    </a:stretch>
                  </pic:blipFill>
                  <pic:spPr>
                    <a:xfrm>
                      <a:off x="0" y="0"/>
                      <a:ext cx="5210942" cy="3628492"/>
                    </a:xfrm>
                    <a:prstGeom prst="rect">
                      <a:avLst/>
                    </a:prstGeom>
                  </pic:spPr>
                </pic:pic>
              </a:graphicData>
            </a:graphic>
          </wp:inline>
        </w:drawing>
      </w:r>
    </w:p>
    <w:p w14:paraId="06E2380B" w14:textId="682BFD3E" w:rsidR="008A48D8" w:rsidRPr="00517546" w:rsidRDefault="00311092" w:rsidP="008A48D8">
      <w:pPr>
        <w:pStyle w:val="Caption"/>
      </w:pPr>
      <w:bookmarkStart w:id="20" w:name="_Toc232977745"/>
      <w:r>
        <w:t>Fig 6.5.0</w:t>
      </w:r>
      <w:r w:rsidR="008A48D8" w:rsidRPr="00517546">
        <w:t>:</w:t>
      </w:r>
      <w:r>
        <w:t xml:space="preserve"> a map showing </w:t>
      </w:r>
      <w:r w:rsidR="008A48D8" w:rsidRPr="00517546">
        <w:t>2nd data collection</w:t>
      </w:r>
      <w:bookmarkEnd w:id="20"/>
    </w:p>
    <w:p w14:paraId="44392600" w14:textId="77777777" w:rsidR="003446A2" w:rsidRPr="00517546" w:rsidRDefault="003446A2" w:rsidP="0099280D"/>
    <w:p w14:paraId="7C87B982" w14:textId="586E0478" w:rsidR="00C80CB2" w:rsidRPr="00517546" w:rsidRDefault="00C80CB2" w:rsidP="00C80CB2">
      <w:pPr>
        <w:pStyle w:val="Heading2"/>
      </w:pPr>
      <w:bookmarkStart w:id="21" w:name="_Toc232977678"/>
      <w:r w:rsidRPr="00517546">
        <w:t>Copper reduction</w:t>
      </w:r>
      <w:bookmarkEnd w:id="21"/>
      <w:r w:rsidRPr="00517546">
        <w:t xml:space="preserve"> </w:t>
      </w:r>
    </w:p>
    <w:p w14:paraId="6601AAD3" w14:textId="6ABDD303" w:rsidR="00D852B3" w:rsidRPr="003446A2" w:rsidRDefault="00D852B3" w:rsidP="00D852B3">
      <w:pPr>
        <w:pStyle w:val="pf0"/>
        <w:rPr>
          <w:rFonts w:asciiTheme="minorHAnsi" w:hAnsiTheme="minorHAnsi" w:cstheme="minorHAnsi"/>
          <w:sz w:val="22"/>
          <w:szCs w:val="22"/>
        </w:rPr>
      </w:pPr>
      <w:r w:rsidRPr="003446A2">
        <w:rPr>
          <w:rStyle w:val="cf01"/>
          <w:rFonts w:asciiTheme="minorHAnsi" w:hAnsiTheme="minorHAnsi" w:cstheme="minorHAnsi"/>
          <w:sz w:val="22"/>
          <w:szCs w:val="22"/>
        </w:rPr>
        <w:t xml:space="preserve">A paired t test was used to assess for significant differences in reduction of copper concentrations after biochar application, the null hypothesis was that there would be no significant difference, the alternative hypothesis would be there statistically significant change </w:t>
      </w:r>
      <w:r w:rsidR="003446A2">
        <w:rPr>
          <w:rStyle w:val="cf01"/>
          <w:rFonts w:asciiTheme="minorHAnsi" w:hAnsiTheme="minorHAnsi" w:cstheme="minorHAnsi"/>
          <w:sz w:val="22"/>
          <w:szCs w:val="22"/>
        </w:rPr>
        <w:t xml:space="preserve">(see table </w:t>
      </w:r>
      <w:r w:rsidR="008A48D8">
        <w:rPr>
          <w:rStyle w:val="cf01"/>
          <w:rFonts w:asciiTheme="minorHAnsi" w:hAnsiTheme="minorHAnsi" w:cstheme="minorHAnsi"/>
          <w:sz w:val="22"/>
          <w:szCs w:val="22"/>
        </w:rPr>
        <w:t>1</w:t>
      </w:r>
      <w:r w:rsidR="008D133B">
        <w:rPr>
          <w:rStyle w:val="cf01"/>
          <w:rFonts w:asciiTheme="minorHAnsi" w:hAnsiTheme="minorHAnsi" w:cstheme="minorHAnsi"/>
          <w:sz w:val="22"/>
          <w:szCs w:val="22"/>
        </w:rPr>
        <w:t>.5.1</w:t>
      </w:r>
      <w:r w:rsidR="003446A2">
        <w:rPr>
          <w:rStyle w:val="cf01"/>
          <w:rFonts w:asciiTheme="minorHAnsi" w:hAnsiTheme="minorHAnsi" w:cstheme="minorHAnsi"/>
          <w:sz w:val="22"/>
          <w:szCs w:val="22"/>
        </w:rPr>
        <w:t>)</w:t>
      </w:r>
    </w:p>
    <w:p w14:paraId="7F6495DC" w14:textId="0817E043" w:rsidR="00212581" w:rsidRPr="00517546" w:rsidRDefault="00212581" w:rsidP="00212581">
      <w:pPr>
        <w:pStyle w:val="Caption"/>
      </w:pPr>
      <w:bookmarkStart w:id="22" w:name="_Toc232977746"/>
      <w:r w:rsidRPr="00517546">
        <w:t xml:space="preserve">Table </w:t>
      </w:r>
      <w:r w:rsidR="008A48D8">
        <w:t>1</w:t>
      </w:r>
      <w:r w:rsidR="00311092">
        <w:t>.5.1</w:t>
      </w:r>
      <w:r w:rsidRPr="00517546">
        <w:t xml:space="preserve">: a paired samples t test comparing reduction in copper </w:t>
      </w:r>
      <w:r w:rsidR="00517546" w:rsidRPr="00517546">
        <w:t>concentrations</w:t>
      </w:r>
      <w:r w:rsidR="003446A2">
        <w:t xml:space="preserve"> in test plots</w:t>
      </w:r>
      <w:bookmarkEnd w:id="22"/>
    </w:p>
    <w:p w14:paraId="50D61B85" w14:textId="77777777" w:rsidR="00212581" w:rsidRPr="00517546" w:rsidRDefault="00212581" w:rsidP="00212581">
      <w:r w:rsidRPr="00517546">
        <w:rPr>
          <w:noProof/>
        </w:rPr>
        <w:drawing>
          <wp:inline distT="0" distB="0" distL="0" distR="0" wp14:anchorId="65CA0E4F" wp14:editId="1393E5A3">
            <wp:extent cx="5731510" cy="1000760"/>
            <wp:effectExtent l="0" t="0" r="2540" b="8890"/>
            <wp:docPr id="1769620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620633" name=""/>
                    <pic:cNvPicPr/>
                  </pic:nvPicPr>
                  <pic:blipFill>
                    <a:blip r:embed="rId27"/>
                    <a:stretch>
                      <a:fillRect/>
                    </a:stretch>
                  </pic:blipFill>
                  <pic:spPr>
                    <a:xfrm>
                      <a:off x="0" y="0"/>
                      <a:ext cx="5731510" cy="1000760"/>
                    </a:xfrm>
                    <a:prstGeom prst="rect">
                      <a:avLst/>
                    </a:prstGeom>
                  </pic:spPr>
                </pic:pic>
              </a:graphicData>
            </a:graphic>
          </wp:inline>
        </w:drawing>
      </w:r>
    </w:p>
    <w:p w14:paraId="2AE1B292" w14:textId="767832C0" w:rsidR="003446A2" w:rsidRDefault="003446A2" w:rsidP="003446A2">
      <w:pPr>
        <w:spacing w:before="240" w:after="240"/>
        <w:rPr>
          <w:rFonts w:ascii="Calibri" w:eastAsia="Calibri" w:hAnsi="Calibri" w:cs="Calibri"/>
        </w:rPr>
      </w:pPr>
      <w:r>
        <w:rPr>
          <w:rFonts w:ascii="Calibri" w:eastAsia="Calibri" w:hAnsi="Calibri" w:cs="Calibri"/>
        </w:rPr>
        <w:t>Overall there was a</w:t>
      </w:r>
      <w:r w:rsidRPr="00517546">
        <w:rPr>
          <w:rFonts w:ascii="Calibri" w:eastAsia="Calibri" w:hAnsi="Calibri" w:cs="Calibri"/>
        </w:rPr>
        <w:t xml:space="preserve"> reduction observed between baseline and 8 months (</w:t>
      </w:r>
      <w:r w:rsidRPr="00517546">
        <w:rPr>
          <w:rFonts w:ascii="Calibri" w:eastAsia="Calibri" w:hAnsi="Calibri" w:cs="Calibri"/>
          <w:i/>
          <w:iCs/>
        </w:rPr>
        <w:t>t</w:t>
      </w:r>
      <w:r w:rsidRPr="00517546">
        <w:rPr>
          <w:rFonts w:ascii="Calibri" w:eastAsia="Calibri" w:hAnsi="Calibri" w:cs="Calibri"/>
        </w:rPr>
        <w:t xml:space="preserve"> = 4.707, </w:t>
      </w:r>
      <w:r w:rsidRPr="00517546">
        <w:rPr>
          <w:rFonts w:ascii="Calibri" w:eastAsia="Calibri" w:hAnsi="Calibri" w:cs="Calibri"/>
          <w:i/>
          <w:iCs/>
        </w:rPr>
        <w:t>p</w:t>
      </w:r>
      <w:r w:rsidRPr="00517546">
        <w:rPr>
          <w:rFonts w:ascii="Calibri" w:eastAsia="Calibri" w:hAnsi="Calibri" w:cs="Calibri"/>
        </w:rPr>
        <w:t xml:space="preserve"> = 0.009)</w:t>
      </w:r>
      <w:r>
        <w:rPr>
          <w:rFonts w:ascii="Calibri" w:eastAsia="Calibri" w:hAnsi="Calibri" w:cs="Calibri"/>
        </w:rPr>
        <w:t>. however, this reduction was only significant between baseline and 8 months</w:t>
      </w:r>
      <w:r w:rsidRPr="00517546">
        <w:rPr>
          <w:rFonts w:ascii="Calibri" w:eastAsia="Calibri" w:hAnsi="Calibri" w:cs="Calibri"/>
        </w:rPr>
        <w:t>(</w:t>
      </w:r>
      <w:r w:rsidRPr="00517546">
        <w:rPr>
          <w:rFonts w:ascii="Calibri" w:eastAsia="Calibri" w:hAnsi="Calibri" w:cs="Calibri"/>
          <w:i/>
          <w:iCs/>
        </w:rPr>
        <w:t>t</w:t>
      </w:r>
      <w:r w:rsidRPr="00517546">
        <w:rPr>
          <w:rFonts w:ascii="Calibri" w:eastAsia="Calibri" w:hAnsi="Calibri" w:cs="Calibri"/>
        </w:rPr>
        <w:t xml:space="preserve"> = 4.756, </w:t>
      </w:r>
      <w:r w:rsidRPr="00517546">
        <w:rPr>
          <w:rFonts w:ascii="Calibri" w:eastAsia="Calibri" w:hAnsi="Calibri" w:cs="Calibri"/>
          <w:i/>
          <w:iCs/>
        </w:rPr>
        <w:t>p</w:t>
      </w:r>
      <w:r w:rsidRPr="00517546">
        <w:rPr>
          <w:rFonts w:ascii="Calibri" w:eastAsia="Calibri" w:hAnsi="Calibri" w:cs="Calibri"/>
        </w:rPr>
        <w:t xml:space="preserve"> = 0.009), </w:t>
      </w:r>
      <w:r>
        <w:rPr>
          <w:rFonts w:ascii="Calibri" w:eastAsia="Calibri" w:hAnsi="Calibri" w:cs="Calibri"/>
        </w:rPr>
        <w:t xml:space="preserve">and not between baseline and 4 months </w:t>
      </w:r>
      <w:r w:rsidRPr="00517546">
        <w:rPr>
          <w:rFonts w:ascii="Calibri" w:eastAsia="Calibri" w:hAnsi="Calibri" w:cs="Calibri"/>
        </w:rPr>
        <w:t xml:space="preserve"> (</w:t>
      </w:r>
      <w:r w:rsidRPr="00517546">
        <w:rPr>
          <w:rFonts w:ascii="Calibri" w:eastAsia="Calibri" w:hAnsi="Calibri" w:cs="Calibri"/>
          <w:i/>
          <w:iCs/>
        </w:rPr>
        <w:t>t</w:t>
      </w:r>
      <w:r w:rsidRPr="00517546">
        <w:rPr>
          <w:rFonts w:ascii="Calibri" w:eastAsia="Calibri" w:hAnsi="Calibri" w:cs="Calibri"/>
        </w:rPr>
        <w:t xml:space="preserve"> = 4.442, </w:t>
      </w:r>
      <w:r w:rsidRPr="00517546">
        <w:rPr>
          <w:rFonts w:ascii="Calibri" w:eastAsia="Calibri" w:hAnsi="Calibri" w:cs="Calibri"/>
          <w:i/>
          <w:iCs/>
        </w:rPr>
        <w:t>p</w:t>
      </w:r>
      <w:r w:rsidRPr="00517546">
        <w:rPr>
          <w:rFonts w:ascii="Calibri" w:eastAsia="Calibri" w:hAnsi="Calibri" w:cs="Calibri"/>
        </w:rPr>
        <w:t xml:space="preserve"> = 0.011)</w:t>
      </w:r>
      <w:r>
        <w:rPr>
          <w:rFonts w:ascii="Calibri" w:eastAsia="Calibri" w:hAnsi="Calibri" w:cs="Calibri"/>
        </w:rPr>
        <w:t>. therefore the alternative hypothesis is accepted.</w:t>
      </w:r>
    </w:p>
    <w:p w14:paraId="5E5BF188" w14:textId="597335FE" w:rsidR="003446A2" w:rsidRDefault="00951AA0" w:rsidP="003446A2">
      <w:pPr>
        <w:spacing w:before="240" w:after="240"/>
        <w:rPr>
          <w:rFonts w:ascii="Calibri" w:eastAsia="Calibri" w:hAnsi="Calibri" w:cs="Calibri"/>
        </w:rPr>
      </w:pPr>
      <w:r>
        <w:rPr>
          <w:rFonts w:ascii="Calibri" w:eastAsia="Calibri" w:hAnsi="Calibri" w:cs="Calibri"/>
        </w:rPr>
        <w:t>This s</w:t>
      </w:r>
      <w:r w:rsidR="003446A2" w:rsidRPr="00517546">
        <w:rPr>
          <w:rFonts w:ascii="Calibri" w:eastAsia="Calibri" w:hAnsi="Calibri" w:cs="Calibri"/>
        </w:rPr>
        <w:t>uggest</w:t>
      </w:r>
      <w:r>
        <w:rPr>
          <w:rFonts w:ascii="Calibri" w:eastAsia="Calibri" w:hAnsi="Calibri" w:cs="Calibri"/>
        </w:rPr>
        <w:t>s</w:t>
      </w:r>
      <w:r w:rsidR="003446A2" w:rsidRPr="00517546">
        <w:rPr>
          <w:rFonts w:ascii="Calibri" w:eastAsia="Calibri" w:hAnsi="Calibri" w:cs="Calibri"/>
        </w:rPr>
        <w:t xml:space="preserve"> that remediation effects became stronger over time.</w:t>
      </w:r>
    </w:p>
    <w:p w14:paraId="5DCBCA98" w14:textId="2DF84448" w:rsidR="003446A2" w:rsidRDefault="003446A2" w:rsidP="003446A2">
      <w:pPr>
        <w:spacing w:before="240" w:after="240"/>
        <w:rPr>
          <w:rFonts w:ascii="Calibri" w:eastAsia="Calibri" w:hAnsi="Calibri" w:cs="Calibri"/>
        </w:rPr>
      </w:pPr>
      <w:r>
        <w:rPr>
          <w:rFonts w:ascii="Calibri" w:eastAsia="Calibri" w:hAnsi="Calibri" w:cs="Calibri"/>
        </w:rPr>
        <w:t>The same process was carried out for the control plots, using the same hypotheses</w:t>
      </w:r>
      <w:r w:rsidR="000B7F64">
        <w:rPr>
          <w:rFonts w:ascii="Calibri" w:eastAsia="Calibri" w:hAnsi="Calibri" w:cs="Calibri"/>
        </w:rPr>
        <w:t xml:space="preserve"> </w:t>
      </w:r>
      <w:r>
        <w:rPr>
          <w:rFonts w:ascii="Calibri" w:eastAsia="Calibri" w:hAnsi="Calibri" w:cs="Calibri"/>
        </w:rPr>
        <w:t xml:space="preserve">(see table </w:t>
      </w:r>
      <w:r w:rsidR="008A48D8">
        <w:rPr>
          <w:rFonts w:ascii="Calibri" w:eastAsia="Calibri" w:hAnsi="Calibri" w:cs="Calibri"/>
        </w:rPr>
        <w:t>2</w:t>
      </w:r>
      <w:r w:rsidR="00DB6DD3">
        <w:rPr>
          <w:rFonts w:ascii="Calibri" w:eastAsia="Calibri" w:hAnsi="Calibri" w:cs="Calibri"/>
        </w:rPr>
        <w:t>.5.1</w:t>
      </w:r>
      <w:r>
        <w:rPr>
          <w:rFonts w:ascii="Calibri" w:eastAsia="Calibri" w:hAnsi="Calibri" w:cs="Calibri"/>
        </w:rPr>
        <w:t>)</w:t>
      </w:r>
    </w:p>
    <w:p w14:paraId="3F15BC25" w14:textId="77777777" w:rsidR="00ED398D" w:rsidRDefault="00ED398D" w:rsidP="003446A2">
      <w:pPr>
        <w:spacing w:before="240" w:after="240"/>
        <w:rPr>
          <w:rFonts w:ascii="Calibri" w:eastAsia="Calibri" w:hAnsi="Calibri" w:cs="Calibri"/>
        </w:rPr>
      </w:pPr>
    </w:p>
    <w:p w14:paraId="058992D9" w14:textId="77777777" w:rsidR="00ED398D" w:rsidRPr="00517546" w:rsidRDefault="00ED398D" w:rsidP="003446A2">
      <w:pPr>
        <w:spacing w:before="240" w:after="240"/>
      </w:pPr>
    </w:p>
    <w:p w14:paraId="352DEC01" w14:textId="0BAF0F1A" w:rsidR="00212581" w:rsidRPr="00517546" w:rsidRDefault="00212581" w:rsidP="00212581">
      <w:pPr>
        <w:pStyle w:val="Caption"/>
      </w:pPr>
      <w:bookmarkStart w:id="23" w:name="_Toc232977747"/>
      <w:r w:rsidRPr="00517546">
        <w:t>Table</w:t>
      </w:r>
      <w:r w:rsidR="008A48D8">
        <w:t xml:space="preserve"> 2</w:t>
      </w:r>
      <w:r w:rsidR="00311092">
        <w:t>.5.1</w:t>
      </w:r>
      <w:r w:rsidRPr="00517546">
        <w:t xml:space="preserve">: a paired samples t test comparing reduction in copper </w:t>
      </w:r>
      <w:r w:rsidR="00517546" w:rsidRPr="00517546">
        <w:t>concentrations</w:t>
      </w:r>
      <w:r w:rsidR="003446A2">
        <w:t xml:space="preserve"> in control plots</w:t>
      </w:r>
      <w:bookmarkEnd w:id="23"/>
    </w:p>
    <w:p w14:paraId="0151EDCA" w14:textId="77777777" w:rsidR="003446A2" w:rsidRDefault="00212581" w:rsidP="00212581">
      <w:pPr>
        <w:rPr>
          <w:rFonts w:ascii="Calibri" w:eastAsia="Calibri" w:hAnsi="Calibri" w:cs="Calibri"/>
        </w:rPr>
      </w:pPr>
      <w:r w:rsidRPr="00517546">
        <w:rPr>
          <w:noProof/>
        </w:rPr>
        <w:drawing>
          <wp:inline distT="0" distB="0" distL="0" distR="0" wp14:anchorId="2BDD5823" wp14:editId="658AF9D9">
            <wp:extent cx="5731510" cy="1000760"/>
            <wp:effectExtent l="0" t="0" r="2540" b="8890"/>
            <wp:docPr id="479508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508861" name=""/>
                    <pic:cNvPicPr/>
                  </pic:nvPicPr>
                  <pic:blipFill>
                    <a:blip r:embed="rId28"/>
                    <a:stretch>
                      <a:fillRect/>
                    </a:stretch>
                  </pic:blipFill>
                  <pic:spPr>
                    <a:xfrm>
                      <a:off x="0" y="0"/>
                      <a:ext cx="5731510" cy="1000760"/>
                    </a:xfrm>
                    <a:prstGeom prst="rect">
                      <a:avLst/>
                    </a:prstGeom>
                  </pic:spPr>
                </pic:pic>
              </a:graphicData>
            </a:graphic>
          </wp:inline>
        </w:drawing>
      </w:r>
    </w:p>
    <w:p w14:paraId="1A4B7ABA" w14:textId="659E80E2" w:rsidR="00212581" w:rsidRPr="00517546" w:rsidRDefault="00212581" w:rsidP="00212581">
      <w:pPr>
        <w:spacing w:before="240" w:after="240"/>
      </w:pPr>
      <w:r w:rsidRPr="00517546">
        <w:rPr>
          <w:rFonts w:ascii="Calibri" w:eastAsia="Calibri" w:hAnsi="Calibri" w:cs="Calibri"/>
        </w:rPr>
        <w:t>No statistically significant differences were observed at any sampling interval. Copper concentrations did not significantly change between baseline and 4 months (</w:t>
      </w:r>
      <w:r w:rsidRPr="00517546">
        <w:rPr>
          <w:rFonts w:ascii="Calibri" w:eastAsia="Calibri" w:hAnsi="Calibri" w:cs="Calibri"/>
          <w:i/>
          <w:iCs/>
        </w:rPr>
        <w:t>t</w:t>
      </w:r>
      <w:r w:rsidRPr="00517546">
        <w:rPr>
          <w:rFonts w:ascii="Calibri" w:eastAsia="Calibri" w:hAnsi="Calibri" w:cs="Calibri"/>
        </w:rPr>
        <w:t xml:space="preserve"> = 0.537, </w:t>
      </w:r>
      <w:r w:rsidRPr="00517546">
        <w:rPr>
          <w:rFonts w:ascii="Calibri" w:eastAsia="Calibri" w:hAnsi="Calibri" w:cs="Calibri"/>
          <w:i/>
          <w:iCs/>
        </w:rPr>
        <w:t>p</w:t>
      </w:r>
      <w:r w:rsidRPr="00517546">
        <w:rPr>
          <w:rFonts w:ascii="Calibri" w:eastAsia="Calibri" w:hAnsi="Calibri" w:cs="Calibri"/>
        </w:rPr>
        <w:t xml:space="preserve"> = 0.314), between baseline and 8 months (</w:t>
      </w:r>
      <w:r w:rsidRPr="00517546">
        <w:rPr>
          <w:rFonts w:ascii="Calibri" w:eastAsia="Calibri" w:hAnsi="Calibri" w:cs="Calibri"/>
          <w:i/>
          <w:iCs/>
        </w:rPr>
        <w:t>t</w:t>
      </w:r>
      <w:r w:rsidRPr="00517546">
        <w:rPr>
          <w:rFonts w:ascii="Calibri" w:eastAsia="Calibri" w:hAnsi="Calibri" w:cs="Calibri"/>
        </w:rPr>
        <w:t xml:space="preserve"> = 0.475, </w:t>
      </w:r>
      <w:r w:rsidRPr="00517546">
        <w:rPr>
          <w:rFonts w:ascii="Calibri" w:eastAsia="Calibri" w:hAnsi="Calibri" w:cs="Calibri"/>
          <w:i/>
          <w:iCs/>
        </w:rPr>
        <w:t>p</w:t>
      </w:r>
      <w:r w:rsidRPr="00517546">
        <w:rPr>
          <w:rFonts w:ascii="Calibri" w:eastAsia="Calibri" w:hAnsi="Calibri" w:cs="Calibri"/>
        </w:rPr>
        <w:t xml:space="preserve"> = 0.333), or between 4 and 8 months (</w:t>
      </w:r>
      <w:r w:rsidRPr="00517546">
        <w:rPr>
          <w:rFonts w:ascii="Calibri" w:eastAsia="Calibri" w:hAnsi="Calibri" w:cs="Calibri"/>
          <w:i/>
          <w:iCs/>
        </w:rPr>
        <w:t>t</w:t>
      </w:r>
      <w:r w:rsidRPr="00517546">
        <w:rPr>
          <w:rFonts w:ascii="Calibri" w:eastAsia="Calibri" w:hAnsi="Calibri" w:cs="Calibri"/>
        </w:rPr>
        <w:t xml:space="preserve"> = −0.451, </w:t>
      </w:r>
      <w:r w:rsidRPr="00517546">
        <w:rPr>
          <w:rFonts w:ascii="Calibri" w:eastAsia="Calibri" w:hAnsi="Calibri" w:cs="Calibri"/>
          <w:i/>
          <w:iCs/>
        </w:rPr>
        <w:t>p</w:t>
      </w:r>
      <w:r w:rsidRPr="00517546">
        <w:rPr>
          <w:rFonts w:ascii="Calibri" w:eastAsia="Calibri" w:hAnsi="Calibri" w:cs="Calibri"/>
        </w:rPr>
        <w:t xml:space="preserve"> = 0.341).</w:t>
      </w:r>
      <w:r w:rsidR="003446A2">
        <w:rPr>
          <w:rFonts w:ascii="Calibri" w:eastAsia="Calibri" w:hAnsi="Calibri" w:cs="Calibri"/>
        </w:rPr>
        <w:t xml:space="preserve"> The null hypothesis is accepted.</w:t>
      </w:r>
    </w:p>
    <w:p w14:paraId="5CAFF800" w14:textId="77777777" w:rsidR="00212581" w:rsidRPr="00517546" w:rsidRDefault="00212581" w:rsidP="00212581">
      <w:pPr>
        <w:spacing w:before="240" w:after="240"/>
      </w:pPr>
      <w:r w:rsidRPr="00517546">
        <w:rPr>
          <w:rFonts w:ascii="Calibri" w:eastAsia="Calibri" w:hAnsi="Calibri" w:cs="Calibri"/>
        </w:rPr>
        <w:t>These findings indicate that copper concentrations in the control plots remained relatively stable throughout the study period, suggesting that the reductions observed in the treatment plots were unlikely to be due to natural temporal variation alone.</w:t>
      </w:r>
    </w:p>
    <w:p w14:paraId="2BA5E01C" w14:textId="77777777" w:rsidR="00C80CB2" w:rsidRPr="00517546" w:rsidRDefault="00C80CB2" w:rsidP="00C80CB2"/>
    <w:p w14:paraId="530B279D" w14:textId="4317DDAE" w:rsidR="00C80CB2" w:rsidRPr="00517546" w:rsidRDefault="00023B0A" w:rsidP="00C80CB2">
      <w:pPr>
        <w:pStyle w:val="Heading2"/>
      </w:pPr>
      <w:bookmarkStart w:id="24" w:name="_Toc232977679"/>
      <w:r w:rsidRPr="00517546">
        <w:t>H</w:t>
      </w:r>
      <w:r w:rsidR="00C80CB2" w:rsidRPr="00517546">
        <w:t>abitat</w:t>
      </w:r>
      <w:r w:rsidRPr="00517546">
        <w:t xml:space="preserve"> type influences</w:t>
      </w:r>
      <w:bookmarkEnd w:id="24"/>
      <w:r w:rsidRPr="00517546">
        <w:t xml:space="preserve"> </w:t>
      </w:r>
    </w:p>
    <w:p w14:paraId="6E3C8FB1" w14:textId="5EBABBC3" w:rsidR="008A48D8" w:rsidRPr="008A48D8" w:rsidRDefault="008A48D8" w:rsidP="008A48D8">
      <w:pPr>
        <w:rPr>
          <w:rStyle w:val="cf01"/>
          <w:rFonts w:asciiTheme="minorHAnsi" w:hAnsiTheme="minorHAnsi" w:cstheme="minorHAnsi"/>
          <w:sz w:val="22"/>
          <w:szCs w:val="22"/>
        </w:rPr>
      </w:pPr>
      <w:r>
        <w:rPr>
          <w:rStyle w:val="cf01"/>
          <w:rFonts w:asciiTheme="minorHAnsi" w:hAnsiTheme="minorHAnsi" w:cstheme="minorHAnsi"/>
          <w:sz w:val="22"/>
          <w:szCs w:val="22"/>
        </w:rPr>
        <w:t>a two way ANOVA was used to assess for significant differences in copper concerntrations between habitat types. The null hypothesis is that there will be no differences. The alternative hypothesis was there will be a statistically significant difference. (see table 3</w:t>
      </w:r>
      <w:r w:rsidR="00DB6DD3">
        <w:rPr>
          <w:rStyle w:val="cf01"/>
          <w:rFonts w:asciiTheme="minorHAnsi" w:hAnsiTheme="minorHAnsi" w:cstheme="minorHAnsi"/>
          <w:sz w:val="22"/>
          <w:szCs w:val="22"/>
        </w:rPr>
        <w:t>.5.2</w:t>
      </w:r>
      <w:r>
        <w:rPr>
          <w:rStyle w:val="cf01"/>
          <w:rFonts w:asciiTheme="minorHAnsi" w:hAnsiTheme="minorHAnsi" w:cstheme="minorHAnsi"/>
          <w:sz w:val="22"/>
          <w:szCs w:val="22"/>
        </w:rPr>
        <w:t>)</w:t>
      </w:r>
    </w:p>
    <w:p w14:paraId="5A203A7A" w14:textId="333B4D84" w:rsidR="00D852B3" w:rsidRPr="00517546" w:rsidRDefault="00D852B3" w:rsidP="00D852B3">
      <w:pPr>
        <w:pStyle w:val="Caption"/>
      </w:pPr>
      <w:bookmarkStart w:id="25" w:name="_Toc232977748"/>
      <w:r w:rsidRPr="00517546">
        <w:t xml:space="preserve">Table </w:t>
      </w:r>
      <w:r w:rsidR="008A48D8">
        <w:t>3</w:t>
      </w:r>
      <w:r w:rsidR="00311092">
        <w:t>.5.2</w:t>
      </w:r>
      <w:r w:rsidRPr="00517546">
        <w:t>: this is the two-way ANOVA table to show interactions between habitat type and copper reduction</w:t>
      </w:r>
      <w:bookmarkEnd w:id="25"/>
    </w:p>
    <w:p w14:paraId="21703450" w14:textId="77777777" w:rsidR="00D852B3" w:rsidRPr="00517546" w:rsidRDefault="00D852B3" w:rsidP="00D852B3">
      <w:r w:rsidRPr="00517546">
        <w:rPr>
          <w:noProof/>
        </w:rPr>
        <w:drawing>
          <wp:inline distT="0" distB="0" distL="0" distR="0" wp14:anchorId="68939A4E" wp14:editId="1681E8CF">
            <wp:extent cx="5963297" cy="2209800"/>
            <wp:effectExtent l="0" t="0" r="0" b="0"/>
            <wp:docPr id="1946585101" name="Picture 1" descr="The image displays a table summarizing a statistical analysis of a model, including dependent variables, source of variation, mean squares, F-values, and significance lev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585101" name="Picture 1" descr="The image displays a table summarizing a statistical analysis of a model, including dependent variables, source of variation, mean squares, F-values, and significance levels.&#10;&#10;AI-generated content may be incorrect."/>
                    <pic:cNvPicPr/>
                  </pic:nvPicPr>
                  <pic:blipFill>
                    <a:blip r:embed="rId29"/>
                    <a:stretch>
                      <a:fillRect/>
                    </a:stretch>
                  </pic:blipFill>
                  <pic:spPr>
                    <a:xfrm>
                      <a:off x="0" y="0"/>
                      <a:ext cx="5963297" cy="2209800"/>
                    </a:xfrm>
                    <a:prstGeom prst="rect">
                      <a:avLst/>
                    </a:prstGeom>
                  </pic:spPr>
                </pic:pic>
              </a:graphicData>
            </a:graphic>
          </wp:inline>
        </w:drawing>
      </w:r>
    </w:p>
    <w:p w14:paraId="66405390" w14:textId="4300A2B9" w:rsidR="00D852B3" w:rsidRPr="008A48D8" w:rsidRDefault="008A48D8" w:rsidP="008A48D8">
      <w:r w:rsidRPr="00517546">
        <w:t xml:space="preserve">A two-way ANOVA </w:t>
      </w:r>
      <w:r>
        <w:t xml:space="preserve">showed </w:t>
      </w:r>
      <w:r w:rsidRPr="00517546">
        <w:t xml:space="preserve">no statistically significant interaction between habitat type and copper </w:t>
      </w:r>
      <w:r w:rsidRPr="00517546">
        <w:rPr>
          <w:rFonts w:cstheme="minorHAnsi"/>
        </w:rPr>
        <w:t>reduction (</w:t>
      </w:r>
      <w:r w:rsidRPr="00517546">
        <w:rPr>
          <w:rFonts w:eastAsia="Cambria Math" w:cstheme="minorHAnsi"/>
        </w:rPr>
        <w:t>F=0.314, p=0.816</w:t>
      </w:r>
      <w:r w:rsidRPr="00517546">
        <w:rPr>
          <w:rFonts w:cstheme="minorHAnsi"/>
        </w:rPr>
        <w:t>), suggesting</w:t>
      </w:r>
      <w:r w:rsidRPr="00517546">
        <w:t xml:space="preserve"> that copper reduction effects were consistent across habitat types.</w:t>
      </w:r>
      <w:r>
        <w:t xml:space="preserve"> Therefore, the null hypothesis was accepted.</w:t>
      </w:r>
    </w:p>
    <w:p w14:paraId="6BE4FDCF" w14:textId="77777777" w:rsidR="00023B0A" w:rsidRPr="00517546" w:rsidRDefault="00023B0A" w:rsidP="00023B0A"/>
    <w:p w14:paraId="0A0D06F2" w14:textId="1D050EA0" w:rsidR="00023B0A" w:rsidRPr="00517546" w:rsidRDefault="008A48D8" w:rsidP="00023B0A">
      <w:pPr>
        <w:pStyle w:val="Heading2"/>
      </w:pPr>
      <w:bookmarkStart w:id="26" w:name="_Toc232977680"/>
      <w:r>
        <w:t>pH</w:t>
      </w:r>
      <w:r w:rsidR="00023B0A" w:rsidRPr="00517546">
        <w:t xml:space="preserve"> Changes</w:t>
      </w:r>
      <w:bookmarkEnd w:id="26"/>
      <w:r w:rsidR="00023B0A" w:rsidRPr="00517546">
        <w:t xml:space="preserve"> </w:t>
      </w:r>
    </w:p>
    <w:p w14:paraId="68AA61B8" w14:textId="5CB86665" w:rsidR="00023B0A" w:rsidRPr="00517546" w:rsidRDefault="008A48D8" w:rsidP="00023B0A">
      <w:r>
        <w:t>A paired t test was used to</w:t>
      </w:r>
      <w:r w:rsidRPr="008A48D8">
        <w:t xml:space="preserve"> assess for significant differences</w:t>
      </w:r>
      <w:r>
        <w:t xml:space="preserve"> in pH change in test plots across the study. The null hypothesis was that there would be no statistically significant difference</w:t>
      </w:r>
      <w:r w:rsidR="00DA0394">
        <w:t xml:space="preserve">. The alternative hypothesis is that there would be a statistically significant difference.( see table </w:t>
      </w:r>
      <w:r w:rsidR="00311092">
        <w:t>4</w:t>
      </w:r>
      <w:r w:rsidR="00DB6DD3">
        <w:t>.5.3</w:t>
      </w:r>
      <w:r w:rsidR="00DA0394">
        <w:t>)</w:t>
      </w:r>
    </w:p>
    <w:p w14:paraId="4A44DC66" w14:textId="3A022B40" w:rsidR="00830F15" w:rsidRPr="00517546" w:rsidRDefault="6A5C3DC9" w:rsidP="2A6BB68B">
      <w:pPr>
        <w:pStyle w:val="Caption"/>
      </w:pPr>
      <w:bookmarkStart w:id="27" w:name="_Toc232977749"/>
      <w:r w:rsidRPr="00517546">
        <w:lastRenderedPageBreak/>
        <w:t xml:space="preserve">Table </w:t>
      </w:r>
      <w:r w:rsidR="00311092">
        <w:t>4.5.3</w:t>
      </w:r>
      <w:r w:rsidRPr="00517546">
        <w:t xml:space="preserve">: This is a paired samples t test assessing significant difference </w:t>
      </w:r>
      <w:r w:rsidR="00517546" w:rsidRPr="00517546">
        <w:t>in p</w:t>
      </w:r>
      <w:r w:rsidR="008A48D8">
        <w:t>H</w:t>
      </w:r>
      <w:r w:rsidRPr="00517546">
        <w:t xml:space="preserve"> change test plots</w:t>
      </w:r>
      <w:bookmarkEnd w:id="27"/>
    </w:p>
    <w:p w14:paraId="55FB6A60" w14:textId="35980B6A" w:rsidR="000F6B29" w:rsidRPr="00517546" w:rsidRDefault="0219E9EB" w:rsidP="00311092">
      <w:r w:rsidRPr="00517546">
        <w:rPr>
          <w:noProof/>
        </w:rPr>
        <w:drawing>
          <wp:inline distT="0" distB="0" distL="0" distR="0" wp14:anchorId="24FAC28B" wp14:editId="431D58C5">
            <wp:extent cx="5731510" cy="997585"/>
            <wp:effectExtent l="0" t="0" r="2540" b="0"/>
            <wp:docPr id="860008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008990" name=""/>
                    <pic:cNvPicPr/>
                  </pic:nvPicPr>
                  <pic:blipFill>
                    <a:blip r:embed="rId30"/>
                    <a:stretch>
                      <a:fillRect/>
                    </a:stretch>
                  </pic:blipFill>
                  <pic:spPr>
                    <a:xfrm>
                      <a:off x="0" y="0"/>
                      <a:ext cx="5731510" cy="997585"/>
                    </a:xfrm>
                    <a:prstGeom prst="rect">
                      <a:avLst/>
                    </a:prstGeom>
                  </pic:spPr>
                </pic:pic>
              </a:graphicData>
            </a:graphic>
          </wp:inline>
        </w:drawing>
      </w:r>
    </w:p>
    <w:p w14:paraId="47835137" w14:textId="6A021558" w:rsidR="00D1564E" w:rsidRDefault="00DA0394" w:rsidP="00311092">
      <w:pPr>
        <w:rPr>
          <w:rFonts w:ascii="Calibri" w:eastAsia="Calibri" w:hAnsi="Calibri" w:cs="Calibri"/>
          <w:i/>
          <w:iCs/>
        </w:rPr>
      </w:pPr>
      <w:r w:rsidRPr="00311092">
        <w:t>S</w:t>
      </w:r>
      <w:r w:rsidR="00D1564E" w:rsidRPr="00311092">
        <w:t xml:space="preserve">ignificant </w:t>
      </w:r>
      <w:r w:rsidR="00F321B3" w:rsidRPr="00311092">
        <w:t>de</w:t>
      </w:r>
      <w:r w:rsidR="00D1564E" w:rsidRPr="00311092">
        <w:t xml:space="preserve">creases in pH were observed over the duration of the study, </w:t>
      </w:r>
      <w:r w:rsidRPr="00311092">
        <w:t>from</w:t>
      </w:r>
      <w:r w:rsidR="00D1564E" w:rsidRPr="00311092">
        <w:t xml:space="preserve"> baseline and 8 months (t = 5.555, p = 0.006). Th</w:t>
      </w:r>
      <w:r w:rsidRPr="00311092">
        <w:t>is</w:t>
      </w:r>
      <w:r w:rsidR="00D1564E" w:rsidRPr="00311092">
        <w:t xml:space="preserve"> change occurred between 4 and 8 months (t = 11.000, p &lt; 0.001), </w:t>
      </w:r>
      <w:r w:rsidRPr="00311092">
        <w:t xml:space="preserve">but not between baseline and 4 months (t=3.434, p &gt; 0.05). </w:t>
      </w:r>
      <w:r w:rsidR="00D1564E" w:rsidRPr="00311092">
        <w:t xml:space="preserve">indicating that the largest </w:t>
      </w:r>
      <w:r w:rsidR="00F321B3" w:rsidRPr="00311092">
        <w:t>de</w:t>
      </w:r>
      <w:r w:rsidR="00D1564E" w:rsidRPr="00311092">
        <w:t>creases in pH developed during the latter half of the monitoring period</w:t>
      </w:r>
      <w:r w:rsidR="00D1564E" w:rsidRPr="00517546">
        <w:rPr>
          <w:rFonts w:ascii="Calibri" w:eastAsia="Calibri" w:hAnsi="Calibri" w:cs="Calibri"/>
        </w:rPr>
        <w:t>.</w:t>
      </w:r>
    </w:p>
    <w:p w14:paraId="0F1E4B8A" w14:textId="77777777" w:rsidR="00DA0394" w:rsidRDefault="00DA0394" w:rsidP="00DA0394"/>
    <w:p w14:paraId="7D9B97B5" w14:textId="022B17D7" w:rsidR="007D4987" w:rsidRPr="00DA0394" w:rsidRDefault="00DA0394" w:rsidP="00DA0394">
      <w:r>
        <w:t xml:space="preserve">The same process was repeated for the control plots with the same hypotheses (see table </w:t>
      </w:r>
      <w:r w:rsidR="00311092">
        <w:t>5</w:t>
      </w:r>
      <w:r w:rsidR="00DB6DD3">
        <w:t>.5.</w:t>
      </w:r>
      <w:r w:rsidR="007D4987">
        <w:t>3</w:t>
      </w:r>
      <w:r>
        <w:t>)</w:t>
      </w:r>
    </w:p>
    <w:p w14:paraId="314165D3" w14:textId="4CEE59DB" w:rsidR="00555266" w:rsidRPr="0073485D" w:rsidRDefault="4FFCFBE0" w:rsidP="2A6BB68B">
      <w:pPr>
        <w:pStyle w:val="Caption"/>
      </w:pPr>
      <w:bookmarkStart w:id="28" w:name="_Toc232977750"/>
      <w:r w:rsidRPr="00517546">
        <w:t xml:space="preserve">Table </w:t>
      </w:r>
      <w:r w:rsidR="00311092">
        <w:t>5.5.3</w:t>
      </w:r>
      <w:r w:rsidRPr="00517546">
        <w:t xml:space="preserve">: </w:t>
      </w:r>
      <w:r w:rsidR="4E8AA591" w:rsidRPr="00517546">
        <w:t xml:space="preserve">This is a paired samples </w:t>
      </w:r>
      <w:bookmarkStart w:id="29" w:name="_Int_Kjy7Be6p"/>
      <w:r w:rsidR="4E8AA591" w:rsidRPr="00517546">
        <w:t>t</w:t>
      </w:r>
      <w:bookmarkEnd w:id="29"/>
      <w:r w:rsidR="4E8AA591" w:rsidRPr="00517546">
        <w:t xml:space="preserve"> test </w:t>
      </w:r>
      <w:r w:rsidR="1EE84319" w:rsidRPr="00517546">
        <w:t>assessing</w:t>
      </w:r>
      <w:r w:rsidR="4E8AA591" w:rsidRPr="00517546">
        <w:t xml:space="preserve"> significant </w:t>
      </w:r>
      <w:r w:rsidR="30DC5BD8" w:rsidRPr="00517546">
        <w:t>difference</w:t>
      </w:r>
      <w:r w:rsidR="4E8AA591" w:rsidRPr="00517546">
        <w:t xml:space="preserve"> </w:t>
      </w:r>
      <w:r w:rsidR="00517546" w:rsidRPr="00517546">
        <w:t>in ph</w:t>
      </w:r>
      <w:r w:rsidR="4E8AA591" w:rsidRPr="00517546">
        <w:t xml:space="preserve"> change control plots</w:t>
      </w:r>
      <w:bookmarkEnd w:id="28"/>
      <w:r w:rsidR="4E8AA591" w:rsidRPr="00517546">
        <w:t xml:space="preserve"> </w:t>
      </w:r>
    </w:p>
    <w:p w14:paraId="0DCDFB0B" w14:textId="77777777" w:rsidR="00555266" w:rsidRDefault="1B01C7E2" w:rsidP="00311092">
      <w:r w:rsidRPr="00517546">
        <w:rPr>
          <w:noProof/>
        </w:rPr>
        <w:drawing>
          <wp:inline distT="0" distB="0" distL="0" distR="0" wp14:anchorId="79C1D860" wp14:editId="65D5CC57">
            <wp:extent cx="5731510" cy="997585"/>
            <wp:effectExtent l="0" t="0" r="2540" b="0"/>
            <wp:docPr id="1892964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64686" name=""/>
                    <pic:cNvPicPr/>
                  </pic:nvPicPr>
                  <pic:blipFill>
                    <a:blip r:embed="rId31"/>
                    <a:stretch>
                      <a:fillRect/>
                    </a:stretch>
                  </pic:blipFill>
                  <pic:spPr>
                    <a:xfrm>
                      <a:off x="0" y="0"/>
                      <a:ext cx="5731510" cy="997585"/>
                    </a:xfrm>
                    <a:prstGeom prst="rect">
                      <a:avLst/>
                    </a:prstGeom>
                  </pic:spPr>
                </pic:pic>
              </a:graphicData>
            </a:graphic>
          </wp:inline>
        </w:drawing>
      </w:r>
    </w:p>
    <w:p w14:paraId="039F8F76" w14:textId="77BF3929" w:rsidR="62DB7891" w:rsidRPr="00517546" w:rsidRDefault="1184142D" w:rsidP="2A6BB68B">
      <w:r w:rsidRPr="00517546">
        <w:rPr>
          <w:rFonts w:ascii="Calibri" w:eastAsia="Calibri" w:hAnsi="Calibri" w:cs="Calibri"/>
        </w:rPr>
        <w:t>A paired-samples t-test assessing significant differences in pH change within the control plots showed no significant difference between baseline and 4 months (t = 1.987, p = 0.071)</w:t>
      </w:r>
      <w:r w:rsidR="00DA0394">
        <w:rPr>
          <w:rFonts w:ascii="Calibri" w:eastAsia="Calibri" w:hAnsi="Calibri" w:cs="Calibri"/>
        </w:rPr>
        <w:t xml:space="preserve">, nor between </w:t>
      </w:r>
      <w:r w:rsidRPr="00517546">
        <w:rPr>
          <w:rFonts w:ascii="Calibri" w:eastAsia="Calibri" w:hAnsi="Calibri" w:cs="Calibri"/>
        </w:rPr>
        <w:t>baseline and 8 months (t = 3.703, p = 0.017)</w:t>
      </w:r>
      <w:r w:rsidR="00DA0394">
        <w:rPr>
          <w:rFonts w:ascii="Calibri" w:eastAsia="Calibri" w:hAnsi="Calibri" w:cs="Calibri"/>
        </w:rPr>
        <w:t xml:space="preserve">. however, </w:t>
      </w:r>
      <w:r w:rsidRPr="00517546">
        <w:rPr>
          <w:rFonts w:ascii="Calibri" w:eastAsia="Calibri" w:hAnsi="Calibri" w:cs="Calibri"/>
        </w:rPr>
        <w:t>between 4 and 8 months (t = 5.745, p = 0.005), there was a significant change</w:t>
      </w:r>
      <w:r w:rsidR="00DA0394">
        <w:rPr>
          <w:rFonts w:ascii="Calibri" w:eastAsia="Calibri" w:hAnsi="Calibri" w:cs="Calibri"/>
        </w:rPr>
        <w:t>.</w:t>
      </w:r>
    </w:p>
    <w:p w14:paraId="4DE21648" w14:textId="2E24FBED" w:rsidR="00084893" w:rsidRPr="00517546" w:rsidRDefault="00084893" w:rsidP="70F8A30C">
      <w:pPr>
        <w:rPr>
          <w:rFonts w:asciiTheme="majorHAnsi" w:eastAsiaTheme="majorEastAsia" w:hAnsiTheme="majorHAnsi" w:cstheme="majorBidi"/>
          <w:color w:val="B3186D" w:themeColor="accent1" w:themeShade="BF"/>
          <w:sz w:val="32"/>
          <w:szCs w:val="32"/>
        </w:rPr>
      </w:pPr>
    </w:p>
    <w:p w14:paraId="55FECB38" w14:textId="77777777" w:rsidR="007D4987" w:rsidRDefault="007D4987">
      <w:pPr>
        <w:rPr>
          <w:rFonts w:asciiTheme="majorHAnsi" w:eastAsiaTheme="majorEastAsia" w:hAnsiTheme="majorHAnsi" w:cstheme="majorBidi"/>
          <w:color w:val="B3186D" w:themeColor="accent1" w:themeShade="BF"/>
          <w:sz w:val="32"/>
          <w:szCs w:val="32"/>
        </w:rPr>
      </w:pPr>
      <w:r>
        <w:br w:type="page"/>
      </w:r>
    </w:p>
    <w:p w14:paraId="15050F97" w14:textId="3B91733D" w:rsidR="006D44EA" w:rsidRDefault="6DE0F143" w:rsidP="0066298F">
      <w:pPr>
        <w:pStyle w:val="Heading1"/>
      </w:pPr>
      <w:bookmarkStart w:id="30" w:name="_Toc232977681"/>
      <w:r w:rsidRPr="00517546">
        <w:lastRenderedPageBreak/>
        <w:t>Discussion</w:t>
      </w:r>
      <w:bookmarkEnd w:id="30"/>
      <w:r w:rsidRPr="00517546">
        <w:t xml:space="preserve"> </w:t>
      </w:r>
    </w:p>
    <w:p w14:paraId="72B0ED6E" w14:textId="3DF33D40" w:rsidR="00B97413" w:rsidRPr="00B97413" w:rsidRDefault="00B97413" w:rsidP="00B97413">
      <w:pPr>
        <w:pStyle w:val="Heading2"/>
      </w:pPr>
      <w:bookmarkStart w:id="31" w:name="_Toc232977682"/>
      <w:r>
        <w:t>Overall copper concentrations</w:t>
      </w:r>
      <w:bookmarkEnd w:id="31"/>
    </w:p>
    <w:p w14:paraId="389801CB" w14:textId="18968626" w:rsidR="00A249A7" w:rsidRDefault="00674129" w:rsidP="00A249A7">
      <w:pPr>
        <w:rPr>
          <w:color w:val="000000" w:themeColor="text1"/>
        </w:rPr>
      </w:pPr>
      <w:r>
        <w:rPr>
          <w:color w:val="000000" w:themeColor="text1"/>
        </w:rPr>
        <w:t xml:space="preserve">In all habitat types, </w:t>
      </w:r>
      <w:r w:rsidR="007B48DF" w:rsidRPr="00674129">
        <w:rPr>
          <w:color w:val="000000" w:themeColor="text1"/>
        </w:rPr>
        <w:t>there</w:t>
      </w:r>
      <w:r w:rsidR="007B48DF">
        <w:rPr>
          <w:color w:val="000000" w:themeColor="text1"/>
        </w:rPr>
        <w:t xml:space="preserve"> </w:t>
      </w:r>
      <w:r w:rsidRPr="00674129">
        <w:rPr>
          <w:color w:val="000000" w:themeColor="text1"/>
        </w:rPr>
        <w:t>was a statistically significant reduction in co</w:t>
      </w:r>
      <w:r w:rsidR="00B97413">
        <w:rPr>
          <w:color w:val="000000" w:themeColor="text1"/>
        </w:rPr>
        <w:t>p</w:t>
      </w:r>
      <w:r w:rsidRPr="00674129">
        <w:rPr>
          <w:color w:val="000000" w:themeColor="text1"/>
        </w:rPr>
        <w:t>per concentrations in the biochar treated plots but not the control</w:t>
      </w:r>
      <w:r>
        <w:rPr>
          <w:color w:val="000000" w:themeColor="text1"/>
        </w:rPr>
        <w:t xml:space="preserve"> plots. In the raw data there was a small drop in copper at the four month mark but the difference only became statistically significant after eight months. Chen et al (2016) found that it can be effective from as little as 49 days. </w:t>
      </w:r>
      <w:r w:rsidR="0017147F">
        <w:rPr>
          <w:color w:val="000000" w:themeColor="text1"/>
        </w:rPr>
        <w:t>This could be because they</w:t>
      </w:r>
      <w:r w:rsidR="0017147F" w:rsidRPr="0017147F">
        <w:rPr>
          <w:color w:val="000000" w:themeColor="text1"/>
        </w:rPr>
        <w:t xml:space="preserve"> looked at arsenic and iron in realgar mine tailings in China</w:t>
      </w:r>
      <w:r w:rsidR="0017147F">
        <w:rPr>
          <w:color w:val="000000" w:themeColor="text1"/>
        </w:rPr>
        <w:t xml:space="preserve"> using a slurry of pig manure and straw chips. However, this study</w:t>
      </w:r>
      <w:r w:rsidR="0017147F" w:rsidRPr="0017147F">
        <w:rPr>
          <w:color w:val="000000" w:themeColor="text1"/>
        </w:rPr>
        <w:t xml:space="preserve"> looked at copper in copper spoil in Wales</w:t>
      </w:r>
      <w:r w:rsidR="0017147F">
        <w:rPr>
          <w:color w:val="000000" w:themeColor="text1"/>
        </w:rPr>
        <w:t xml:space="preserve"> using wood as the feedstock.</w:t>
      </w:r>
      <w:r w:rsidR="00A249A7">
        <w:rPr>
          <w:color w:val="000000" w:themeColor="text1"/>
        </w:rPr>
        <w:t xml:space="preserve"> The fact that they used pig manure as a feedstock could explain why there study showed faster results in remediating heavy metals as biochar derived ash bases feedstocks such as manure</w:t>
      </w:r>
      <w:r w:rsidR="00A249A7" w:rsidRPr="00A249A7">
        <w:rPr>
          <w:rFonts w:ascii="Times New Roman" w:eastAsia="Times New Roman" w:hAnsi="Times New Roman" w:cs="Times New Roman"/>
          <w:sz w:val="24"/>
          <w:szCs w:val="24"/>
          <w:lang w:eastAsia="en-GB"/>
        </w:rPr>
        <w:t xml:space="preserve"> </w:t>
      </w:r>
      <w:r w:rsidR="00A249A7" w:rsidRPr="00A249A7">
        <w:rPr>
          <w:color w:val="000000" w:themeColor="text1"/>
        </w:rPr>
        <w:t xml:space="preserve">(Ji </w:t>
      </w:r>
      <w:r w:rsidR="00A249A7" w:rsidRPr="00A249A7">
        <w:rPr>
          <w:i/>
          <w:iCs/>
          <w:color w:val="000000" w:themeColor="text1"/>
        </w:rPr>
        <w:t>et al.</w:t>
      </w:r>
      <w:r w:rsidR="00A249A7" w:rsidRPr="00A249A7">
        <w:rPr>
          <w:color w:val="000000" w:themeColor="text1"/>
        </w:rPr>
        <w:t>, 2022)</w:t>
      </w:r>
      <w:r w:rsidR="00A249A7">
        <w:rPr>
          <w:color w:val="000000" w:themeColor="text1"/>
        </w:rPr>
        <w:t xml:space="preserve">. These results have strong implications for the study lasting a long time and remediating soils on Kilvey Hill. Biochar structure has made it chemically stable; due to having tiny organic structures on the surface form chemical complexes with minerals in the soil which, reduce decomposition rates with soil microorganisms </w:t>
      </w:r>
      <w:r w:rsidR="008D1167">
        <w:rPr>
          <w:color w:val="000000" w:themeColor="text1"/>
        </w:rPr>
        <w:t>(</w:t>
      </w:r>
      <w:r w:rsidR="00A249A7">
        <w:rPr>
          <w:color w:val="000000" w:themeColor="text1"/>
        </w:rPr>
        <w:t>Pan et al, 2007</w:t>
      </w:r>
      <w:r w:rsidR="008D1167">
        <w:rPr>
          <w:color w:val="000000" w:themeColor="text1"/>
        </w:rPr>
        <w:t>; as cited in Wang et al 2021</w:t>
      </w:r>
      <w:r w:rsidR="00A249A7">
        <w:rPr>
          <w:color w:val="000000" w:themeColor="text1"/>
        </w:rPr>
        <w:t>)</w:t>
      </w:r>
      <w:r w:rsidR="008D1167">
        <w:rPr>
          <w:color w:val="000000" w:themeColor="text1"/>
        </w:rPr>
        <w:t xml:space="preserve">.  Biochar has a half life of 102-107 years in the environment </w:t>
      </w:r>
      <w:r w:rsidR="008D1167" w:rsidRPr="008D1167">
        <w:rPr>
          <w:color w:val="000000" w:themeColor="text1"/>
        </w:rPr>
        <w:t>(Zimmerman, 2010)</w:t>
      </w:r>
      <w:r w:rsidR="008D1167">
        <w:rPr>
          <w:color w:val="000000" w:themeColor="text1"/>
        </w:rPr>
        <w:t>. Within the time frame of most soil remediation projects such as Kilvey Hill, biochar can be considered inert and therefore effective at remediating heavy metal</w:t>
      </w:r>
      <w:r w:rsidR="00A249A7">
        <w:rPr>
          <w:color w:val="000000" w:themeColor="text1"/>
        </w:rPr>
        <w:t xml:space="preserve"> </w:t>
      </w:r>
      <w:r w:rsidR="00A249A7" w:rsidRPr="00A249A7">
        <w:rPr>
          <w:color w:val="000000" w:themeColor="text1"/>
        </w:rPr>
        <w:t xml:space="preserve">(Sizmur </w:t>
      </w:r>
      <w:r w:rsidR="00A249A7" w:rsidRPr="00A249A7">
        <w:rPr>
          <w:i/>
          <w:iCs/>
          <w:color w:val="000000" w:themeColor="text1"/>
        </w:rPr>
        <w:t>et al.</w:t>
      </w:r>
      <w:r w:rsidR="00A249A7" w:rsidRPr="00A249A7">
        <w:rPr>
          <w:color w:val="000000" w:themeColor="text1"/>
        </w:rPr>
        <w:t>, 2015)</w:t>
      </w:r>
      <w:r w:rsidR="008D1167">
        <w:rPr>
          <w:color w:val="000000" w:themeColor="text1"/>
        </w:rPr>
        <w:t>.</w:t>
      </w:r>
    </w:p>
    <w:p w14:paraId="2E2D7860" w14:textId="34CEA9C3" w:rsidR="0063006F" w:rsidRDefault="008D1167" w:rsidP="0063006F">
      <w:r>
        <w:t xml:space="preserve">However, recent research suggests that it is less stable than previously thought. </w:t>
      </w:r>
      <w:r w:rsidR="0063006F">
        <w:t xml:space="preserve">In a study </w:t>
      </w:r>
      <w:r w:rsidR="0063006F" w:rsidRPr="0063006F">
        <w:t xml:space="preserve">de la Rosa </w:t>
      </w:r>
      <w:r w:rsidR="0063006F" w:rsidRPr="0063006F">
        <w:rPr>
          <w:i/>
          <w:iCs/>
        </w:rPr>
        <w:t>et al.</w:t>
      </w:r>
      <w:r w:rsidR="0063006F" w:rsidRPr="0063006F">
        <w:t xml:space="preserve">, (2018) it is shown that particle structure is largely broken down within 24 months when in situ. </w:t>
      </w:r>
      <w:r w:rsidR="0063006F">
        <w:t xml:space="preserve">While abiotic environmental factors do destabilise biochar, biotic microbial aging destabilise it at a faster rate </w:t>
      </w:r>
      <w:r w:rsidR="0063006F" w:rsidRPr="0063006F">
        <w:t>(Quan et al., 2020)</w:t>
      </w:r>
      <w:r w:rsidR="00675483">
        <w:t>. This means that the ideal length of study is unknown, on Kilvey Hill future research should explore the long term effectiveness of biochar.</w:t>
      </w:r>
    </w:p>
    <w:p w14:paraId="6784C1A5" w14:textId="5CC2344B" w:rsidR="00A73656" w:rsidRPr="00A73656" w:rsidRDefault="00E71D8C" w:rsidP="00A73656">
      <w:r>
        <w:t>Also, biochar improves remediation through direct adsorption</w:t>
      </w:r>
      <w:r w:rsidR="00416118">
        <w:t xml:space="preserve"> of heavy metals, it also has indirect effects on biological processes</w:t>
      </w:r>
      <w:r w:rsidR="00BA6FC7">
        <w:t xml:space="preserve">. </w:t>
      </w:r>
      <w:r w:rsidR="00A73656" w:rsidRPr="00A73656">
        <w:t xml:space="preserve">Fan </w:t>
      </w:r>
      <w:r w:rsidR="00A73656" w:rsidRPr="00A73656">
        <w:rPr>
          <w:i/>
          <w:iCs/>
        </w:rPr>
        <w:t>et al.</w:t>
      </w:r>
      <w:r w:rsidR="00A73656" w:rsidRPr="00A73656">
        <w:t xml:space="preserve"> </w:t>
      </w:r>
      <w:r w:rsidR="00BA6FC7">
        <w:t>(</w:t>
      </w:r>
      <w:r w:rsidR="00A73656" w:rsidRPr="00A73656">
        <w:t>2023)</w:t>
      </w:r>
      <w:r w:rsidR="00BA6FC7">
        <w:t xml:space="preserve"> found biochar promotes </w:t>
      </w:r>
      <w:r w:rsidR="004036C0">
        <w:t xml:space="preserve">microbial colonisation by providing </w:t>
      </w:r>
      <w:r w:rsidR="00AA2993">
        <w:t xml:space="preserve">porous habitats and nutrient rich surfaces, this enhances </w:t>
      </w:r>
      <w:r w:rsidR="000E7149">
        <w:t xml:space="preserve">contaminant immobilisation and supports vegetation growth in degraded soils </w:t>
      </w:r>
    </w:p>
    <w:p w14:paraId="008ACEC4" w14:textId="6B05CF59" w:rsidR="00C95DC3" w:rsidRDefault="00C95DC3" w:rsidP="0063006F"/>
    <w:p w14:paraId="009FA5F0" w14:textId="5331E285" w:rsidR="00B97413" w:rsidRPr="00B97413" w:rsidRDefault="00B97413" w:rsidP="00B97413">
      <w:pPr>
        <w:pStyle w:val="Heading2"/>
      </w:pPr>
      <w:bookmarkStart w:id="32" w:name="_Toc232977683"/>
      <w:r>
        <w:t>Habitat types</w:t>
      </w:r>
      <w:bookmarkEnd w:id="32"/>
    </w:p>
    <w:p w14:paraId="58C26BD5" w14:textId="59223256" w:rsidR="009D142C" w:rsidRDefault="00F37012" w:rsidP="009D142C">
      <w:pPr>
        <w:rPr>
          <w:color w:val="000000" w:themeColor="text1"/>
        </w:rPr>
      </w:pPr>
      <w:r>
        <w:rPr>
          <w:color w:val="000000" w:themeColor="text1"/>
        </w:rPr>
        <w:t>Between the different habitat types there was no statistically significant difference in copper concentrations. Because of ability of trees to phytoremediate heavy metals, this was not expected to be the case. It was hypothesised that in the wooded plots the copper concentration would be lower</w:t>
      </w:r>
      <w:r w:rsidR="009D142C">
        <w:rPr>
          <w:color w:val="000000" w:themeColor="text1"/>
        </w:rPr>
        <w:t xml:space="preserve">. Trees are naturally good at phytoremediation, however this is affected by certain physical variables such as; rooting depth, tree species and others. </w:t>
      </w:r>
      <w:r w:rsidR="009D142C" w:rsidRPr="009D142C">
        <w:rPr>
          <w:color w:val="000000" w:themeColor="text1"/>
        </w:rPr>
        <w:t xml:space="preserve">Zhang </w:t>
      </w:r>
      <w:r w:rsidR="009D142C" w:rsidRPr="009D142C">
        <w:rPr>
          <w:i/>
          <w:iCs/>
          <w:color w:val="000000" w:themeColor="text1"/>
        </w:rPr>
        <w:t>et al.</w:t>
      </w:r>
      <w:r w:rsidR="009D142C" w:rsidRPr="009D142C">
        <w:rPr>
          <w:color w:val="000000" w:themeColor="text1"/>
        </w:rPr>
        <w:t xml:space="preserve">, </w:t>
      </w:r>
      <w:r w:rsidR="009D142C">
        <w:rPr>
          <w:color w:val="000000" w:themeColor="text1"/>
        </w:rPr>
        <w:t>(</w:t>
      </w:r>
      <w:r w:rsidR="009D142C" w:rsidRPr="009D142C">
        <w:rPr>
          <w:color w:val="000000" w:themeColor="text1"/>
        </w:rPr>
        <w:t>2024)</w:t>
      </w:r>
      <w:r w:rsidR="009D142C">
        <w:rPr>
          <w:color w:val="000000" w:themeColor="text1"/>
        </w:rPr>
        <w:t xml:space="preserve"> compared 15 different woody species for copper phytoextraction and found copper concentrations in the</w:t>
      </w:r>
      <w:r w:rsidR="006A2F05">
        <w:rPr>
          <w:color w:val="000000" w:themeColor="text1"/>
        </w:rPr>
        <w:t>ir</w:t>
      </w:r>
      <w:r w:rsidR="009D142C">
        <w:rPr>
          <w:color w:val="000000" w:themeColor="text1"/>
        </w:rPr>
        <w:t xml:space="preserve"> stem tissues varied from 5.59 to 27.45 mg/kg</w:t>
      </w:r>
      <w:r w:rsidR="009D142C">
        <w:rPr>
          <w:color w:val="000000" w:themeColor="text1"/>
          <w:vertAlign w:val="superscript"/>
        </w:rPr>
        <w:t>-1</w:t>
      </w:r>
      <w:r w:rsidR="009D142C">
        <w:rPr>
          <w:color w:val="000000" w:themeColor="text1"/>
        </w:rPr>
        <w:t>.</w:t>
      </w:r>
      <w:r w:rsidR="00ED11FC">
        <w:rPr>
          <w:color w:val="000000" w:themeColor="text1"/>
        </w:rPr>
        <w:t xml:space="preserve"> They specifically found that corkscrew willow (</w:t>
      </w:r>
      <w:r w:rsidR="00ED11FC">
        <w:rPr>
          <w:i/>
          <w:iCs/>
          <w:color w:val="000000" w:themeColor="text1"/>
        </w:rPr>
        <w:t xml:space="preserve">Salix </w:t>
      </w:r>
      <w:r w:rsidR="00ED11FC" w:rsidRPr="00ED11FC">
        <w:rPr>
          <w:i/>
          <w:iCs/>
          <w:color w:val="000000" w:themeColor="text1"/>
        </w:rPr>
        <w:t>matsudana</w:t>
      </w:r>
      <w:r w:rsidR="00ED11FC">
        <w:rPr>
          <w:color w:val="000000" w:themeColor="text1"/>
        </w:rPr>
        <w:t>)</w:t>
      </w:r>
      <w:r w:rsidR="00D22D3C">
        <w:rPr>
          <w:color w:val="000000" w:themeColor="text1"/>
        </w:rPr>
        <w:t xml:space="preserve"> </w:t>
      </w:r>
      <w:r w:rsidR="00ED11FC" w:rsidRPr="00ED11FC">
        <w:rPr>
          <w:color w:val="000000" w:themeColor="text1"/>
        </w:rPr>
        <w:t xml:space="preserve">was </w:t>
      </w:r>
      <w:r w:rsidR="00ED11FC">
        <w:rPr>
          <w:color w:val="000000" w:themeColor="text1"/>
        </w:rPr>
        <w:t>one of the best at phytoremediation. A different species of willow; goat willow (</w:t>
      </w:r>
      <w:r w:rsidR="00ED11FC">
        <w:rPr>
          <w:i/>
          <w:iCs/>
          <w:color w:val="000000" w:themeColor="text1"/>
        </w:rPr>
        <w:t>Salix caprea</w:t>
      </w:r>
      <w:r w:rsidR="00ED11FC" w:rsidRPr="00ED11FC">
        <w:rPr>
          <w:color w:val="000000" w:themeColor="text1"/>
        </w:rPr>
        <w:t>)</w:t>
      </w:r>
      <w:r w:rsidR="00ED11FC">
        <w:rPr>
          <w:color w:val="000000" w:themeColor="text1"/>
        </w:rPr>
        <w:t xml:space="preserve"> and grey willow (</w:t>
      </w:r>
      <w:r w:rsidR="00ED11FC">
        <w:rPr>
          <w:i/>
          <w:iCs/>
          <w:color w:val="000000" w:themeColor="text1"/>
        </w:rPr>
        <w:t>Salix cinerea</w:t>
      </w:r>
      <w:r w:rsidR="00ED11FC">
        <w:rPr>
          <w:color w:val="000000" w:themeColor="text1"/>
        </w:rPr>
        <w:t>) are found on site, however these have not been assessed for the</w:t>
      </w:r>
      <w:r w:rsidR="008C28EC">
        <w:rPr>
          <w:color w:val="000000" w:themeColor="text1"/>
        </w:rPr>
        <w:t xml:space="preserve">ir </w:t>
      </w:r>
      <w:r w:rsidR="00ED11FC">
        <w:rPr>
          <w:color w:val="000000" w:themeColor="text1"/>
        </w:rPr>
        <w:t>phytoremediation compared with corkscrew willow.</w:t>
      </w:r>
      <w:r w:rsidR="00AB5887">
        <w:rPr>
          <w:color w:val="000000" w:themeColor="text1"/>
        </w:rPr>
        <w:t xml:space="preserve"> Rooting depth can also be a factor because deeper rooting phytoremediate more heavy metals due to having access to </w:t>
      </w:r>
      <w:r w:rsidR="00EB078D">
        <w:rPr>
          <w:color w:val="000000" w:themeColor="text1"/>
        </w:rPr>
        <w:t xml:space="preserve">more of the soil profile </w:t>
      </w:r>
      <w:r w:rsidR="009D142C" w:rsidRPr="009D142C">
        <w:rPr>
          <w:color w:val="000000" w:themeColor="text1"/>
        </w:rPr>
        <w:t xml:space="preserve">(Cosmas </w:t>
      </w:r>
      <w:r w:rsidR="009D142C" w:rsidRPr="009D142C">
        <w:rPr>
          <w:i/>
          <w:iCs/>
          <w:color w:val="000000" w:themeColor="text1"/>
        </w:rPr>
        <w:t>et al.</w:t>
      </w:r>
      <w:r w:rsidR="009D142C" w:rsidRPr="009D142C">
        <w:rPr>
          <w:color w:val="000000" w:themeColor="text1"/>
        </w:rPr>
        <w:t>, 2025)</w:t>
      </w:r>
      <w:r w:rsidR="00EB078D">
        <w:rPr>
          <w:color w:val="000000" w:themeColor="text1"/>
        </w:rPr>
        <w:t xml:space="preserve">. On Kilvey Hill, most of the tree species are coniferous meaning they have shallow root plates, the soil density is likely to be high enough to make broadleaf roots shallower </w:t>
      </w:r>
      <w:r w:rsidR="00EB078D" w:rsidRPr="00EB078D">
        <w:rPr>
          <w:color w:val="000000" w:themeColor="text1"/>
        </w:rPr>
        <w:t xml:space="preserve">(Gao </w:t>
      </w:r>
      <w:r w:rsidR="00EB078D" w:rsidRPr="00EB078D">
        <w:rPr>
          <w:i/>
          <w:iCs/>
          <w:color w:val="000000" w:themeColor="text1"/>
        </w:rPr>
        <w:t>et al.</w:t>
      </w:r>
      <w:r w:rsidR="00EB078D" w:rsidRPr="00EB078D">
        <w:rPr>
          <w:color w:val="000000" w:themeColor="text1"/>
        </w:rPr>
        <w:t>, 2016)</w:t>
      </w:r>
      <w:r w:rsidR="00EB078D">
        <w:rPr>
          <w:color w:val="000000" w:themeColor="text1"/>
        </w:rPr>
        <w:t>.</w:t>
      </w:r>
    </w:p>
    <w:p w14:paraId="259B8E04" w14:textId="2182563C" w:rsidR="00180D80" w:rsidRDefault="00180D80" w:rsidP="00180D80">
      <w:pPr>
        <w:rPr>
          <w:color w:val="000000" w:themeColor="text1"/>
        </w:rPr>
      </w:pPr>
      <w:r>
        <w:rPr>
          <w:color w:val="000000" w:themeColor="text1"/>
        </w:rPr>
        <w:t>The timing being over winter may have affected the results, as tree</w:t>
      </w:r>
      <w:r w:rsidR="00B60559">
        <w:rPr>
          <w:color w:val="000000" w:themeColor="text1"/>
        </w:rPr>
        <w:t>s</w:t>
      </w:r>
      <w:r>
        <w:rPr>
          <w:color w:val="000000" w:themeColor="text1"/>
        </w:rPr>
        <w:t xml:space="preserve"> go dormant over winter </w:t>
      </w:r>
      <w:r w:rsidRPr="00180D80">
        <w:rPr>
          <w:color w:val="000000" w:themeColor="text1"/>
        </w:rPr>
        <w:t>(Nilsson, 2022)</w:t>
      </w:r>
      <w:r>
        <w:rPr>
          <w:color w:val="000000" w:themeColor="text1"/>
        </w:rPr>
        <w:t xml:space="preserve">. Dormancy in trees means that phytoremediation is reduced, this is reflected in the </w:t>
      </w:r>
      <w:r>
        <w:rPr>
          <w:color w:val="000000" w:themeColor="text1"/>
        </w:rPr>
        <w:lastRenderedPageBreak/>
        <w:t xml:space="preserve">literature as </w:t>
      </w:r>
      <w:r w:rsidRPr="00180D80">
        <w:rPr>
          <w:color w:val="000000" w:themeColor="text1"/>
        </w:rPr>
        <w:t xml:space="preserve">Rahman </w:t>
      </w:r>
      <w:r w:rsidRPr="00180D80">
        <w:rPr>
          <w:i/>
          <w:iCs/>
          <w:color w:val="000000" w:themeColor="text1"/>
        </w:rPr>
        <w:t>et al.</w:t>
      </w:r>
      <w:r w:rsidRPr="00180D80">
        <w:rPr>
          <w:color w:val="000000" w:themeColor="text1"/>
        </w:rPr>
        <w:t>,</w:t>
      </w:r>
      <w:r>
        <w:rPr>
          <w:color w:val="000000" w:themeColor="text1"/>
        </w:rPr>
        <w:t>(</w:t>
      </w:r>
      <w:r w:rsidRPr="00180D80">
        <w:rPr>
          <w:color w:val="000000" w:themeColor="text1"/>
        </w:rPr>
        <w:t>2022)</w:t>
      </w:r>
      <w:r>
        <w:rPr>
          <w:color w:val="000000" w:themeColor="text1"/>
        </w:rPr>
        <w:t xml:space="preserve"> found that tree</w:t>
      </w:r>
      <w:r w:rsidR="00B60559">
        <w:rPr>
          <w:color w:val="000000" w:themeColor="text1"/>
        </w:rPr>
        <w:t>s</w:t>
      </w:r>
      <w:r>
        <w:rPr>
          <w:color w:val="000000" w:themeColor="text1"/>
        </w:rPr>
        <w:t xml:space="preserve"> remediate heavy metals at a higher rate in the summer rather than the winter (see figure </w:t>
      </w:r>
      <w:r w:rsidR="004545F0">
        <w:rPr>
          <w:color w:val="000000" w:themeColor="text1"/>
        </w:rPr>
        <w:t>7.6.1</w:t>
      </w:r>
      <w:r>
        <w:rPr>
          <w:color w:val="000000" w:themeColor="text1"/>
        </w:rPr>
        <w:t>)</w:t>
      </w:r>
    </w:p>
    <w:p w14:paraId="6EF896E1" w14:textId="56FB9BB3" w:rsidR="00180D80" w:rsidRPr="00180D80" w:rsidRDefault="00180D80" w:rsidP="00180D80">
      <w:pPr>
        <w:rPr>
          <w:color w:val="000000" w:themeColor="text1"/>
        </w:rPr>
      </w:pPr>
      <w:r w:rsidRPr="00180D80">
        <w:rPr>
          <w:noProof/>
          <w:color w:val="000000" w:themeColor="text1"/>
        </w:rPr>
        <w:drawing>
          <wp:inline distT="0" distB="0" distL="0" distR="0" wp14:anchorId="0D90FF9E" wp14:editId="52D3E0F8">
            <wp:extent cx="5731510" cy="4777105"/>
            <wp:effectExtent l="0" t="0" r="2540" b="4445"/>
            <wp:docPr id="1711280577" name="Picture 1" descr="The image appears to be a table or chart comparing the Cd (Cadmium) contents in different types of leaves (C. erectus, C. fistula, A. indica, P. deltoides, and E. camaldulensis) across various seasons (Industrial, Residential, Summer, Winter) and different conditions (e.g., B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280577" name="Picture 1" descr="The image appears to be a table or chart comparing the Cd (Cadmium) contents in different types of leaves (C. erectus, C. fistula, A. indica, P. deltoides, and E. camaldulensis) across various seasons (Industrial, Residential, Summer, Winter) and different conditions (e.g., Bark).&#10;&#10;AI-generated content may be incorrect."/>
                    <pic:cNvPicPr/>
                  </pic:nvPicPr>
                  <pic:blipFill>
                    <a:blip r:embed="rId32"/>
                    <a:stretch>
                      <a:fillRect/>
                    </a:stretch>
                  </pic:blipFill>
                  <pic:spPr>
                    <a:xfrm>
                      <a:off x="0" y="0"/>
                      <a:ext cx="5731510" cy="4777105"/>
                    </a:xfrm>
                    <a:prstGeom prst="rect">
                      <a:avLst/>
                    </a:prstGeom>
                  </pic:spPr>
                </pic:pic>
              </a:graphicData>
            </a:graphic>
          </wp:inline>
        </w:drawing>
      </w:r>
      <w:r>
        <w:rPr>
          <w:color w:val="000000" w:themeColor="text1"/>
        </w:rPr>
        <w:t xml:space="preserve"> </w:t>
      </w:r>
    </w:p>
    <w:p w14:paraId="66AA707B" w14:textId="13DA9E4B" w:rsidR="00180D80" w:rsidRPr="00180D80" w:rsidRDefault="00180D80" w:rsidP="00180D80">
      <w:pPr>
        <w:pStyle w:val="Caption"/>
      </w:pPr>
      <w:bookmarkStart w:id="33" w:name="_Toc232977751"/>
      <w:r>
        <w:t xml:space="preserve">Fig </w:t>
      </w:r>
      <w:r w:rsidR="00311092">
        <w:t>7.</w:t>
      </w:r>
      <w:r>
        <w:t xml:space="preserve">6.1: summer vs winter cadmium concentrations in </w:t>
      </w:r>
      <w:r w:rsidRPr="00180D80">
        <w:t>trees (Rahman et al.,2022)</w:t>
      </w:r>
      <w:bookmarkEnd w:id="33"/>
    </w:p>
    <w:p w14:paraId="57400A19" w14:textId="11E80310" w:rsidR="00B97413" w:rsidRPr="00B97413" w:rsidRDefault="00180D80" w:rsidP="00B97413">
      <w:pPr>
        <w:rPr>
          <w:color w:val="000000" w:themeColor="text1"/>
        </w:rPr>
      </w:pPr>
      <w:r>
        <w:rPr>
          <w:color w:val="000000" w:themeColor="text1"/>
        </w:rPr>
        <w:t>As discussed above the study length may have affected this, it is possible that a longer study would show the expected trends.</w:t>
      </w:r>
      <w:r w:rsidR="00D22D3C" w:rsidRPr="00D22D3C">
        <w:t xml:space="preserve"> </w:t>
      </w:r>
      <w:r w:rsidR="00D22D3C" w:rsidRPr="00D22D3C">
        <w:rPr>
          <w:color w:val="000000" w:themeColor="text1"/>
        </w:rPr>
        <w:t>It is also important to recognise that habitat classifications can simplify environmental variation that exists within individual sites. Although plots were grouped into broad habitat categories, local differences in canopy cover, soil depth, organic matter content, drainage characteristics and historical disturbance may still have influenced remediation outcomes. These small-scale differences are often difficult to account for in field studies but can affect the movement and availability of heavy metals within soils. Consequently, while habitat type did not have a statistically significant effect within this study, it remains possible that more detailed measurements of site characteristics would reveal subtle environmental influences on remediation effectiveness.</w:t>
      </w:r>
    </w:p>
    <w:p w14:paraId="739CEF3D" w14:textId="46874985" w:rsidR="005D38E0" w:rsidRPr="00341A0B" w:rsidRDefault="00D72B59" w:rsidP="005D38E0">
      <w:pPr>
        <w:rPr>
          <w:color w:val="000000" w:themeColor="text1"/>
        </w:rPr>
      </w:pPr>
      <w:r>
        <w:rPr>
          <w:color w:val="000000" w:themeColor="text1"/>
        </w:rPr>
        <w:t>High precipitation events accelerate the redistribution of heavy metals in soils</w:t>
      </w:r>
      <w:r w:rsidR="004501FD">
        <w:rPr>
          <w:color w:val="000000" w:themeColor="text1"/>
        </w:rPr>
        <w:t xml:space="preserve"> </w:t>
      </w:r>
      <w:r w:rsidRPr="00D72B59">
        <w:rPr>
          <w:color w:val="000000" w:themeColor="text1"/>
        </w:rPr>
        <w:t>(Ramos-Romero, Benavides-Rosales and Peña-Chamorro, 2026)</w:t>
      </w:r>
      <w:r>
        <w:rPr>
          <w:color w:val="000000" w:themeColor="text1"/>
        </w:rPr>
        <w:t>.</w:t>
      </w:r>
      <w:r w:rsidR="004501FD">
        <w:rPr>
          <w:color w:val="000000" w:themeColor="text1"/>
        </w:rPr>
        <w:t xml:space="preserve"> </w:t>
      </w:r>
      <w:r w:rsidR="005D38E0">
        <w:rPr>
          <w:color w:val="000000" w:themeColor="text1"/>
        </w:rPr>
        <w:t>Swansea has been hit by multiple large storms such as</w:t>
      </w:r>
      <w:r w:rsidR="005D38E0" w:rsidRPr="005D38E0">
        <w:rPr>
          <w:color w:val="000000" w:themeColor="text1"/>
        </w:rPr>
        <w:t xml:space="preserve"> </w:t>
      </w:r>
      <w:r w:rsidR="005D38E0">
        <w:rPr>
          <w:color w:val="000000" w:themeColor="text1"/>
        </w:rPr>
        <w:t xml:space="preserve">Storm Bram, Goretti, Chandra </w:t>
      </w:r>
      <w:r w:rsidR="005D38E0" w:rsidRPr="00341A0B">
        <w:rPr>
          <w:color w:val="000000" w:themeColor="text1"/>
        </w:rPr>
        <w:t>(Met Office, 2025)</w:t>
      </w:r>
      <w:r w:rsidR="005D38E0">
        <w:rPr>
          <w:color w:val="000000" w:themeColor="text1"/>
        </w:rPr>
        <w:t>, in addi</w:t>
      </w:r>
      <w:r>
        <w:rPr>
          <w:color w:val="000000" w:themeColor="text1"/>
        </w:rPr>
        <w:t xml:space="preserve">tion between December 2025 and February 2026 Swansea received upto 130% of the average rainfall see figure </w:t>
      </w:r>
      <w:r w:rsidR="001E11A2">
        <w:rPr>
          <w:color w:val="000000" w:themeColor="text1"/>
        </w:rPr>
        <w:t>8</w:t>
      </w:r>
      <w:r w:rsidR="004501FD">
        <w:rPr>
          <w:color w:val="000000" w:themeColor="text1"/>
        </w:rPr>
        <w:t>.6.2</w:t>
      </w:r>
      <w:r>
        <w:rPr>
          <w:color w:val="000000" w:themeColor="text1"/>
        </w:rPr>
        <w:t xml:space="preserve"> This could of affected the results in fairly unpredictable ways.</w:t>
      </w:r>
    </w:p>
    <w:p w14:paraId="6DD44EB0" w14:textId="3D1AB938" w:rsidR="009D142C" w:rsidRDefault="00341A0B" w:rsidP="00A249A7">
      <w:pPr>
        <w:rPr>
          <w:color w:val="000000" w:themeColor="text1"/>
        </w:rPr>
      </w:pPr>
      <w:r>
        <w:rPr>
          <w:noProof/>
        </w:rPr>
        <w:lastRenderedPageBreak/>
        <w:drawing>
          <wp:inline distT="0" distB="0" distL="0" distR="0" wp14:anchorId="533A1F73" wp14:editId="59E83A8A">
            <wp:extent cx="5207000" cy="7334250"/>
            <wp:effectExtent l="0" t="0" r="0" b="0"/>
            <wp:docPr id="2089984677" name="Picture 3" descr="map showing rainfall across UK December to 25 February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p showing rainfall across UK December to 25 February 20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07000" cy="7334250"/>
                    </a:xfrm>
                    <a:prstGeom prst="rect">
                      <a:avLst/>
                    </a:prstGeom>
                    <a:noFill/>
                    <a:ln>
                      <a:noFill/>
                    </a:ln>
                  </pic:spPr>
                </pic:pic>
              </a:graphicData>
            </a:graphic>
          </wp:inline>
        </w:drawing>
      </w:r>
    </w:p>
    <w:p w14:paraId="0FC1A4C6" w14:textId="455E2B10" w:rsidR="00341A0B" w:rsidRDefault="00D72B59" w:rsidP="00341A0B">
      <w:pPr>
        <w:pStyle w:val="Caption"/>
      </w:pPr>
      <w:bookmarkStart w:id="34" w:name="_Toc232977752"/>
      <w:r>
        <w:t xml:space="preserve">Fig </w:t>
      </w:r>
      <w:r w:rsidR="001E11A2">
        <w:t>8</w:t>
      </w:r>
      <w:r w:rsidR="00311092">
        <w:t>.</w:t>
      </w:r>
      <w:r>
        <w:t>6.2: a weather map showing UK rainfall between December and February.</w:t>
      </w:r>
      <w:r w:rsidR="00341A0B" w:rsidRPr="00341A0B">
        <w:t>(Met Office, 2026)</w:t>
      </w:r>
      <w:bookmarkEnd w:id="34"/>
    </w:p>
    <w:p w14:paraId="64F4E631" w14:textId="3FC5A55C" w:rsidR="00B97413" w:rsidRPr="00B97413" w:rsidRDefault="00B97413" w:rsidP="00B97413">
      <w:pPr>
        <w:pStyle w:val="Heading2"/>
      </w:pPr>
      <w:bookmarkStart w:id="35" w:name="_Toc232977684"/>
      <w:r>
        <w:t>pH</w:t>
      </w:r>
      <w:bookmarkEnd w:id="35"/>
      <w:r>
        <w:t xml:space="preserve"> </w:t>
      </w:r>
    </w:p>
    <w:p w14:paraId="3D97809A" w14:textId="3FD377BB" w:rsidR="00F035F2" w:rsidRPr="00F035F2" w:rsidRDefault="008A0361" w:rsidP="00F035F2">
      <w:pPr>
        <w:rPr>
          <w:color w:val="000000" w:themeColor="text1"/>
        </w:rPr>
      </w:pPr>
      <w:r>
        <w:rPr>
          <w:color w:val="000000" w:themeColor="text1"/>
        </w:rPr>
        <w:t>The pH was found to decrease significantly in the test plots throughout the study. Also, it was found to significantly decrease in the control plots between four to eight months.</w:t>
      </w:r>
      <w:r w:rsidR="00143CF6">
        <w:rPr>
          <w:color w:val="000000" w:themeColor="text1"/>
        </w:rPr>
        <w:t xml:space="preserve"> These results are unexpected as under most studies</w:t>
      </w:r>
      <w:r w:rsidR="00866EB5">
        <w:rPr>
          <w:color w:val="000000" w:themeColor="text1"/>
        </w:rPr>
        <w:t xml:space="preserve"> pH is found to increase making it more alkaline </w:t>
      </w:r>
      <w:r w:rsidR="00866EB5" w:rsidRPr="00866EB5">
        <w:rPr>
          <w:color w:val="000000" w:themeColor="text1"/>
        </w:rPr>
        <w:t xml:space="preserve">(Zhang </w:t>
      </w:r>
      <w:r w:rsidR="00866EB5" w:rsidRPr="00866EB5">
        <w:rPr>
          <w:i/>
          <w:iCs/>
          <w:color w:val="000000" w:themeColor="text1"/>
        </w:rPr>
        <w:t>et al.</w:t>
      </w:r>
      <w:r w:rsidR="00866EB5" w:rsidRPr="00866EB5">
        <w:rPr>
          <w:color w:val="000000" w:themeColor="text1"/>
        </w:rPr>
        <w:t>, 2023)</w:t>
      </w:r>
      <w:r w:rsidR="00866EB5">
        <w:rPr>
          <w:color w:val="000000" w:themeColor="text1"/>
        </w:rPr>
        <w:t>. This is because soil has positively charged hydrogen ions (H</w:t>
      </w:r>
      <w:r w:rsidR="00866EB5">
        <w:rPr>
          <w:color w:val="000000" w:themeColor="text1"/>
          <w:vertAlign w:val="superscript"/>
        </w:rPr>
        <w:t>+</w:t>
      </w:r>
      <w:r w:rsidR="00866EB5">
        <w:rPr>
          <w:color w:val="000000" w:themeColor="text1"/>
        </w:rPr>
        <w:t>), biochar contains negatively charged hydroxyl and phenol groups, this is cancelling out the H</w:t>
      </w:r>
      <w:r w:rsidR="00866EB5">
        <w:rPr>
          <w:color w:val="000000" w:themeColor="text1"/>
          <w:vertAlign w:val="superscript"/>
        </w:rPr>
        <w:t>+</w:t>
      </w:r>
      <w:r w:rsidR="00866EB5">
        <w:rPr>
          <w:color w:val="000000" w:themeColor="text1"/>
        </w:rPr>
        <w:t xml:space="preserve"> which increases alkalinity </w:t>
      </w:r>
      <w:r w:rsidR="00866EB5" w:rsidRPr="00866EB5">
        <w:rPr>
          <w:color w:val="000000" w:themeColor="text1"/>
        </w:rPr>
        <w:t xml:space="preserve">(Zheng </w:t>
      </w:r>
      <w:r w:rsidR="00866EB5" w:rsidRPr="00866EB5">
        <w:rPr>
          <w:i/>
          <w:iCs/>
          <w:color w:val="000000" w:themeColor="text1"/>
        </w:rPr>
        <w:t xml:space="preserve">et </w:t>
      </w:r>
      <w:r w:rsidR="00866EB5" w:rsidRPr="00866EB5">
        <w:rPr>
          <w:i/>
          <w:iCs/>
          <w:color w:val="000000" w:themeColor="text1"/>
        </w:rPr>
        <w:lastRenderedPageBreak/>
        <w:t>al.</w:t>
      </w:r>
      <w:r w:rsidR="00866EB5" w:rsidRPr="00866EB5">
        <w:rPr>
          <w:color w:val="000000" w:themeColor="text1"/>
        </w:rPr>
        <w:t>, 2022)</w:t>
      </w:r>
      <w:r w:rsidR="00866EB5">
        <w:rPr>
          <w:color w:val="000000" w:themeColor="text1"/>
        </w:rPr>
        <w:t>.</w:t>
      </w:r>
      <w:r w:rsidR="00F035F2">
        <w:rPr>
          <w:color w:val="000000" w:themeColor="text1"/>
        </w:rPr>
        <w:t xml:space="preserve"> Biochar has alkaline properties, high pH and pH buffering capacity </w:t>
      </w:r>
      <w:r w:rsidR="00F035F2" w:rsidRPr="00F035F2">
        <w:rPr>
          <w:color w:val="000000" w:themeColor="text1"/>
        </w:rPr>
        <w:t xml:space="preserve">(Dai </w:t>
      </w:r>
      <w:r w:rsidR="00F035F2" w:rsidRPr="00F035F2">
        <w:rPr>
          <w:i/>
          <w:iCs/>
          <w:color w:val="000000" w:themeColor="text1"/>
        </w:rPr>
        <w:t>et al.</w:t>
      </w:r>
      <w:r w:rsidR="00F035F2" w:rsidRPr="00F035F2">
        <w:rPr>
          <w:color w:val="000000" w:themeColor="text1"/>
        </w:rPr>
        <w:t xml:space="preserve">, </w:t>
      </w:r>
      <w:r w:rsidR="00F035F2" w:rsidRPr="00511328">
        <w:rPr>
          <w:color w:val="000000" w:themeColor="text1"/>
        </w:rPr>
        <w:t>2017).</w:t>
      </w:r>
      <w:r w:rsidR="00511328">
        <w:rPr>
          <w:rFonts w:ascii="Merriweather" w:hAnsi="Merriweather"/>
          <w:color w:val="222222"/>
          <w:sz w:val="27"/>
          <w:szCs w:val="27"/>
          <w:shd w:val="clear" w:color="auto" w:fill="FFFFFF"/>
        </w:rPr>
        <w:t xml:space="preserve"> </w:t>
      </w:r>
      <w:r w:rsidR="00F035F2" w:rsidRPr="00511328">
        <w:rPr>
          <w:color w:val="000000" w:themeColor="text1"/>
        </w:rPr>
        <w:t>The</w:t>
      </w:r>
      <w:r w:rsidR="00F035F2" w:rsidRPr="00F035F2">
        <w:rPr>
          <w:color w:val="000000" w:themeColor="text1"/>
        </w:rPr>
        <w:t xml:space="preserve"> </w:t>
      </w:r>
      <w:r w:rsidR="00F035F2">
        <w:rPr>
          <w:color w:val="000000" w:themeColor="text1"/>
        </w:rPr>
        <w:t xml:space="preserve">alkaline </w:t>
      </w:r>
      <w:r w:rsidR="00F035F2" w:rsidRPr="00F035F2">
        <w:rPr>
          <w:color w:val="000000" w:themeColor="text1"/>
        </w:rPr>
        <w:t>cations (Ca, Mg, K and Na oxides, hydroxides and carbonates) contained in biochar ash can exchange and react with soil acidity </w:t>
      </w:r>
      <w:r w:rsidR="00F035F2">
        <w:rPr>
          <w:color w:val="000000" w:themeColor="text1"/>
        </w:rPr>
        <w:t>on the surface of the soil particles</w:t>
      </w:r>
      <w:r w:rsidR="004B2725">
        <w:rPr>
          <w:color w:val="000000" w:themeColor="text1"/>
        </w:rPr>
        <w:t xml:space="preserve"> </w:t>
      </w:r>
      <w:r w:rsidR="004B2725" w:rsidRPr="004B2725">
        <w:rPr>
          <w:color w:val="000000" w:themeColor="text1"/>
        </w:rPr>
        <w:t xml:space="preserve">(Novak </w:t>
      </w:r>
      <w:r w:rsidR="004B2725" w:rsidRPr="004B2725">
        <w:rPr>
          <w:i/>
          <w:iCs/>
          <w:color w:val="000000" w:themeColor="text1"/>
        </w:rPr>
        <w:t>et al.</w:t>
      </w:r>
      <w:r w:rsidR="004B2725" w:rsidRPr="004B2725">
        <w:rPr>
          <w:color w:val="000000" w:themeColor="text1"/>
        </w:rPr>
        <w:t>, 2009)</w:t>
      </w:r>
      <w:r w:rsidR="004B2725">
        <w:rPr>
          <w:color w:val="000000" w:themeColor="text1"/>
        </w:rPr>
        <w:t xml:space="preserve">. </w:t>
      </w:r>
      <w:r w:rsidR="00866EB5">
        <w:rPr>
          <w:color w:val="000000" w:themeColor="text1"/>
        </w:rPr>
        <w:t xml:space="preserve">This is true for majority of cases </w:t>
      </w:r>
      <w:r w:rsidR="00F035F2" w:rsidRPr="00F035F2">
        <w:rPr>
          <w:color w:val="000000" w:themeColor="text1"/>
        </w:rPr>
        <w:t xml:space="preserve">(Zhang, Xing, </w:t>
      </w:r>
      <w:r w:rsidR="00F035F2" w:rsidRPr="00F035F2">
        <w:rPr>
          <w:i/>
          <w:iCs/>
          <w:color w:val="000000" w:themeColor="text1"/>
        </w:rPr>
        <w:t>et al.</w:t>
      </w:r>
      <w:r w:rsidR="00F035F2" w:rsidRPr="00F035F2">
        <w:rPr>
          <w:color w:val="000000" w:themeColor="text1"/>
        </w:rPr>
        <w:t>, 2025)</w:t>
      </w:r>
      <w:r w:rsidR="00F035F2">
        <w:rPr>
          <w:color w:val="000000" w:themeColor="text1"/>
        </w:rPr>
        <w:t>.</w:t>
      </w:r>
      <w:r w:rsidR="004F7CB8">
        <w:rPr>
          <w:color w:val="000000" w:themeColor="text1"/>
        </w:rPr>
        <w:t xml:space="preserve"> This would be beneficial to the wider environment because acidification of soils stunts plant growth</w:t>
      </w:r>
      <w:r w:rsidR="00617035" w:rsidRPr="00617035">
        <w:rPr>
          <w:rFonts w:ascii="Times New Roman" w:eastAsia="Times New Roman" w:hAnsi="Times New Roman" w:cs="Times New Roman"/>
          <w:sz w:val="24"/>
          <w:szCs w:val="24"/>
          <w:lang w:eastAsia="en-GB"/>
        </w:rPr>
        <w:t xml:space="preserve"> </w:t>
      </w:r>
      <w:r w:rsidR="00617035" w:rsidRPr="00617035">
        <w:rPr>
          <w:color w:val="000000" w:themeColor="text1"/>
        </w:rPr>
        <w:t xml:space="preserve">(Cheng </w:t>
      </w:r>
      <w:r w:rsidR="00617035" w:rsidRPr="00617035">
        <w:rPr>
          <w:i/>
          <w:iCs/>
          <w:color w:val="000000" w:themeColor="text1"/>
        </w:rPr>
        <w:t>et al.</w:t>
      </w:r>
      <w:r w:rsidR="00617035" w:rsidRPr="00617035">
        <w:rPr>
          <w:color w:val="000000" w:themeColor="text1"/>
        </w:rPr>
        <w:t>, 2025)</w:t>
      </w:r>
      <w:r w:rsidR="00617035">
        <w:rPr>
          <w:color w:val="000000" w:themeColor="text1"/>
        </w:rPr>
        <w:t xml:space="preserve">. Soil acidification reduces soil carrying capacity which has a impact on global carbon sequestration efforts </w:t>
      </w:r>
      <w:r w:rsidR="00617035" w:rsidRPr="00617035">
        <w:rPr>
          <w:color w:val="000000" w:themeColor="text1"/>
        </w:rPr>
        <w:t xml:space="preserve">(Raza </w:t>
      </w:r>
      <w:r w:rsidR="00617035" w:rsidRPr="00617035">
        <w:rPr>
          <w:i/>
          <w:iCs/>
          <w:color w:val="000000" w:themeColor="text1"/>
        </w:rPr>
        <w:t>et al.</w:t>
      </w:r>
      <w:r w:rsidR="00617035" w:rsidRPr="00617035">
        <w:rPr>
          <w:color w:val="000000" w:themeColor="text1"/>
        </w:rPr>
        <w:t>, 2021)</w:t>
      </w:r>
      <w:r w:rsidR="00617035">
        <w:rPr>
          <w:color w:val="000000" w:themeColor="text1"/>
        </w:rPr>
        <w:t>.</w:t>
      </w:r>
    </w:p>
    <w:p w14:paraId="243E9F5C" w14:textId="110D08B7" w:rsidR="00866EB5" w:rsidRDefault="00F035F2" w:rsidP="00866EB5">
      <w:pPr>
        <w:rPr>
          <w:color w:val="000000" w:themeColor="text1"/>
        </w:rPr>
      </w:pPr>
      <w:r>
        <w:rPr>
          <w:color w:val="000000" w:themeColor="text1"/>
        </w:rPr>
        <w:t xml:space="preserve">There are numerous reasons for this result to have occurred </w:t>
      </w:r>
      <w:r w:rsidR="004B2725">
        <w:rPr>
          <w:color w:val="000000" w:themeColor="text1"/>
        </w:rPr>
        <w:t>such as leaching, h</w:t>
      </w:r>
      <w:r w:rsidR="004B2725" w:rsidRPr="004B2725">
        <w:rPr>
          <w:color w:val="000000" w:themeColor="text1"/>
        </w:rPr>
        <w:t xml:space="preserve">igh rainfall can directly lead to the loss of </w:t>
      </w:r>
      <w:r w:rsidR="004B2725">
        <w:rPr>
          <w:color w:val="000000" w:themeColor="text1"/>
        </w:rPr>
        <w:t>alkaline</w:t>
      </w:r>
      <w:r w:rsidR="004B2725" w:rsidRPr="004B2725">
        <w:rPr>
          <w:color w:val="000000" w:themeColor="text1"/>
        </w:rPr>
        <w:t xml:space="preserve"> cations through surface runoff or leaching</w:t>
      </w:r>
      <w:r w:rsidR="004B2725">
        <w:rPr>
          <w:color w:val="000000" w:themeColor="text1"/>
        </w:rPr>
        <w:t xml:space="preserve">, the opposite is also true for areas with low rainfall and high temperatures having an accumulation of alkaline cations </w:t>
      </w:r>
      <w:r w:rsidR="004B2725" w:rsidRPr="004B2725">
        <w:rPr>
          <w:color w:val="000000" w:themeColor="text1"/>
        </w:rPr>
        <w:t xml:space="preserve">(Sun </w:t>
      </w:r>
      <w:r w:rsidR="004B2725" w:rsidRPr="004B2725">
        <w:rPr>
          <w:i/>
          <w:iCs/>
          <w:color w:val="000000" w:themeColor="text1"/>
        </w:rPr>
        <w:t>et al.</w:t>
      </w:r>
      <w:r w:rsidR="004B2725" w:rsidRPr="004B2725">
        <w:rPr>
          <w:color w:val="000000" w:themeColor="text1"/>
        </w:rPr>
        <w:t>, 2023)</w:t>
      </w:r>
      <w:r w:rsidR="004B2725">
        <w:rPr>
          <w:color w:val="000000" w:themeColor="text1"/>
        </w:rPr>
        <w:t xml:space="preserve">. There was high rainfall on Kilvey Hill day of the last collection (see figure </w:t>
      </w:r>
      <w:r w:rsidR="000974CE">
        <w:rPr>
          <w:color w:val="000000" w:themeColor="text1"/>
        </w:rPr>
        <w:t>8</w:t>
      </w:r>
      <w:r w:rsidR="004B2725">
        <w:rPr>
          <w:color w:val="000000" w:themeColor="text1"/>
        </w:rPr>
        <w:t>.6.2)</w:t>
      </w:r>
      <w:r w:rsidR="008E715A">
        <w:rPr>
          <w:color w:val="000000" w:themeColor="text1"/>
        </w:rPr>
        <w:t xml:space="preserve"> which means there </w:t>
      </w:r>
      <w:r w:rsidR="00A37F6D">
        <w:rPr>
          <w:color w:val="000000" w:themeColor="text1"/>
        </w:rPr>
        <w:t xml:space="preserve">may have been a temporary leaching effect that could have effected the results </w:t>
      </w:r>
    </w:p>
    <w:p w14:paraId="359CB5C1" w14:textId="21985441" w:rsidR="00B77107" w:rsidRDefault="00A12597" w:rsidP="00866EB5">
      <w:pPr>
        <w:rPr>
          <w:color w:val="000000" w:themeColor="text1"/>
        </w:rPr>
      </w:pPr>
      <w:r w:rsidRPr="00A12597">
        <w:rPr>
          <w:color w:val="000000" w:themeColor="text1"/>
        </w:rPr>
        <w:t>Although biochar commonly increases soil pH through the release of alkaline cations and ash-derived minerals, the</w:t>
      </w:r>
      <w:r>
        <w:rPr>
          <w:color w:val="000000" w:themeColor="text1"/>
        </w:rPr>
        <w:t xml:space="preserve"> </w:t>
      </w:r>
      <w:r w:rsidR="00BB2DE8">
        <w:rPr>
          <w:color w:val="000000" w:themeColor="text1"/>
        </w:rPr>
        <w:t xml:space="preserve">effectiveness </w:t>
      </w:r>
      <w:r w:rsidR="008A5543">
        <w:rPr>
          <w:color w:val="000000" w:themeColor="text1"/>
        </w:rPr>
        <w:t xml:space="preserve">of this depends more on the feedstock type and </w:t>
      </w:r>
      <w:r w:rsidR="005C30F9">
        <w:rPr>
          <w:color w:val="000000" w:themeColor="text1"/>
        </w:rPr>
        <w:t>pyrolysis temperature</w:t>
      </w:r>
      <w:r w:rsidR="001A2AED">
        <w:rPr>
          <w:color w:val="000000" w:themeColor="text1"/>
        </w:rPr>
        <w:t xml:space="preserve">. Biochar derived from woody biomass </w:t>
      </w:r>
      <w:r w:rsidR="00EF2CB6">
        <w:rPr>
          <w:color w:val="000000" w:themeColor="text1"/>
        </w:rPr>
        <w:t>contains a lower ash content than manure and therefore exhi</w:t>
      </w:r>
      <w:r w:rsidR="00E76C1E">
        <w:rPr>
          <w:color w:val="000000" w:themeColor="text1"/>
        </w:rPr>
        <w:t>bits weaker liming effects</w:t>
      </w:r>
      <w:r w:rsidR="00BE403D">
        <w:rPr>
          <w:color w:val="000000" w:themeColor="text1"/>
        </w:rPr>
        <w:t xml:space="preserve"> </w:t>
      </w:r>
      <w:r w:rsidR="000742CE" w:rsidRPr="000742CE">
        <w:rPr>
          <w:color w:val="000000" w:themeColor="text1"/>
        </w:rPr>
        <w:t xml:space="preserve">(Liang </w:t>
      </w:r>
      <w:r w:rsidR="000742CE" w:rsidRPr="000742CE">
        <w:rPr>
          <w:i/>
          <w:iCs/>
          <w:color w:val="000000" w:themeColor="text1"/>
        </w:rPr>
        <w:t>et al.</w:t>
      </w:r>
      <w:r w:rsidR="000742CE" w:rsidRPr="000742CE">
        <w:rPr>
          <w:color w:val="000000" w:themeColor="text1"/>
        </w:rPr>
        <w:t>, 2021)</w:t>
      </w:r>
      <w:r w:rsidR="00E76C1E">
        <w:rPr>
          <w:color w:val="000000" w:themeColor="text1"/>
        </w:rPr>
        <w:t>.</w:t>
      </w:r>
    </w:p>
    <w:p w14:paraId="7053BE72" w14:textId="77777777" w:rsidR="002A58CE" w:rsidRDefault="00BC4F4A" w:rsidP="00866EB5">
      <w:pPr>
        <w:rPr>
          <w:color w:val="000000" w:themeColor="text1"/>
        </w:rPr>
      </w:pPr>
      <w:r>
        <w:rPr>
          <w:color w:val="000000" w:themeColor="text1"/>
        </w:rPr>
        <w:t xml:space="preserve">Biochar derived from manure has a higher ash content which is directly linked to pH due to having more alkaline cations than wood derived biochar </w:t>
      </w:r>
      <w:r w:rsidRPr="00BC4F4A">
        <w:rPr>
          <w:color w:val="000000" w:themeColor="text1"/>
        </w:rPr>
        <w:t xml:space="preserve">(Ippolito </w:t>
      </w:r>
      <w:r w:rsidRPr="00BC4F4A">
        <w:rPr>
          <w:i/>
          <w:iCs/>
          <w:color w:val="000000" w:themeColor="text1"/>
        </w:rPr>
        <w:t>et al.</w:t>
      </w:r>
      <w:r w:rsidRPr="00BC4F4A">
        <w:rPr>
          <w:color w:val="000000" w:themeColor="text1"/>
        </w:rPr>
        <w:t>, 2020)</w:t>
      </w:r>
      <w:r>
        <w:rPr>
          <w:color w:val="000000" w:themeColor="text1"/>
        </w:rPr>
        <w:t xml:space="preserve">. </w:t>
      </w:r>
      <w:r w:rsidR="00625A07">
        <w:rPr>
          <w:color w:val="000000" w:themeColor="text1"/>
        </w:rPr>
        <w:t>The biochar used in this study was derived from woody biomass meaning that the expected increase wouldn’t be as high.</w:t>
      </w:r>
      <w:r w:rsidR="002A58CE">
        <w:rPr>
          <w:color w:val="000000" w:themeColor="text1"/>
        </w:rPr>
        <w:t xml:space="preserve"> Biochar applied with an organic nitrogen fertiliser would be found to increase soil pH </w:t>
      </w:r>
      <w:r w:rsidR="002A58CE" w:rsidRPr="002A58CE">
        <w:rPr>
          <w:color w:val="000000" w:themeColor="text1"/>
        </w:rPr>
        <w:t xml:space="preserve">(Zhang, Xing, </w:t>
      </w:r>
      <w:r w:rsidR="002A58CE" w:rsidRPr="002A58CE">
        <w:rPr>
          <w:i/>
          <w:iCs/>
          <w:color w:val="000000" w:themeColor="text1"/>
        </w:rPr>
        <w:t>et al.</w:t>
      </w:r>
      <w:r w:rsidR="002A58CE" w:rsidRPr="002A58CE">
        <w:rPr>
          <w:color w:val="000000" w:themeColor="text1"/>
        </w:rPr>
        <w:t>, 2025)</w:t>
      </w:r>
      <w:r w:rsidR="002A58CE">
        <w:rPr>
          <w:color w:val="000000" w:themeColor="text1"/>
        </w:rPr>
        <w:t xml:space="preserve">. </w:t>
      </w:r>
    </w:p>
    <w:p w14:paraId="4329A042" w14:textId="0275113B" w:rsidR="00CA1867" w:rsidRDefault="002A58CE" w:rsidP="004B2725">
      <w:pPr>
        <w:rPr>
          <w:rFonts w:cstheme="minorHAnsi"/>
          <w:color w:val="000000" w:themeColor="text1"/>
        </w:rPr>
      </w:pPr>
      <w:r>
        <w:rPr>
          <w:color w:val="000000" w:themeColor="text1"/>
        </w:rPr>
        <w:t>Some studies have found that biochar burned at a higher temperature (over 700</w:t>
      </w:r>
      <w:r>
        <w:rPr>
          <w:rFonts w:cstheme="minorHAnsi"/>
          <w:color w:val="000000" w:themeColor="text1"/>
        </w:rPr>
        <w:t xml:space="preserve">°) would also increase in pH and this increases as the temperature does due to a positive correlation </w:t>
      </w:r>
      <w:r w:rsidRPr="002A58CE">
        <w:rPr>
          <w:rFonts w:cstheme="minorHAnsi"/>
          <w:color w:val="000000" w:themeColor="text1"/>
        </w:rPr>
        <w:t xml:space="preserve">(Li </w:t>
      </w:r>
      <w:r w:rsidRPr="002A58CE">
        <w:rPr>
          <w:rFonts w:cstheme="minorHAnsi"/>
          <w:i/>
          <w:iCs/>
          <w:color w:val="000000" w:themeColor="text1"/>
        </w:rPr>
        <w:t>et al.</w:t>
      </w:r>
      <w:r w:rsidRPr="002A58CE">
        <w:rPr>
          <w:rFonts w:cstheme="minorHAnsi"/>
          <w:color w:val="000000" w:themeColor="text1"/>
        </w:rPr>
        <w:t>, 2019</w:t>
      </w:r>
      <w:r w:rsidR="00D96F19">
        <w:rPr>
          <w:rFonts w:cstheme="minorHAnsi"/>
          <w:color w:val="000000" w:themeColor="text1"/>
        </w:rPr>
        <w:t xml:space="preserve">; </w:t>
      </w:r>
      <w:r w:rsidR="00D96F19" w:rsidRPr="00D96F19">
        <w:rPr>
          <w:rFonts w:cstheme="minorHAnsi"/>
          <w:color w:val="000000" w:themeColor="text1"/>
        </w:rPr>
        <w:t xml:space="preserve">Ippolito </w:t>
      </w:r>
      <w:r w:rsidR="00D96F19" w:rsidRPr="00D96F19">
        <w:rPr>
          <w:rFonts w:cstheme="minorHAnsi"/>
          <w:i/>
          <w:iCs/>
          <w:color w:val="000000" w:themeColor="text1"/>
        </w:rPr>
        <w:t>et al.</w:t>
      </w:r>
      <w:r w:rsidR="00D96F19" w:rsidRPr="00D96F19">
        <w:rPr>
          <w:rFonts w:cstheme="minorHAnsi"/>
          <w:color w:val="000000" w:themeColor="text1"/>
        </w:rPr>
        <w:t>, 2020</w:t>
      </w:r>
      <w:r w:rsidRPr="002A58CE">
        <w:rPr>
          <w:rFonts w:cstheme="minorHAnsi"/>
          <w:color w:val="000000" w:themeColor="text1"/>
        </w:rPr>
        <w:t>)</w:t>
      </w:r>
      <w:r>
        <w:rPr>
          <w:rFonts w:cstheme="minorHAnsi"/>
          <w:color w:val="000000" w:themeColor="text1"/>
        </w:rPr>
        <w:t>.</w:t>
      </w:r>
      <w:r w:rsidR="00D96F19">
        <w:rPr>
          <w:rFonts w:cstheme="minorHAnsi"/>
          <w:color w:val="000000" w:themeColor="text1"/>
        </w:rPr>
        <w:t xml:space="preserve"> Other studies have found that high pH stabilises when the pyrolysis is in the m</w:t>
      </w:r>
      <w:r w:rsidRPr="002A58CE">
        <w:rPr>
          <w:color w:val="000000" w:themeColor="text1"/>
        </w:rPr>
        <w:t>oderate</w:t>
      </w:r>
      <w:r w:rsidR="00D96F19">
        <w:rPr>
          <w:color w:val="000000" w:themeColor="text1"/>
        </w:rPr>
        <w:t xml:space="preserve"> </w:t>
      </w:r>
      <w:r w:rsidRPr="002A58CE">
        <w:rPr>
          <w:color w:val="000000" w:themeColor="text1"/>
        </w:rPr>
        <w:t>(</w:t>
      </w:r>
      <w:r w:rsidR="00D96F19">
        <w:rPr>
          <w:color w:val="000000" w:themeColor="text1"/>
        </w:rPr>
        <w:t>5</w:t>
      </w:r>
      <w:r w:rsidRPr="002A58CE">
        <w:rPr>
          <w:color w:val="000000" w:themeColor="text1"/>
        </w:rPr>
        <w:t>00</w:t>
      </w:r>
      <w:r w:rsidRPr="002A58CE">
        <w:rPr>
          <w:rFonts w:cstheme="minorHAnsi"/>
          <w:color w:val="000000" w:themeColor="text1"/>
        </w:rPr>
        <w:t xml:space="preserve">°- </w:t>
      </w:r>
      <w:r w:rsidR="00D96F19">
        <w:rPr>
          <w:color w:val="000000" w:themeColor="text1"/>
        </w:rPr>
        <w:t>6</w:t>
      </w:r>
      <w:r w:rsidRPr="002A58CE">
        <w:rPr>
          <w:color w:val="000000" w:themeColor="text1"/>
        </w:rPr>
        <w:t>00</w:t>
      </w:r>
      <w:r w:rsidRPr="002A58CE">
        <w:rPr>
          <w:rFonts w:cstheme="minorHAnsi"/>
          <w:color w:val="000000" w:themeColor="text1"/>
        </w:rPr>
        <w:t>°)</w:t>
      </w:r>
      <w:r w:rsidR="00D96F19">
        <w:rPr>
          <w:rFonts w:cstheme="minorHAnsi"/>
          <w:color w:val="000000" w:themeColor="text1"/>
        </w:rPr>
        <w:t xml:space="preserve"> range </w:t>
      </w:r>
      <w:r w:rsidR="00D96F19" w:rsidRPr="00D96F19">
        <w:rPr>
          <w:rFonts w:cstheme="minorHAnsi"/>
          <w:color w:val="000000" w:themeColor="text1"/>
        </w:rPr>
        <w:t xml:space="preserve">(Zhang </w:t>
      </w:r>
      <w:r w:rsidR="00D96F19" w:rsidRPr="00D96F19">
        <w:rPr>
          <w:rFonts w:cstheme="minorHAnsi"/>
          <w:i/>
          <w:iCs/>
          <w:color w:val="000000" w:themeColor="text1"/>
        </w:rPr>
        <w:t>et al.</w:t>
      </w:r>
      <w:r w:rsidR="00D96F19" w:rsidRPr="00D96F19">
        <w:rPr>
          <w:rFonts w:cstheme="minorHAnsi"/>
          <w:color w:val="000000" w:themeColor="text1"/>
        </w:rPr>
        <w:t>, 2017</w:t>
      </w:r>
      <w:r w:rsidR="00D96F19">
        <w:rPr>
          <w:rFonts w:cstheme="minorHAnsi"/>
          <w:color w:val="000000" w:themeColor="text1"/>
        </w:rPr>
        <w:t xml:space="preserve">; </w:t>
      </w:r>
      <w:r w:rsidR="00D96F19" w:rsidRPr="00D96F19">
        <w:rPr>
          <w:rFonts w:cstheme="minorHAnsi"/>
          <w:color w:val="000000" w:themeColor="text1"/>
        </w:rPr>
        <w:t>Tomczyk, Sokołowska and Boguta, 2020)</w:t>
      </w:r>
      <w:r w:rsidR="00D96F19">
        <w:rPr>
          <w:rFonts w:cstheme="minorHAnsi"/>
          <w:color w:val="000000" w:themeColor="text1"/>
        </w:rPr>
        <w:t>. This is due to the alkali salts are released from the biochar structure at moderate temperatures. The temperature was not recorded in this study, so it is uncertain whether this had an effect. This is an avenue for future research.</w:t>
      </w:r>
    </w:p>
    <w:p w14:paraId="7D731BC4" w14:textId="04C85FA9" w:rsidR="00095380" w:rsidRDefault="00095380" w:rsidP="004B2725">
      <w:pPr>
        <w:rPr>
          <w:rFonts w:cstheme="minorHAnsi"/>
          <w:color w:val="000000" w:themeColor="text1"/>
        </w:rPr>
      </w:pPr>
      <w:r>
        <w:rPr>
          <w:rFonts w:cstheme="minorHAnsi"/>
          <w:color w:val="000000" w:themeColor="text1"/>
        </w:rPr>
        <w:t xml:space="preserve">If biochar is applied to acidic soils there is a much higher increase in pH than if biochar is applied to soils with a neutral pH </w:t>
      </w:r>
      <w:r w:rsidRPr="00095380">
        <w:rPr>
          <w:rFonts w:cstheme="minorHAnsi"/>
          <w:color w:val="000000" w:themeColor="text1"/>
        </w:rPr>
        <w:t xml:space="preserve">(Zhang, Xing, </w:t>
      </w:r>
      <w:r w:rsidRPr="00095380">
        <w:rPr>
          <w:rFonts w:cstheme="minorHAnsi"/>
          <w:i/>
          <w:iCs/>
          <w:color w:val="000000" w:themeColor="text1"/>
        </w:rPr>
        <w:t>et al.</w:t>
      </w:r>
      <w:r w:rsidRPr="00095380">
        <w:rPr>
          <w:rFonts w:cstheme="minorHAnsi"/>
          <w:color w:val="000000" w:themeColor="text1"/>
        </w:rPr>
        <w:t>, 2025)</w:t>
      </w:r>
      <w:r>
        <w:rPr>
          <w:rFonts w:cstheme="minorHAnsi"/>
          <w:color w:val="000000" w:themeColor="text1"/>
        </w:rPr>
        <w:t>. The baseline pH range for this study was 7 to 7.5 meaning that the soil was already</w:t>
      </w:r>
      <w:r w:rsidR="004F7CB8">
        <w:rPr>
          <w:rFonts w:cstheme="minorHAnsi"/>
          <w:color w:val="000000" w:themeColor="text1"/>
        </w:rPr>
        <w:t xml:space="preserve"> neutral to</w:t>
      </w:r>
      <w:r>
        <w:rPr>
          <w:rFonts w:cstheme="minorHAnsi"/>
          <w:color w:val="000000" w:themeColor="text1"/>
        </w:rPr>
        <w:t xml:space="preserve"> alkaline to start with so a large increase was not expected.</w:t>
      </w:r>
    </w:p>
    <w:p w14:paraId="4B03A5FE" w14:textId="34C75489" w:rsidR="00095380" w:rsidRDefault="00B97413" w:rsidP="00B97413">
      <w:pPr>
        <w:pStyle w:val="Heading2"/>
      </w:pPr>
      <w:bookmarkStart w:id="36" w:name="_Toc232977685"/>
      <w:r>
        <w:t>Practical applications and management</w:t>
      </w:r>
      <w:bookmarkEnd w:id="36"/>
    </w:p>
    <w:p w14:paraId="59D79A46" w14:textId="77777777" w:rsidR="000075F2" w:rsidRDefault="00B97413" w:rsidP="00B97413">
      <w:pPr>
        <w:rPr>
          <w:rStyle w:val="QuoteChar"/>
        </w:rPr>
      </w:pPr>
      <w:r>
        <w:t>The Wellbeing Of Future Generations Act Wales 2015 (WFGA</w:t>
      </w:r>
      <w:r w:rsidR="000075F2">
        <w:t>) says that Wales must work</w:t>
      </w:r>
      <w:r w:rsidR="000075F2" w:rsidRPr="000075F2">
        <w:rPr>
          <w:rStyle w:val="QuoteChar"/>
        </w:rPr>
        <w:t xml:space="preserve">: </w:t>
      </w:r>
    </w:p>
    <w:p w14:paraId="479F1A5A" w14:textId="590D78F2" w:rsidR="000075F2" w:rsidRPr="000075F2" w:rsidRDefault="000075F2" w:rsidP="00A45D19">
      <w:pPr>
        <w:ind w:left="851" w:right="851"/>
        <w:rPr>
          <w:i/>
          <w:iCs/>
          <w:color w:val="404040" w:themeColor="text1" w:themeTint="BF"/>
        </w:rPr>
      </w:pPr>
      <w:r w:rsidRPr="000075F2">
        <w:rPr>
          <w:rStyle w:val="QuoteChar"/>
        </w:rPr>
        <w:t>“in a manner which seeks to ensure that the needs of the present are met without compromising the ability of future generations to meet their own needs.”</w:t>
      </w:r>
      <w:r w:rsidRPr="000075F2">
        <w:rPr>
          <w:rFonts w:ascii="Times New Roman" w:eastAsia="Times New Roman" w:hAnsi="Times New Roman" w:cs="Times New Roman"/>
          <w:sz w:val="24"/>
          <w:szCs w:val="24"/>
          <w:lang w:eastAsia="en-GB"/>
        </w:rPr>
        <w:t xml:space="preserve"> </w:t>
      </w:r>
      <w:r w:rsidRPr="000075F2">
        <w:rPr>
          <w:i/>
          <w:iCs/>
          <w:color w:val="404040" w:themeColor="text1" w:themeTint="BF"/>
        </w:rPr>
        <w:t>(Future Generations Commissioner for Wales, 2025)</w:t>
      </w:r>
      <w:r>
        <w:rPr>
          <w:i/>
          <w:iCs/>
          <w:color w:val="404040" w:themeColor="text1" w:themeTint="BF"/>
        </w:rPr>
        <w:t>.</w:t>
      </w:r>
    </w:p>
    <w:p w14:paraId="3AEB7085" w14:textId="5EAA32DB" w:rsidR="00670652" w:rsidRDefault="000075F2" w:rsidP="00670652">
      <w:pPr>
        <w:rPr>
          <w:color w:val="000000" w:themeColor="text1"/>
        </w:rPr>
      </w:pPr>
      <w:r w:rsidRPr="000075F2">
        <w:t>This</w:t>
      </w:r>
      <w:r>
        <w:rPr>
          <w:rStyle w:val="QuoteChar"/>
          <w:i w:val="0"/>
          <w:iCs w:val="0"/>
        </w:rPr>
        <w:t xml:space="preserve"> </w:t>
      </w:r>
      <w:r w:rsidRPr="000075F2">
        <w:t>supports the need fo</w:t>
      </w:r>
      <w:r>
        <w:t xml:space="preserve">r remediation on Kilvey Hill for social economic health and environmental reasons. The </w:t>
      </w:r>
      <w:r w:rsidR="00C957CD">
        <w:t xml:space="preserve">communities </w:t>
      </w:r>
      <w:r>
        <w:t>surrounding Kilvey Hill</w:t>
      </w:r>
      <w:r w:rsidR="005D1EEB">
        <w:t xml:space="preserve"> are in the 20% or even 10% of the most deprived area of Wales </w:t>
      </w:r>
      <w:r w:rsidR="005D1EEB" w:rsidRPr="005D1EEB">
        <w:t>(Welsh Government , 2025)</w:t>
      </w:r>
      <w:r w:rsidR="005D1EEB">
        <w:t xml:space="preserve"> (see figure </w:t>
      </w:r>
      <w:r w:rsidR="000974CE">
        <w:t>9</w:t>
      </w:r>
      <w:r w:rsidR="005D1EEB">
        <w:t>.6.4).</w:t>
      </w:r>
      <w:r w:rsidR="00670652" w:rsidRPr="005D1EEB">
        <w:rPr>
          <w:color w:val="000000" w:themeColor="text1"/>
        </w:rPr>
        <w:t xml:space="preserve">The </w:t>
      </w:r>
      <w:r w:rsidR="00A24327" w:rsidRPr="00A24327">
        <w:rPr>
          <w:color w:val="000000" w:themeColor="text1"/>
        </w:rPr>
        <w:t>Welsh Index of Multiple Deprivation</w:t>
      </w:r>
      <w:r w:rsidR="00A24327">
        <w:rPr>
          <w:color w:val="000000" w:themeColor="text1"/>
        </w:rPr>
        <w:t xml:space="preserve"> </w:t>
      </w:r>
      <w:r w:rsidR="00670652">
        <w:rPr>
          <w:color w:val="000000" w:themeColor="text1"/>
        </w:rPr>
        <w:t>measures multiple variables of social deprivation across Wales. This includes income, employment, health, education , community safety and physical environment.</w:t>
      </w:r>
    </w:p>
    <w:p w14:paraId="24891BAA" w14:textId="75487FB8" w:rsidR="006D44EA" w:rsidRPr="005D1EEB" w:rsidRDefault="006D44EA" w:rsidP="006D44EA"/>
    <w:p w14:paraId="3D35F829" w14:textId="7417E803" w:rsidR="005D1EEB" w:rsidRDefault="005D1EEB" w:rsidP="006D44EA">
      <w:pPr>
        <w:rPr>
          <w:color w:val="F711EC"/>
        </w:rPr>
      </w:pPr>
      <w:r>
        <w:rPr>
          <w:noProof/>
          <w:color w:val="F711EC"/>
        </w:rPr>
        <w:lastRenderedPageBreak/>
        <w:drawing>
          <wp:inline distT="0" distB="0" distL="0" distR="0" wp14:anchorId="17356A48" wp14:editId="7EBEEC1D">
            <wp:extent cx="4798808" cy="2510376"/>
            <wp:effectExtent l="0" t="0" r="1905" b="4445"/>
            <wp:docPr id="6075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818163" cy="2520501"/>
                    </a:xfrm>
                    <a:prstGeom prst="rect">
                      <a:avLst/>
                    </a:prstGeom>
                    <a:noFill/>
                  </pic:spPr>
                </pic:pic>
              </a:graphicData>
            </a:graphic>
          </wp:inline>
        </w:drawing>
      </w:r>
    </w:p>
    <w:p w14:paraId="6C76BAFA" w14:textId="3C6D5278" w:rsidR="005D1EEB" w:rsidRPr="005D1EEB" w:rsidRDefault="005D1EEB" w:rsidP="005D1EEB">
      <w:pPr>
        <w:pStyle w:val="Caption"/>
      </w:pPr>
      <w:bookmarkStart w:id="37" w:name="_Toc232977753"/>
      <w:r>
        <w:t xml:space="preserve">Fig </w:t>
      </w:r>
      <w:r w:rsidR="000974CE">
        <w:t>9</w:t>
      </w:r>
      <w:r>
        <w:t>.6.4: a map showing the Welsh index of multiple deprivation including Bon-y-maen and Port Tenn</w:t>
      </w:r>
      <w:r w:rsidRPr="005D1EEB">
        <w:t>ant (Local insight , 2026)</w:t>
      </w:r>
      <w:bookmarkEnd w:id="37"/>
    </w:p>
    <w:p w14:paraId="31D3785C" w14:textId="16BB982A" w:rsidR="00832335" w:rsidRDefault="00F019E3" w:rsidP="00F019E3">
      <w:pPr>
        <w:rPr>
          <w:color w:val="000000" w:themeColor="text1"/>
        </w:rPr>
      </w:pPr>
      <w:r>
        <w:rPr>
          <w:color w:val="000000" w:themeColor="text1"/>
        </w:rPr>
        <w:t>I</w:t>
      </w:r>
      <w:r w:rsidRPr="00F019E3">
        <w:rPr>
          <w:color w:val="000000" w:themeColor="text1"/>
        </w:rPr>
        <w:t xml:space="preserve">n the UK </w:t>
      </w:r>
      <w:r>
        <w:rPr>
          <w:color w:val="000000" w:themeColor="text1"/>
        </w:rPr>
        <w:t>it has been found that mine spoil is disproportionately found in</w:t>
      </w:r>
      <w:r w:rsidRPr="00F019E3">
        <w:rPr>
          <w:color w:val="000000" w:themeColor="text1"/>
        </w:rPr>
        <w:t xml:space="preserve"> area</w:t>
      </w:r>
      <w:r>
        <w:rPr>
          <w:color w:val="000000" w:themeColor="text1"/>
        </w:rPr>
        <w:t xml:space="preserve">s with high socio-economic </w:t>
      </w:r>
      <w:r w:rsidRPr="00F019E3">
        <w:rPr>
          <w:color w:val="000000" w:themeColor="text1"/>
        </w:rPr>
        <w:t>deprivation</w:t>
      </w:r>
      <w:r>
        <w:rPr>
          <w:color w:val="000000" w:themeColor="text1"/>
        </w:rPr>
        <w:t xml:space="preserve"> </w:t>
      </w:r>
      <w:r w:rsidR="00832335" w:rsidRPr="00F019E3">
        <w:rPr>
          <w:color w:val="000000" w:themeColor="text1"/>
        </w:rPr>
        <w:t xml:space="preserve">(Norman </w:t>
      </w:r>
      <w:r w:rsidR="00832335" w:rsidRPr="00F019E3">
        <w:rPr>
          <w:i/>
          <w:iCs/>
          <w:color w:val="000000" w:themeColor="text1"/>
        </w:rPr>
        <w:t>et al.</w:t>
      </w:r>
      <w:r w:rsidR="00832335" w:rsidRPr="00F019E3">
        <w:rPr>
          <w:color w:val="000000" w:themeColor="text1"/>
        </w:rPr>
        <w:t>, 2014)</w:t>
      </w:r>
      <w:r>
        <w:rPr>
          <w:color w:val="000000" w:themeColor="text1"/>
        </w:rPr>
        <w:t>. There is very little available funds to therefore invest in reclamation projects</w:t>
      </w:r>
    </w:p>
    <w:p w14:paraId="7D101DC0" w14:textId="6ABF7BA8" w:rsidR="00F019E3" w:rsidRDefault="00EC4B66" w:rsidP="00F019E3">
      <w:pPr>
        <w:rPr>
          <w:color w:val="000000" w:themeColor="text1"/>
        </w:rPr>
      </w:pPr>
      <w:r>
        <w:rPr>
          <w:color w:val="000000" w:themeColor="text1"/>
        </w:rPr>
        <w:t xml:space="preserve">The skyline project are aiming to create 100 jobs and contribute 84 million pounds to the local economy over the next 15 years by creating a restaurant, cable cars, luge, </w:t>
      </w:r>
      <w:r w:rsidRPr="00EC4B66">
        <w:rPr>
          <w:color w:val="000000" w:themeColor="text1"/>
        </w:rPr>
        <w:t>Adventure Playground and Green Space</w:t>
      </w:r>
      <w:r>
        <w:rPr>
          <w:color w:val="000000" w:themeColor="text1"/>
        </w:rPr>
        <w:t xml:space="preserve"> and a sky swing. </w:t>
      </w:r>
      <w:r w:rsidRPr="00EC4B66">
        <w:rPr>
          <w:color w:val="000000" w:themeColor="text1"/>
        </w:rPr>
        <w:t>(Skyline Swansea, 2026)</w:t>
      </w:r>
      <w:r>
        <w:rPr>
          <w:color w:val="000000" w:themeColor="text1"/>
        </w:rPr>
        <w:t>. However, it is deeply unpopular with the local community, who very much feel that their voices are being unheard</w:t>
      </w:r>
      <w:r w:rsidR="0042436C">
        <w:rPr>
          <w:color w:val="000000" w:themeColor="text1"/>
        </w:rPr>
        <w:t xml:space="preserve">, their opinions </w:t>
      </w:r>
      <w:r w:rsidR="00747653">
        <w:rPr>
          <w:color w:val="000000" w:themeColor="text1"/>
        </w:rPr>
        <w:t>on the amount of e</w:t>
      </w:r>
      <w:r w:rsidR="00707C55">
        <w:rPr>
          <w:color w:val="000000" w:themeColor="text1"/>
        </w:rPr>
        <w:t>cological damage and the vast removal of trees on the hill are seen as unnecessary</w:t>
      </w:r>
      <w:r w:rsidR="0071202D">
        <w:rPr>
          <w:color w:val="000000" w:themeColor="text1"/>
        </w:rPr>
        <w:t xml:space="preserve"> </w:t>
      </w:r>
      <w:r w:rsidRPr="00EC4B66">
        <w:rPr>
          <w:color w:val="000000" w:themeColor="text1"/>
        </w:rPr>
        <w:t>(Youle and Morgan, 2026)</w:t>
      </w:r>
      <w:r>
        <w:rPr>
          <w:color w:val="000000" w:themeColor="text1"/>
        </w:rPr>
        <w:t>. An alternative to this approach is biochar as it is low cost and non invasive and low maintenance. This can also be applied by a unskilled voluntary force. Such as the Kilvey Hill woodland volunteers</w:t>
      </w:r>
      <w:r w:rsidR="003934FA" w:rsidRPr="003934FA">
        <w:rPr>
          <w:rFonts w:ascii="Times New Roman" w:eastAsia="Times New Roman" w:hAnsi="Times New Roman" w:cs="Times New Roman"/>
          <w:sz w:val="24"/>
          <w:szCs w:val="24"/>
          <w:lang w:eastAsia="en-GB"/>
        </w:rPr>
        <w:t xml:space="preserve"> </w:t>
      </w:r>
      <w:r w:rsidR="003934FA" w:rsidRPr="003934FA">
        <w:rPr>
          <w:color w:val="000000" w:themeColor="text1"/>
        </w:rPr>
        <w:t xml:space="preserve">(Swansea </w:t>
      </w:r>
      <w:r w:rsidR="0071202D" w:rsidRPr="003934FA">
        <w:rPr>
          <w:color w:val="000000" w:themeColor="text1"/>
        </w:rPr>
        <w:t>Council,</w:t>
      </w:r>
      <w:r w:rsidR="003934FA" w:rsidRPr="003934FA">
        <w:rPr>
          <w:color w:val="000000" w:themeColor="text1"/>
        </w:rPr>
        <w:t xml:space="preserve"> 2024)</w:t>
      </w:r>
      <w:r w:rsidR="003934FA">
        <w:rPr>
          <w:color w:val="000000" w:themeColor="text1"/>
        </w:rPr>
        <w:t xml:space="preserve">. </w:t>
      </w:r>
    </w:p>
    <w:p w14:paraId="2F5C18FF" w14:textId="7A56CA58" w:rsidR="006D44EA" w:rsidRPr="00027864" w:rsidRDefault="00F37D30" w:rsidP="006D44EA">
      <w:pPr>
        <w:rPr>
          <w:color w:val="000000" w:themeColor="text1"/>
        </w:rPr>
      </w:pPr>
      <w:r w:rsidRPr="00F37D30">
        <w:rPr>
          <w:color w:val="000000" w:themeColor="text1"/>
        </w:rPr>
        <w:t xml:space="preserve">An additional advantage of biochar-based remediation is its flexibility. Unlike large engineering projects, biochar can be applied incrementally and adapted according to site requirements and available resources. This may be beneficial for sites such as Kilvey Hill, where long-term management is likely to depend upon collaboration between local authorities, environmental organisations and community groups. Small-scale applications could be monitored and expanded over time if positive results continue to be observed. This approach would reduce initial costs while allowing remediation strategies to be refined based on site-specific evidence. Furthermore, using locally sourced feedstocks supports circular economy principles by transforming waste materials into </w:t>
      </w:r>
      <w:r w:rsidR="003934FA">
        <w:rPr>
          <w:color w:val="000000" w:themeColor="text1"/>
        </w:rPr>
        <w:t xml:space="preserve"> feedstocks sourced from garden waste collections or site maintenance. An add- in such as leaf litter, grass cuttings or kitchen waste derived compost could potentially added experimentally to see if this removes the decreasing pH.</w:t>
      </w:r>
    </w:p>
    <w:p w14:paraId="21FC7112" w14:textId="0C6875C6" w:rsidR="006D44EA" w:rsidRDefault="00A95244" w:rsidP="00A95244">
      <w:pPr>
        <w:pStyle w:val="Heading2"/>
      </w:pPr>
      <w:bookmarkStart w:id="38" w:name="_Toc232977686"/>
      <w:r>
        <w:t>Limitations</w:t>
      </w:r>
      <w:bookmarkEnd w:id="38"/>
      <w:r>
        <w:t xml:space="preserve"> </w:t>
      </w:r>
    </w:p>
    <w:p w14:paraId="02EED6C1" w14:textId="29F2FE94" w:rsidR="00967E60" w:rsidRDefault="00E32670" w:rsidP="00967E60">
      <w:r>
        <w:t>T</w:t>
      </w:r>
      <w:r w:rsidRPr="00E32670">
        <w:t>here are several limitations that should be considered when interpreting the results.</w:t>
      </w:r>
      <w:r w:rsidR="00786111">
        <w:t xml:space="preserve"> </w:t>
      </w:r>
      <w:r w:rsidR="00786111" w:rsidRPr="00786111">
        <w:t xml:space="preserve">One of the main limitations is the relatively short duration of the study. Data was collected over an eight-month period, whereas many biochar studies monitor changes over several years. Biochar can continue to interact with soil long after it has been applied, and processes such as weathering, microbial activity and rainfall can alter its effectiveness over time (Lehmann and Joseph, 2009; </w:t>
      </w:r>
      <w:r w:rsidR="00046F1E" w:rsidRPr="00046F1E">
        <w:t xml:space="preserve">Jeffery </w:t>
      </w:r>
      <w:r w:rsidR="00046F1E" w:rsidRPr="00046F1E">
        <w:rPr>
          <w:i/>
          <w:iCs/>
        </w:rPr>
        <w:t>et al.</w:t>
      </w:r>
      <w:r w:rsidR="00046F1E" w:rsidRPr="00046F1E">
        <w:t>, 2011</w:t>
      </w:r>
      <w:r w:rsidR="00786111" w:rsidRPr="00786111">
        <w:t xml:space="preserve">). Although significant reductions in copper concentrations were observed, it is unclear whether these </w:t>
      </w:r>
      <w:r w:rsidR="00786111" w:rsidRPr="00786111">
        <w:lastRenderedPageBreak/>
        <w:t>reductions would continue, stabilise, or decrease over a longer period. Therefore, the findings should be viewed as short-term evidence of biochar effectiveness rather than proof of long-term remediation success.</w:t>
      </w:r>
    </w:p>
    <w:p w14:paraId="583AD9EF" w14:textId="6B85C349" w:rsidR="004E624C" w:rsidRDefault="004E624C" w:rsidP="00967E60">
      <w:r w:rsidRPr="004E624C">
        <w:t>Another limitation is the small sample size used within the study. Although the paired plot design helped control environmental variation, only eight control plots and eight treatment plots were included. This may have limited the ability of the statistical tests to detect smaller differences between habitat types. As a result, the lack of a significant habitat effect does not necessarily mean that habitat type has no influence on biochar performance. It is possible that differences between habitats may become clearer if a larger number of plots were used (Carter et al., 2013).</w:t>
      </w:r>
    </w:p>
    <w:p w14:paraId="230B9199" w14:textId="5B6AE10B" w:rsidR="00DA73DF" w:rsidRDefault="00DA73DF" w:rsidP="00967E60">
      <w:r w:rsidRPr="00DA73DF">
        <w:t>The timing of the study may also have influenced the results. Most of the monitoring period took place during autumn and winter, when vegetation growth and biological activity are reduced. Trees and other plants enter dormancy during colder months, which reduces their ability to take up heavy metals from the soil. Microbial activity is also generally lower during winter because of lower temperatures (Bardgett and van der Putten, 2014). This may help explain why habitat type did not significantly influence copper reduction, as biological differences between habitats may have been less pronounced than they would be during the growing season.</w:t>
      </w:r>
    </w:p>
    <w:p w14:paraId="3DB34D2A" w14:textId="005228FE" w:rsidR="002537BA" w:rsidRDefault="002537BA" w:rsidP="00967E60">
      <w:r w:rsidRPr="002537BA">
        <w:t>A further limitation is that only one type of biochar was used. The biochar was produced from woody biomass sourced locally through scrub clearance activities. Previous studies have shown that different feedstocks can produce biochar with very different properties (Lehmann and Joseph, 2009; Kloss et al., 2012). For example, manure-based biochar</w:t>
      </w:r>
      <w:r w:rsidR="007A4DC7">
        <w:t xml:space="preserve"> </w:t>
      </w:r>
      <w:r w:rsidRPr="002537BA">
        <w:t>often contain higher levels of alkaline minerals and may have a stronger effect on soil pH than wood-derived biochar (Cao and Harris, 2010). Since the pH of the treatment plots unexpectedly decreased during this study, it is possible that the characteristics of the biochar used influenced this result. Testing a range of feedstocks would help determine whether other biochar</w:t>
      </w:r>
      <w:r w:rsidR="007A4DC7">
        <w:t xml:space="preserve"> </w:t>
      </w:r>
      <w:r w:rsidRPr="002537BA">
        <w:t>could achieve greater remediation benefits.</w:t>
      </w:r>
    </w:p>
    <w:p w14:paraId="346DFA68" w14:textId="377230C0" w:rsidR="00B64B6F" w:rsidRPr="00B64B6F" w:rsidRDefault="00136F97" w:rsidP="00B64B6F">
      <w:r w:rsidRPr="00136F97">
        <w:t>The study was also limited by only measuring copper concentrations and soil pH. While these variables are important indicators of remediation success, they do not provide a complete picture of ecosystem recovery. Factors such as vegetation growth, microbial activity, species diversity and soil fauna were not measured. As a result, it is not possible to determine whether the reduction in copper concentrations led to wider ecological improvements. Future research should include biological indicators alongside chemical measurements to provide a more comprehensive assessment of restoration success (Beesley et al., 2011</w:t>
      </w:r>
      <w:r w:rsidR="00B64B6F">
        <w:t>;</w:t>
      </w:r>
      <w:r w:rsidR="00B64B6F" w:rsidRPr="00B64B6F">
        <w:rPr>
          <w:rFonts w:ascii="Times New Roman" w:eastAsia="Times New Roman" w:hAnsi="Times New Roman" w:cs="Times New Roman"/>
          <w:sz w:val="24"/>
          <w:szCs w:val="24"/>
          <w:lang w:eastAsia="en-GB"/>
        </w:rPr>
        <w:t xml:space="preserve"> </w:t>
      </w:r>
      <w:r w:rsidR="00B64B6F" w:rsidRPr="00B64B6F">
        <w:t>Ahmed and Huo Aidi, 2025)</w:t>
      </w:r>
    </w:p>
    <w:p w14:paraId="007E92EB" w14:textId="77777777" w:rsidR="004E13C5" w:rsidRPr="004E13C5" w:rsidRDefault="004E13C5" w:rsidP="004E13C5">
      <w:r w:rsidRPr="004E13C5">
        <w:t>Finally, Kilvey Hill contains a range of contaminants associated with its industrial history, including lead, zinc and arsenic, as well as copper. This study focused only on copper because it is one of the most significant contaminants on the site. However, different heavy metals respond differently to remediation treatments (Uchimiya et al., 2011). Further research should investigate whether biochar is equally effective at reducing the mobility of other contaminants present within the Lower Swansea Valley.</w:t>
      </w:r>
    </w:p>
    <w:p w14:paraId="12D6E963" w14:textId="77777777" w:rsidR="004E13C5" w:rsidRPr="004E13C5" w:rsidRDefault="004E13C5" w:rsidP="004E13C5">
      <w:r w:rsidRPr="004E13C5">
        <w:t>Overall, despite these limitations, the study provides valuable evidence that biochar has the potential to reduce copper concentrations in contaminated soils under real-world field conditions. However, longer-term studies, larger sample sizes and a wider range of measurements would help develop a more complete understanding of biochar's effectiveness as a restoration tool for Kilvey Hill and other post-industrial landscapes.</w:t>
      </w:r>
    </w:p>
    <w:p w14:paraId="07E9211F" w14:textId="3722865F" w:rsidR="00D3432B" w:rsidRPr="00967E60" w:rsidRDefault="0072677B" w:rsidP="00967E60">
      <w:r w:rsidRPr="0072677B">
        <w:t xml:space="preserve">Another consideration is the practical nature of conducting research under field conditions. Unlike laboratory studies, environmental variables such as rainfall, temperature, soil heterogeneity, and </w:t>
      </w:r>
      <w:r w:rsidRPr="0072677B">
        <w:lastRenderedPageBreak/>
        <w:t>human disturbance could not be controlled throughout the study period. While this introduces uncertainty into the results, it also increases the relevance of the findings to real-world remediation projects. The study therefore provides a realistic assessment of how biochar performs under the environmental conditions present at Kilvey Hill, where multiple factors are likely to influence outcomes.</w:t>
      </w:r>
    </w:p>
    <w:p w14:paraId="5495D66D" w14:textId="593DDF13" w:rsidR="00016015" w:rsidRDefault="00016015" w:rsidP="00016015">
      <w:pPr>
        <w:pStyle w:val="Heading2"/>
      </w:pPr>
      <w:bookmarkStart w:id="39" w:name="_Toc232977687"/>
      <w:r w:rsidRPr="00517546">
        <w:t>Future research</w:t>
      </w:r>
      <w:bookmarkEnd w:id="39"/>
    </w:p>
    <w:p w14:paraId="57244939" w14:textId="5AC90C69" w:rsidR="00027864" w:rsidRPr="00027864" w:rsidRDefault="00027864" w:rsidP="00027864">
      <w:pPr>
        <w:rPr>
          <w:color w:val="000000" w:themeColor="text1"/>
        </w:rPr>
      </w:pPr>
      <w:r w:rsidRPr="00027864">
        <w:rPr>
          <w:color w:val="000000" w:themeColor="text1"/>
        </w:rPr>
        <w:t>Buil</w:t>
      </w:r>
      <w:r>
        <w:rPr>
          <w:color w:val="000000" w:themeColor="text1"/>
        </w:rPr>
        <w:t>ding on this study, future research should include:</w:t>
      </w:r>
    </w:p>
    <w:p w14:paraId="1591A0A3" w14:textId="437F5847" w:rsidR="00300527" w:rsidRDefault="00027864" w:rsidP="00027864">
      <w:pPr>
        <w:pStyle w:val="ListParagraph"/>
        <w:numPr>
          <w:ilvl w:val="0"/>
          <w:numId w:val="39"/>
        </w:numPr>
      </w:pPr>
      <w:r>
        <w:t>How pH is affected by manure based biochar</w:t>
      </w:r>
    </w:p>
    <w:p w14:paraId="38EA1A43" w14:textId="05EC1EA1" w:rsidR="00027864" w:rsidRDefault="00027864" w:rsidP="00300527">
      <w:pPr>
        <w:pStyle w:val="ListParagraph"/>
        <w:numPr>
          <w:ilvl w:val="0"/>
          <w:numId w:val="39"/>
        </w:numPr>
      </w:pPr>
      <w:r>
        <w:t>If biochar applied with a fertiliser made a difference in not acidifying the soils</w:t>
      </w:r>
    </w:p>
    <w:p w14:paraId="4B709341" w14:textId="040E46DE" w:rsidR="00027864" w:rsidRPr="00517546" w:rsidRDefault="00027864" w:rsidP="00300527">
      <w:pPr>
        <w:pStyle w:val="ListParagraph"/>
        <w:numPr>
          <w:ilvl w:val="0"/>
          <w:numId w:val="39"/>
        </w:numPr>
      </w:pPr>
      <w:r>
        <w:t xml:space="preserve">Future study should explore the weathering effects over a longer time scale such as 2-3 years. This would also allow to further explore the impacts of habitat type. </w:t>
      </w:r>
    </w:p>
    <w:p w14:paraId="55702985" w14:textId="77777777" w:rsidR="00261178" w:rsidRPr="00517546" w:rsidRDefault="00261178" w:rsidP="00261178"/>
    <w:p w14:paraId="53E100BE" w14:textId="77777777" w:rsidR="00D55D3D" w:rsidRPr="00517546" w:rsidRDefault="00D55D3D" w:rsidP="70F8A30C">
      <w:pPr>
        <w:rPr>
          <w:rFonts w:asciiTheme="majorHAnsi" w:eastAsiaTheme="majorEastAsia" w:hAnsiTheme="majorHAnsi" w:cstheme="majorBidi"/>
          <w:color w:val="B3186D" w:themeColor="accent1" w:themeShade="BF"/>
          <w:sz w:val="32"/>
          <w:szCs w:val="32"/>
        </w:rPr>
      </w:pPr>
      <w:r w:rsidRPr="00517546">
        <w:br w:type="page"/>
      </w:r>
    </w:p>
    <w:p w14:paraId="2BD7ACDF" w14:textId="77777777" w:rsidR="000E5339" w:rsidRDefault="18593D99" w:rsidP="0066298F">
      <w:pPr>
        <w:pStyle w:val="Heading1"/>
      </w:pPr>
      <w:bookmarkStart w:id="40" w:name="_Toc232977688"/>
      <w:r w:rsidRPr="00517546">
        <w:lastRenderedPageBreak/>
        <w:t>Conclusion</w:t>
      </w:r>
      <w:bookmarkEnd w:id="40"/>
    </w:p>
    <w:p w14:paraId="3EFBFD85" w14:textId="77777777" w:rsidR="002E7AF9" w:rsidRDefault="002E7AF9" w:rsidP="002E7AF9">
      <w:r>
        <w:t>This study is important because it demonstrates the potential of biochar as a sustainable method for managing heavy metal contamination in real-world environments such as Kilvey Hill. By conducting the research under field conditions across a range of habitat types, the study provides a more realistic understanding of biochar's performance outside controlled laboratory settings. The findings contribute to the growing body of evidence suggesting that biochar could offer a practical and cost-effective remediation strategy for post-industrial landscapes. However, the results also highlight the need for further research into its long-term effectiveness and wider impacts on soil properties.</w:t>
      </w:r>
    </w:p>
    <w:p w14:paraId="6439BF77" w14:textId="77777777" w:rsidR="002E7AF9" w:rsidRDefault="002E7AF9" w:rsidP="002E7AF9">
      <w:r>
        <w:t>The effectiveness of biochar as a remediation method for copper-contaminated soils at Kilvey Hill was assessed by comparing treated and untreated plots across different habitat types over an eight-month period. The results showed that biochar-treated plots experienced a significant reduction in copper concentrations, whereas untreated control plots showed no significant change. Habitat type did not appear to influence remediation effectiveness, indicating that biochar performed consistently across the environments studied. This finding contrasts with some previous studies that reported differences in remediation outcomes between habitat types. Although biochar successfully reduced copper concentrations, soil pH unexpectedly declined over time. This suggests that local environmental conditions and the characteristics of the biochar feedstock may influence soil responses differently than anticipated. Overall, the findings support the use of biochar as a promising, low-cost, and sustainable remediation technique for restoring heavy metal-contaminated post-industrial landscapes.</w:t>
      </w:r>
    </w:p>
    <w:p w14:paraId="16732481" w14:textId="77777777" w:rsidR="002E7AF9" w:rsidRDefault="002E7AF9" w:rsidP="002E7AF9">
      <w:r>
        <w:t>The discussion highlighted that biochar significantly reduced copper concentrations in treated soils, supporting previous research that has demonstrated its ability to immobilise heavy metals and improve contaminated sites. The lack of significant differences between habitat types may be explained by factors such as winter vegetation dormancy, similar environmental conditions across the study area, or the relatively short duration of the research. Contrary to expectations, soil pH decreased rather than increased. This may have been influenced by high rainfall, the neutral baseline pH of the soils, and the use of wood-derived biochar, which typically contains lower ash content than other feedstocks. The study also emphasised the practical advantages of biochar as a low-cost and sustainable remediation approach that aligns with circular economy principles. As a result, biochar could play an important role in future restoration efforts at Kilvey Hill. Nevertheless, further research is required to better understand long-term biochar weathering, its effects on soil pH, and the performance of alternative feedstocks.</w:t>
      </w:r>
    </w:p>
    <w:p w14:paraId="5A4C2E65" w14:textId="02B511E5" w:rsidR="002E7AF9" w:rsidRDefault="002E7AF9" w:rsidP="002E7AF9">
      <w:r>
        <w:t>Future research should investigate the effects of different biochar feedstocks, particularly manure-based biochar, on soil pH and heavy metal remediation. Studies should also explore whether combining biochar with fertilisers or other soil amendments can enhance remediation outcomes and reduce the risk of soil acidification. In addition, longer-term monitoring over two to three years or more is needed to assess biochar stability, weathering processes, and whether habitat type influences remediation effectiveness over extended periods.</w:t>
      </w:r>
    </w:p>
    <w:p w14:paraId="200F114A" w14:textId="06431C2A" w:rsidR="0093614C" w:rsidRDefault="00646BEF" w:rsidP="002E7AF9">
      <w:r w:rsidRPr="00646BEF">
        <w:t xml:space="preserve">More broadly, this research highlights the importance of developing remediation techniques that are both environmentally sustainable and practically achievable. Many post-industrial landscapes continue to experience the long-term effects of historic contamination, yet financial and logistical barriers often limit restoration efforts. The findings of this study suggest that biochar has the potential to provide a realistic management option that can be implemented at a local scale while contributing to wider environmental objectives. Although further investigation is required to fully understand its long-term performance, the results demonstrate that relatively simple interventions </w:t>
      </w:r>
      <w:r w:rsidRPr="00646BEF">
        <w:lastRenderedPageBreak/>
        <w:t>can support the gradual recovery of degraded soils. As interest in nature-based solutions continues to grow, approaches such as biochar application may become increasingly valuable in balancing ecological restoration, community engagement, and sustainable land management within former industrial areas.</w:t>
      </w:r>
    </w:p>
    <w:p w14:paraId="579C2051" w14:textId="77777777" w:rsidR="0093614C" w:rsidRDefault="0093614C">
      <w:r>
        <w:br w:type="page"/>
      </w:r>
    </w:p>
    <w:p w14:paraId="33560679" w14:textId="77777777" w:rsidR="00646BEF" w:rsidRDefault="00646BEF" w:rsidP="002E7AF9"/>
    <w:p w14:paraId="1D5574BE" w14:textId="5472DEF1" w:rsidR="00CE0F50" w:rsidRPr="00517546" w:rsidRDefault="18593D99" w:rsidP="0066298F">
      <w:pPr>
        <w:pStyle w:val="Heading1"/>
      </w:pPr>
      <w:bookmarkStart w:id="41" w:name="_Toc232977689"/>
      <w:r w:rsidRPr="00517546">
        <w:t>References</w:t>
      </w:r>
      <w:bookmarkEnd w:id="41"/>
    </w:p>
    <w:p w14:paraId="19F1E527" w14:textId="77777777" w:rsidR="00CE0F50" w:rsidRPr="00517546" w:rsidRDefault="00CE0F50" w:rsidP="00634F42"/>
    <w:p w14:paraId="6B1FEEC9" w14:textId="77777777" w:rsidR="009A3922" w:rsidRPr="009A3922" w:rsidRDefault="009A3922" w:rsidP="009A3922">
      <w:r w:rsidRPr="009A3922">
        <w:t xml:space="preserve">Agriculture Institute (2025) </w:t>
      </w:r>
      <w:r w:rsidRPr="009A3922">
        <w:rPr>
          <w:i/>
          <w:iCs/>
        </w:rPr>
        <w:t>Factors Affecting Soil Infiltration Rates - Agriculture Notes by Agriculture.Institute</w:t>
      </w:r>
      <w:r w:rsidRPr="009A3922">
        <w:t xml:space="preserve">, </w:t>
      </w:r>
      <w:r w:rsidRPr="009A3922">
        <w:rPr>
          <w:i/>
          <w:iCs/>
        </w:rPr>
        <w:t>Agriculture Institute</w:t>
      </w:r>
      <w:r w:rsidRPr="009A3922">
        <w:t>. Available at: https://agriculture.institute/hydrology/factors-affecting-soil-infiltration-rates/.</w:t>
      </w:r>
    </w:p>
    <w:p w14:paraId="43187993" w14:textId="77777777" w:rsidR="009A3922" w:rsidRPr="009A3922" w:rsidRDefault="009A3922" w:rsidP="009A3922">
      <w:r w:rsidRPr="009A3922">
        <w:t xml:space="preserve">Ahmed, A. and Huo Aidi (2025) ‘Biochar for heavy metal remediation: mechanisms, modifications, and environmental applications’, </w:t>
      </w:r>
      <w:r w:rsidRPr="009A3922">
        <w:rPr>
          <w:i/>
          <w:iCs/>
        </w:rPr>
        <w:t>Environmental Science and Pollution Research</w:t>
      </w:r>
      <w:r w:rsidRPr="009A3922">
        <w:t>, 32(34), pp. 20288–20320. Available at: https://doi.org/10.1007/s11356-025-36886-3.</w:t>
      </w:r>
    </w:p>
    <w:p w14:paraId="1CFCCD41" w14:textId="77777777" w:rsidR="009A3922" w:rsidRPr="009A3922" w:rsidRDefault="009A3922" w:rsidP="009A3922">
      <w:r w:rsidRPr="009A3922">
        <w:t xml:space="preserve">Alloway, B.J. (2013) </w:t>
      </w:r>
      <w:r w:rsidRPr="009A3922">
        <w:rPr>
          <w:i/>
          <w:iCs/>
        </w:rPr>
        <w:t>Heavy Metals in Soils</w:t>
      </w:r>
      <w:r w:rsidRPr="009A3922">
        <w:t xml:space="preserve">, </w:t>
      </w:r>
      <w:r w:rsidRPr="009A3922">
        <w:rPr>
          <w:i/>
          <w:iCs/>
        </w:rPr>
        <w:t>Environmental Pollution</w:t>
      </w:r>
      <w:r w:rsidRPr="009A3922">
        <w:t>. Edited by B.J. Alloway. Springer Netherlands. Available at: https://doi.org/10.1007/978-94-007-4470-7.</w:t>
      </w:r>
    </w:p>
    <w:p w14:paraId="295AE9B7" w14:textId="77777777" w:rsidR="009A3922" w:rsidRPr="009A3922" w:rsidRDefault="009A3922" w:rsidP="009A3922">
      <w:r w:rsidRPr="009A3922">
        <w:t xml:space="preserve">Bardgett, R.D. and van der Putten, W.H. (2014) ‘Belowground biodiversity and ecosystem functioning’, </w:t>
      </w:r>
      <w:r w:rsidRPr="009A3922">
        <w:rPr>
          <w:i/>
          <w:iCs/>
        </w:rPr>
        <w:t>Nature</w:t>
      </w:r>
      <w:r w:rsidRPr="009A3922">
        <w:t>, 515(7528), pp. 505–511. Available at: https://doi.org/10.1038/nature13855.</w:t>
      </w:r>
    </w:p>
    <w:p w14:paraId="1FC4E6AD" w14:textId="77777777" w:rsidR="009A3922" w:rsidRPr="009A3922" w:rsidRDefault="009A3922" w:rsidP="009A3922">
      <w:r w:rsidRPr="009A3922">
        <w:t xml:space="preserve">Beesley, L., Moreno-Jiménez, E. and Gomez-Eyles, J.L. (2010) ‘Effects of biochar and greenwaste compost amendments on mobility, bioavailability and toxicity of inorganic and organic contaminants in a multi-element polluted soil’, </w:t>
      </w:r>
      <w:r w:rsidRPr="009A3922">
        <w:rPr>
          <w:i/>
          <w:iCs/>
        </w:rPr>
        <w:t>Environmental Pollution</w:t>
      </w:r>
      <w:r w:rsidRPr="009A3922">
        <w:t>, 158(6), pp. 2282–2287. Available at: https://doi.org/10.1016/j.envpol.2010.02.003.</w:t>
      </w:r>
    </w:p>
    <w:p w14:paraId="5FD2427A" w14:textId="77777777" w:rsidR="009A3922" w:rsidRPr="009A3922" w:rsidRDefault="009A3922" w:rsidP="009A3922">
      <w:r w:rsidRPr="009A3922">
        <w:t xml:space="preserve">Beesley, L., Moreno-Jiménez, E., Gomez-Eyles, J.L., Harris, E., Robinson, B. and Sizmur, T. (2011) ‘A review of biochars’ potential role in the remediation, revegetation and restoration of contaminated soils’, </w:t>
      </w:r>
      <w:r w:rsidRPr="009A3922">
        <w:rPr>
          <w:i/>
          <w:iCs/>
        </w:rPr>
        <w:t>Environmental Pollution</w:t>
      </w:r>
      <w:r w:rsidRPr="009A3922">
        <w:t>, 159(12), pp. 3269–3282. Available at: https://doi.org/10.1016/j.envpol.2011.07.023.</w:t>
      </w:r>
    </w:p>
    <w:p w14:paraId="204D350A" w14:textId="77777777" w:rsidR="009A3922" w:rsidRPr="009A3922" w:rsidRDefault="009A3922" w:rsidP="009A3922">
      <w:r w:rsidRPr="009A3922">
        <w:t xml:space="preserve">Bell, K. (2023) </w:t>
      </w:r>
      <w:r w:rsidRPr="009A3922">
        <w:rPr>
          <w:i/>
          <w:iCs/>
        </w:rPr>
        <w:t>Erizon®</w:t>
      </w:r>
      <w:r w:rsidRPr="009A3922">
        <w:t xml:space="preserve">, </w:t>
      </w:r>
      <w:r w:rsidRPr="009A3922">
        <w:rPr>
          <w:i/>
          <w:iCs/>
        </w:rPr>
        <w:t>Erizon</w:t>
      </w:r>
      <w:r w:rsidRPr="009A3922">
        <w:t>. Available at: https://www.erizon.com.au/mine-spoil-rehabilitation-in-mining-using-waste-management/ (Accessed: 14 January 2026).</w:t>
      </w:r>
    </w:p>
    <w:p w14:paraId="4CF877A1" w14:textId="77777777" w:rsidR="009A3922" w:rsidRPr="009A3922" w:rsidRDefault="009A3922" w:rsidP="009A3922">
      <w:r w:rsidRPr="009A3922">
        <w:t xml:space="preserve">Berglund, L.M., Deluca, T.H. and Zackrisson, O. (2004) </w:t>
      </w:r>
      <w:r w:rsidRPr="009A3922">
        <w:rPr>
          <w:i/>
          <w:iCs/>
        </w:rPr>
        <w:t>Activated carbon amendments to soil alters nitrification rates in Scots pine forests</w:t>
      </w:r>
      <w:r w:rsidRPr="009A3922">
        <w:t>. Available at: https://doi.org/10.1016/j.soilbio.2004.06.005 (Accessed: 28 May 2025).</w:t>
      </w:r>
    </w:p>
    <w:p w14:paraId="731241C3" w14:textId="77777777" w:rsidR="009A3922" w:rsidRPr="009A3922" w:rsidRDefault="009A3922" w:rsidP="009A3922">
      <w:r w:rsidRPr="009A3922">
        <w:t xml:space="preserve">Bingbing, Q., Yang, C., Shao, Q., Liu, Y. and Chu, H. (2022) </w:t>
      </w:r>
      <w:r w:rsidRPr="009A3922">
        <w:rPr>
          <w:i/>
          <w:iCs/>
        </w:rPr>
        <w:t>Recent advances on industrial solid waste catalysts for improving the quality of bio-oil from biomass catalytic cracking: A review</w:t>
      </w:r>
      <w:r w:rsidRPr="009A3922">
        <w:t>.</w:t>
      </w:r>
    </w:p>
    <w:p w14:paraId="1E71D3B9" w14:textId="77777777" w:rsidR="009A3922" w:rsidRPr="009A3922" w:rsidRDefault="009A3922" w:rsidP="009A3922">
      <w:r w:rsidRPr="009A3922">
        <w:t xml:space="preserve">Bini, C. (2012) </w:t>
      </w:r>
      <w:r w:rsidRPr="009A3922">
        <w:rPr>
          <w:i/>
          <w:iCs/>
        </w:rPr>
        <w:t>Environmental impact of abandoned mine waste: A review</w:t>
      </w:r>
      <w:r w:rsidRPr="009A3922">
        <w:t>. Available at: https://www.researchgate.net/publication/285998274_Environmental_impact_of_abandoned_mine_waste_A_review (Accessed: 20 May 2026).</w:t>
      </w:r>
    </w:p>
    <w:p w14:paraId="0FD419AE" w14:textId="77777777" w:rsidR="009A3922" w:rsidRPr="009A3922" w:rsidRDefault="009A3922" w:rsidP="009A3922">
      <w:r w:rsidRPr="009A3922">
        <w:t xml:space="preserve">Bolan, S., Hou, D., Wang, L., Hale, L., Egamberdieva, D., Tammeorg, P., Li, R., Wang, B., Xu, J., Wang, T., Sun, H., Padhye, L.P., Wang, H., Siddique, K.H.M., Rinklebe, J., Kirkham, M.B. and Bolan, N. (2023) ‘The potential of biochar as a microbial carrier for agricultural and environmental applications’, </w:t>
      </w:r>
      <w:r w:rsidRPr="009A3922">
        <w:rPr>
          <w:i/>
          <w:iCs/>
        </w:rPr>
        <w:t>Science of The Total Environment</w:t>
      </w:r>
      <w:r w:rsidRPr="009A3922">
        <w:t>, 886, p. 163968. Available at: https://doi.org/10.1016/j.scitotenv.2023.163968.</w:t>
      </w:r>
    </w:p>
    <w:p w14:paraId="56E9E7E6" w14:textId="77777777" w:rsidR="009A3922" w:rsidRPr="009A3922" w:rsidRDefault="009A3922" w:rsidP="009A3922">
      <w:r w:rsidRPr="009A3922">
        <w:t xml:space="preserve">Borah, S.P., Ghosh, P., Bhattacharjee, C.R., Nath, A.J. and Choudhury, S. (2025) ‘Biochar-Mediated Soil Amendment for Sustainable Agriculture’, </w:t>
      </w:r>
      <w:r w:rsidRPr="009A3922">
        <w:rPr>
          <w:i/>
          <w:iCs/>
        </w:rPr>
        <w:t>Microorganisms for Sustainability</w:t>
      </w:r>
      <w:r w:rsidRPr="009A3922">
        <w:t>, pp. 95–118. Available at: https://doi.org/10.1007/978-981-96-9025-1_3.</w:t>
      </w:r>
    </w:p>
    <w:p w14:paraId="66724B87" w14:textId="77777777" w:rsidR="009A3922" w:rsidRPr="009A3922" w:rsidRDefault="009A3922" w:rsidP="009A3922">
      <w:r w:rsidRPr="009A3922">
        <w:lastRenderedPageBreak/>
        <w:t xml:space="preserve">Cao, X. and Harris, W. (2010) ‘Properties of dairy-manure-derived biochar pertinent to its potential use in remediation’, </w:t>
      </w:r>
      <w:r w:rsidRPr="009A3922">
        <w:rPr>
          <w:i/>
          <w:iCs/>
        </w:rPr>
        <w:t>Bioresource Technology</w:t>
      </w:r>
      <w:r w:rsidRPr="009A3922">
        <w:t>, 101(14), pp. 5222–5228. Available at: https://doi.org/10.1016/j.biortech.2010.02.052.</w:t>
      </w:r>
    </w:p>
    <w:p w14:paraId="49C8663D" w14:textId="77777777" w:rsidR="009A3922" w:rsidRPr="009A3922" w:rsidRDefault="009A3922" w:rsidP="009A3922">
      <w:r w:rsidRPr="009A3922">
        <w:t xml:space="preserve">Carter, S., Shackley, S., Sohi, S., Suy, T. and Haefele, S. (2013) ‘The Impact of Biochar Application on Soil Properties and Plant Growth of Pot Grown Lettuce (Lactuca sativa) and Cabbage (Brassica chinensis)’, </w:t>
      </w:r>
      <w:r w:rsidRPr="009A3922">
        <w:rPr>
          <w:i/>
          <w:iCs/>
        </w:rPr>
        <w:t>Agronomy</w:t>
      </w:r>
      <w:r w:rsidRPr="009A3922">
        <w:t>, 3(2), pp. 404–418. Available at: https://doi.org/10.3390/agronomy3020404.</w:t>
      </w:r>
    </w:p>
    <w:p w14:paraId="28071717" w14:textId="77777777" w:rsidR="009A3922" w:rsidRPr="009A3922" w:rsidRDefault="009A3922" w:rsidP="009A3922">
      <w:r w:rsidRPr="009A3922">
        <w:t xml:space="preserve">Chen, Z., Wang, Y., Xia, D., Jiang, X., Fu, D., Shen, L., Wang, H. and Li, Q.B. (2016) ‘Enhanced bioreduction of iron and arsenic in sediment by biochar amendment influencing microbial community composition and dissolved organic matter content and composition’, </w:t>
      </w:r>
      <w:r w:rsidRPr="009A3922">
        <w:rPr>
          <w:i/>
          <w:iCs/>
        </w:rPr>
        <w:t>Science Direct</w:t>
      </w:r>
      <w:r w:rsidRPr="009A3922">
        <w:t xml:space="preserve"> [Preprint]. Available at: https://www.sciencedirect.com/science/article/pii/S0304389416302059?via%3Dihub (Accessed: 1 June 2026).</w:t>
      </w:r>
    </w:p>
    <w:p w14:paraId="330D9A88" w14:textId="77777777" w:rsidR="009A3922" w:rsidRPr="009A3922" w:rsidRDefault="009A3922" w:rsidP="009A3922">
      <w:r w:rsidRPr="009A3922">
        <w:t>Cheng, J., Yang, C.-Z., Zhang, L., Lin, Z.-J., Dang, Y.P., Zhao, X. and Zhang, H.-L. (2025) ‘The competitive effects of crop straw return and nitrogen fertilization on soil acidification’. Available at: https://doi.org/10.1016/j.agee.2025.109638.</w:t>
      </w:r>
    </w:p>
    <w:p w14:paraId="2BEE30B2" w14:textId="77777777" w:rsidR="009A3922" w:rsidRPr="009A3922" w:rsidRDefault="009A3922" w:rsidP="009A3922">
      <w:r w:rsidRPr="009A3922">
        <w:t xml:space="preserve">Cichoń, A., Pisarek, I., Łuczak, K. and Kusza, G. (2026) ‘Heterogeneity of soil substrate as a factor determining the quality of soils developed on spoil heaps of carbonate raw material mines’, </w:t>
      </w:r>
      <w:r w:rsidRPr="009A3922">
        <w:rPr>
          <w:i/>
          <w:iCs/>
        </w:rPr>
        <w:t>Journal of Ecological Engineering</w:t>
      </w:r>
      <w:r w:rsidRPr="009A3922">
        <w:t>, 27(6), pp. 477–485. Available at: https://doi.org/10.12911/22998993/219753.</w:t>
      </w:r>
    </w:p>
    <w:p w14:paraId="6BCED59B" w14:textId="77777777" w:rsidR="009A3922" w:rsidRPr="009A3922" w:rsidRDefault="009A3922" w:rsidP="009A3922">
      <w:r w:rsidRPr="009A3922">
        <w:t xml:space="preserve">Cosmas, P., Albert, S., Antony Trust, C. and Albert, G. (2025) ‘Phytoremediation of Heavy Metals and Metalloids in Mine Dump Soils Using Agroforestry Trees’, </w:t>
      </w:r>
      <w:r w:rsidRPr="009A3922">
        <w:rPr>
          <w:i/>
          <w:iCs/>
        </w:rPr>
        <w:t>Soil and Sediment Contamination: An International Journal</w:t>
      </w:r>
      <w:r w:rsidRPr="009A3922">
        <w:t>, pp. 1–21. Available at: https://doi.org/10.1080/15320383.2025.2604289.</w:t>
      </w:r>
    </w:p>
    <w:p w14:paraId="78E59D4E" w14:textId="77777777" w:rsidR="009A3922" w:rsidRPr="009A3922" w:rsidRDefault="009A3922" w:rsidP="009A3922">
      <w:r w:rsidRPr="009A3922">
        <w:t xml:space="preserve">Dai, Z., Zhang, X., Tang, C., Muhammad, N., Wu, J., Brookes, P.C. and Xu, J. (2017) ‘Potential role of biochars in decreasing soil acidification - A critical review’, </w:t>
      </w:r>
      <w:r w:rsidRPr="009A3922">
        <w:rPr>
          <w:i/>
          <w:iCs/>
        </w:rPr>
        <w:t>Science of The Total Environment</w:t>
      </w:r>
      <w:r w:rsidRPr="009A3922">
        <w:t>, 581-582, pp. 601–611. Available at: https://doi.org/10.1016/j.scitotenv.2016.12.169.</w:t>
      </w:r>
    </w:p>
    <w:p w14:paraId="1BD0BF3C" w14:textId="77777777" w:rsidR="009A3922" w:rsidRPr="009A3922" w:rsidRDefault="009A3922" w:rsidP="009A3922">
      <w:r w:rsidRPr="009A3922">
        <w:t xml:space="preserve">de la Rosa, J.M., Rosado, M., Paneque, M., Miller, A.Z. and Knicker, H. (2018) ‘Effects of aging under field conditions on biochar structure and composition: Implications for biochar stability in soils’, </w:t>
      </w:r>
      <w:r w:rsidRPr="009A3922">
        <w:rPr>
          <w:i/>
          <w:iCs/>
        </w:rPr>
        <w:t>Science of The Total Environment</w:t>
      </w:r>
      <w:r w:rsidRPr="009A3922">
        <w:t>, 613-614, pp. 969–976. Available at: https://doi.org/10.1016/j.scitotenv.2017.09.124.</w:t>
      </w:r>
    </w:p>
    <w:p w14:paraId="32452B0D" w14:textId="77777777" w:rsidR="009A3922" w:rsidRPr="009A3922" w:rsidRDefault="009A3922" w:rsidP="009A3922">
      <w:r w:rsidRPr="009A3922">
        <w:t xml:space="preserve">DEFRA (2023) </w:t>
      </w:r>
      <w:r w:rsidRPr="009A3922">
        <w:rPr>
          <w:i/>
          <w:iCs/>
        </w:rPr>
        <w:t>The Great Britain Invasive Non-Native Species Strategy</w:t>
      </w:r>
      <w:r w:rsidRPr="009A3922">
        <w:t>. Available at: https://www.nonnativespecies.org/assets/Uploads/The-Great-Britain-Invasive-Non-Native-Species-Strategy-2023-to-2030-v2.pdf.</w:t>
      </w:r>
    </w:p>
    <w:p w14:paraId="22916BCA" w14:textId="77777777" w:rsidR="009A3922" w:rsidRPr="009A3922" w:rsidRDefault="009A3922" w:rsidP="009A3922">
      <w:r w:rsidRPr="009A3922">
        <w:t xml:space="preserve">Dybowska, A., Farago, M., Valsami-Jones, E. and Thornton, I. (2006) ‘Remediation Strategies for Historical Mining and Smelting Sites’, </w:t>
      </w:r>
      <w:r w:rsidRPr="009A3922">
        <w:rPr>
          <w:i/>
          <w:iCs/>
        </w:rPr>
        <w:t>Science Progress</w:t>
      </w:r>
      <w:r w:rsidRPr="009A3922">
        <w:t>, 89(2), pp. 71–138. Available at: https://doi.org/10.3184/003685006783238344.</w:t>
      </w:r>
    </w:p>
    <w:p w14:paraId="3FE0E499" w14:textId="77777777" w:rsidR="009A3922" w:rsidRPr="009A3922" w:rsidRDefault="009A3922" w:rsidP="009A3922">
      <w:r w:rsidRPr="009A3922">
        <w:t xml:space="preserve">Fan, C., Cui, Y., Zhang, Q., Yin, N., Cai, X., Yuan, X., Sachini Supunsala Senadheera, Cho, Y. and Yong Sik Ok (2023) ‘A critical review of the interactions between rhizosphere and biochar during the remediation of metal(loid) contaminated soils’, </w:t>
      </w:r>
      <w:r w:rsidRPr="009A3922">
        <w:rPr>
          <w:i/>
          <w:iCs/>
        </w:rPr>
        <w:t>Biochar</w:t>
      </w:r>
      <w:r w:rsidRPr="009A3922">
        <w:t>, 5(1). Available at: https://doi.org/10.1007/s42773-023-00278-y.</w:t>
      </w:r>
    </w:p>
    <w:p w14:paraId="31AE8E9C" w14:textId="77777777" w:rsidR="009A3922" w:rsidRPr="009A3922" w:rsidRDefault="009A3922" w:rsidP="009A3922">
      <w:r w:rsidRPr="009A3922">
        <w:t xml:space="preserve">Feng, Y., Wang, J., Bai, Z. and Reading, L. (2019) ‘Effects of surface coal mining and land reclamation on soil properties: A review’, </w:t>
      </w:r>
      <w:r w:rsidRPr="009A3922">
        <w:rPr>
          <w:i/>
          <w:iCs/>
        </w:rPr>
        <w:t>Earth-Science Reviews</w:t>
      </w:r>
      <w:r w:rsidRPr="009A3922">
        <w:t>, 191, pp. 12–25. Available at: https://doi.org/10.1016/j.earscirev.2019.02.015.</w:t>
      </w:r>
    </w:p>
    <w:p w14:paraId="10A1C606" w14:textId="77777777" w:rsidR="009A3922" w:rsidRPr="009A3922" w:rsidRDefault="009A3922" w:rsidP="009A3922">
      <w:r w:rsidRPr="009A3922">
        <w:lastRenderedPageBreak/>
        <w:t xml:space="preserve">Future Generations Commissioner for Wales (2025) </w:t>
      </w:r>
      <w:r w:rsidRPr="009A3922">
        <w:rPr>
          <w:i/>
          <w:iCs/>
        </w:rPr>
        <w:t>Well-being of Future Generations Act 2015 - FGC - CYM</w:t>
      </w:r>
      <w:r w:rsidRPr="009A3922">
        <w:t xml:space="preserve">, </w:t>
      </w:r>
      <w:r w:rsidRPr="009A3922">
        <w:rPr>
          <w:i/>
          <w:iCs/>
        </w:rPr>
        <w:t>FGC - CYM</w:t>
      </w:r>
      <w:r w:rsidRPr="009A3922">
        <w:t>. Available at: https://futuregenerations.wales/discover/about-future-generations-commissioner/future-generations-act-2015/.</w:t>
      </w:r>
    </w:p>
    <w:p w14:paraId="2936955E" w14:textId="77777777" w:rsidR="009A3922" w:rsidRPr="009A3922" w:rsidRDefault="009A3922" w:rsidP="009A3922">
      <w:r w:rsidRPr="009A3922">
        <w:t xml:space="preserve">Gao, W., Hodgkinson, L., Jin, K., Watts, C.W., Ashton, R.W., Shen, J., Ren, T., Dodd, I.C., Binley, A., Phillips, A.L., Hedden, P., Hawkesford, M.J. and Whalley, W.R. (2016) ‘Deep roots and soil structure’, </w:t>
      </w:r>
      <w:r w:rsidRPr="009A3922">
        <w:rPr>
          <w:i/>
          <w:iCs/>
        </w:rPr>
        <w:t>Plant, Cell &amp; Environment</w:t>
      </w:r>
      <w:r w:rsidRPr="009A3922">
        <w:t>, 39(8), pp. 1662–1668. Available at: https://doi.org/10.1111/pce.12684.</w:t>
      </w:r>
    </w:p>
    <w:p w14:paraId="2E0D120A" w14:textId="77777777" w:rsidR="009A3922" w:rsidRPr="009A3922" w:rsidRDefault="009A3922" w:rsidP="009A3922">
      <w:r w:rsidRPr="009A3922">
        <w:t xml:space="preserve">Gao, Y., Wu, P., Jeyakumar, P., Bolan, N., Wang, H., Gao, B., Wang, S. and Wang, B. (2022) ‘Biochar as a potential strategy for remediation of contaminated mining soils: Mechanisms, applications, and future perspectives’, </w:t>
      </w:r>
      <w:r w:rsidRPr="009A3922">
        <w:rPr>
          <w:i/>
          <w:iCs/>
        </w:rPr>
        <w:t>Journal of Environmental Management</w:t>
      </w:r>
      <w:r w:rsidRPr="009A3922">
        <w:t>, 313, p. 114973. Available at: https://doi.org/10.1016/j.jenvman.2022.114973.</w:t>
      </w:r>
    </w:p>
    <w:p w14:paraId="4679C9C5" w14:textId="77777777" w:rsidR="009A3922" w:rsidRPr="009A3922" w:rsidRDefault="009A3922" w:rsidP="009A3922">
      <w:r w:rsidRPr="009A3922">
        <w:t>Ghaffar, A., Ghosh, S., Li, F.-F., Dong, X.-D., Zhang, D., Wu, M., Li, H. and Pan, B. (2015) ‘Effect of biochar aging on surface characteristics and adsorption behavior of dialkyl phthalates’, 206, pp. 502–509. Available at: https://doi.org/10.1016/j.envpol.2015.08.001.</w:t>
      </w:r>
    </w:p>
    <w:p w14:paraId="493E76FD" w14:textId="77777777" w:rsidR="009A3922" w:rsidRPr="009A3922" w:rsidRDefault="009A3922" w:rsidP="009A3922">
      <w:r w:rsidRPr="009A3922">
        <w:t xml:space="preserve">Ghassemi-Golezani, K., Latifi, S. and Farhangi-Abriz, S. (2025) ‘Biochar-mediated remediation of nickel and copper improved nutrient availability and physiological performance of dill plants’, </w:t>
      </w:r>
      <w:r w:rsidRPr="009A3922">
        <w:rPr>
          <w:i/>
          <w:iCs/>
        </w:rPr>
        <w:t>Scientific Reports</w:t>
      </w:r>
      <w:r w:rsidRPr="009A3922">
        <w:t>, 15(1). Available at: https://doi.org/10.1038/s41598-025-98646-0.</w:t>
      </w:r>
    </w:p>
    <w:p w14:paraId="7C679B60" w14:textId="77777777" w:rsidR="009A3922" w:rsidRPr="009A3922" w:rsidRDefault="009A3922" w:rsidP="009A3922">
      <w:r w:rsidRPr="009A3922">
        <w:t xml:space="preserve">Great Britain. Environment Agency (2008) </w:t>
      </w:r>
      <w:r w:rsidRPr="009A3922">
        <w:rPr>
          <w:i/>
          <w:iCs/>
        </w:rPr>
        <w:t>Abandoned mines and the water environment</w:t>
      </w:r>
      <w:r w:rsidRPr="009A3922">
        <w:t>. Environment Agency.</w:t>
      </w:r>
    </w:p>
    <w:p w14:paraId="2DC0BF6A" w14:textId="77777777" w:rsidR="009A3922" w:rsidRPr="009A3922" w:rsidRDefault="009A3922" w:rsidP="009A3922">
      <w:r w:rsidRPr="009A3922">
        <w:t xml:space="preserve">Gwenzi, W., Chaukura, N., Mukome, F.N.D., Machado, S. and Nyamasoka, B. (2015) ‘Biochar production and applications in sub-Saharan Africa: Opportunities, constraints, risks and uncertainties’, </w:t>
      </w:r>
      <w:r w:rsidRPr="009A3922">
        <w:rPr>
          <w:i/>
          <w:iCs/>
        </w:rPr>
        <w:t>Journal of Environmental Management</w:t>
      </w:r>
      <w:r w:rsidRPr="009A3922">
        <w:t>, 150, pp. 250–261. Available at: https://doi.org/10.1016/j.jenvman.2014.11.027.</w:t>
      </w:r>
    </w:p>
    <w:p w14:paraId="567C23FE" w14:textId="77777777" w:rsidR="009A3922" w:rsidRPr="009A3922" w:rsidRDefault="009A3922" w:rsidP="009A3922">
      <w:r w:rsidRPr="009A3922">
        <w:t xml:space="preserve">Hardesty, J.H. and Attili, B. (2010) </w:t>
      </w:r>
      <w:r w:rsidRPr="009A3922">
        <w:rPr>
          <w:i/>
          <w:iCs/>
        </w:rPr>
        <w:t>Spectrophotometry and the Beer-Lambert Law: An Important Analytical Technique in Chemistry</w:t>
      </w:r>
      <w:r w:rsidRPr="009A3922">
        <w:t>. Collin College. Available at: http://vfsilesieux.free.fr/1Seuro/BeerLaw.pdf.</w:t>
      </w:r>
    </w:p>
    <w:p w14:paraId="737DA2FC" w14:textId="77777777" w:rsidR="009A3922" w:rsidRPr="009A3922" w:rsidRDefault="009A3922" w:rsidP="009A3922">
      <w:r w:rsidRPr="009A3922">
        <w:t xml:space="preserve">Hardie, M., Clothier, B., Bound, S., Oliver, G. and Close, D. (2013) ‘Does biochar influence soil physical properties and soil water availability?’, </w:t>
      </w:r>
      <w:r w:rsidRPr="009A3922">
        <w:rPr>
          <w:i/>
          <w:iCs/>
        </w:rPr>
        <w:t>Plant and Soil</w:t>
      </w:r>
      <w:r w:rsidRPr="009A3922">
        <w:t>, 376(1-2), pp. 347–361. Available at: https://doi.org/10.1007/s11104-013-1980-x.</w:t>
      </w:r>
    </w:p>
    <w:p w14:paraId="35E283FA" w14:textId="77777777" w:rsidR="009A3922" w:rsidRPr="009A3922" w:rsidRDefault="009A3922" w:rsidP="009A3922">
      <w:r w:rsidRPr="009A3922">
        <w:t xml:space="preserve">He, L., Zhong, H., Liu, G., Dai, Z., Brookes, P.C. and Xu, J. (2019) ‘Remediation of heavy metal contaminated soils by biochar: Mechanisms, potential risks and applications in China’, </w:t>
      </w:r>
      <w:r w:rsidRPr="009A3922">
        <w:rPr>
          <w:i/>
          <w:iCs/>
        </w:rPr>
        <w:t>Environmental Pollution</w:t>
      </w:r>
      <w:r w:rsidRPr="009A3922">
        <w:t>, 252, pp. 846–855. Available at: https://doi.org/10.1016/j.envpol.2019.05.151.</w:t>
      </w:r>
    </w:p>
    <w:p w14:paraId="4DEDCCFC" w14:textId="77777777" w:rsidR="009A3922" w:rsidRPr="009A3922" w:rsidRDefault="009A3922" w:rsidP="009A3922">
      <w:r w:rsidRPr="009A3922">
        <w:t xml:space="preserve">Herb (2025) </w:t>
      </w:r>
      <w:r w:rsidRPr="009A3922">
        <w:rPr>
          <w:i/>
          <w:iCs/>
        </w:rPr>
        <w:t>How does biochar affect soil pH levels?</w:t>
      </w:r>
      <w:r w:rsidRPr="009A3922">
        <w:t xml:space="preserve">, </w:t>
      </w:r>
      <w:r w:rsidRPr="009A3922">
        <w:rPr>
          <w:i/>
          <w:iCs/>
        </w:rPr>
        <w:t>Plant Heroes – Stories of Saving Native Plants</w:t>
      </w:r>
      <w:r w:rsidRPr="009A3922">
        <w:t>. Available at: https://plant-heroes.com/how-does-biochar-affect-soil-ph-levels/ (Accessed: 5 June 2026).</w:t>
      </w:r>
    </w:p>
    <w:p w14:paraId="36DDBE1B" w14:textId="77777777" w:rsidR="009A3922" w:rsidRPr="009A3922" w:rsidRDefault="009A3922" w:rsidP="009A3922">
      <w:r w:rsidRPr="009A3922">
        <w:t xml:space="preserve">Hilton, K.J. (1968) </w:t>
      </w:r>
      <w:r w:rsidRPr="009A3922">
        <w:rPr>
          <w:i/>
          <w:iCs/>
        </w:rPr>
        <w:t>The Lower Swansea Valley Project</w:t>
      </w:r>
      <w:r w:rsidRPr="009A3922">
        <w:t>.</w:t>
      </w:r>
    </w:p>
    <w:p w14:paraId="73D2F47C" w14:textId="77777777" w:rsidR="009A3922" w:rsidRPr="009A3922" w:rsidRDefault="009A3922" w:rsidP="009A3922">
      <w:r w:rsidRPr="009A3922">
        <w:t xml:space="preserve">Hou, D., Jia, X., Wang, L., McGrath, S.P., Zhu, Y.-G., Hu, Q., Zhao, F.-J., Bank, M.S., O’Connor, D. and Nriagu, J. (2025) ‘Global soil pollution by toxic metals threatens agriculture and human health’, </w:t>
      </w:r>
      <w:r w:rsidRPr="009A3922">
        <w:rPr>
          <w:i/>
          <w:iCs/>
        </w:rPr>
        <w:t>Science</w:t>
      </w:r>
      <w:r w:rsidRPr="009A3922">
        <w:t>, 388(6744), pp. 316–321. Available at: https://doi.org/10.1126/science.adr5214.</w:t>
      </w:r>
    </w:p>
    <w:p w14:paraId="7EFA41B6" w14:textId="77777777" w:rsidR="009A3922" w:rsidRPr="009A3922" w:rsidRDefault="009A3922" w:rsidP="009A3922">
      <w:r w:rsidRPr="009A3922">
        <w:t xml:space="preserve">Hou, X., Amais, R.S., Jones, B.T. and Donati, G.L. (2021) ‘Inductively Coupled Plasma Optical Emission Spectrometry’, </w:t>
      </w:r>
      <w:r w:rsidRPr="009A3922">
        <w:rPr>
          <w:i/>
          <w:iCs/>
        </w:rPr>
        <w:t>Encyclopedia of Analytical Chemistry</w:t>
      </w:r>
      <w:r w:rsidRPr="009A3922">
        <w:t>, pp. 1–29. Available at: https://doi.org/10.1002/9780470027318.a5110.pub4.</w:t>
      </w:r>
    </w:p>
    <w:p w14:paraId="61B7EF4E" w14:textId="77777777" w:rsidR="009A3922" w:rsidRPr="009A3922" w:rsidRDefault="009A3922" w:rsidP="009A3922">
      <w:r w:rsidRPr="009A3922">
        <w:lastRenderedPageBreak/>
        <w:t xml:space="preserve">Hughes, L. (2024) </w:t>
      </w:r>
      <w:r w:rsidRPr="009A3922">
        <w:rPr>
          <w:i/>
          <w:iCs/>
        </w:rPr>
        <w:t>The unseen dangers of lead contamination in the UK</w:t>
      </w:r>
      <w:r w:rsidRPr="009A3922">
        <w:t xml:space="preserve">, </w:t>
      </w:r>
      <w:r w:rsidRPr="009A3922">
        <w:rPr>
          <w:i/>
          <w:iCs/>
        </w:rPr>
        <w:t>@FinancialTimes</w:t>
      </w:r>
      <w:r w:rsidRPr="009A3922">
        <w:t>. Financial Times. Available at: https://www.ft.com/content/5bcc846c-9858-4ae3-ae75-06fc17342d3d?sharetype=gift (Accessed: 27 May 2026).</w:t>
      </w:r>
    </w:p>
    <w:p w14:paraId="68647DD7" w14:textId="77777777" w:rsidR="009A3922" w:rsidRPr="009A3922" w:rsidRDefault="009A3922" w:rsidP="009A3922">
      <w:r w:rsidRPr="009A3922">
        <w:t xml:space="preserve">Hughes, S. (2008) </w:t>
      </w:r>
      <w:r w:rsidRPr="009A3922">
        <w:rPr>
          <w:i/>
          <w:iCs/>
        </w:rPr>
        <w:t>Copperopolis : landscapes of the early industrial period in Swansea</w:t>
      </w:r>
      <w:r w:rsidRPr="009A3922">
        <w:t>. Royal Commission On The Ancient And Historical Monuments Of Wales.</w:t>
      </w:r>
    </w:p>
    <w:p w14:paraId="723CA0A1" w14:textId="77777777" w:rsidR="009A3922" w:rsidRPr="009A3922" w:rsidRDefault="009A3922" w:rsidP="009A3922">
      <w:r w:rsidRPr="009A3922">
        <w:t xml:space="preserve">Ippolito, J.A., Cui, L., Kammann, C., Wrage-Mönnig, N., Estavillo, J.M., Fuertes-Mendizabal, T., Cayuela, M.L., Sigua, G., Novak, J., Spokas, K. and Borchard, N. (2020) ‘Feedstock choice, pyrolysis temperature and type influence biochar characteristics: a comprehensive meta-data analysis review’, </w:t>
      </w:r>
      <w:r w:rsidRPr="009A3922">
        <w:rPr>
          <w:i/>
          <w:iCs/>
        </w:rPr>
        <w:t>Biochar</w:t>
      </w:r>
      <w:r w:rsidRPr="009A3922">
        <w:t>, 2(4), pp. 421–438. Available at: https://doi.org/10.1007/s42773-020-00067-x.</w:t>
      </w:r>
    </w:p>
    <w:p w14:paraId="1AEB468A" w14:textId="77777777" w:rsidR="009A3922" w:rsidRPr="009A3922" w:rsidRDefault="009A3922" w:rsidP="009A3922">
      <w:r w:rsidRPr="009A3922">
        <w:t xml:space="preserve">Islam, M.S. and Xia, S. (2026) ‘Biochar–soil–tea nexus: a review of soil health, microbial interactions, and sustainable Camellia sinensis cultivation’, </w:t>
      </w:r>
      <w:r w:rsidRPr="009A3922">
        <w:rPr>
          <w:i/>
          <w:iCs/>
        </w:rPr>
        <w:t>Biochar</w:t>
      </w:r>
      <w:r w:rsidRPr="009A3922">
        <w:t>, 8(1). Available at: https://doi.org/10.1007/s42773-026-00580-5.</w:t>
      </w:r>
    </w:p>
    <w:p w14:paraId="4EFDCDF6" w14:textId="77777777" w:rsidR="009A3922" w:rsidRPr="009A3922" w:rsidRDefault="009A3922" w:rsidP="009A3922">
      <w:r w:rsidRPr="009A3922">
        <w:t xml:space="preserve">Jeffery, S., Verheijen, F.G.A., van der Velde, M. and Bastos, A.C. (2011) ‘A quantitative review of the effects of biochar application to soils on crop productivity using meta-analysis’, </w:t>
      </w:r>
      <w:r w:rsidRPr="009A3922">
        <w:rPr>
          <w:i/>
          <w:iCs/>
        </w:rPr>
        <w:t>Agriculture, Ecosystems &amp; Environment</w:t>
      </w:r>
      <w:r w:rsidRPr="009A3922">
        <w:t>, 144(1), pp. 175–187. Available at: https://doi.org/10.1016/j.agee.2011.08.015.</w:t>
      </w:r>
    </w:p>
    <w:p w14:paraId="79D32830" w14:textId="77777777" w:rsidR="009A3922" w:rsidRPr="009A3922" w:rsidRDefault="009A3922" w:rsidP="009A3922">
      <w:r w:rsidRPr="009A3922">
        <w:t xml:space="preserve">Ji, M., Wang, X., Usman, M., Liu, F., Dan, Y., Zhou, L., Campanaro, S., Luo, G. and Sang, W. (2022) ‘Effects of different feedstocks-based biochar on soil remediation: A review’, </w:t>
      </w:r>
      <w:r w:rsidRPr="009A3922">
        <w:rPr>
          <w:i/>
          <w:iCs/>
        </w:rPr>
        <w:t>Environmental Pollution</w:t>
      </w:r>
      <w:r w:rsidRPr="009A3922">
        <w:t>, 294, p. 118655. Available at: https://doi.org/10.1016/j.envpol.2021.118655.</w:t>
      </w:r>
    </w:p>
    <w:p w14:paraId="34B9A0C4" w14:textId="77777777" w:rsidR="009A3922" w:rsidRPr="009A3922" w:rsidRDefault="009A3922" w:rsidP="009A3922">
      <w:r w:rsidRPr="009A3922">
        <w:t xml:space="preserve">Johannes Lehmann and Joseph, S. (2015) </w:t>
      </w:r>
      <w:r w:rsidRPr="009A3922">
        <w:rPr>
          <w:i/>
          <w:iCs/>
        </w:rPr>
        <w:t>Biochar for environmental management : science, technology and implementation</w:t>
      </w:r>
      <w:r w:rsidRPr="009A3922">
        <w:t>. Routledge.</w:t>
      </w:r>
    </w:p>
    <w:p w14:paraId="50594543" w14:textId="77777777" w:rsidR="009A3922" w:rsidRPr="009A3922" w:rsidRDefault="009A3922" w:rsidP="009A3922">
      <w:r w:rsidRPr="009A3922">
        <w:t xml:space="preserve">Jones, J.C., Reynolds, J.D. and Raffaelli, D. (2006) ‘Environmental Variables ’, in </w:t>
      </w:r>
      <w:r w:rsidRPr="009A3922">
        <w:rPr>
          <w:i/>
          <w:iCs/>
        </w:rPr>
        <w:t xml:space="preserve">Ecological Census Techniques </w:t>
      </w:r>
      <w:r w:rsidRPr="009A3922">
        <w:t>. Cambridge: Cambridge University Press, pp. 370–407.</w:t>
      </w:r>
    </w:p>
    <w:p w14:paraId="0BC2EED0" w14:textId="77777777" w:rsidR="009A3922" w:rsidRPr="009A3922" w:rsidRDefault="009A3922" w:rsidP="009A3922">
      <w:r w:rsidRPr="009A3922">
        <w:t xml:space="preserve">Killingley (2025) </w:t>
      </w:r>
      <w:r w:rsidRPr="009A3922">
        <w:rPr>
          <w:i/>
          <w:iCs/>
        </w:rPr>
        <w:t>Top 9 Remediation Techniques for Contaminated Land in the UK</w:t>
      </w:r>
      <w:r w:rsidRPr="009A3922">
        <w:t xml:space="preserve">, </w:t>
      </w:r>
      <w:r w:rsidRPr="009A3922">
        <w:rPr>
          <w:i/>
          <w:iCs/>
        </w:rPr>
        <w:t>NT Killingley Ltd</w:t>
      </w:r>
      <w:r w:rsidRPr="009A3922">
        <w:t>. Available at: https://www.killingley.co.uk/earthworks/remediation-techniques-contaminated-sites/ (Accessed: 23 April 2026).</w:t>
      </w:r>
    </w:p>
    <w:p w14:paraId="50506260" w14:textId="77777777" w:rsidR="009A3922" w:rsidRPr="009A3922" w:rsidRDefault="009A3922" w:rsidP="009A3922">
      <w:r w:rsidRPr="009A3922">
        <w:rPr>
          <w:i/>
          <w:iCs/>
        </w:rPr>
        <w:t>Kilvey Hill - Swansea</w:t>
      </w:r>
      <w:r w:rsidRPr="009A3922">
        <w:t xml:space="preserve"> (2026) </w:t>
      </w:r>
      <w:r w:rsidRPr="009A3922">
        <w:rPr>
          <w:i/>
          <w:iCs/>
        </w:rPr>
        <w:t>Swansea</w:t>
      </w:r>
      <w:r w:rsidRPr="009A3922">
        <w:t>. Available at: https://swansea.gov.uk/kilveyhill?lang=en (Accessed: 11 May 2026).</w:t>
      </w:r>
    </w:p>
    <w:p w14:paraId="36DADB49" w14:textId="77777777" w:rsidR="009A3922" w:rsidRPr="009A3922" w:rsidRDefault="009A3922" w:rsidP="009A3922">
      <w:r w:rsidRPr="009A3922">
        <w:t xml:space="preserve">Kloss, S., Zehetner, F., Dellantonio, A., Hamid, R., Ottner, F., Liedtke, V., Schwanninger, M., Gerzabek, M.H. and Soja, G. (2012) ‘Characterization of Slow Pyrolysis Biochars: Effects of Feedstocks and Pyrolysis Temperature on Biochar Properties’, </w:t>
      </w:r>
      <w:r w:rsidRPr="009A3922">
        <w:rPr>
          <w:i/>
          <w:iCs/>
        </w:rPr>
        <w:t>Journal of Environment Quality</w:t>
      </w:r>
      <w:r w:rsidRPr="009A3922">
        <w:t>, 41(4), p. 990. Available at: https://doi.org/10.2134/jeq2011.0070.</w:t>
      </w:r>
    </w:p>
    <w:p w14:paraId="051B5444" w14:textId="77777777" w:rsidR="009A3922" w:rsidRPr="009A3922" w:rsidRDefault="009A3922" w:rsidP="009A3922">
      <w:r w:rsidRPr="009A3922">
        <w:t xml:space="preserve">Kohnke, H. (1950) ‘The Reclamation of Coal Mine Spoils’, </w:t>
      </w:r>
      <w:r w:rsidRPr="009A3922">
        <w:rPr>
          <w:i/>
          <w:iCs/>
        </w:rPr>
        <w:t>Advances in Agronomy</w:t>
      </w:r>
      <w:r w:rsidRPr="009A3922">
        <w:t>, pp. 317–349. Available at: https://doi.org/10.1016/s0065-2113(08)60768-3.</w:t>
      </w:r>
    </w:p>
    <w:p w14:paraId="047C78E4" w14:textId="77777777" w:rsidR="009A3922" w:rsidRPr="009A3922" w:rsidRDefault="009A3922" w:rsidP="009A3922">
      <w:r w:rsidRPr="009A3922">
        <w:t xml:space="preserve">Lauber, C.L., Hamady, M., Knight, R. and Fierer, N. (2009) ‘Pyrosequencing-Based Assessment of Soil pH as a Predictor of Soil Bacterial Community Structure at the Continental Scale’, </w:t>
      </w:r>
      <w:r w:rsidRPr="009A3922">
        <w:rPr>
          <w:i/>
          <w:iCs/>
        </w:rPr>
        <w:t>Applied and Environmental Microbiology</w:t>
      </w:r>
      <w:r w:rsidRPr="009A3922">
        <w:t>, 75(15), pp. 5111–5120. Available at: https://doi.org/10.1128/aem.00335-09.</w:t>
      </w:r>
    </w:p>
    <w:p w14:paraId="3636818B" w14:textId="77777777" w:rsidR="009A3922" w:rsidRPr="009A3922" w:rsidRDefault="009A3922" w:rsidP="009A3922">
      <w:r w:rsidRPr="009A3922">
        <w:t xml:space="preserve">Lehmann, J. and Joseph, S. (2012) </w:t>
      </w:r>
      <w:r w:rsidRPr="009A3922">
        <w:rPr>
          <w:i/>
          <w:iCs/>
        </w:rPr>
        <w:t>Biochar for Environmental Management</w:t>
      </w:r>
      <w:r w:rsidRPr="009A3922">
        <w:t>. Routledge.</w:t>
      </w:r>
    </w:p>
    <w:p w14:paraId="64148C9B" w14:textId="77777777" w:rsidR="009A3922" w:rsidRPr="009A3922" w:rsidRDefault="009A3922" w:rsidP="009A3922">
      <w:r w:rsidRPr="009A3922">
        <w:lastRenderedPageBreak/>
        <w:t xml:space="preserve">Li, H., Lin, Y., Qin, X., Song, L., Fan, F., Liu, Y. and Li, S. (2024) ‘An updated review on how biochar may possess potential in soil ARGs control on aspects of source, fate and elimination’, </w:t>
      </w:r>
      <w:r w:rsidRPr="009A3922">
        <w:rPr>
          <w:i/>
          <w:iCs/>
        </w:rPr>
        <w:t>Biochar</w:t>
      </w:r>
      <w:r w:rsidRPr="009A3922">
        <w:t>, 6(1). Available at: https://doi.org/10.1007/s42773-024-00319-0.</w:t>
      </w:r>
    </w:p>
    <w:p w14:paraId="036311B8" w14:textId="77777777" w:rsidR="009A3922" w:rsidRPr="009A3922" w:rsidRDefault="009A3922" w:rsidP="009A3922">
      <w:r w:rsidRPr="009A3922">
        <w:t xml:space="preserve">Li, S., Harris, S., Anandhi, A. and Chen, G. (2019) ‘Predicting biochar properties and functions based on feedstock and pyrolysis temperature: A review and data syntheses’, </w:t>
      </w:r>
      <w:r w:rsidRPr="009A3922">
        <w:rPr>
          <w:i/>
          <w:iCs/>
        </w:rPr>
        <w:t>Journal of Cleaner Production</w:t>
      </w:r>
      <w:r w:rsidRPr="009A3922">
        <w:t>, 215, pp. 890–902. Available at: https://doi.org/10.1016/j.jclepro.2019.01.106.</w:t>
      </w:r>
    </w:p>
    <w:p w14:paraId="0AAB798B" w14:textId="77777777" w:rsidR="009A3922" w:rsidRPr="009A3922" w:rsidRDefault="009A3922" w:rsidP="009A3922">
      <w:r w:rsidRPr="009A3922">
        <w:t xml:space="preserve">Liang, M., Lu, L., He, H., Li, J., Zhu, Z. and Zhu, Y. (2021) ‘Applications of Biochar and Modified Biochar in Heavy Metal Contaminated Soil: A Descriptive Review’, </w:t>
      </w:r>
      <w:r w:rsidRPr="009A3922">
        <w:rPr>
          <w:i/>
          <w:iCs/>
        </w:rPr>
        <w:t>Sustainability</w:t>
      </w:r>
      <w:r w:rsidRPr="009A3922">
        <w:t>, 13(24), p. 14041. Available at: https://doi.org/10.3390/su132414041.</w:t>
      </w:r>
    </w:p>
    <w:p w14:paraId="6F6277B9" w14:textId="77777777" w:rsidR="009A3922" w:rsidRPr="009A3922" w:rsidRDefault="009A3922" w:rsidP="009A3922">
      <w:r w:rsidRPr="009A3922">
        <w:t xml:space="preserve">Liu, S., Li, Y., Zhan, C., Liu, H., Wang, Y. and Fang, L. (2026) ‘A review of pollutant leaching from tailings: numerical modeling, transport mechanisms, and pollution control’, </w:t>
      </w:r>
      <w:r w:rsidRPr="009A3922">
        <w:rPr>
          <w:i/>
          <w:iCs/>
        </w:rPr>
        <w:t>Environmental Reviews</w:t>
      </w:r>
      <w:r w:rsidRPr="009A3922">
        <w:t>, 34, pp. 1–34. Available at: https://doi.org/10.1139/er-2025-0094.</w:t>
      </w:r>
    </w:p>
    <w:p w14:paraId="2F97F72F" w14:textId="77777777" w:rsidR="009A3922" w:rsidRPr="009A3922" w:rsidRDefault="009A3922" w:rsidP="009A3922">
      <w:r w:rsidRPr="009A3922">
        <w:t xml:space="preserve">Local insight (2026) </w:t>
      </w:r>
      <w:r w:rsidRPr="009A3922">
        <w:rPr>
          <w:i/>
          <w:iCs/>
        </w:rPr>
        <w:t>Local Insight</w:t>
      </w:r>
      <w:r w:rsidRPr="009A3922">
        <w:t xml:space="preserve">, </w:t>
      </w:r>
      <w:r w:rsidRPr="009A3922">
        <w:rPr>
          <w:i/>
          <w:iCs/>
        </w:rPr>
        <w:t>Localinsight.org</w:t>
      </w:r>
      <w:r w:rsidRPr="009A3922">
        <w:t>. Available at: https://explore-wales.localinsight.org/#/map (Accessed: 5 June 2026).</w:t>
      </w:r>
    </w:p>
    <w:p w14:paraId="73F28D07" w14:textId="77777777" w:rsidR="009A3922" w:rsidRPr="009A3922" w:rsidRDefault="009A3922" w:rsidP="009A3922">
      <w:r w:rsidRPr="009A3922">
        <w:t xml:space="preserve">Long, J., Zhu, L., Qian, Y., Wang, L. and Qiao, H. (2026) ‘Influence of Zn2+and Cu2+on colloidal biochar aggregation kinetics and the underlying mechanisms’, </w:t>
      </w:r>
      <w:r w:rsidRPr="009A3922">
        <w:rPr>
          <w:i/>
          <w:iCs/>
        </w:rPr>
        <w:t>Colloid &amp; Polymer Science</w:t>
      </w:r>
      <w:r w:rsidRPr="009A3922">
        <w:t>, 304(3), pp. 691–703. Available at: https://doi.org/10.1007/s00396-025-05558-6.</w:t>
      </w:r>
    </w:p>
    <w:p w14:paraId="3B194645" w14:textId="77777777" w:rsidR="009A3922" w:rsidRPr="009A3922" w:rsidRDefault="009A3922" w:rsidP="009A3922">
      <w:r w:rsidRPr="009A3922">
        <w:t xml:space="preserve">Meng, F., Wang, Y. and Wei, Y. (2025) ‘Advancements in Biochar for Soil Remediation of Heavy Metals and/or Organic Pollutants’, </w:t>
      </w:r>
      <w:r w:rsidRPr="009A3922">
        <w:rPr>
          <w:i/>
          <w:iCs/>
        </w:rPr>
        <w:t>Materials</w:t>
      </w:r>
      <w:r w:rsidRPr="009A3922">
        <w:t>, 18(7), pp. 1524–1524. Available at: https://doi.org/10.3390/ma18071524.</w:t>
      </w:r>
    </w:p>
    <w:p w14:paraId="53A9A14D" w14:textId="77777777" w:rsidR="009A3922" w:rsidRPr="009A3922" w:rsidRDefault="009A3922" w:rsidP="009A3922">
      <w:r w:rsidRPr="009A3922">
        <w:t xml:space="preserve">Met Office (2022) </w:t>
      </w:r>
      <w:r w:rsidRPr="009A3922">
        <w:rPr>
          <w:i/>
          <w:iCs/>
        </w:rPr>
        <w:t>Mumbles Head (Swansea) Location-specific long-term averages</w:t>
      </w:r>
      <w:r w:rsidRPr="009A3922">
        <w:t xml:space="preserve">, </w:t>
      </w:r>
      <w:r w:rsidRPr="009A3922">
        <w:rPr>
          <w:i/>
          <w:iCs/>
        </w:rPr>
        <w:t>Met Office</w:t>
      </w:r>
      <w:r w:rsidRPr="009A3922">
        <w:t>. Available at: https://www.metoffice.gov.uk/research/climate/maps-and-data/location-specific-long-term-averages/gcjjm7j5g.</w:t>
      </w:r>
    </w:p>
    <w:p w14:paraId="2D9DF7D1" w14:textId="77777777" w:rsidR="009A3922" w:rsidRPr="009A3922" w:rsidRDefault="009A3922" w:rsidP="009A3922">
      <w:r w:rsidRPr="009A3922">
        <w:t xml:space="preserve">Met Office (2025) </w:t>
      </w:r>
      <w:r w:rsidRPr="009A3922">
        <w:rPr>
          <w:i/>
          <w:iCs/>
        </w:rPr>
        <w:t>UK Storm Centre</w:t>
      </w:r>
      <w:r w:rsidRPr="009A3922">
        <w:t xml:space="preserve">, </w:t>
      </w:r>
      <w:r w:rsidRPr="009A3922">
        <w:rPr>
          <w:i/>
          <w:iCs/>
        </w:rPr>
        <w:t>Met Office</w:t>
      </w:r>
      <w:r w:rsidRPr="009A3922">
        <w:t>. Available at: https://weather.metoffice.gov.uk/warnings-and-advice/uk-storm-centre.</w:t>
      </w:r>
    </w:p>
    <w:p w14:paraId="2038D589" w14:textId="77777777" w:rsidR="009A3922" w:rsidRPr="009A3922" w:rsidRDefault="009A3922" w:rsidP="009A3922">
      <w:r w:rsidRPr="009A3922">
        <w:t xml:space="preserve">Met Office (2026) </w:t>
      </w:r>
      <w:r w:rsidRPr="009A3922">
        <w:rPr>
          <w:i/>
          <w:iCs/>
        </w:rPr>
        <w:t>An early look at the winter statistics: just how wet has it been?</w:t>
      </w:r>
      <w:r w:rsidRPr="009A3922">
        <w:t xml:space="preserve">, </w:t>
      </w:r>
      <w:r w:rsidRPr="009A3922">
        <w:rPr>
          <w:i/>
          <w:iCs/>
        </w:rPr>
        <w:t>Met Office</w:t>
      </w:r>
      <w:r w:rsidRPr="009A3922">
        <w:t>. Available at: https://www.metoffice.gov.uk/about-us/news-and-media/media-centre/weather-and-climate-news/2026/an-early-look-at-winter-2026-just-how-wet-has-it-been.</w:t>
      </w:r>
    </w:p>
    <w:p w14:paraId="3F649C9F" w14:textId="77777777" w:rsidR="009A3922" w:rsidRPr="009A3922" w:rsidRDefault="009A3922" w:rsidP="009A3922">
      <w:r w:rsidRPr="009A3922">
        <w:t xml:space="preserve">Morgan, C. (2026) </w:t>
      </w:r>
      <w:r w:rsidRPr="009A3922">
        <w:rPr>
          <w:i/>
          <w:iCs/>
        </w:rPr>
        <w:t>The copper boom in Swansea &amp; Gower | Carolyn Morgan | Carolyn Morgan</w:t>
      </w:r>
      <w:r w:rsidRPr="009A3922">
        <w:t xml:space="preserve">, </w:t>
      </w:r>
      <w:r w:rsidRPr="009A3922">
        <w:rPr>
          <w:i/>
          <w:iCs/>
        </w:rPr>
        <w:t>Carolyn Morgan</w:t>
      </w:r>
      <w:r w:rsidRPr="009A3922">
        <w:t>. Available at: https://carolyn-morgan.com/blog/swansea-gower-history/the-copper-boom-in-swansea-and-gower? (Accessed: 27 May 2026).</w:t>
      </w:r>
    </w:p>
    <w:p w14:paraId="11D94DEA" w14:textId="77777777" w:rsidR="009A3922" w:rsidRPr="009A3922" w:rsidRDefault="009A3922" w:rsidP="009A3922">
      <w:r w:rsidRPr="009A3922">
        <w:t xml:space="preserve">natural resources wales (2022) </w:t>
      </w:r>
      <w:r w:rsidRPr="009A3922">
        <w:rPr>
          <w:i/>
          <w:iCs/>
        </w:rPr>
        <w:t>Natural Resources Wales / Lower Swansea Valley Forest Resource Plan - Approved 21 March 2022</w:t>
      </w:r>
      <w:r w:rsidRPr="009A3922">
        <w:t xml:space="preserve">, </w:t>
      </w:r>
      <w:r w:rsidRPr="009A3922">
        <w:rPr>
          <w:i/>
          <w:iCs/>
        </w:rPr>
        <w:t>Naturalresourceswales.gov.uk</w:t>
      </w:r>
      <w:r w:rsidRPr="009A3922">
        <w:t>. Available at: https://naturalresourceswales.gov.uk/about-us/what-we-do/strategies-plans-and-policies/forest-resource-plans/lower-swansea-valley-forest-resource-plan/?lang=en.</w:t>
      </w:r>
    </w:p>
    <w:p w14:paraId="588ECECA" w14:textId="77777777" w:rsidR="009A3922" w:rsidRPr="009A3922" w:rsidRDefault="009A3922" w:rsidP="009A3922">
      <w:r w:rsidRPr="009A3922">
        <w:t xml:space="preserve">Naz, M., Dai, Z., Hussain, S., Tariq, M., Danish, S., Khan, I.U., Qi, S. and Du, D. (2022) ‘The soil pH and heavy metals revealed their impact on soil microbial community’, </w:t>
      </w:r>
      <w:r w:rsidRPr="009A3922">
        <w:rPr>
          <w:i/>
          <w:iCs/>
        </w:rPr>
        <w:t>Journal of Environmental Management</w:t>
      </w:r>
      <w:r w:rsidRPr="009A3922">
        <w:t>, 321(115770), p. 115770. Available at: https://doi.org/10.1016/j.jenvman.2022.115770.</w:t>
      </w:r>
    </w:p>
    <w:p w14:paraId="79A011D7" w14:textId="77777777" w:rsidR="009A3922" w:rsidRPr="009A3922" w:rsidRDefault="009A3922" w:rsidP="009A3922">
      <w:r w:rsidRPr="009A3922">
        <w:lastRenderedPageBreak/>
        <w:t xml:space="preserve">Neve, S., Sarkar, D., Zhang, Z. and Datta, R. (2025) ‘Sustainable management of copper-contaminated soils using vetiver root biochar’, </w:t>
      </w:r>
      <w:r w:rsidRPr="009A3922">
        <w:rPr>
          <w:i/>
          <w:iCs/>
        </w:rPr>
        <w:t>BMC Chemistry</w:t>
      </w:r>
      <w:r w:rsidRPr="009A3922">
        <w:t>, 19(1). Available at: https://doi.org/10.1186/s13065-025-01523-0.</w:t>
      </w:r>
    </w:p>
    <w:p w14:paraId="0CD96BFB" w14:textId="77777777" w:rsidR="009A3922" w:rsidRPr="009A3922" w:rsidRDefault="009A3922" w:rsidP="009A3922">
      <w:r w:rsidRPr="009A3922">
        <w:t xml:space="preserve">Nilsson, O. (2022) ‘Winter dormancy in trees’, </w:t>
      </w:r>
      <w:r w:rsidRPr="009A3922">
        <w:rPr>
          <w:i/>
          <w:iCs/>
        </w:rPr>
        <w:t>Current Biology</w:t>
      </w:r>
      <w:r w:rsidRPr="009A3922">
        <w:t>, 32(12), pp. R630–R634. Available at: https://doi.org/10.1016/j.cub.2022.04.011.</w:t>
      </w:r>
    </w:p>
    <w:p w14:paraId="0C102DDD" w14:textId="77777777" w:rsidR="009A3922" w:rsidRPr="009A3922" w:rsidRDefault="009A3922" w:rsidP="009A3922">
      <w:r w:rsidRPr="009A3922">
        <w:t xml:space="preserve">Norman, P., Green, D., Durham, H. and Parslow, R. (2014) </w:t>
      </w:r>
      <w:r w:rsidRPr="009A3922">
        <w:rPr>
          <w:i/>
          <w:iCs/>
        </w:rPr>
        <w:t>The pits may be closed but adverse effects on health may still be evident: exploring the links between coal mine locations, socioeconomic deprivation and self-reported health in Great Britain</w:t>
      </w:r>
      <w:r w:rsidRPr="009A3922">
        <w:t xml:space="preserve">, </w:t>
      </w:r>
      <w:r w:rsidRPr="009A3922">
        <w:rPr>
          <w:i/>
          <w:iCs/>
        </w:rPr>
        <w:t>Research Gate</w:t>
      </w:r>
      <w:r w:rsidRPr="009A3922">
        <w:t>. Available at: https://doi.org/10.13140/RG.2.2.22780.28809.</w:t>
      </w:r>
    </w:p>
    <w:p w14:paraId="63BC3B2B" w14:textId="77777777" w:rsidR="009A3922" w:rsidRPr="009A3922" w:rsidRDefault="009A3922" w:rsidP="009A3922">
      <w:r w:rsidRPr="009A3922">
        <w:t xml:space="preserve">Novak, J., Ippolito, J.A., Lentz, R.D., Spokas, K.A., Bolster, C.H., Sistani, K.R., Trippe, K.M., Phillips, C.L. and Johnson, M. (2016) ‘Soil Health, Crop Productivity, Microbial Transport, and Mine Spoil Response to Biochars’, </w:t>
      </w:r>
      <w:r w:rsidRPr="009A3922">
        <w:rPr>
          <w:i/>
          <w:iCs/>
        </w:rPr>
        <w:t>Bioenergy Research</w:t>
      </w:r>
      <w:r w:rsidRPr="009A3922">
        <w:t>, 9(2), pp. 454–464. Available at: https://doi.org/10.1007/s12155-016-9720-8.</w:t>
      </w:r>
    </w:p>
    <w:p w14:paraId="4736D030" w14:textId="77777777" w:rsidR="009A3922" w:rsidRPr="009A3922" w:rsidRDefault="009A3922" w:rsidP="009A3922">
      <w:r w:rsidRPr="009A3922">
        <w:t xml:space="preserve">Novak, J.M., Busscher, W.J., Laird, D.L., Ahmedna, M., Watts, D.W. and Niandou, M.A.S. (2009) ‘Impact of Biochar Amendment on Fertility of a Southeastern Coastal Plain Soil’, </w:t>
      </w:r>
      <w:r w:rsidRPr="009A3922">
        <w:rPr>
          <w:i/>
          <w:iCs/>
        </w:rPr>
        <w:t>Soil Science</w:t>
      </w:r>
      <w:r w:rsidRPr="009A3922">
        <w:t>, 174(2), pp. 105–112. Available at: https://doi.org/10.1097/ss.0b013e3181981d9a.</w:t>
      </w:r>
    </w:p>
    <w:p w14:paraId="1CDDAD09" w14:textId="77777777" w:rsidR="009A3922" w:rsidRPr="009A3922" w:rsidRDefault="009A3922" w:rsidP="009A3922">
      <w:r w:rsidRPr="009A3922">
        <w:t xml:space="preserve">Park, J.H., Choppala, G.K., Bolan, N.S., Chung, J.W. and Chuasavathi, T. (2011) ‘Biochar reduces the bioavailability and phytotoxicity of heavy metals’, </w:t>
      </w:r>
      <w:r w:rsidRPr="009A3922">
        <w:rPr>
          <w:i/>
          <w:iCs/>
        </w:rPr>
        <w:t>Plant and Soil</w:t>
      </w:r>
      <w:r w:rsidRPr="009A3922">
        <w:t>, 348(1-2), pp. 439–451. Available at: https://doi.org/10.1007/s11104-011-0948-y.</w:t>
      </w:r>
    </w:p>
    <w:p w14:paraId="7F4405D0" w14:textId="77777777" w:rsidR="009A3922" w:rsidRPr="009A3922" w:rsidRDefault="009A3922" w:rsidP="009A3922">
      <w:r w:rsidRPr="009A3922">
        <w:t xml:space="preserve">Paz-Ferreiro, J., Lu, H., Fu, S., Méndez, A. and Gascó, G. (2014) ‘Use of phytoremediation and biochar to remediate heavy metal polluted soils: a review’, </w:t>
      </w:r>
      <w:r w:rsidRPr="009A3922">
        <w:rPr>
          <w:i/>
          <w:iCs/>
        </w:rPr>
        <w:t>Solid Earth</w:t>
      </w:r>
      <w:r w:rsidRPr="009A3922">
        <w:t>, 5(1), pp. 65–75. Available at: https://doi.org/10.5194/se-5-65-2014.</w:t>
      </w:r>
    </w:p>
    <w:p w14:paraId="6F9FEAB4" w14:textId="77777777" w:rsidR="009A3922" w:rsidRPr="009A3922" w:rsidRDefault="009A3922" w:rsidP="009A3922">
      <w:r w:rsidRPr="009A3922">
        <w:t xml:space="preserve">Peng, S., Bao, N., Zhao, X., Meng, D. and Han, Z. (2025) </w:t>
      </w:r>
      <w:r w:rsidRPr="009A3922">
        <w:rPr>
          <w:i/>
          <w:iCs/>
        </w:rPr>
        <w:t>How soil physicochemical properties and microorganisms change under mining activities in alpine and high-altitude regions−a case study of a copper mine area in Tibet Plateau</w:t>
      </w:r>
      <w:r w:rsidRPr="009A3922">
        <w:t>. Available at: https://www.sciencedirect.com/science/article/abs/pii/S2213343725018986 (Accessed: 11 May 2026).</w:t>
      </w:r>
    </w:p>
    <w:p w14:paraId="64FBFC31" w14:textId="77777777" w:rsidR="009A3922" w:rsidRPr="009A3922" w:rsidRDefault="009A3922" w:rsidP="009A3922">
      <w:r w:rsidRPr="009A3922">
        <w:t xml:space="preserve">Philipp, L., Sünnemann, M., Schädler, M., Blagodatskaya, E., Tarkka, M., Eisenhauer, N. and Reitz, T. (2025) ‘Soil depth shapes the microbial response to land use and climate change in agroecosystems’, </w:t>
      </w:r>
      <w:r w:rsidRPr="009A3922">
        <w:rPr>
          <w:i/>
          <w:iCs/>
        </w:rPr>
        <w:t>Applied Soil Ecology</w:t>
      </w:r>
      <w:r w:rsidRPr="009A3922">
        <w:t>, 209, p. 106025. Available at: https://doi.org/10.1016/j.apsoil.2025.106025.</w:t>
      </w:r>
    </w:p>
    <w:p w14:paraId="3206C6EF" w14:textId="77777777" w:rsidR="009A3922" w:rsidRPr="009A3922" w:rsidRDefault="009A3922" w:rsidP="009A3922">
      <w:r w:rsidRPr="009A3922">
        <w:t xml:space="preserve">Qi, S., Li, X., Luo, J., Han, R., Chen, Q., Shen, D. and Shentu, J. (2022) ‘Soil heterogeneity influence on the distribution of heavy metals in soil during acid rain infiltration: Experimental and numerical modeling’, </w:t>
      </w:r>
      <w:r w:rsidRPr="009A3922">
        <w:rPr>
          <w:i/>
          <w:iCs/>
        </w:rPr>
        <w:t>Journal of Environmental Management</w:t>
      </w:r>
      <w:r w:rsidRPr="009A3922">
        <w:t>, 322, p. 116144. Available at: https://doi.org/10.1016/j.jenvman.2022.116144.</w:t>
      </w:r>
    </w:p>
    <w:p w14:paraId="490A7E37" w14:textId="77777777" w:rsidR="009A3922" w:rsidRPr="009A3922" w:rsidRDefault="009A3922" w:rsidP="009A3922">
      <w:r w:rsidRPr="009A3922">
        <w:t xml:space="preserve">Quan, G., Fan, Q., Zimmerman, A.R., Sun, J., Cui, L., Wang, H., Gao, B. and Yan, J. (2020) ‘Effects of laboratory biotic aging on the characteristics of biochar and its water-soluble organic products’, </w:t>
      </w:r>
      <w:r w:rsidRPr="009A3922">
        <w:rPr>
          <w:i/>
          <w:iCs/>
        </w:rPr>
        <w:t>Journal of Hazardous Materials</w:t>
      </w:r>
      <w:r w:rsidRPr="009A3922">
        <w:t>, 382, p. 121071. Available at: https://www.sciencedirect.com/science/article/pii/S0304389419310258.</w:t>
      </w:r>
    </w:p>
    <w:p w14:paraId="3298D115" w14:textId="77777777" w:rsidR="009A3922" w:rsidRPr="009A3922" w:rsidRDefault="009A3922" w:rsidP="009A3922">
      <w:r w:rsidRPr="009A3922">
        <w:t xml:space="preserve">Rahman, S.U., Yasin, G., Nawaz, M.F., Cheng, H., Azhar, M.F., Riaz, L., Javed, A. and Lu, Y. (2022) ‘Evaluation of heavy metal phytoremediation potential of six tree species of Faisalabad city of Pakistan during summer and winter seasons’, </w:t>
      </w:r>
      <w:r w:rsidRPr="009A3922">
        <w:rPr>
          <w:i/>
          <w:iCs/>
        </w:rPr>
        <w:t>Journal of Environmental Management</w:t>
      </w:r>
      <w:r w:rsidRPr="009A3922">
        <w:t>, 320, p. 115801. Available at: https://doi.org/10.1016/j.jenvman.2022.115801.</w:t>
      </w:r>
    </w:p>
    <w:p w14:paraId="2B99E8F3" w14:textId="77777777" w:rsidR="009A3922" w:rsidRPr="009A3922" w:rsidRDefault="009A3922" w:rsidP="009A3922">
      <w:r w:rsidRPr="009A3922">
        <w:lastRenderedPageBreak/>
        <w:t xml:space="preserve">Ramos-Romero, S.S., Benavides-Rosales, H.R. and Peña-Chamorro, J.J. (2026) ‘Advances in modelling the transport of heavy metals in agricultural soils and their leaching into groundwater: an integrative critical review’, </w:t>
      </w:r>
      <w:r w:rsidRPr="009A3922">
        <w:rPr>
          <w:i/>
          <w:iCs/>
        </w:rPr>
        <w:t>Frontiers in Environmental Science</w:t>
      </w:r>
      <w:r w:rsidRPr="009A3922">
        <w:t>, 14. Available at: https://doi.org/10.3389/fenvs.2026.1764394.</w:t>
      </w:r>
    </w:p>
    <w:p w14:paraId="4A8A6F58" w14:textId="77777777" w:rsidR="009A3922" w:rsidRPr="009A3922" w:rsidRDefault="009A3922" w:rsidP="009A3922">
      <w:r w:rsidRPr="009A3922">
        <w:t xml:space="preserve">Raza, S., Zamanian, K., Ullah, S., Kuzyakov, Y., Virto, I. and Zhou, J. (2021) ‘Inorganic carbon losses by soil acidification jeopardize global efforts on carbon sequestration and climate change mitigation’, </w:t>
      </w:r>
      <w:r w:rsidRPr="009A3922">
        <w:rPr>
          <w:i/>
          <w:iCs/>
        </w:rPr>
        <w:t>Journal of Cleaner Production</w:t>
      </w:r>
      <w:r w:rsidRPr="009A3922">
        <w:t>, 315, p. 128036. Available at: https://doi.org/10.1016/j.jclepro.2021.128036.</w:t>
      </w:r>
    </w:p>
    <w:p w14:paraId="3BDE5E3B" w14:textId="77777777" w:rsidR="009A3922" w:rsidRPr="009A3922" w:rsidRDefault="009A3922" w:rsidP="009A3922">
      <w:r w:rsidRPr="009A3922">
        <w:t xml:space="preserve">Rees, M. (2026) </w:t>
      </w:r>
      <w:r w:rsidRPr="009A3922">
        <w:rPr>
          <w:i/>
          <w:iCs/>
        </w:rPr>
        <w:t>Quirky Swansea</w:t>
      </w:r>
      <w:r w:rsidRPr="009A3922">
        <w:t>. Amberley Publishing.</w:t>
      </w:r>
    </w:p>
    <w:p w14:paraId="5CD1E06A" w14:textId="77777777" w:rsidR="009A3922" w:rsidRPr="009A3922" w:rsidRDefault="009A3922" w:rsidP="009A3922">
      <w:r w:rsidRPr="009A3922">
        <w:t xml:space="preserve">Reeve, C., Robichaud, J.A., Fernandes, T., Bates, A.E., Bramburger, A.J., Brownscombe, J.W., Davy, C.M., Hugh, McMeans, B., Eric R.D. Moise, Sharma, S., Smith, P.A., Studd, E.K., O’Sullivan, A.M., Sutton, A.O., Templer, P.H. and Cooke, S.J. (2023) ‘Applied winter biology: threats, conservation and management of biological resources during winter in cold climate regions’, </w:t>
      </w:r>
      <w:r w:rsidRPr="009A3922">
        <w:rPr>
          <w:i/>
          <w:iCs/>
        </w:rPr>
        <w:t>Conservation Physiology</w:t>
      </w:r>
      <w:r w:rsidRPr="009A3922">
        <w:t>, 11(1). Available at: https://doi.org/10.1093/conphys/coad027.</w:t>
      </w:r>
    </w:p>
    <w:p w14:paraId="7A9B1A52" w14:textId="77777777" w:rsidR="009A3922" w:rsidRPr="009A3922" w:rsidRDefault="009A3922" w:rsidP="009A3922">
      <w:r w:rsidRPr="009A3922">
        <w:t xml:space="preserve">Riley, A.L., MacDonald, J.M., Burke, I.T., Renforth, P., Jarvis, A.P., Hudson-Edwards, K.A., McKie, J. and Mayes, W.M. (2020) ‘Legacy iron and steel wastes in the UK: Extent, resource potential, and management futures’, </w:t>
      </w:r>
      <w:r w:rsidRPr="009A3922">
        <w:rPr>
          <w:i/>
          <w:iCs/>
        </w:rPr>
        <w:t>Journal of Geochemical Exploration</w:t>
      </w:r>
      <w:r w:rsidRPr="009A3922">
        <w:t>, 219, p. 106630. Available at: https://doi.org/10.1016/j.gexplo.2020.106630.</w:t>
      </w:r>
    </w:p>
    <w:p w14:paraId="2B4DB77F" w14:textId="77777777" w:rsidR="009A3922" w:rsidRPr="009A3922" w:rsidRDefault="009A3922" w:rsidP="009A3922">
      <w:r w:rsidRPr="009A3922">
        <w:t xml:space="preserve">Robins, N. (2025) </w:t>
      </w:r>
      <w:r w:rsidRPr="009A3922">
        <w:rPr>
          <w:i/>
          <w:iCs/>
        </w:rPr>
        <w:t>Kilvey Hill and its Second World War archaeology</w:t>
      </w:r>
      <w:r w:rsidRPr="009A3922">
        <w:t xml:space="preserve">, </w:t>
      </w:r>
      <w:r w:rsidRPr="009A3922">
        <w:rPr>
          <w:i/>
          <w:iCs/>
        </w:rPr>
        <w:t xml:space="preserve">Nigel Robins </w:t>
      </w:r>
      <w:r w:rsidRPr="009A3922">
        <w:t>. Available at: https://nigelrobins.blog/2025/01/18/kilvey-hill-and-its-second-world-war-archaeology (Accessed: 27 May 2026).</w:t>
      </w:r>
    </w:p>
    <w:p w14:paraId="5F8558C7" w14:textId="77777777" w:rsidR="009A3922" w:rsidRPr="009A3922" w:rsidRDefault="009A3922" w:rsidP="009A3922">
      <w:r w:rsidRPr="009A3922">
        <w:t xml:space="preserve">Rombolà, A.G., Meredith, W., Snape, C.E., Baronti, S., Genesio, L., Francesco Primo Vaccari, Miglietta, F. and Fabbri, D. (2015) ‘Fate of Soil Organic Carbon and Polycyclic Aromatic Hydrocarbons in a Vineyard Soil Treated with Biochar’, </w:t>
      </w:r>
      <w:r w:rsidRPr="009A3922">
        <w:rPr>
          <w:i/>
          <w:iCs/>
        </w:rPr>
        <w:t>Environmental Science &amp; Technology</w:t>
      </w:r>
      <w:r w:rsidRPr="009A3922">
        <w:t>, 49(18), pp. 11037–11044. Available at: https://doi.org/10.1021/acs.est.5b02562.</w:t>
      </w:r>
    </w:p>
    <w:p w14:paraId="19ABBBBD" w14:textId="77777777" w:rsidR="009A3922" w:rsidRPr="009A3922" w:rsidRDefault="009A3922" w:rsidP="009A3922">
      <w:r w:rsidRPr="009A3922">
        <w:t xml:space="preserve">Rosemary and Humphrys, G. (1979) </w:t>
      </w:r>
      <w:r w:rsidRPr="009A3922">
        <w:rPr>
          <w:i/>
          <w:iCs/>
        </w:rPr>
        <w:t>Dealing with Dereliction: The redevelopment of the Lower Swansea Valley</w:t>
      </w:r>
      <w:r w:rsidRPr="009A3922">
        <w:t>. University College of Swansea.</w:t>
      </w:r>
    </w:p>
    <w:p w14:paraId="6C4DF549" w14:textId="77777777" w:rsidR="009A3922" w:rsidRPr="009A3922" w:rsidRDefault="009A3922" w:rsidP="009A3922">
      <w:r w:rsidRPr="009A3922">
        <w:t xml:space="preserve">Schilling, K., Basu, A., Kaplan, A. and Perkins, W.T. (2021) ‘Metal distribution, bioavailability and isotope variations in polluted soils from Lower Swansea Valley, UK’, </w:t>
      </w:r>
      <w:r w:rsidRPr="009A3922">
        <w:rPr>
          <w:i/>
          <w:iCs/>
        </w:rPr>
        <w:t>Environmental Geochemistry and Health</w:t>
      </w:r>
      <w:r w:rsidRPr="009A3922">
        <w:t xml:space="preserve"> [Preprint]. Available at: https://doi.org/10.1007/s10653-020-00794-x.</w:t>
      </w:r>
    </w:p>
    <w:p w14:paraId="05C7D122" w14:textId="77777777" w:rsidR="009A3922" w:rsidRPr="009A3922" w:rsidRDefault="009A3922" w:rsidP="009A3922">
      <w:r w:rsidRPr="009A3922">
        <w:t xml:space="preserve">Science Insights (2026) </w:t>
      </w:r>
      <w:r w:rsidRPr="009A3922">
        <w:rPr>
          <w:i/>
          <w:iCs/>
        </w:rPr>
        <w:t>What Is a Lab Study? How They Work and Why They Matter</w:t>
      </w:r>
      <w:r w:rsidRPr="009A3922">
        <w:t xml:space="preserve">, </w:t>
      </w:r>
      <w:r w:rsidRPr="009A3922">
        <w:rPr>
          <w:i/>
          <w:iCs/>
        </w:rPr>
        <w:t>ScienceInsights</w:t>
      </w:r>
      <w:r w:rsidRPr="009A3922">
        <w:t>. Available at: https://scienceinsights.org/what-is-a-lab-study-how-they-work-and-why-they-matter/ (Accessed: 1 June 2026).</w:t>
      </w:r>
    </w:p>
    <w:p w14:paraId="5DAEB022" w14:textId="77777777" w:rsidR="009A3922" w:rsidRPr="009A3922" w:rsidRDefault="009A3922" w:rsidP="009A3922">
      <w:r w:rsidRPr="009A3922">
        <w:t xml:space="preserve">Sizmur, T., Quilliam, R., Aline Peregrina Puga, Moreno-Jiménez, E., Beesley, L. and Gomez-Eyles, J.L. (2015) ‘Application of Biochar for Soil Remediation’, </w:t>
      </w:r>
      <w:r w:rsidRPr="009A3922">
        <w:rPr>
          <w:i/>
          <w:iCs/>
        </w:rPr>
        <w:t>SSSA special publication series</w:t>
      </w:r>
      <w:r w:rsidRPr="009A3922">
        <w:t>, pp. 295–324. Available at: https://doi.org/10.2136/sssaspecpub63.2014.0046.5.</w:t>
      </w:r>
    </w:p>
    <w:p w14:paraId="11A7FDB1" w14:textId="77777777" w:rsidR="009A3922" w:rsidRPr="009A3922" w:rsidRDefault="009A3922" w:rsidP="009A3922">
      <w:r w:rsidRPr="009A3922">
        <w:t xml:space="preserve">Skyline Swansea (2026) </w:t>
      </w:r>
      <w:r w:rsidRPr="009A3922">
        <w:rPr>
          <w:i/>
          <w:iCs/>
        </w:rPr>
        <w:t>Skyline Swansea | Kilvey Hill Wales</w:t>
      </w:r>
      <w:r w:rsidRPr="009A3922">
        <w:t xml:space="preserve">, </w:t>
      </w:r>
      <w:r w:rsidRPr="009A3922">
        <w:rPr>
          <w:i/>
          <w:iCs/>
        </w:rPr>
        <w:t>Home</w:t>
      </w:r>
      <w:r w:rsidRPr="009A3922">
        <w:t>. Available at: https://skylineswansea.co.uk/.</w:t>
      </w:r>
    </w:p>
    <w:p w14:paraId="74BC3402" w14:textId="77777777" w:rsidR="009A3922" w:rsidRPr="009A3922" w:rsidRDefault="009A3922" w:rsidP="009A3922">
      <w:r w:rsidRPr="009A3922">
        <w:t xml:space="preserve">Smith, T. (2013) </w:t>
      </w:r>
      <w:r w:rsidRPr="009A3922">
        <w:rPr>
          <w:i/>
          <w:iCs/>
        </w:rPr>
        <w:t>GPS Soil Sampling - The Basics Exposed</w:t>
      </w:r>
      <w:r w:rsidRPr="009A3922">
        <w:t xml:space="preserve">, </w:t>
      </w:r>
      <w:r w:rsidRPr="009A3922">
        <w:rPr>
          <w:i/>
          <w:iCs/>
        </w:rPr>
        <w:t>Crop Quest</w:t>
      </w:r>
      <w:r w:rsidRPr="009A3922">
        <w:t>. Available at: https://www.cropquest.com/gps-soil-sampling/.</w:t>
      </w:r>
    </w:p>
    <w:p w14:paraId="73242038" w14:textId="77777777" w:rsidR="009A3922" w:rsidRPr="009A3922" w:rsidRDefault="009A3922" w:rsidP="009A3922">
      <w:r w:rsidRPr="009A3922">
        <w:lastRenderedPageBreak/>
        <w:t xml:space="preserve">So, H.B., Silva, Lucas Carvalho Gomes and Senna, T. (2022) ‘Subsoil and Surface Soil Constraints of Mined Land and Tailings’, </w:t>
      </w:r>
      <w:r w:rsidRPr="009A3922">
        <w:rPr>
          <w:i/>
          <w:iCs/>
        </w:rPr>
        <w:t>Springer eBooks</w:t>
      </w:r>
      <w:r w:rsidRPr="009A3922">
        <w:t>, pp. 161–177. Available at: https://doi.org/10.1007/978-3-031-00317-2_7.</w:t>
      </w:r>
    </w:p>
    <w:p w14:paraId="4BF4E8F9" w14:textId="77777777" w:rsidR="009A3922" w:rsidRPr="009A3922" w:rsidRDefault="009A3922" w:rsidP="009A3922">
      <w:r w:rsidRPr="009A3922">
        <w:t xml:space="preserve">Sun, W., Li, S., Zhang, G., Fu, G., Qi, H. and Li, T. (2023) ‘Effects of climate change and anthropogenic activities on soil pH in grassland regions on the Tibetan Plateau’, </w:t>
      </w:r>
      <w:r w:rsidRPr="009A3922">
        <w:rPr>
          <w:i/>
          <w:iCs/>
        </w:rPr>
        <w:t>Global Ecology and Conservation</w:t>
      </w:r>
      <w:r w:rsidRPr="009A3922">
        <w:t>, 45, p. e02532. Available at: https://doi.org/10.1016/j.gecco.2023.e02532.</w:t>
      </w:r>
    </w:p>
    <w:p w14:paraId="0D9A7034" w14:textId="77777777" w:rsidR="009A3922" w:rsidRPr="009A3922" w:rsidRDefault="009A3922" w:rsidP="009A3922">
      <w:r w:rsidRPr="009A3922">
        <w:t xml:space="preserve">Swansea bay news (2025) </w:t>
      </w:r>
      <w:r w:rsidRPr="009A3922">
        <w:rPr>
          <w:i/>
          <w:iCs/>
        </w:rPr>
        <w:t>Swansea Bay News</w:t>
      </w:r>
      <w:r w:rsidRPr="009A3922">
        <w:t xml:space="preserve">, </w:t>
      </w:r>
      <w:r w:rsidRPr="009A3922">
        <w:rPr>
          <w:i/>
          <w:iCs/>
        </w:rPr>
        <w:t>Swansea Bay News</w:t>
      </w:r>
      <w:r w:rsidRPr="009A3922">
        <w:t>. Available at: https://swanseabaynews.com/green-flag-flying-at-kilvey-community-woodland-thanks-to-decades-of-volunteer-care/ (Accessed: 11 May 2026).</w:t>
      </w:r>
    </w:p>
    <w:p w14:paraId="78CF22E6" w14:textId="77777777" w:rsidR="009A3922" w:rsidRPr="009A3922" w:rsidRDefault="009A3922" w:rsidP="009A3922">
      <w:r w:rsidRPr="009A3922">
        <w:t xml:space="preserve">Swansea Council (2024) </w:t>
      </w:r>
      <w:r w:rsidRPr="009A3922">
        <w:rPr>
          <w:i/>
          <w:iCs/>
        </w:rPr>
        <w:t>Kilvey Hill</w:t>
      </w:r>
      <w:r w:rsidRPr="009A3922">
        <w:t xml:space="preserve">, </w:t>
      </w:r>
      <w:r w:rsidRPr="009A3922">
        <w:rPr>
          <w:i/>
          <w:iCs/>
        </w:rPr>
        <w:t>Swansea</w:t>
      </w:r>
      <w:r w:rsidRPr="009A3922">
        <w:t>. Available at: https://www.swansea.gov.uk/article/6855/Kilvey-Hill.</w:t>
      </w:r>
    </w:p>
    <w:p w14:paraId="3D7AD19C" w14:textId="77777777" w:rsidR="009A3922" w:rsidRPr="009A3922" w:rsidRDefault="009A3922" w:rsidP="009A3922">
      <w:r w:rsidRPr="009A3922">
        <w:t xml:space="preserve">Tan, X., Liu, Y., Zeng, G., Wang, X., Hu, X., Gu, Y. and Yang, Z. (2015) ‘Application of biochar for the removal of pollutants from aqueous solutions’, </w:t>
      </w:r>
      <w:r w:rsidRPr="009A3922">
        <w:rPr>
          <w:i/>
          <w:iCs/>
        </w:rPr>
        <w:t>Chemosphere</w:t>
      </w:r>
      <w:r w:rsidRPr="009A3922">
        <w:t>, 125, pp. 70–85. Available at: https://doi.org/10.1016/j.chemosphere.2014.12.058.</w:t>
      </w:r>
    </w:p>
    <w:p w14:paraId="2BC8117C" w14:textId="77777777" w:rsidR="009A3922" w:rsidRPr="009A3922" w:rsidRDefault="009A3922" w:rsidP="009A3922">
      <w:r w:rsidRPr="009A3922">
        <w:t xml:space="preserve">Tomczyk, A., Sokołowska, Z. and Boguta, P. (2020) ‘Biochar physicochemical properties: pyrolysis temperature and feedstock kind effects’, </w:t>
      </w:r>
      <w:r w:rsidRPr="009A3922">
        <w:rPr>
          <w:i/>
          <w:iCs/>
        </w:rPr>
        <w:t>Reviews in Environmental Science and Bio/Technology</w:t>
      </w:r>
      <w:r w:rsidRPr="009A3922">
        <w:t>, 19(1), pp. 191–215. Available at: https://doi.org/10.1007/s11157-020-09523-3.</w:t>
      </w:r>
    </w:p>
    <w:p w14:paraId="35538449" w14:textId="77777777" w:rsidR="009A3922" w:rsidRPr="009A3922" w:rsidRDefault="009A3922" w:rsidP="009A3922">
      <w:r w:rsidRPr="009A3922">
        <w:t xml:space="preserve">Uchimiya, M., Lima, I.M., Thomas Klasson, K., Chang, S., Wartelle, L.H. and Rodgers, J.E. (2010) ‘Immobilization of Heavy Metal Ions (CuII, CdII, NiII, and PbII) by Broiler Litter-Derived Biochars in Water and Soil’, </w:t>
      </w:r>
      <w:r w:rsidRPr="009A3922">
        <w:rPr>
          <w:i/>
          <w:iCs/>
        </w:rPr>
        <w:t>Journal of Agricultural and Food Chemistry</w:t>
      </w:r>
      <w:r w:rsidRPr="009A3922">
        <w:t>, 58(9), pp. 5538–5544. Available at: https://doi.org/10.1021/jf9044217.</w:t>
      </w:r>
    </w:p>
    <w:p w14:paraId="6006ADDF" w14:textId="77777777" w:rsidR="009A3922" w:rsidRPr="009A3922" w:rsidRDefault="009A3922" w:rsidP="009A3922">
      <w:r w:rsidRPr="009A3922">
        <w:t xml:space="preserve">Ullah, S., Praspaliauskas, M., Vaskeviciene, I., Hosney, A. and Barcauskaite, K. (2025) ‘Compost Mitigates Metal Toxicity and Human Health Risks and Improves the Growth and Physiology of Lettuce Grown in Acidic and Neutral Loam-Textured Soils Polluted with Copper and Zinc’, </w:t>
      </w:r>
      <w:r w:rsidRPr="009A3922">
        <w:rPr>
          <w:i/>
          <w:iCs/>
        </w:rPr>
        <w:t>Land</w:t>
      </w:r>
      <w:r w:rsidRPr="009A3922">
        <w:t>, 14(3), p. 478. Available at: https://doi.org/10.3390/land14030478.</w:t>
      </w:r>
    </w:p>
    <w:p w14:paraId="7B493D8B" w14:textId="77777777" w:rsidR="009A3922" w:rsidRPr="009A3922" w:rsidRDefault="009A3922" w:rsidP="009A3922">
      <w:r w:rsidRPr="009A3922">
        <w:t xml:space="preserve">Wang, J., Shi, L., Zhai, L., Zhang, H., Wang, S., Zou, J., Shen, Z., Lian, C. and Chen, Y. (2021) ‘Analysis of the long-term effectiveness of biochar immobilization remediation on heavy metal contaminated soil and the potential environmental factors weakening the remediation effect: A review’, </w:t>
      </w:r>
      <w:r w:rsidRPr="009A3922">
        <w:rPr>
          <w:i/>
          <w:iCs/>
        </w:rPr>
        <w:t>Ecotoxicology and Environmental Safety</w:t>
      </w:r>
      <w:r w:rsidRPr="009A3922">
        <w:t>, 207, p. 111261. Available at: https://doi.org/10.1016/j.ecoenv.2020.111261.</w:t>
      </w:r>
    </w:p>
    <w:p w14:paraId="43CAEF2A" w14:textId="77777777" w:rsidR="009A3922" w:rsidRPr="009A3922" w:rsidRDefault="009A3922" w:rsidP="009A3922">
      <w:r w:rsidRPr="009A3922">
        <w:t xml:space="preserve">Wang, J. and Wang, S. (2019) ‘Preparation, modification and environmental application of biochar: A review’, </w:t>
      </w:r>
      <w:r w:rsidRPr="009A3922">
        <w:rPr>
          <w:i/>
          <w:iCs/>
        </w:rPr>
        <w:t>Journal of Cleaner Production</w:t>
      </w:r>
      <w:r w:rsidRPr="009A3922">
        <w:t>, 227(227), pp. 1002–1022. Available at: https://doi.org/10.1016/j.jclepro.2019.04.282.</w:t>
      </w:r>
    </w:p>
    <w:p w14:paraId="5B45E6DD" w14:textId="77777777" w:rsidR="009A3922" w:rsidRPr="009A3922" w:rsidRDefault="009A3922" w:rsidP="009A3922">
      <w:r w:rsidRPr="009A3922">
        <w:t xml:space="preserve">Wang, Y., Yan, Q., Shi, Y. and Long, M. (2024) ‘Copper Toxicity in Animals: A Review’, </w:t>
      </w:r>
      <w:r w:rsidRPr="009A3922">
        <w:rPr>
          <w:i/>
          <w:iCs/>
        </w:rPr>
        <w:t>Biological Trace Element Research</w:t>
      </w:r>
      <w:r w:rsidRPr="009A3922">
        <w:t xml:space="preserve"> [Preprint]. Available at: https://doi.org/10.1007/s12011-024-04345-8.</w:t>
      </w:r>
    </w:p>
    <w:p w14:paraId="23B68680" w14:textId="77777777" w:rsidR="009A3922" w:rsidRPr="009A3922" w:rsidRDefault="009A3922" w:rsidP="009A3922">
      <w:r w:rsidRPr="009A3922">
        <w:t xml:space="preserve">Welsh Government (2025) </w:t>
      </w:r>
      <w:r w:rsidRPr="009A3922">
        <w:rPr>
          <w:i/>
          <w:iCs/>
        </w:rPr>
        <w:t>Welsh Index of Multiple Deprivation (WIMD) 2025 results report: overall index [HTML] | GOV.WALES</w:t>
      </w:r>
      <w:r w:rsidRPr="009A3922">
        <w:t xml:space="preserve">, </w:t>
      </w:r>
      <w:r w:rsidRPr="009A3922">
        <w:rPr>
          <w:i/>
          <w:iCs/>
        </w:rPr>
        <w:t>GOV.WALES</w:t>
      </w:r>
      <w:r w:rsidRPr="009A3922">
        <w:t>. Available at: https://www.gov.wales/welsh-index-multiple-deprivation-wimd-2025-results-report-overall-index-html (Accessed: 5 June 2026).</w:t>
      </w:r>
    </w:p>
    <w:p w14:paraId="2C52AAA7" w14:textId="77777777" w:rsidR="009A3922" w:rsidRPr="009A3922" w:rsidRDefault="009A3922" w:rsidP="009A3922">
      <w:r w:rsidRPr="009A3922">
        <w:t xml:space="preserve">Youle, R. and Morgan, H. (2026) </w:t>
      </w:r>
      <w:r w:rsidRPr="009A3922">
        <w:rPr>
          <w:i/>
          <w:iCs/>
        </w:rPr>
        <w:t>Police warn protesters in row over Swansea tourist attraction plans</w:t>
      </w:r>
      <w:r w:rsidRPr="009A3922">
        <w:t xml:space="preserve">, </w:t>
      </w:r>
      <w:r w:rsidRPr="009A3922">
        <w:rPr>
          <w:i/>
          <w:iCs/>
        </w:rPr>
        <w:t>Wales Online</w:t>
      </w:r>
      <w:r w:rsidRPr="009A3922">
        <w:t>. Available at: https://www.walesonline.co.uk/news/wales-news/police-warn-protesters-row-over-33728608 (Accessed: 5 June 2026).</w:t>
      </w:r>
    </w:p>
    <w:p w14:paraId="7A698D73" w14:textId="77777777" w:rsidR="009A3922" w:rsidRPr="009A3922" w:rsidRDefault="009A3922" w:rsidP="009A3922">
      <w:r w:rsidRPr="009A3922">
        <w:lastRenderedPageBreak/>
        <w:t xml:space="preserve">Yu, S., Park, J., Kim, M., Ryu, C. and Park, J. (2019) ‘Characterization of biochar and byproducts from slow pyrolysis of hinoki cypress’, </w:t>
      </w:r>
      <w:r w:rsidRPr="009A3922">
        <w:rPr>
          <w:i/>
          <w:iCs/>
        </w:rPr>
        <w:t>Bioresource Technology Reports</w:t>
      </w:r>
      <w:r w:rsidRPr="009A3922">
        <w:t>, 6, pp. 217–222. Available at: https://doi.org/10.1016/j.biteb.2019.03.009.</w:t>
      </w:r>
    </w:p>
    <w:p w14:paraId="3E646B3D" w14:textId="77777777" w:rsidR="009A3922" w:rsidRPr="009A3922" w:rsidRDefault="009A3922" w:rsidP="009A3922">
      <w:r w:rsidRPr="009A3922">
        <w:t xml:space="preserve">Zhang, H., Chen, C., Gray, E.M. and Boyd, S.E. (2017) ‘Effect of feedstock and pyrolysis temperature on properties of biochar governing end use efficacy’, </w:t>
      </w:r>
      <w:r w:rsidRPr="009A3922">
        <w:rPr>
          <w:i/>
          <w:iCs/>
        </w:rPr>
        <w:t>Biomass and Bioenergy</w:t>
      </w:r>
      <w:r w:rsidRPr="009A3922">
        <w:t>, 105, pp. 136–146. Available at: https://doi.org/10.1016/j.biombioe.2017.06.024.</w:t>
      </w:r>
    </w:p>
    <w:p w14:paraId="2D72E3BF" w14:textId="77777777" w:rsidR="009A3922" w:rsidRPr="009A3922" w:rsidRDefault="009A3922" w:rsidP="009A3922">
      <w:r w:rsidRPr="009A3922">
        <w:t xml:space="preserve">Zhang, N., Xing, J., Wei, L., Liu, C., Zhao, W., Liu, Z., Wang, Y., Liu, E., Ren, X., Jia, Z., Wei, T., Siddique, M. and Zhang, P. (2025) ‘The potential of biochar to mitigate soil acidification: a global meta-analysis’, </w:t>
      </w:r>
      <w:r w:rsidRPr="009A3922">
        <w:rPr>
          <w:i/>
          <w:iCs/>
        </w:rPr>
        <w:t>Biochar</w:t>
      </w:r>
      <w:r w:rsidRPr="009A3922">
        <w:t>, 7(1). Available at: https://doi.org/10.1007/s42773-025-00451-5.</w:t>
      </w:r>
    </w:p>
    <w:p w14:paraId="2B97CF09" w14:textId="77777777" w:rsidR="009A3922" w:rsidRPr="009A3922" w:rsidRDefault="009A3922" w:rsidP="009A3922">
      <w:r w:rsidRPr="009A3922">
        <w:t xml:space="preserve">Zhang, S., Zhu, Q., de Vries, W., Ros, G.H., Chen, X., Muneer, M.A., Zhang, F. and Wu, L. (2023) ‘Effects of soil amendments on soil acidity and crop yields in acidic soils: A world-wide meta-analysis’, </w:t>
      </w:r>
      <w:r w:rsidRPr="009A3922">
        <w:rPr>
          <w:i/>
          <w:iCs/>
        </w:rPr>
        <w:t>Journal of Environmental Management</w:t>
      </w:r>
      <w:r w:rsidRPr="009A3922">
        <w:t>, 345, p. 118531. Available at: https://doi.org/10.1016/j.jenvman.2023.118531.</w:t>
      </w:r>
    </w:p>
    <w:p w14:paraId="79EE4C08" w14:textId="77777777" w:rsidR="009A3922" w:rsidRPr="009A3922" w:rsidRDefault="009A3922" w:rsidP="009A3922">
      <w:r w:rsidRPr="009A3922">
        <w:t xml:space="preserve">Zhang, X., Wang, H., He, L., Lu, K., Sarmah, A., Li, J., Bolan, N.S., Pei, J. and Huang, H. (2013) ‘Using biochar for remediation of soils contaminated with heavy metals and organic pollutants’, </w:t>
      </w:r>
      <w:r w:rsidRPr="009A3922">
        <w:rPr>
          <w:i/>
          <w:iCs/>
        </w:rPr>
        <w:t>Environmental Science and Pollution Research</w:t>
      </w:r>
      <w:r w:rsidRPr="009A3922">
        <w:t>, 20(12), pp. 8472–8483. Available at: https://doi.org/10.1007/s11356-013-1659-0.</w:t>
      </w:r>
    </w:p>
    <w:p w14:paraId="45E7BED9" w14:textId="77777777" w:rsidR="009A3922" w:rsidRPr="009A3922" w:rsidRDefault="009A3922" w:rsidP="009A3922">
      <w:r w:rsidRPr="009A3922">
        <w:t xml:space="preserve">Zhang, Y., Zhang, Z., Chen, W. and Zhu, H. (2025) ‘Basic Environmental Geotechnical Characteristics of Copper Mine Waste Dumps: A Case Study in China’, </w:t>
      </w:r>
      <w:r w:rsidRPr="009A3922">
        <w:rPr>
          <w:i/>
          <w:iCs/>
        </w:rPr>
        <w:t>Advances in Civil Engineering</w:t>
      </w:r>
      <w:r w:rsidRPr="009A3922">
        <w:t>. Edited by M. Zucca, 2025(1). Available at: https://doi.org/10.1155/adce/2324769.</w:t>
      </w:r>
    </w:p>
    <w:p w14:paraId="6691730E" w14:textId="77777777" w:rsidR="009A3922" w:rsidRPr="009A3922" w:rsidRDefault="009A3922" w:rsidP="009A3922">
      <w:r w:rsidRPr="009A3922">
        <w:t xml:space="preserve">Zheng, X., Xu, W., Dong, J., Yang, T., Shangguan, Z., Qu, J., Li, X. and Tan, X. (2022) ‘The effects of biochar and its applications in the microbial remediation of contaminated soil: A review’, </w:t>
      </w:r>
      <w:r w:rsidRPr="009A3922">
        <w:rPr>
          <w:i/>
          <w:iCs/>
        </w:rPr>
        <w:t>Journal of Hazardous Materials</w:t>
      </w:r>
      <w:r w:rsidRPr="009A3922">
        <w:t>, 438, p. 129557. Available at: https://doi.org/10.1016/j.jhazmat.2022.129557.</w:t>
      </w:r>
    </w:p>
    <w:p w14:paraId="74F7D353" w14:textId="77777777" w:rsidR="009A3922" w:rsidRPr="009A3922" w:rsidRDefault="009A3922" w:rsidP="009A3922">
      <w:r w:rsidRPr="009A3922">
        <w:t xml:space="preserve">Zimmerman, A.R. (2010) ‘Abiotic and Microbial Oxidation of Laboratory-Produced Black Carbon (Biochar)’, </w:t>
      </w:r>
      <w:r w:rsidRPr="009A3922">
        <w:rPr>
          <w:i/>
          <w:iCs/>
        </w:rPr>
        <w:t>Environmental Science &amp; Technology</w:t>
      </w:r>
      <w:r w:rsidRPr="009A3922">
        <w:t>, 44(4), pp. 1295–1301. Available at: https://doi.org/10.1021/es903140c.</w:t>
      </w:r>
    </w:p>
    <w:p w14:paraId="541B6A54" w14:textId="02E0905C" w:rsidR="009A3922" w:rsidRDefault="009A3922">
      <w:r>
        <w:br w:type="page"/>
      </w:r>
    </w:p>
    <w:p w14:paraId="7C0EBE22" w14:textId="77777777" w:rsidR="0093614C" w:rsidRDefault="0093614C"/>
    <w:p w14:paraId="445599D8" w14:textId="77777777" w:rsidR="0099280D" w:rsidRPr="00517546" w:rsidRDefault="0099280D" w:rsidP="00634F42"/>
    <w:p w14:paraId="1A63B4D5" w14:textId="165C8527" w:rsidR="0099280D" w:rsidRDefault="0099280D" w:rsidP="0066298F">
      <w:pPr>
        <w:pStyle w:val="Heading1"/>
      </w:pPr>
      <w:bookmarkStart w:id="42" w:name="_Toc232977690"/>
      <w:r w:rsidRPr="00517546">
        <w:t>Appendix</w:t>
      </w:r>
      <w:bookmarkEnd w:id="42"/>
      <w:r w:rsidRPr="00517546">
        <w:t xml:space="preserve"> </w:t>
      </w:r>
    </w:p>
    <w:p w14:paraId="0DDAA93B" w14:textId="228D864D" w:rsidR="00027864" w:rsidRDefault="00027864" w:rsidP="00027864">
      <w:r w:rsidRPr="00027864">
        <w:rPr>
          <w:noProof/>
        </w:rPr>
        <w:drawing>
          <wp:inline distT="0" distB="0" distL="0" distR="0" wp14:anchorId="2A660573" wp14:editId="7DAC583B">
            <wp:extent cx="5731510" cy="1386205"/>
            <wp:effectExtent l="0" t="0" r="2540" b="4445"/>
            <wp:docPr id="348838135" name="Picture 1" descr="The image is a spreadsheet displaying various results, with columns labeled PH B, PH1, PH2, and Habitat type, and rows containing numerical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838135" name="Picture 1" descr="The image is a spreadsheet displaying various results, with columns labeled PH B, PH1, PH2, and Habitat type, and rows containing numerical data.&#10;&#10;AI-generated content may be incorrect."/>
                    <pic:cNvPicPr/>
                  </pic:nvPicPr>
                  <pic:blipFill>
                    <a:blip r:embed="rId35"/>
                    <a:stretch>
                      <a:fillRect/>
                    </a:stretch>
                  </pic:blipFill>
                  <pic:spPr>
                    <a:xfrm>
                      <a:off x="0" y="0"/>
                      <a:ext cx="5731510" cy="1386205"/>
                    </a:xfrm>
                    <a:prstGeom prst="rect">
                      <a:avLst/>
                    </a:prstGeom>
                  </pic:spPr>
                </pic:pic>
              </a:graphicData>
            </a:graphic>
          </wp:inline>
        </w:drawing>
      </w:r>
    </w:p>
    <w:p w14:paraId="4025CAF6" w14:textId="2D7709B8" w:rsidR="00222E51" w:rsidRPr="00222E51" w:rsidRDefault="00222E51" w:rsidP="00222E51">
      <w:pPr>
        <w:pStyle w:val="Caption"/>
      </w:pPr>
      <w:bookmarkStart w:id="43" w:name="_Toc232977754"/>
      <w:r>
        <w:t>Appendix</w:t>
      </w:r>
      <w:r w:rsidR="00D03014">
        <w:t xml:space="preserve"> 1</w:t>
      </w:r>
      <w:r>
        <w:t xml:space="preserve">: </w:t>
      </w:r>
      <w:r w:rsidR="00BD4506">
        <w:t>T</w:t>
      </w:r>
      <w:r>
        <w:t>able of raw data</w:t>
      </w:r>
      <w:bookmarkEnd w:id="43"/>
      <w:r>
        <w:t xml:space="preserve"> </w:t>
      </w:r>
    </w:p>
    <w:sectPr w:rsidR="00222E51" w:rsidRPr="00222E51" w:rsidSect="00962E5F">
      <w:headerReference w:type="first" r:id="rId36"/>
      <w:footerReference w:type="first" r:id="rId3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CDAA4" w14:textId="77777777" w:rsidR="00014402" w:rsidRPr="00517546" w:rsidRDefault="00014402" w:rsidP="00962E5F">
      <w:pPr>
        <w:spacing w:after="0" w:line="240" w:lineRule="auto"/>
      </w:pPr>
      <w:r w:rsidRPr="00517546">
        <w:separator/>
      </w:r>
    </w:p>
  </w:endnote>
  <w:endnote w:type="continuationSeparator" w:id="0">
    <w:p w14:paraId="7C43D26B" w14:textId="77777777" w:rsidR="00014402" w:rsidRPr="00517546" w:rsidRDefault="00014402" w:rsidP="00962E5F">
      <w:pPr>
        <w:spacing w:after="0" w:line="240" w:lineRule="auto"/>
      </w:pPr>
      <w:r w:rsidRPr="00517546">
        <w:continuationSeparator/>
      </w:r>
    </w:p>
  </w:endnote>
  <w:endnote w:type="continuationNotice" w:id="1">
    <w:p w14:paraId="13CBE235" w14:textId="77777777" w:rsidR="00014402" w:rsidRPr="00517546" w:rsidRDefault="000144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sdtContent>
      <w:p w14:paraId="391E8D6E" w14:textId="6A13F9CE" w:rsidR="00962E5F" w:rsidRPr="00517546" w:rsidRDefault="00962E5F">
        <w:pPr>
          <w:pStyle w:val="Footer"/>
          <w:jc w:val="center"/>
        </w:pPr>
        <w:r w:rsidRPr="00517546">
          <w:fldChar w:fldCharType="begin"/>
        </w:r>
        <w:r w:rsidRPr="00517546">
          <w:instrText xml:space="preserve"> PAGE   \* MERGEFORMAT </w:instrText>
        </w:r>
        <w:r w:rsidRPr="00517546">
          <w:fldChar w:fldCharType="separate"/>
        </w:r>
        <w:r w:rsidRPr="00517546">
          <w:t>2</w:t>
        </w:r>
        <w:r w:rsidRPr="00517546">
          <w:fldChar w:fldCharType="end"/>
        </w:r>
      </w:p>
    </w:sdtContent>
  </w:sdt>
  <w:p w14:paraId="035E37B3" w14:textId="548A9824" w:rsidR="00962E5F" w:rsidRPr="00517546" w:rsidRDefault="00962E5F" w:rsidP="00962E5F">
    <w:pPr>
      <w:pStyle w:val="Footer"/>
      <w:tabs>
        <w:tab w:val="clear" w:pos="4513"/>
        <w:tab w:val="clear" w:pos="9026"/>
        <w:tab w:val="left" w:pos="5570"/>
      </w:tabs>
    </w:pPr>
    <w:r w:rsidRPr="0051754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9AC93D8" w:rsidRPr="00517546" w14:paraId="60B7B783" w14:textId="77777777" w:rsidTr="59AC93D8">
      <w:trPr>
        <w:trHeight w:val="300"/>
      </w:trPr>
      <w:tc>
        <w:tcPr>
          <w:tcW w:w="3005" w:type="dxa"/>
        </w:tcPr>
        <w:p w14:paraId="5F62C447" w14:textId="3E243604" w:rsidR="59AC93D8" w:rsidRPr="00517546" w:rsidRDefault="59AC93D8" w:rsidP="59AC93D8">
          <w:pPr>
            <w:pStyle w:val="Header"/>
            <w:ind w:left="-115"/>
          </w:pPr>
        </w:p>
      </w:tc>
      <w:tc>
        <w:tcPr>
          <w:tcW w:w="3005" w:type="dxa"/>
        </w:tcPr>
        <w:p w14:paraId="66313814" w14:textId="5F1D8FD7" w:rsidR="59AC93D8" w:rsidRPr="00517546" w:rsidRDefault="59AC93D8" w:rsidP="59AC93D8">
          <w:pPr>
            <w:pStyle w:val="Header"/>
            <w:jc w:val="center"/>
          </w:pPr>
        </w:p>
      </w:tc>
      <w:tc>
        <w:tcPr>
          <w:tcW w:w="3005" w:type="dxa"/>
        </w:tcPr>
        <w:p w14:paraId="7B4A32A9" w14:textId="32E85573" w:rsidR="59AC93D8" w:rsidRPr="00517546" w:rsidRDefault="59AC93D8" w:rsidP="59AC93D8">
          <w:pPr>
            <w:pStyle w:val="Header"/>
            <w:ind w:right="-115"/>
            <w:jc w:val="right"/>
          </w:pPr>
        </w:p>
      </w:tc>
    </w:tr>
  </w:tbl>
  <w:p w14:paraId="2A9D701B" w14:textId="65A10BB4" w:rsidR="59AC93D8" w:rsidRPr="00517546" w:rsidRDefault="59AC93D8" w:rsidP="59AC93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9AC93D8" w:rsidRPr="00517546" w14:paraId="623E8C8E" w14:textId="77777777" w:rsidTr="59AC93D8">
      <w:trPr>
        <w:trHeight w:val="300"/>
      </w:trPr>
      <w:tc>
        <w:tcPr>
          <w:tcW w:w="3005" w:type="dxa"/>
        </w:tcPr>
        <w:p w14:paraId="409D1D40" w14:textId="703858A5" w:rsidR="59AC93D8" w:rsidRPr="00517546" w:rsidRDefault="59AC93D8" w:rsidP="59AC93D8">
          <w:pPr>
            <w:pStyle w:val="Header"/>
            <w:ind w:left="-115"/>
          </w:pPr>
        </w:p>
      </w:tc>
      <w:tc>
        <w:tcPr>
          <w:tcW w:w="3005" w:type="dxa"/>
        </w:tcPr>
        <w:p w14:paraId="5C886C52" w14:textId="15DA329A" w:rsidR="59AC93D8" w:rsidRPr="00517546" w:rsidRDefault="59AC93D8" w:rsidP="59AC93D8">
          <w:pPr>
            <w:pStyle w:val="Header"/>
            <w:jc w:val="center"/>
          </w:pPr>
        </w:p>
      </w:tc>
      <w:tc>
        <w:tcPr>
          <w:tcW w:w="3005" w:type="dxa"/>
        </w:tcPr>
        <w:p w14:paraId="29AEBD50" w14:textId="0F7CA67B" w:rsidR="59AC93D8" w:rsidRPr="00517546" w:rsidRDefault="59AC93D8" w:rsidP="59AC93D8">
          <w:pPr>
            <w:pStyle w:val="Header"/>
            <w:ind w:right="-115"/>
            <w:jc w:val="right"/>
          </w:pPr>
        </w:p>
      </w:tc>
    </w:tr>
  </w:tbl>
  <w:p w14:paraId="036B75F5" w14:textId="05E96DE1" w:rsidR="59AC93D8" w:rsidRPr="00517546" w:rsidRDefault="59AC93D8" w:rsidP="59AC93D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9AC93D8" w:rsidRPr="00517546" w14:paraId="4ED83154" w14:textId="77777777" w:rsidTr="59AC93D8">
      <w:trPr>
        <w:trHeight w:val="300"/>
      </w:trPr>
      <w:tc>
        <w:tcPr>
          <w:tcW w:w="3005" w:type="dxa"/>
        </w:tcPr>
        <w:p w14:paraId="44421B65" w14:textId="0CD2180D" w:rsidR="59AC93D8" w:rsidRPr="00517546" w:rsidRDefault="59AC93D8" w:rsidP="59AC93D8">
          <w:pPr>
            <w:pStyle w:val="Header"/>
            <w:ind w:left="-115"/>
          </w:pPr>
        </w:p>
      </w:tc>
      <w:tc>
        <w:tcPr>
          <w:tcW w:w="3005" w:type="dxa"/>
        </w:tcPr>
        <w:p w14:paraId="26955E6A" w14:textId="629B17B5" w:rsidR="59AC93D8" w:rsidRPr="00517546" w:rsidRDefault="59AC93D8" w:rsidP="59AC93D8">
          <w:pPr>
            <w:pStyle w:val="Header"/>
            <w:jc w:val="center"/>
          </w:pPr>
        </w:p>
      </w:tc>
      <w:tc>
        <w:tcPr>
          <w:tcW w:w="3005" w:type="dxa"/>
        </w:tcPr>
        <w:p w14:paraId="52616588" w14:textId="18FFE57D" w:rsidR="59AC93D8" w:rsidRPr="00517546" w:rsidRDefault="59AC93D8" w:rsidP="59AC93D8">
          <w:pPr>
            <w:pStyle w:val="Header"/>
            <w:ind w:right="-115"/>
            <w:jc w:val="right"/>
          </w:pPr>
        </w:p>
      </w:tc>
    </w:tr>
  </w:tbl>
  <w:p w14:paraId="6E8349BF" w14:textId="117493AD" w:rsidR="59AC93D8" w:rsidRPr="00517546" w:rsidRDefault="59AC93D8" w:rsidP="59AC93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690E1" w14:textId="77777777" w:rsidR="00014402" w:rsidRPr="00517546" w:rsidRDefault="00014402" w:rsidP="00962E5F">
      <w:pPr>
        <w:spacing w:after="0" w:line="240" w:lineRule="auto"/>
      </w:pPr>
      <w:r w:rsidRPr="00517546">
        <w:separator/>
      </w:r>
    </w:p>
  </w:footnote>
  <w:footnote w:type="continuationSeparator" w:id="0">
    <w:p w14:paraId="5255C9F1" w14:textId="77777777" w:rsidR="00014402" w:rsidRPr="00517546" w:rsidRDefault="00014402" w:rsidP="00962E5F">
      <w:pPr>
        <w:spacing w:after="0" w:line="240" w:lineRule="auto"/>
      </w:pPr>
      <w:r w:rsidRPr="00517546">
        <w:continuationSeparator/>
      </w:r>
    </w:p>
  </w:footnote>
  <w:footnote w:type="continuationNotice" w:id="1">
    <w:p w14:paraId="35EA107D" w14:textId="77777777" w:rsidR="00014402" w:rsidRPr="00517546" w:rsidRDefault="000144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48F80045" w:rsidR="000D61BC" w:rsidRPr="00517546" w:rsidRDefault="00BF5DCF">
    <w:pPr>
      <w:pStyle w:val="Header"/>
    </w:pPr>
    <w:r w:rsidRPr="00517546">
      <w:t xml:space="preserve">Ysabelle Tuddenham </w:t>
    </w:r>
    <w:r w:rsidR="000D61BC" w:rsidRPr="00517546">
      <w:ptab w:relativeTo="margin" w:alignment="center" w:leader="none"/>
    </w:r>
    <w:r w:rsidR="000D61BC" w:rsidRPr="00517546">
      <w:ptab w:relativeTo="margin" w:alignment="right" w:leader="none"/>
    </w:r>
    <w:r w:rsidR="003728D0" w:rsidRPr="00517546">
      <w:t>2</w:t>
    </w:r>
    <w:r w:rsidRPr="00517546">
      <w:t>205445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9AC93D8" w:rsidRPr="00517546" w14:paraId="3CE78F01" w14:textId="77777777" w:rsidTr="59AC93D8">
      <w:trPr>
        <w:trHeight w:val="300"/>
      </w:trPr>
      <w:tc>
        <w:tcPr>
          <w:tcW w:w="3005" w:type="dxa"/>
        </w:tcPr>
        <w:p w14:paraId="6B1E8AE2" w14:textId="7533B645" w:rsidR="59AC93D8" w:rsidRPr="00517546" w:rsidRDefault="59AC93D8" w:rsidP="59AC93D8">
          <w:pPr>
            <w:pStyle w:val="Header"/>
            <w:ind w:left="-115"/>
          </w:pPr>
        </w:p>
      </w:tc>
      <w:tc>
        <w:tcPr>
          <w:tcW w:w="3005" w:type="dxa"/>
        </w:tcPr>
        <w:p w14:paraId="17E9FEA9" w14:textId="436C9FC4" w:rsidR="59AC93D8" w:rsidRPr="00517546" w:rsidRDefault="59AC93D8" w:rsidP="59AC93D8">
          <w:pPr>
            <w:pStyle w:val="Header"/>
            <w:jc w:val="center"/>
          </w:pPr>
        </w:p>
      </w:tc>
      <w:tc>
        <w:tcPr>
          <w:tcW w:w="3005" w:type="dxa"/>
        </w:tcPr>
        <w:p w14:paraId="383D5DCD" w14:textId="05308142" w:rsidR="59AC93D8" w:rsidRPr="00517546" w:rsidRDefault="59AC93D8" w:rsidP="59AC93D8">
          <w:pPr>
            <w:pStyle w:val="Header"/>
            <w:ind w:right="-115"/>
            <w:jc w:val="right"/>
          </w:pPr>
        </w:p>
      </w:tc>
    </w:tr>
  </w:tbl>
  <w:p w14:paraId="4CF3A52C" w14:textId="3D26865C" w:rsidR="59AC93D8" w:rsidRPr="00517546" w:rsidRDefault="59AC93D8" w:rsidP="59AC93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9AC93D8" w:rsidRPr="00517546" w14:paraId="6C55C454" w14:textId="77777777" w:rsidTr="59AC93D8">
      <w:trPr>
        <w:trHeight w:val="300"/>
      </w:trPr>
      <w:tc>
        <w:tcPr>
          <w:tcW w:w="3005" w:type="dxa"/>
        </w:tcPr>
        <w:p w14:paraId="22EBF8DB" w14:textId="4867050E" w:rsidR="59AC93D8" w:rsidRPr="00517546" w:rsidRDefault="59AC93D8" w:rsidP="59AC93D8">
          <w:pPr>
            <w:pStyle w:val="Header"/>
            <w:ind w:left="-115"/>
          </w:pPr>
        </w:p>
      </w:tc>
      <w:tc>
        <w:tcPr>
          <w:tcW w:w="3005" w:type="dxa"/>
        </w:tcPr>
        <w:p w14:paraId="3A9AA18D" w14:textId="6F5102C3" w:rsidR="59AC93D8" w:rsidRPr="00517546" w:rsidRDefault="59AC93D8" w:rsidP="59AC93D8">
          <w:pPr>
            <w:pStyle w:val="Header"/>
            <w:jc w:val="center"/>
          </w:pPr>
        </w:p>
      </w:tc>
      <w:tc>
        <w:tcPr>
          <w:tcW w:w="3005" w:type="dxa"/>
        </w:tcPr>
        <w:p w14:paraId="6A22C0E4" w14:textId="53E2289D" w:rsidR="59AC93D8" w:rsidRPr="00517546" w:rsidRDefault="59AC93D8" w:rsidP="59AC93D8">
          <w:pPr>
            <w:pStyle w:val="Header"/>
            <w:ind w:right="-115"/>
            <w:jc w:val="right"/>
          </w:pPr>
        </w:p>
      </w:tc>
    </w:tr>
  </w:tbl>
  <w:p w14:paraId="5BD0C566" w14:textId="1853E7F3" w:rsidR="59AC93D8" w:rsidRPr="00517546" w:rsidRDefault="59AC93D8" w:rsidP="59AC93D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9AC93D8" w:rsidRPr="00517546" w14:paraId="694C57E6" w14:textId="77777777" w:rsidTr="59AC93D8">
      <w:trPr>
        <w:trHeight w:val="300"/>
      </w:trPr>
      <w:tc>
        <w:tcPr>
          <w:tcW w:w="3005" w:type="dxa"/>
        </w:tcPr>
        <w:p w14:paraId="31094890" w14:textId="003518B1" w:rsidR="59AC93D8" w:rsidRPr="00517546" w:rsidRDefault="59AC93D8" w:rsidP="59AC93D8">
          <w:pPr>
            <w:pStyle w:val="Header"/>
            <w:ind w:left="-115"/>
          </w:pPr>
        </w:p>
      </w:tc>
      <w:tc>
        <w:tcPr>
          <w:tcW w:w="3005" w:type="dxa"/>
        </w:tcPr>
        <w:p w14:paraId="5F8CC0EB" w14:textId="62AE9D30" w:rsidR="59AC93D8" w:rsidRPr="00517546" w:rsidRDefault="59AC93D8" w:rsidP="59AC93D8">
          <w:pPr>
            <w:pStyle w:val="Header"/>
            <w:jc w:val="center"/>
          </w:pPr>
        </w:p>
      </w:tc>
      <w:tc>
        <w:tcPr>
          <w:tcW w:w="3005" w:type="dxa"/>
        </w:tcPr>
        <w:p w14:paraId="5EC2675F" w14:textId="4AC0EA0F" w:rsidR="59AC93D8" w:rsidRPr="00517546" w:rsidRDefault="59AC93D8" w:rsidP="59AC93D8">
          <w:pPr>
            <w:pStyle w:val="Header"/>
            <w:ind w:right="-115"/>
            <w:jc w:val="right"/>
          </w:pPr>
        </w:p>
      </w:tc>
    </w:tr>
  </w:tbl>
  <w:p w14:paraId="67B6D114" w14:textId="5FD4FD3E" w:rsidR="59AC93D8" w:rsidRPr="00517546" w:rsidRDefault="59AC93D8" w:rsidP="59AC93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7F881C0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420683F"/>
    <w:multiLevelType w:val="hybridMultilevel"/>
    <w:tmpl w:val="1B6EB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E80F8"/>
    <w:multiLevelType w:val="hybridMultilevel"/>
    <w:tmpl w:val="FFFFFFFF"/>
    <w:lvl w:ilvl="0" w:tplc="EE9EAFE8">
      <w:start w:val="1"/>
      <w:numFmt w:val="bullet"/>
      <w:lvlText w:val=""/>
      <w:lvlJc w:val="left"/>
      <w:pPr>
        <w:ind w:left="720" w:hanging="360"/>
      </w:pPr>
      <w:rPr>
        <w:rFonts w:ascii="Symbol" w:hAnsi="Symbol" w:hint="default"/>
      </w:rPr>
    </w:lvl>
    <w:lvl w:ilvl="1" w:tplc="C61E08EE">
      <w:start w:val="1"/>
      <w:numFmt w:val="bullet"/>
      <w:lvlText w:val="o"/>
      <w:lvlJc w:val="left"/>
      <w:pPr>
        <w:ind w:left="1440" w:hanging="360"/>
      </w:pPr>
      <w:rPr>
        <w:rFonts w:ascii="Courier New" w:hAnsi="Courier New" w:hint="default"/>
      </w:rPr>
    </w:lvl>
    <w:lvl w:ilvl="2" w:tplc="D3723A06">
      <w:start w:val="1"/>
      <w:numFmt w:val="bullet"/>
      <w:lvlText w:val=""/>
      <w:lvlJc w:val="left"/>
      <w:pPr>
        <w:ind w:left="2160" w:hanging="360"/>
      </w:pPr>
      <w:rPr>
        <w:rFonts w:ascii="Wingdings" w:hAnsi="Wingdings" w:hint="default"/>
      </w:rPr>
    </w:lvl>
    <w:lvl w:ilvl="3" w:tplc="503EEBD0">
      <w:start w:val="1"/>
      <w:numFmt w:val="bullet"/>
      <w:lvlText w:val=""/>
      <w:lvlJc w:val="left"/>
      <w:pPr>
        <w:ind w:left="2880" w:hanging="360"/>
      </w:pPr>
      <w:rPr>
        <w:rFonts w:ascii="Symbol" w:hAnsi="Symbol" w:hint="default"/>
      </w:rPr>
    </w:lvl>
    <w:lvl w:ilvl="4" w:tplc="19A4252C">
      <w:start w:val="1"/>
      <w:numFmt w:val="bullet"/>
      <w:lvlText w:val="o"/>
      <w:lvlJc w:val="left"/>
      <w:pPr>
        <w:ind w:left="3600" w:hanging="360"/>
      </w:pPr>
      <w:rPr>
        <w:rFonts w:ascii="Courier New" w:hAnsi="Courier New" w:hint="default"/>
      </w:rPr>
    </w:lvl>
    <w:lvl w:ilvl="5" w:tplc="85687332">
      <w:start w:val="1"/>
      <w:numFmt w:val="bullet"/>
      <w:lvlText w:val=""/>
      <w:lvlJc w:val="left"/>
      <w:pPr>
        <w:ind w:left="4320" w:hanging="360"/>
      </w:pPr>
      <w:rPr>
        <w:rFonts w:ascii="Wingdings" w:hAnsi="Wingdings" w:hint="default"/>
      </w:rPr>
    </w:lvl>
    <w:lvl w:ilvl="6" w:tplc="E3C6A31A">
      <w:start w:val="1"/>
      <w:numFmt w:val="bullet"/>
      <w:lvlText w:val=""/>
      <w:lvlJc w:val="left"/>
      <w:pPr>
        <w:ind w:left="5040" w:hanging="360"/>
      </w:pPr>
      <w:rPr>
        <w:rFonts w:ascii="Symbol" w:hAnsi="Symbol" w:hint="default"/>
      </w:rPr>
    </w:lvl>
    <w:lvl w:ilvl="7" w:tplc="C06A36F8">
      <w:start w:val="1"/>
      <w:numFmt w:val="bullet"/>
      <w:lvlText w:val="o"/>
      <w:lvlJc w:val="left"/>
      <w:pPr>
        <w:ind w:left="5760" w:hanging="360"/>
      </w:pPr>
      <w:rPr>
        <w:rFonts w:ascii="Courier New" w:hAnsi="Courier New" w:hint="default"/>
      </w:rPr>
    </w:lvl>
    <w:lvl w:ilvl="8" w:tplc="29C6E87A">
      <w:start w:val="1"/>
      <w:numFmt w:val="bullet"/>
      <w:lvlText w:val=""/>
      <w:lvlJc w:val="left"/>
      <w:pPr>
        <w:ind w:left="6480" w:hanging="360"/>
      </w:pPr>
      <w:rPr>
        <w:rFonts w:ascii="Wingdings" w:hAnsi="Wingdings" w:hint="default"/>
      </w:rPr>
    </w:lvl>
  </w:abstractNum>
  <w:abstractNum w:abstractNumId="3" w15:restartNumberingAfterBreak="0">
    <w:nsid w:val="08FA05DB"/>
    <w:multiLevelType w:val="multilevel"/>
    <w:tmpl w:val="F6329E5C"/>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746256"/>
    <w:multiLevelType w:val="multilevel"/>
    <w:tmpl w:val="86A4D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097EE9"/>
    <w:multiLevelType w:val="multilevel"/>
    <w:tmpl w:val="5C268A1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4D59C1"/>
    <w:multiLevelType w:val="hybridMultilevel"/>
    <w:tmpl w:val="0094A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E5E70"/>
    <w:multiLevelType w:val="multilevel"/>
    <w:tmpl w:val="6B20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B70D6F"/>
    <w:multiLevelType w:val="multilevel"/>
    <w:tmpl w:val="19DC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38E379"/>
    <w:multiLevelType w:val="multilevel"/>
    <w:tmpl w:val="BABEA5F0"/>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F8F701D"/>
    <w:multiLevelType w:val="multilevel"/>
    <w:tmpl w:val="A37EB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4229B"/>
    <w:multiLevelType w:val="hybridMultilevel"/>
    <w:tmpl w:val="FFFFFFFF"/>
    <w:lvl w:ilvl="0" w:tplc="E95858EA">
      <w:start w:val="1"/>
      <w:numFmt w:val="bullet"/>
      <w:lvlText w:val=""/>
      <w:lvlJc w:val="left"/>
      <w:pPr>
        <w:ind w:left="936" w:hanging="360"/>
      </w:pPr>
      <w:rPr>
        <w:rFonts w:ascii="Symbol" w:hAnsi="Symbol" w:hint="default"/>
      </w:rPr>
    </w:lvl>
    <w:lvl w:ilvl="1" w:tplc="85521B06">
      <w:start w:val="1"/>
      <w:numFmt w:val="bullet"/>
      <w:lvlText w:val="o"/>
      <w:lvlJc w:val="left"/>
      <w:pPr>
        <w:ind w:left="1656" w:hanging="360"/>
      </w:pPr>
      <w:rPr>
        <w:rFonts w:ascii="Courier New" w:hAnsi="Courier New" w:hint="default"/>
      </w:rPr>
    </w:lvl>
    <w:lvl w:ilvl="2" w:tplc="1F16E02A">
      <w:start w:val="1"/>
      <w:numFmt w:val="bullet"/>
      <w:lvlText w:val=""/>
      <w:lvlJc w:val="left"/>
      <w:pPr>
        <w:ind w:left="2376" w:hanging="360"/>
      </w:pPr>
      <w:rPr>
        <w:rFonts w:ascii="Wingdings" w:hAnsi="Wingdings" w:hint="default"/>
      </w:rPr>
    </w:lvl>
    <w:lvl w:ilvl="3" w:tplc="289EBCE4">
      <w:start w:val="1"/>
      <w:numFmt w:val="bullet"/>
      <w:lvlText w:val=""/>
      <w:lvlJc w:val="left"/>
      <w:pPr>
        <w:ind w:left="3096" w:hanging="360"/>
      </w:pPr>
      <w:rPr>
        <w:rFonts w:ascii="Symbol" w:hAnsi="Symbol" w:hint="default"/>
      </w:rPr>
    </w:lvl>
    <w:lvl w:ilvl="4" w:tplc="3190BAB2">
      <w:start w:val="1"/>
      <w:numFmt w:val="bullet"/>
      <w:lvlText w:val="o"/>
      <w:lvlJc w:val="left"/>
      <w:pPr>
        <w:ind w:left="3816" w:hanging="360"/>
      </w:pPr>
      <w:rPr>
        <w:rFonts w:ascii="Courier New" w:hAnsi="Courier New" w:hint="default"/>
      </w:rPr>
    </w:lvl>
    <w:lvl w:ilvl="5" w:tplc="E5A8058E">
      <w:start w:val="1"/>
      <w:numFmt w:val="bullet"/>
      <w:lvlText w:val=""/>
      <w:lvlJc w:val="left"/>
      <w:pPr>
        <w:ind w:left="4536" w:hanging="360"/>
      </w:pPr>
      <w:rPr>
        <w:rFonts w:ascii="Wingdings" w:hAnsi="Wingdings" w:hint="default"/>
      </w:rPr>
    </w:lvl>
    <w:lvl w:ilvl="6" w:tplc="52D4268A">
      <w:start w:val="1"/>
      <w:numFmt w:val="bullet"/>
      <w:lvlText w:val=""/>
      <w:lvlJc w:val="left"/>
      <w:pPr>
        <w:ind w:left="5256" w:hanging="360"/>
      </w:pPr>
      <w:rPr>
        <w:rFonts w:ascii="Symbol" w:hAnsi="Symbol" w:hint="default"/>
      </w:rPr>
    </w:lvl>
    <w:lvl w:ilvl="7" w:tplc="F6CA693C">
      <w:start w:val="1"/>
      <w:numFmt w:val="bullet"/>
      <w:lvlText w:val="o"/>
      <w:lvlJc w:val="left"/>
      <w:pPr>
        <w:ind w:left="5976" w:hanging="360"/>
      </w:pPr>
      <w:rPr>
        <w:rFonts w:ascii="Courier New" w:hAnsi="Courier New" w:hint="default"/>
      </w:rPr>
    </w:lvl>
    <w:lvl w:ilvl="8" w:tplc="C3ECE8C6">
      <w:start w:val="1"/>
      <w:numFmt w:val="bullet"/>
      <w:lvlText w:val=""/>
      <w:lvlJc w:val="left"/>
      <w:pPr>
        <w:ind w:left="6696" w:hanging="360"/>
      </w:pPr>
      <w:rPr>
        <w:rFonts w:ascii="Wingdings" w:hAnsi="Wingdings" w:hint="default"/>
      </w:rPr>
    </w:lvl>
  </w:abstractNum>
  <w:abstractNum w:abstractNumId="12" w15:restartNumberingAfterBreak="0">
    <w:nsid w:val="24D06B13"/>
    <w:multiLevelType w:val="multilevel"/>
    <w:tmpl w:val="1E60D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B5DE6"/>
    <w:multiLevelType w:val="hybridMultilevel"/>
    <w:tmpl w:val="30186F6C"/>
    <w:lvl w:ilvl="0" w:tplc="F7286538">
      <w:start w:val="1"/>
      <w:numFmt w:val="decimal"/>
      <w:lvlText w:val="%1."/>
      <w:lvlJc w:val="left"/>
      <w:pPr>
        <w:ind w:left="1020" w:hanging="360"/>
      </w:pPr>
    </w:lvl>
    <w:lvl w:ilvl="1" w:tplc="7A92BD54">
      <w:start w:val="1"/>
      <w:numFmt w:val="decimal"/>
      <w:lvlText w:val="%2."/>
      <w:lvlJc w:val="left"/>
      <w:pPr>
        <w:ind w:left="1020" w:hanging="360"/>
      </w:pPr>
    </w:lvl>
    <w:lvl w:ilvl="2" w:tplc="E9DAE9D4">
      <w:start w:val="1"/>
      <w:numFmt w:val="decimal"/>
      <w:lvlText w:val="%3."/>
      <w:lvlJc w:val="left"/>
      <w:pPr>
        <w:ind w:left="1020" w:hanging="360"/>
      </w:pPr>
    </w:lvl>
    <w:lvl w:ilvl="3" w:tplc="278EE30C">
      <w:start w:val="1"/>
      <w:numFmt w:val="decimal"/>
      <w:lvlText w:val="%4."/>
      <w:lvlJc w:val="left"/>
      <w:pPr>
        <w:ind w:left="1020" w:hanging="360"/>
      </w:pPr>
    </w:lvl>
    <w:lvl w:ilvl="4" w:tplc="C1FEA074">
      <w:start w:val="1"/>
      <w:numFmt w:val="decimal"/>
      <w:lvlText w:val="%5."/>
      <w:lvlJc w:val="left"/>
      <w:pPr>
        <w:ind w:left="1020" w:hanging="360"/>
      </w:pPr>
    </w:lvl>
    <w:lvl w:ilvl="5" w:tplc="EFC60438">
      <w:start w:val="1"/>
      <w:numFmt w:val="decimal"/>
      <w:lvlText w:val="%6."/>
      <w:lvlJc w:val="left"/>
      <w:pPr>
        <w:ind w:left="1020" w:hanging="360"/>
      </w:pPr>
    </w:lvl>
    <w:lvl w:ilvl="6" w:tplc="3B12B172">
      <w:start w:val="1"/>
      <w:numFmt w:val="decimal"/>
      <w:lvlText w:val="%7."/>
      <w:lvlJc w:val="left"/>
      <w:pPr>
        <w:ind w:left="1020" w:hanging="360"/>
      </w:pPr>
    </w:lvl>
    <w:lvl w:ilvl="7" w:tplc="08527ACC">
      <w:start w:val="1"/>
      <w:numFmt w:val="decimal"/>
      <w:lvlText w:val="%8."/>
      <w:lvlJc w:val="left"/>
      <w:pPr>
        <w:ind w:left="1020" w:hanging="360"/>
      </w:pPr>
    </w:lvl>
    <w:lvl w:ilvl="8" w:tplc="47BEC176">
      <w:start w:val="1"/>
      <w:numFmt w:val="decimal"/>
      <w:lvlText w:val="%9."/>
      <w:lvlJc w:val="left"/>
      <w:pPr>
        <w:ind w:left="1020" w:hanging="360"/>
      </w:pPr>
    </w:lvl>
  </w:abstractNum>
  <w:abstractNum w:abstractNumId="14" w15:restartNumberingAfterBreak="0">
    <w:nsid w:val="2A831498"/>
    <w:multiLevelType w:val="hybridMultilevel"/>
    <w:tmpl w:val="8C368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2D176E"/>
    <w:multiLevelType w:val="hybridMultilevel"/>
    <w:tmpl w:val="FFFFFFFF"/>
    <w:lvl w:ilvl="0" w:tplc="C22C9304">
      <w:start w:val="1"/>
      <w:numFmt w:val="bullet"/>
      <w:lvlText w:val=""/>
      <w:lvlJc w:val="left"/>
      <w:pPr>
        <w:ind w:left="936" w:hanging="360"/>
      </w:pPr>
      <w:rPr>
        <w:rFonts w:ascii="Symbol" w:hAnsi="Symbol" w:hint="default"/>
      </w:rPr>
    </w:lvl>
    <w:lvl w:ilvl="1" w:tplc="A6B62F62">
      <w:start w:val="1"/>
      <w:numFmt w:val="bullet"/>
      <w:lvlText w:val="o"/>
      <w:lvlJc w:val="left"/>
      <w:pPr>
        <w:ind w:left="1656" w:hanging="360"/>
      </w:pPr>
      <w:rPr>
        <w:rFonts w:ascii="Courier New" w:hAnsi="Courier New" w:hint="default"/>
      </w:rPr>
    </w:lvl>
    <w:lvl w:ilvl="2" w:tplc="37DE8B1E">
      <w:start w:val="1"/>
      <w:numFmt w:val="bullet"/>
      <w:lvlText w:val=""/>
      <w:lvlJc w:val="left"/>
      <w:pPr>
        <w:ind w:left="2376" w:hanging="360"/>
      </w:pPr>
      <w:rPr>
        <w:rFonts w:ascii="Wingdings" w:hAnsi="Wingdings" w:hint="default"/>
      </w:rPr>
    </w:lvl>
    <w:lvl w:ilvl="3" w:tplc="873C836C">
      <w:start w:val="1"/>
      <w:numFmt w:val="bullet"/>
      <w:lvlText w:val=""/>
      <w:lvlJc w:val="left"/>
      <w:pPr>
        <w:ind w:left="3096" w:hanging="360"/>
      </w:pPr>
      <w:rPr>
        <w:rFonts w:ascii="Symbol" w:hAnsi="Symbol" w:hint="default"/>
      </w:rPr>
    </w:lvl>
    <w:lvl w:ilvl="4" w:tplc="317228DE">
      <w:start w:val="1"/>
      <w:numFmt w:val="bullet"/>
      <w:lvlText w:val="o"/>
      <w:lvlJc w:val="left"/>
      <w:pPr>
        <w:ind w:left="3816" w:hanging="360"/>
      </w:pPr>
      <w:rPr>
        <w:rFonts w:ascii="Courier New" w:hAnsi="Courier New" w:hint="default"/>
      </w:rPr>
    </w:lvl>
    <w:lvl w:ilvl="5" w:tplc="53984D70">
      <w:start w:val="1"/>
      <w:numFmt w:val="bullet"/>
      <w:lvlText w:val=""/>
      <w:lvlJc w:val="left"/>
      <w:pPr>
        <w:ind w:left="4536" w:hanging="360"/>
      </w:pPr>
      <w:rPr>
        <w:rFonts w:ascii="Wingdings" w:hAnsi="Wingdings" w:hint="default"/>
      </w:rPr>
    </w:lvl>
    <w:lvl w:ilvl="6" w:tplc="41B08298">
      <w:start w:val="1"/>
      <w:numFmt w:val="bullet"/>
      <w:lvlText w:val=""/>
      <w:lvlJc w:val="left"/>
      <w:pPr>
        <w:ind w:left="5256" w:hanging="360"/>
      </w:pPr>
      <w:rPr>
        <w:rFonts w:ascii="Symbol" w:hAnsi="Symbol" w:hint="default"/>
      </w:rPr>
    </w:lvl>
    <w:lvl w:ilvl="7" w:tplc="97DC72F4">
      <w:start w:val="1"/>
      <w:numFmt w:val="bullet"/>
      <w:lvlText w:val="o"/>
      <w:lvlJc w:val="left"/>
      <w:pPr>
        <w:ind w:left="5976" w:hanging="360"/>
      </w:pPr>
      <w:rPr>
        <w:rFonts w:ascii="Courier New" w:hAnsi="Courier New" w:hint="default"/>
      </w:rPr>
    </w:lvl>
    <w:lvl w:ilvl="8" w:tplc="55A0388E">
      <w:start w:val="1"/>
      <w:numFmt w:val="bullet"/>
      <w:lvlText w:val=""/>
      <w:lvlJc w:val="left"/>
      <w:pPr>
        <w:ind w:left="6696" w:hanging="360"/>
      </w:pPr>
      <w:rPr>
        <w:rFonts w:ascii="Wingdings" w:hAnsi="Wingdings" w:hint="default"/>
      </w:rPr>
    </w:lvl>
  </w:abstractNum>
  <w:abstractNum w:abstractNumId="16" w15:restartNumberingAfterBreak="0">
    <w:nsid w:val="34CA715D"/>
    <w:multiLevelType w:val="hybridMultilevel"/>
    <w:tmpl w:val="955C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D161B3"/>
    <w:multiLevelType w:val="hybridMultilevel"/>
    <w:tmpl w:val="BF360E5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8" w15:restartNumberingAfterBreak="0">
    <w:nsid w:val="4047CF64"/>
    <w:multiLevelType w:val="hybridMultilevel"/>
    <w:tmpl w:val="FFFFFFFF"/>
    <w:lvl w:ilvl="0" w:tplc="3B5A3ADC">
      <w:start w:val="1"/>
      <w:numFmt w:val="bullet"/>
      <w:lvlText w:val=""/>
      <w:lvlJc w:val="left"/>
      <w:pPr>
        <w:ind w:left="720" w:hanging="360"/>
      </w:pPr>
      <w:rPr>
        <w:rFonts w:ascii="Symbol" w:hAnsi="Symbol" w:hint="default"/>
      </w:rPr>
    </w:lvl>
    <w:lvl w:ilvl="1" w:tplc="9148FD2E">
      <w:start w:val="1"/>
      <w:numFmt w:val="bullet"/>
      <w:lvlText w:val="o"/>
      <w:lvlJc w:val="left"/>
      <w:pPr>
        <w:ind w:left="1440" w:hanging="360"/>
      </w:pPr>
      <w:rPr>
        <w:rFonts w:ascii="Courier New" w:hAnsi="Courier New" w:hint="default"/>
      </w:rPr>
    </w:lvl>
    <w:lvl w:ilvl="2" w:tplc="7F86B2A6">
      <w:start w:val="1"/>
      <w:numFmt w:val="bullet"/>
      <w:lvlText w:val=""/>
      <w:lvlJc w:val="left"/>
      <w:pPr>
        <w:ind w:left="2160" w:hanging="360"/>
      </w:pPr>
      <w:rPr>
        <w:rFonts w:ascii="Wingdings" w:hAnsi="Wingdings" w:hint="default"/>
      </w:rPr>
    </w:lvl>
    <w:lvl w:ilvl="3" w:tplc="37924E3E">
      <w:start w:val="1"/>
      <w:numFmt w:val="bullet"/>
      <w:lvlText w:val=""/>
      <w:lvlJc w:val="left"/>
      <w:pPr>
        <w:ind w:left="2880" w:hanging="360"/>
      </w:pPr>
      <w:rPr>
        <w:rFonts w:ascii="Symbol" w:hAnsi="Symbol" w:hint="default"/>
      </w:rPr>
    </w:lvl>
    <w:lvl w:ilvl="4" w:tplc="12687754">
      <w:start w:val="1"/>
      <w:numFmt w:val="bullet"/>
      <w:lvlText w:val="o"/>
      <w:lvlJc w:val="left"/>
      <w:pPr>
        <w:ind w:left="3600" w:hanging="360"/>
      </w:pPr>
      <w:rPr>
        <w:rFonts w:ascii="Courier New" w:hAnsi="Courier New" w:hint="default"/>
      </w:rPr>
    </w:lvl>
    <w:lvl w:ilvl="5" w:tplc="747E9638">
      <w:start w:val="1"/>
      <w:numFmt w:val="bullet"/>
      <w:lvlText w:val=""/>
      <w:lvlJc w:val="left"/>
      <w:pPr>
        <w:ind w:left="4320" w:hanging="360"/>
      </w:pPr>
      <w:rPr>
        <w:rFonts w:ascii="Wingdings" w:hAnsi="Wingdings" w:hint="default"/>
      </w:rPr>
    </w:lvl>
    <w:lvl w:ilvl="6" w:tplc="50D0A636">
      <w:start w:val="1"/>
      <w:numFmt w:val="bullet"/>
      <w:lvlText w:val=""/>
      <w:lvlJc w:val="left"/>
      <w:pPr>
        <w:ind w:left="5040" w:hanging="360"/>
      </w:pPr>
      <w:rPr>
        <w:rFonts w:ascii="Symbol" w:hAnsi="Symbol" w:hint="default"/>
      </w:rPr>
    </w:lvl>
    <w:lvl w:ilvl="7" w:tplc="D53636E2">
      <w:start w:val="1"/>
      <w:numFmt w:val="bullet"/>
      <w:lvlText w:val="o"/>
      <w:lvlJc w:val="left"/>
      <w:pPr>
        <w:ind w:left="5760" w:hanging="360"/>
      </w:pPr>
      <w:rPr>
        <w:rFonts w:ascii="Courier New" w:hAnsi="Courier New" w:hint="default"/>
      </w:rPr>
    </w:lvl>
    <w:lvl w:ilvl="8" w:tplc="04B03AC0">
      <w:start w:val="1"/>
      <w:numFmt w:val="bullet"/>
      <w:lvlText w:val=""/>
      <w:lvlJc w:val="left"/>
      <w:pPr>
        <w:ind w:left="6480" w:hanging="360"/>
      </w:pPr>
      <w:rPr>
        <w:rFonts w:ascii="Wingdings" w:hAnsi="Wingdings" w:hint="default"/>
      </w:rPr>
    </w:lvl>
  </w:abstractNum>
  <w:abstractNum w:abstractNumId="19" w15:restartNumberingAfterBreak="0">
    <w:nsid w:val="43764647"/>
    <w:multiLevelType w:val="multilevel"/>
    <w:tmpl w:val="97FE8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F95BB3"/>
    <w:multiLevelType w:val="multilevel"/>
    <w:tmpl w:val="70E6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DC6992"/>
    <w:multiLevelType w:val="multilevel"/>
    <w:tmpl w:val="AAF03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CDB8BE"/>
    <w:multiLevelType w:val="hybridMultilevel"/>
    <w:tmpl w:val="FFFFFFFF"/>
    <w:lvl w:ilvl="0" w:tplc="632E5742">
      <w:start w:val="1"/>
      <w:numFmt w:val="bullet"/>
      <w:lvlText w:val=""/>
      <w:lvlJc w:val="left"/>
      <w:pPr>
        <w:ind w:left="720" w:hanging="360"/>
      </w:pPr>
      <w:rPr>
        <w:rFonts w:ascii="Symbol" w:hAnsi="Symbol" w:hint="default"/>
      </w:rPr>
    </w:lvl>
    <w:lvl w:ilvl="1" w:tplc="08FAC330">
      <w:start w:val="1"/>
      <w:numFmt w:val="bullet"/>
      <w:lvlText w:val="o"/>
      <w:lvlJc w:val="left"/>
      <w:pPr>
        <w:ind w:left="1440" w:hanging="360"/>
      </w:pPr>
      <w:rPr>
        <w:rFonts w:ascii="Courier New" w:hAnsi="Courier New" w:hint="default"/>
      </w:rPr>
    </w:lvl>
    <w:lvl w:ilvl="2" w:tplc="89FA9DC4">
      <w:start w:val="1"/>
      <w:numFmt w:val="bullet"/>
      <w:lvlText w:val=""/>
      <w:lvlJc w:val="left"/>
      <w:pPr>
        <w:ind w:left="2160" w:hanging="360"/>
      </w:pPr>
      <w:rPr>
        <w:rFonts w:ascii="Wingdings" w:hAnsi="Wingdings" w:hint="default"/>
      </w:rPr>
    </w:lvl>
    <w:lvl w:ilvl="3" w:tplc="EE247376">
      <w:start w:val="1"/>
      <w:numFmt w:val="bullet"/>
      <w:lvlText w:val=""/>
      <w:lvlJc w:val="left"/>
      <w:pPr>
        <w:ind w:left="2880" w:hanging="360"/>
      </w:pPr>
      <w:rPr>
        <w:rFonts w:ascii="Symbol" w:hAnsi="Symbol" w:hint="default"/>
      </w:rPr>
    </w:lvl>
    <w:lvl w:ilvl="4" w:tplc="EBB2C0FE">
      <w:start w:val="1"/>
      <w:numFmt w:val="bullet"/>
      <w:lvlText w:val="o"/>
      <w:lvlJc w:val="left"/>
      <w:pPr>
        <w:ind w:left="3600" w:hanging="360"/>
      </w:pPr>
      <w:rPr>
        <w:rFonts w:ascii="Courier New" w:hAnsi="Courier New" w:hint="default"/>
      </w:rPr>
    </w:lvl>
    <w:lvl w:ilvl="5" w:tplc="444801E6">
      <w:start w:val="1"/>
      <w:numFmt w:val="bullet"/>
      <w:lvlText w:val=""/>
      <w:lvlJc w:val="left"/>
      <w:pPr>
        <w:ind w:left="4320" w:hanging="360"/>
      </w:pPr>
      <w:rPr>
        <w:rFonts w:ascii="Wingdings" w:hAnsi="Wingdings" w:hint="default"/>
      </w:rPr>
    </w:lvl>
    <w:lvl w:ilvl="6" w:tplc="371A53A6">
      <w:start w:val="1"/>
      <w:numFmt w:val="bullet"/>
      <w:lvlText w:val=""/>
      <w:lvlJc w:val="left"/>
      <w:pPr>
        <w:ind w:left="5040" w:hanging="360"/>
      </w:pPr>
      <w:rPr>
        <w:rFonts w:ascii="Symbol" w:hAnsi="Symbol" w:hint="default"/>
      </w:rPr>
    </w:lvl>
    <w:lvl w:ilvl="7" w:tplc="A134E00E">
      <w:start w:val="1"/>
      <w:numFmt w:val="bullet"/>
      <w:lvlText w:val="o"/>
      <w:lvlJc w:val="left"/>
      <w:pPr>
        <w:ind w:left="5760" w:hanging="360"/>
      </w:pPr>
      <w:rPr>
        <w:rFonts w:ascii="Courier New" w:hAnsi="Courier New" w:hint="default"/>
      </w:rPr>
    </w:lvl>
    <w:lvl w:ilvl="8" w:tplc="3D82F96C">
      <w:start w:val="1"/>
      <w:numFmt w:val="bullet"/>
      <w:lvlText w:val=""/>
      <w:lvlJc w:val="left"/>
      <w:pPr>
        <w:ind w:left="6480" w:hanging="360"/>
      </w:pPr>
      <w:rPr>
        <w:rFonts w:ascii="Wingdings" w:hAnsi="Wingdings" w:hint="default"/>
      </w:rPr>
    </w:lvl>
  </w:abstractNum>
  <w:abstractNum w:abstractNumId="23" w15:restartNumberingAfterBreak="0">
    <w:nsid w:val="53CB6487"/>
    <w:multiLevelType w:val="multilevel"/>
    <w:tmpl w:val="B46AB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203682"/>
    <w:multiLevelType w:val="hybridMultilevel"/>
    <w:tmpl w:val="7ED8C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FE4A24"/>
    <w:multiLevelType w:val="hybridMultilevel"/>
    <w:tmpl w:val="0FF6C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7947F3"/>
    <w:multiLevelType w:val="hybridMultilevel"/>
    <w:tmpl w:val="3C22328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BB44FB9"/>
    <w:multiLevelType w:val="multilevel"/>
    <w:tmpl w:val="6F3CC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9A4535"/>
    <w:multiLevelType w:val="hybridMultilevel"/>
    <w:tmpl w:val="FFFFFFFF"/>
    <w:lvl w:ilvl="0" w:tplc="FC145970">
      <w:start w:val="1"/>
      <w:numFmt w:val="bullet"/>
      <w:lvlText w:val=""/>
      <w:lvlJc w:val="left"/>
      <w:pPr>
        <w:ind w:left="720" w:hanging="360"/>
      </w:pPr>
      <w:rPr>
        <w:rFonts w:ascii="Symbol" w:hAnsi="Symbol" w:hint="default"/>
      </w:rPr>
    </w:lvl>
    <w:lvl w:ilvl="1" w:tplc="7C7E7FD4">
      <w:start w:val="1"/>
      <w:numFmt w:val="bullet"/>
      <w:lvlText w:val="o"/>
      <w:lvlJc w:val="left"/>
      <w:pPr>
        <w:ind w:left="1440" w:hanging="360"/>
      </w:pPr>
      <w:rPr>
        <w:rFonts w:ascii="Courier New" w:hAnsi="Courier New" w:hint="default"/>
      </w:rPr>
    </w:lvl>
    <w:lvl w:ilvl="2" w:tplc="4CD03518">
      <w:start w:val="1"/>
      <w:numFmt w:val="bullet"/>
      <w:lvlText w:val=""/>
      <w:lvlJc w:val="left"/>
      <w:pPr>
        <w:ind w:left="2160" w:hanging="360"/>
      </w:pPr>
      <w:rPr>
        <w:rFonts w:ascii="Wingdings" w:hAnsi="Wingdings" w:hint="default"/>
      </w:rPr>
    </w:lvl>
    <w:lvl w:ilvl="3" w:tplc="2A0C8E30">
      <w:start w:val="1"/>
      <w:numFmt w:val="bullet"/>
      <w:lvlText w:val=""/>
      <w:lvlJc w:val="left"/>
      <w:pPr>
        <w:ind w:left="2880" w:hanging="360"/>
      </w:pPr>
      <w:rPr>
        <w:rFonts w:ascii="Symbol" w:hAnsi="Symbol" w:hint="default"/>
      </w:rPr>
    </w:lvl>
    <w:lvl w:ilvl="4" w:tplc="39FE2E04">
      <w:start w:val="1"/>
      <w:numFmt w:val="bullet"/>
      <w:lvlText w:val="o"/>
      <w:lvlJc w:val="left"/>
      <w:pPr>
        <w:ind w:left="3600" w:hanging="360"/>
      </w:pPr>
      <w:rPr>
        <w:rFonts w:ascii="Courier New" w:hAnsi="Courier New" w:hint="default"/>
      </w:rPr>
    </w:lvl>
    <w:lvl w:ilvl="5" w:tplc="A9C0C26C">
      <w:start w:val="1"/>
      <w:numFmt w:val="bullet"/>
      <w:lvlText w:val=""/>
      <w:lvlJc w:val="left"/>
      <w:pPr>
        <w:ind w:left="4320" w:hanging="360"/>
      </w:pPr>
      <w:rPr>
        <w:rFonts w:ascii="Wingdings" w:hAnsi="Wingdings" w:hint="default"/>
      </w:rPr>
    </w:lvl>
    <w:lvl w:ilvl="6" w:tplc="49547026">
      <w:start w:val="1"/>
      <w:numFmt w:val="bullet"/>
      <w:lvlText w:val=""/>
      <w:lvlJc w:val="left"/>
      <w:pPr>
        <w:ind w:left="5040" w:hanging="360"/>
      </w:pPr>
      <w:rPr>
        <w:rFonts w:ascii="Symbol" w:hAnsi="Symbol" w:hint="default"/>
      </w:rPr>
    </w:lvl>
    <w:lvl w:ilvl="7" w:tplc="C5BEA152">
      <w:start w:val="1"/>
      <w:numFmt w:val="bullet"/>
      <w:lvlText w:val="o"/>
      <w:lvlJc w:val="left"/>
      <w:pPr>
        <w:ind w:left="5760" w:hanging="360"/>
      </w:pPr>
      <w:rPr>
        <w:rFonts w:ascii="Courier New" w:hAnsi="Courier New" w:hint="default"/>
      </w:rPr>
    </w:lvl>
    <w:lvl w:ilvl="8" w:tplc="4A84FD80">
      <w:start w:val="1"/>
      <w:numFmt w:val="bullet"/>
      <w:lvlText w:val=""/>
      <w:lvlJc w:val="left"/>
      <w:pPr>
        <w:ind w:left="6480" w:hanging="360"/>
      </w:pPr>
      <w:rPr>
        <w:rFonts w:ascii="Wingdings" w:hAnsi="Wingdings" w:hint="default"/>
      </w:rPr>
    </w:lvl>
  </w:abstractNum>
  <w:abstractNum w:abstractNumId="29" w15:restartNumberingAfterBreak="0">
    <w:nsid w:val="62FA62DA"/>
    <w:multiLevelType w:val="hybridMultilevel"/>
    <w:tmpl w:val="FD84457C"/>
    <w:lvl w:ilvl="0" w:tplc="3B36E2A6">
      <w:start w:val="1"/>
      <w:numFmt w:val="bullet"/>
      <w:lvlText w:val=""/>
      <w:lvlJc w:val="left"/>
      <w:pPr>
        <w:ind w:left="2160" w:hanging="360"/>
      </w:pPr>
      <w:rPr>
        <w:rFonts w:ascii="Symbol" w:hAnsi="Symbol"/>
      </w:rPr>
    </w:lvl>
    <w:lvl w:ilvl="1" w:tplc="BE36BA8E">
      <w:start w:val="1"/>
      <w:numFmt w:val="bullet"/>
      <w:lvlText w:val=""/>
      <w:lvlJc w:val="left"/>
      <w:pPr>
        <w:ind w:left="2160" w:hanging="360"/>
      </w:pPr>
      <w:rPr>
        <w:rFonts w:ascii="Symbol" w:hAnsi="Symbol"/>
      </w:rPr>
    </w:lvl>
    <w:lvl w:ilvl="2" w:tplc="836E9474">
      <w:start w:val="1"/>
      <w:numFmt w:val="bullet"/>
      <w:lvlText w:val=""/>
      <w:lvlJc w:val="left"/>
      <w:pPr>
        <w:ind w:left="2160" w:hanging="360"/>
      </w:pPr>
      <w:rPr>
        <w:rFonts w:ascii="Symbol" w:hAnsi="Symbol"/>
      </w:rPr>
    </w:lvl>
    <w:lvl w:ilvl="3" w:tplc="B6182558">
      <w:start w:val="1"/>
      <w:numFmt w:val="bullet"/>
      <w:lvlText w:val=""/>
      <w:lvlJc w:val="left"/>
      <w:pPr>
        <w:ind w:left="2160" w:hanging="360"/>
      </w:pPr>
      <w:rPr>
        <w:rFonts w:ascii="Symbol" w:hAnsi="Symbol"/>
      </w:rPr>
    </w:lvl>
    <w:lvl w:ilvl="4" w:tplc="EDA2F814">
      <w:start w:val="1"/>
      <w:numFmt w:val="bullet"/>
      <w:lvlText w:val=""/>
      <w:lvlJc w:val="left"/>
      <w:pPr>
        <w:ind w:left="2160" w:hanging="360"/>
      </w:pPr>
      <w:rPr>
        <w:rFonts w:ascii="Symbol" w:hAnsi="Symbol"/>
      </w:rPr>
    </w:lvl>
    <w:lvl w:ilvl="5" w:tplc="A2365DAC">
      <w:start w:val="1"/>
      <w:numFmt w:val="bullet"/>
      <w:lvlText w:val=""/>
      <w:lvlJc w:val="left"/>
      <w:pPr>
        <w:ind w:left="2160" w:hanging="360"/>
      </w:pPr>
      <w:rPr>
        <w:rFonts w:ascii="Symbol" w:hAnsi="Symbol"/>
      </w:rPr>
    </w:lvl>
    <w:lvl w:ilvl="6" w:tplc="193A231E">
      <w:start w:val="1"/>
      <w:numFmt w:val="bullet"/>
      <w:lvlText w:val=""/>
      <w:lvlJc w:val="left"/>
      <w:pPr>
        <w:ind w:left="2160" w:hanging="360"/>
      </w:pPr>
      <w:rPr>
        <w:rFonts w:ascii="Symbol" w:hAnsi="Symbol"/>
      </w:rPr>
    </w:lvl>
    <w:lvl w:ilvl="7" w:tplc="874CFDDA">
      <w:start w:val="1"/>
      <w:numFmt w:val="bullet"/>
      <w:lvlText w:val=""/>
      <w:lvlJc w:val="left"/>
      <w:pPr>
        <w:ind w:left="2160" w:hanging="360"/>
      </w:pPr>
      <w:rPr>
        <w:rFonts w:ascii="Symbol" w:hAnsi="Symbol"/>
      </w:rPr>
    </w:lvl>
    <w:lvl w:ilvl="8" w:tplc="58983318">
      <w:start w:val="1"/>
      <w:numFmt w:val="bullet"/>
      <w:lvlText w:val=""/>
      <w:lvlJc w:val="left"/>
      <w:pPr>
        <w:ind w:left="2160" w:hanging="360"/>
      </w:pPr>
      <w:rPr>
        <w:rFonts w:ascii="Symbol" w:hAnsi="Symbol"/>
      </w:rPr>
    </w:lvl>
  </w:abstractNum>
  <w:abstractNum w:abstractNumId="30" w15:restartNumberingAfterBreak="0">
    <w:nsid w:val="676257EE"/>
    <w:multiLevelType w:val="hybridMultilevel"/>
    <w:tmpl w:val="B2E0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8A6FC5"/>
    <w:multiLevelType w:val="hybridMultilevel"/>
    <w:tmpl w:val="3AD08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C87E2C"/>
    <w:multiLevelType w:val="multilevel"/>
    <w:tmpl w:val="4886B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215BAA"/>
    <w:multiLevelType w:val="hybridMultilevel"/>
    <w:tmpl w:val="FFFFFFFF"/>
    <w:lvl w:ilvl="0" w:tplc="CABC3F86">
      <w:start w:val="1"/>
      <w:numFmt w:val="bullet"/>
      <w:lvlText w:val=""/>
      <w:lvlJc w:val="left"/>
      <w:pPr>
        <w:ind w:left="720" w:hanging="360"/>
      </w:pPr>
      <w:rPr>
        <w:rFonts w:ascii="Symbol" w:hAnsi="Symbol" w:hint="default"/>
      </w:rPr>
    </w:lvl>
    <w:lvl w:ilvl="1" w:tplc="619C17B8">
      <w:start w:val="1"/>
      <w:numFmt w:val="bullet"/>
      <w:lvlText w:val="o"/>
      <w:lvlJc w:val="left"/>
      <w:pPr>
        <w:ind w:left="1440" w:hanging="360"/>
      </w:pPr>
      <w:rPr>
        <w:rFonts w:ascii="Courier New" w:hAnsi="Courier New" w:hint="default"/>
      </w:rPr>
    </w:lvl>
    <w:lvl w:ilvl="2" w:tplc="76E80982">
      <w:start w:val="1"/>
      <w:numFmt w:val="bullet"/>
      <w:lvlText w:val=""/>
      <w:lvlJc w:val="left"/>
      <w:pPr>
        <w:ind w:left="2160" w:hanging="360"/>
      </w:pPr>
      <w:rPr>
        <w:rFonts w:ascii="Wingdings" w:hAnsi="Wingdings" w:hint="default"/>
      </w:rPr>
    </w:lvl>
    <w:lvl w:ilvl="3" w:tplc="02DE7994">
      <w:start w:val="1"/>
      <w:numFmt w:val="bullet"/>
      <w:lvlText w:val=""/>
      <w:lvlJc w:val="left"/>
      <w:pPr>
        <w:ind w:left="2880" w:hanging="360"/>
      </w:pPr>
      <w:rPr>
        <w:rFonts w:ascii="Symbol" w:hAnsi="Symbol" w:hint="default"/>
      </w:rPr>
    </w:lvl>
    <w:lvl w:ilvl="4" w:tplc="8648F6F0">
      <w:start w:val="1"/>
      <w:numFmt w:val="bullet"/>
      <w:lvlText w:val="o"/>
      <w:lvlJc w:val="left"/>
      <w:pPr>
        <w:ind w:left="3600" w:hanging="360"/>
      </w:pPr>
      <w:rPr>
        <w:rFonts w:ascii="Courier New" w:hAnsi="Courier New" w:hint="default"/>
      </w:rPr>
    </w:lvl>
    <w:lvl w:ilvl="5" w:tplc="EFECD35A">
      <w:start w:val="1"/>
      <w:numFmt w:val="bullet"/>
      <w:lvlText w:val=""/>
      <w:lvlJc w:val="left"/>
      <w:pPr>
        <w:ind w:left="4320" w:hanging="360"/>
      </w:pPr>
      <w:rPr>
        <w:rFonts w:ascii="Wingdings" w:hAnsi="Wingdings" w:hint="default"/>
      </w:rPr>
    </w:lvl>
    <w:lvl w:ilvl="6" w:tplc="B9D0DA08">
      <w:start w:val="1"/>
      <w:numFmt w:val="bullet"/>
      <w:lvlText w:val=""/>
      <w:lvlJc w:val="left"/>
      <w:pPr>
        <w:ind w:left="5040" w:hanging="360"/>
      </w:pPr>
      <w:rPr>
        <w:rFonts w:ascii="Symbol" w:hAnsi="Symbol" w:hint="default"/>
      </w:rPr>
    </w:lvl>
    <w:lvl w:ilvl="7" w:tplc="16E6BA7A">
      <w:start w:val="1"/>
      <w:numFmt w:val="bullet"/>
      <w:lvlText w:val="o"/>
      <w:lvlJc w:val="left"/>
      <w:pPr>
        <w:ind w:left="5760" w:hanging="360"/>
      </w:pPr>
      <w:rPr>
        <w:rFonts w:ascii="Courier New" w:hAnsi="Courier New" w:hint="default"/>
      </w:rPr>
    </w:lvl>
    <w:lvl w:ilvl="8" w:tplc="6C2C3706">
      <w:start w:val="1"/>
      <w:numFmt w:val="bullet"/>
      <w:lvlText w:val=""/>
      <w:lvlJc w:val="left"/>
      <w:pPr>
        <w:ind w:left="6480" w:hanging="360"/>
      </w:pPr>
      <w:rPr>
        <w:rFonts w:ascii="Wingdings" w:hAnsi="Wingdings" w:hint="default"/>
      </w:rPr>
    </w:lvl>
  </w:abstractNum>
  <w:abstractNum w:abstractNumId="34" w15:restartNumberingAfterBreak="0">
    <w:nsid w:val="748F6B83"/>
    <w:multiLevelType w:val="hybridMultilevel"/>
    <w:tmpl w:val="A1804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ED7F85"/>
    <w:multiLevelType w:val="multilevel"/>
    <w:tmpl w:val="BD62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816B50"/>
    <w:multiLevelType w:val="hybridMultilevel"/>
    <w:tmpl w:val="49C09BE2"/>
    <w:lvl w:ilvl="0" w:tplc="117AE1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C91B56"/>
    <w:multiLevelType w:val="hybridMultilevel"/>
    <w:tmpl w:val="FFFFFFFF"/>
    <w:lvl w:ilvl="0" w:tplc="F662B7E4">
      <w:start w:val="1"/>
      <w:numFmt w:val="bullet"/>
      <w:lvlText w:val=""/>
      <w:lvlJc w:val="left"/>
      <w:pPr>
        <w:ind w:left="720" w:hanging="360"/>
      </w:pPr>
      <w:rPr>
        <w:rFonts w:ascii="Symbol" w:hAnsi="Symbol" w:hint="default"/>
      </w:rPr>
    </w:lvl>
    <w:lvl w:ilvl="1" w:tplc="325EB2FA">
      <w:start w:val="1"/>
      <w:numFmt w:val="bullet"/>
      <w:lvlText w:val="o"/>
      <w:lvlJc w:val="left"/>
      <w:pPr>
        <w:ind w:left="1440" w:hanging="360"/>
      </w:pPr>
      <w:rPr>
        <w:rFonts w:ascii="Courier New" w:hAnsi="Courier New" w:hint="default"/>
      </w:rPr>
    </w:lvl>
    <w:lvl w:ilvl="2" w:tplc="96F228CE">
      <w:start w:val="1"/>
      <w:numFmt w:val="bullet"/>
      <w:lvlText w:val=""/>
      <w:lvlJc w:val="left"/>
      <w:pPr>
        <w:ind w:left="2160" w:hanging="360"/>
      </w:pPr>
      <w:rPr>
        <w:rFonts w:ascii="Wingdings" w:hAnsi="Wingdings" w:hint="default"/>
      </w:rPr>
    </w:lvl>
    <w:lvl w:ilvl="3" w:tplc="D5383F08">
      <w:start w:val="1"/>
      <w:numFmt w:val="bullet"/>
      <w:lvlText w:val=""/>
      <w:lvlJc w:val="left"/>
      <w:pPr>
        <w:ind w:left="2880" w:hanging="360"/>
      </w:pPr>
      <w:rPr>
        <w:rFonts w:ascii="Symbol" w:hAnsi="Symbol" w:hint="default"/>
      </w:rPr>
    </w:lvl>
    <w:lvl w:ilvl="4" w:tplc="74101FE8">
      <w:start w:val="1"/>
      <w:numFmt w:val="bullet"/>
      <w:lvlText w:val="o"/>
      <w:lvlJc w:val="left"/>
      <w:pPr>
        <w:ind w:left="3600" w:hanging="360"/>
      </w:pPr>
      <w:rPr>
        <w:rFonts w:ascii="Courier New" w:hAnsi="Courier New" w:hint="default"/>
      </w:rPr>
    </w:lvl>
    <w:lvl w:ilvl="5" w:tplc="65B0A8FA">
      <w:start w:val="1"/>
      <w:numFmt w:val="bullet"/>
      <w:lvlText w:val=""/>
      <w:lvlJc w:val="left"/>
      <w:pPr>
        <w:ind w:left="4320" w:hanging="360"/>
      </w:pPr>
      <w:rPr>
        <w:rFonts w:ascii="Wingdings" w:hAnsi="Wingdings" w:hint="default"/>
      </w:rPr>
    </w:lvl>
    <w:lvl w:ilvl="6" w:tplc="01A0AE9A">
      <w:start w:val="1"/>
      <w:numFmt w:val="bullet"/>
      <w:lvlText w:val=""/>
      <w:lvlJc w:val="left"/>
      <w:pPr>
        <w:ind w:left="5040" w:hanging="360"/>
      </w:pPr>
      <w:rPr>
        <w:rFonts w:ascii="Symbol" w:hAnsi="Symbol" w:hint="default"/>
      </w:rPr>
    </w:lvl>
    <w:lvl w:ilvl="7" w:tplc="BCA6BC5A">
      <w:start w:val="1"/>
      <w:numFmt w:val="bullet"/>
      <w:lvlText w:val="o"/>
      <w:lvlJc w:val="left"/>
      <w:pPr>
        <w:ind w:left="5760" w:hanging="360"/>
      </w:pPr>
      <w:rPr>
        <w:rFonts w:ascii="Courier New" w:hAnsi="Courier New" w:hint="default"/>
      </w:rPr>
    </w:lvl>
    <w:lvl w:ilvl="8" w:tplc="78AA6D3E">
      <w:start w:val="1"/>
      <w:numFmt w:val="bullet"/>
      <w:lvlText w:val=""/>
      <w:lvlJc w:val="left"/>
      <w:pPr>
        <w:ind w:left="6480" w:hanging="360"/>
      </w:pPr>
      <w:rPr>
        <w:rFonts w:ascii="Wingdings" w:hAnsi="Wingdings" w:hint="default"/>
      </w:rPr>
    </w:lvl>
  </w:abstractNum>
  <w:abstractNum w:abstractNumId="38" w15:restartNumberingAfterBreak="0">
    <w:nsid w:val="7EA256CC"/>
    <w:multiLevelType w:val="multilevel"/>
    <w:tmpl w:val="5228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9410104">
    <w:abstractNumId w:val="3"/>
  </w:num>
  <w:num w:numId="2" w16cid:durableId="40323744">
    <w:abstractNumId w:val="5"/>
  </w:num>
  <w:num w:numId="3" w16cid:durableId="188370563">
    <w:abstractNumId w:val="9"/>
  </w:num>
  <w:num w:numId="4" w16cid:durableId="1358117855">
    <w:abstractNumId w:val="28"/>
  </w:num>
  <w:num w:numId="5" w16cid:durableId="4987051">
    <w:abstractNumId w:val="11"/>
  </w:num>
  <w:num w:numId="6" w16cid:durableId="12076908">
    <w:abstractNumId w:val="22"/>
  </w:num>
  <w:num w:numId="7" w16cid:durableId="1231421526">
    <w:abstractNumId w:val="18"/>
  </w:num>
  <w:num w:numId="8" w16cid:durableId="567542853">
    <w:abstractNumId w:val="37"/>
  </w:num>
  <w:num w:numId="9" w16cid:durableId="1031343971">
    <w:abstractNumId w:val="15"/>
  </w:num>
  <w:num w:numId="10" w16cid:durableId="1221013968">
    <w:abstractNumId w:val="33"/>
  </w:num>
  <w:num w:numId="11" w16cid:durableId="1798715600">
    <w:abstractNumId w:val="2"/>
  </w:num>
  <w:num w:numId="12" w16cid:durableId="842550569">
    <w:abstractNumId w:val="0"/>
  </w:num>
  <w:num w:numId="13" w16cid:durableId="103231301">
    <w:abstractNumId w:val="26"/>
  </w:num>
  <w:num w:numId="14" w16cid:durableId="44138100">
    <w:abstractNumId w:val="19"/>
  </w:num>
  <w:num w:numId="15" w16cid:durableId="2117483777">
    <w:abstractNumId w:val="12"/>
  </w:num>
  <w:num w:numId="16" w16cid:durableId="592592949">
    <w:abstractNumId w:val="27"/>
  </w:num>
  <w:num w:numId="17" w16cid:durableId="265893527">
    <w:abstractNumId w:val="32"/>
  </w:num>
  <w:num w:numId="18" w16cid:durableId="1305696187">
    <w:abstractNumId w:val="35"/>
  </w:num>
  <w:num w:numId="19" w16cid:durableId="918905595">
    <w:abstractNumId w:val="7"/>
  </w:num>
  <w:num w:numId="20" w16cid:durableId="475803879">
    <w:abstractNumId w:val="4"/>
  </w:num>
  <w:num w:numId="21" w16cid:durableId="1660502731">
    <w:abstractNumId w:val="21"/>
  </w:num>
  <w:num w:numId="22" w16cid:durableId="1518884116">
    <w:abstractNumId w:val="20"/>
  </w:num>
  <w:num w:numId="23" w16cid:durableId="533546043">
    <w:abstractNumId w:val="10"/>
  </w:num>
  <w:num w:numId="24" w16cid:durableId="269775828">
    <w:abstractNumId w:val="8"/>
  </w:num>
  <w:num w:numId="25" w16cid:durableId="1853449980">
    <w:abstractNumId w:val="23"/>
  </w:num>
  <w:num w:numId="26" w16cid:durableId="1522742850">
    <w:abstractNumId w:val="17"/>
  </w:num>
  <w:num w:numId="27" w16cid:durableId="519978837">
    <w:abstractNumId w:val="13"/>
  </w:num>
  <w:num w:numId="28" w16cid:durableId="1441682809">
    <w:abstractNumId w:val="24"/>
  </w:num>
  <w:num w:numId="29" w16cid:durableId="1086801812">
    <w:abstractNumId w:val="29"/>
  </w:num>
  <w:num w:numId="30" w16cid:durableId="1369643405">
    <w:abstractNumId w:val="34"/>
  </w:num>
  <w:num w:numId="31" w16cid:durableId="1360012593">
    <w:abstractNumId w:val="36"/>
  </w:num>
  <w:num w:numId="32" w16cid:durableId="120655662">
    <w:abstractNumId w:val="38"/>
  </w:num>
  <w:num w:numId="33" w16cid:durableId="1118795502">
    <w:abstractNumId w:val="25"/>
  </w:num>
  <w:num w:numId="34" w16cid:durableId="1845706730">
    <w:abstractNumId w:val="14"/>
  </w:num>
  <w:num w:numId="35" w16cid:durableId="439034576">
    <w:abstractNumId w:val="16"/>
  </w:num>
  <w:num w:numId="36" w16cid:durableId="484510022">
    <w:abstractNumId w:val="31"/>
  </w:num>
  <w:num w:numId="37" w16cid:durableId="698437315">
    <w:abstractNumId w:val="30"/>
  </w:num>
  <w:num w:numId="38" w16cid:durableId="738865181">
    <w:abstractNumId w:val="6"/>
  </w:num>
  <w:num w:numId="39" w16cid:durableId="1562718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C74"/>
    <w:rsid w:val="00002C06"/>
    <w:rsid w:val="00003F04"/>
    <w:rsid w:val="00006E43"/>
    <w:rsid w:val="000075F2"/>
    <w:rsid w:val="0001198E"/>
    <w:rsid w:val="000128A4"/>
    <w:rsid w:val="00013562"/>
    <w:rsid w:val="00014402"/>
    <w:rsid w:val="00015F1C"/>
    <w:rsid w:val="00016015"/>
    <w:rsid w:val="00020FEB"/>
    <w:rsid w:val="00021FA2"/>
    <w:rsid w:val="00023B0A"/>
    <w:rsid w:val="00027864"/>
    <w:rsid w:val="00027990"/>
    <w:rsid w:val="00033AB4"/>
    <w:rsid w:val="000405FC"/>
    <w:rsid w:val="00042C58"/>
    <w:rsid w:val="0004542F"/>
    <w:rsid w:val="0004669A"/>
    <w:rsid w:val="00046F1E"/>
    <w:rsid w:val="000535D7"/>
    <w:rsid w:val="00054331"/>
    <w:rsid w:val="0005447F"/>
    <w:rsid w:val="00060361"/>
    <w:rsid w:val="00060EC0"/>
    <w:rsid w:val="00061EA6"/>
    <w:rsid w:val="0007075A"/>
    <w:rsid w:val="00073A5F"/>
    <w:rsid w:val="00073B34"/>
    <w:rsid w:val="000742CE"/>
    <w:rsid w:val="0007548F"/>
    <w:rsid w:val="00084893"/>
    <w:rsid w:val="00086968"/>
    <w:rsid w:val="00086FA3"/>
    <w:rsid w:val="0008764D"/>
    <w:rsid w:val="00092188"/>
    <w:rsid w:val="00093573"/>
    <w:rsid w:val="000938C2"/>
    <w:rsid w:val="00094588"/>
    <w:rsid w:val="00095380"/>
    <w:rsid w:val="00095449"/>
    <w:rsid w:val="000974CE"/>
    <w:rsid w:val="000A08FC"/>
    <w:rsid w:val="000A2741"/>
    <w:rsid w:val="000A5098"/>
    <w:rsid w:val="000A587C"/>
    <w:rsid w:val="000B3C11"/>
    <w:rsid w:val="000B3D98"/>
    <w:rsid w:val="000B4C85"/>
    <w:rsid w:val="000B5242"/>
    <w:rsid w:val="000B584D"/>
    <w:rsid w:val="000B7B37"/>
    <w:rsid w:val="000B7F64"/>
    <w:rsid w:val="000C4CBE"/>
    <w:rsid w:val="000C7838"/>
    <w:rsid w:val="000D089C"/>
    <w:rsid w:val="000D61BC"/>
    <w:rsid w:val="000D7FF4"/>
    <w:rsid w:val="000E0751"/>
    <w:rsid w:val="000E0F1B"/>
    <w:rsid w:val="000E1406"/>
    <w:rsid w:val="000E236D"/>
    <w:rsid w:val="000E3088"/>
    <w:rsid w:val="000E341C"/>
    <w:rsid w:val="000E3AFC"/>
    <w:rsid w:val="000E3B7B"/>
    <w:rsid w:val="000E4988"/>
    <w:rsid w:val="000E52E1"/>
    <w:rsid w:val="000E5339"/>
    <w:rsid w:val="000E7149"/>
    <w:rsid w:val="000F0D22"/>
    <w:rsid w:val="000F1664"/>
    <w:rsid w:val="000F4C93"/>
    <w:rsid w:val="000F4D0C"/>
    <w:rsid w:val="000F5148"/>
    <w:rsid w:val="000F6B29"/>
    <w:rsid w:val="001050C3"/>
    <w:rsid w:val="00106270"/>
    <w:rsid w:val="001064C9"/>
    <w:rsid w:val="001104ED"/>
    <w:rsid w:val="00110C08"/>
    <w:rsid w:val="00123FA1"/>
    <w:rsid w:val="0012546E"/>
    <w:rsid w:val="0012686D"/>
    <w:rsid w:val="0012740D"/>
    <w:rsid w:val="00131DE4"/>
    <w:rsid w:val="0013366A"/>
    <w:rsid w:val="00134EA2"/>
    <w:rsid w:val="00136F97"/>
    <w:rsid w:val="00143CF6"/>
    <w:rsid w:val="0014648C"/>
    <w:rsid w:val="00147D49"/>
    <w:rsid w:val="00150785"/>
    <w:rsid w:val="00150C86"/>
    <w:rsid w:val="001546C5"/>
    <w:rsid w:val="001558BD"/>
    <w:rsid w:val="00157168"/>
    <w:rsid w:val="0016081D"/>
    <w:rsid w:val="00161479"/>
    <w:rsid w:val="001644E7"/>
    <w:rsid w:val="0017033C"/>
    <w:rsid w:val="0017038E"/>
    <w:rsid w:val="0017147F"/>
    <w:rsid w:val="00171E4D"/>
    <w:rsid w:val="00174E54"/>
    <w:rsid w:val="001752EC"/>
    <w:rsid w:val="00180D80"/>
    <w:rsid w:val="00186BA5"/>
    <w:rsid w:val="00186E76"/>
    <w:rsid w:val="00192F6D"/>
    <w:rsid w:val="0019332E"/>
    <w:rsid w:val="0019466C"/>
    <w:rsid w:val="001A2076"/>
    <w:rsid w:val="001A2AED"/>
    <w:rsid w:val="001A2D66"/>
    <w:rsid w:val="001A4E94"/>
    <w:rsid w:val="001A4EB7"/>
    <w:rsid w:val="001B00E2"/>
    <w:rsid w:val="001B6645"/>
    <w:rsid w:val="001C1D2B"/>
    <w:rsid w:val="001C31D0"/>
    <w:rsid w:val="001C460A"/>
    <w:rsid w:val="001C5242"/>
    <w:rsid w:val="001C7154"/>
    <w:rsid w:val="001D027F"/>
    <w:rsid w:val="001D4D10"/>
    <w:rsid w:val="001E09C8"/>
    <w:rsid w:val="001E11A2"/>
    <w:rsid w:val="001E2F5D"/>
    <w:rsid w:val="001E312D"/>
    <w:rsid w:val="001E6154"/>
    <w:rsid w:val="001E773C"/>
    <w:rsid w:val="001F04D3"/>
    <w:rsid w:val="001F1004"/>
    <w:rsid w:val="001F426E"/>
    <w:rsid w:val="001F5F12"/>
    <w:rsid w:val="00201A61"/>
    <w:rsid w:val="00202E98"/>
    <w:rsid w:val="00203670"/>
    <w:rsid w:val="00204482"/>
    <w:rsid w:val="00205373"/>
    <w:rsid w:val="00212581"/>
    <w:rsid w:val="002159B6"/>
    <w:rsid w:val="00221C24"/>
    <w:rsid w:val="00222E51"/>
    <w:rsid w:val="00223C21"/>
    <w:rsid w:val="00227DAA"/>
    <w:rsid w:val="00230521"/>
    <w:rsid w:val="0023073B"/>
    <w:rsid w:val="00233F9A"/>
    <w:rsid w:val="00235DE0"/>
    <w:rsid w:val="002361A9"/>
    <w:rsid w:val="002369DE"/>
    <w:rsid w:val="0024006E"/>
    <w:rsid w:val="0024099C"/>
    <w:rsid w:val="0024260D"/>
    <w:rsid w:val="00245AB1"/>
    <w:rsid w:val="00245D85"/>
    <w:rsid w:val="002537BA"/>
    <w:rsid w:val="002603AC"/>
    <w:rsid w:val="00261178"/>
    <w:rsid w:val="002638E0"/>
    <w:rsid w:val="00264A8D"/>
    <w:rsid w:val="002671AD"/>
    <w:rsid w:val="00271FE9"/>
    <w:rsid w:val="002742E7"/>
    <w:rsid w:val="002823DC"/>
    <w:rsid w:val="00283DC2"/>
    <w:rsid w:val="00285437"/>
    <w:rsid w:val="00286D68"/>
    <w:rsid w:val="002948AF"/>
    <w:rsid w:val="00296E06"/>
    <w:rsid w:val="002A05DC"/>
    <w:rsid w:val="002A3182"/>
    <w:rsid w:val="002A400B"/>
    <w:rsid w:val="002A4B92"/>
    <w:rsid w:val="002A5620"/>
    <w:rsid w:val="002A58CE"/>
    <w:rsid w:val="002A6F97"/>
    <w:rsid w:val="002A7057"/>
    <w:rsid w:val="002B4129"/>
    <w:rsid w:val="002B4603"/>
    <w:rsid w:val="002B6769"/>
    <w:rsid w:val="002B6E82"/>
    <w:rsid w:val="002C0748"/>
    <w:rsid w:val="002C0FD1"/>
    <w:rsid w:val="002C2808"/>
    <w:rsid w:val="002C4F48"/>
    <w:rsid w:val="002C7E16"/>
    <w:rsid w:val="002D466B"/>
    <w:rsid w:val="002D5FD9"/>
    <w:rsid w:val="002D73A7"/>
    <w:rsid w:val="002E4267"/>
    <w:rsid w:val="002E4480"/>
    <w:rsid w:val="002E7484"/>
    <w:rsid w:val="002E7AF9"/>
    <w:rsid w:val="002E7CDB"/>
    <w:rsid w:val="002F5149"/>
    <w:rsid w:val="00300527"/>
    <w:rsid w:val="00300BF2"/>
    <w:rsid w:val="00300F09"/>
    <w:rsid w:val="00301299"/>
    <w:rsid w:val="003035C9"/>
    <w:rsid w:val="00304B75"/>
    <w:rsid w:val="00305AB5"/>
    <w:rsid w:val="003070E9"/>
    <w:rsid w:val="003078A6"/>
    <w:rsid w:val="00311092"/>
    <w:rsid w:val="0031205D"/>
    <w:rsid w:val="003136B4"/>
    <w:rsid w:val="00313B34"/>
    <w:rsid w:val="00314685"/>
    <w:rsid w:val="00321928"/>
    <w:rsid w:val="003230BD"/>
    <w:rsid w:val="00323278"/>
    <w:rsid w:val="00323C9A"/>
    <w:rsid w:val="00324241"/>
    <w:rsid w:val="00324D41"/>
    <w:rsid w:val="00324EDD"/>
    <w:rsid w:val="00330935"/>
    <w:rsid w:val="00331E82"/>
    <w:rsid w:val="003359B9"/>
    <w:rsid w:val="00337AD3"/>
    <w:rsid w:val="00337E35"/>
    <w:rsid w:val="003408ED"/>
    <w:rsid w:val="003412A2"/>
    <w:rsid w:val="00341A0B"/>
    <w:rsid w:val="00341D9D"/>
    <w:rsid w:val="003446A2"/>
    <w:rsid w:val="003463A1"/>
    <w:rsid w:val="00351D32"/>
    <w:rsid w:val="0035209A"/>
    <w:rsid w:val="00352817"/>
    <w:rsid w:val="00357030"/>
    <w:rsid w:val="0036771E"/>
    <w:rsid w:val="003728D0"/>
    <w:rsid w:val="00372BD2"/>
    <w:rsid w:val="0037417D"/>
    <w:rsid w:val="003769F5"/>
    <w:rsid w:val="00377D78"/>
    <w:rsid w:val="00381D28"/>
    <w:rsid w:val="00383388"/>
    <w:rsid w:val="00384FAC"/>
    <w:rsid w:val="00385A4F"/>
    <w:rsid w:val="00387A1F"/>
    <w:rsid w:val="00387A21"/>
    <w:rsid w:val="003934FA"/>
    <w:rsid w:val="003942F2"/>
    <w:rsid w:val="00395053"/>
    <w:rsid w:val="003A02C3"/>
    <w:rsid w:val="003A05B1"/>
    <w:rsid w:val="003A1D7B"/>
    <w:rsid w:val="003A306C"/>
    <w:rsid w:val="003A39C6"/>
    <w:rsid w:val="003A7149"/>
    <w:rsid w:val="003B1304"/>
    <w:rsid w:val="003B1BD0"/>
    <w:rsid w:val="003B27EC"/>
    <w:rsid w:val="003B29C6"/>
    <w:rsid w:val="003B2E1B"/>
    <w:rsid w:val="003B3FDA"/>
    <w:rsid w:val="003B54AA"/>
    <w:rsid w:val="003B63D2"/>
    <w:rsid w:val="003B7BDE"/>
    <w:rsid w:val="003C0CFF"/>
    <w:rsid w:val="003C27FA"/>
    <w:rsid w:val="003C77D3"/>
    <w:rsid w:val="003D03B7"/>
    <w:rsid w:val="003D05E8"/>
    <w:rsid w:val="003D13D5"/>
    <w:rsid w:val="003D19C4"/>
    <w:rsid w:val="003D2B3C"/>
    <w:rsid w:val="003E0160"/>
    <w:rsid w:val="003E1044"/>
    <w:rsid w:val="003E15E3"/>
    <w:rsid w:val="003E27C0"/>
    <w:rsid w:val="003E4CC7"/>
    <w:rsid w:val="003E6D34"/>
    <w:rsid w:val="003E7B9E"/>
    <w:rsid w:val="003F05A2"/>
    <w:rsid w:val="003F2D35"/>
    <w:rsid w:val="003F46AE"/>
    <w:rsid w:val="00400DC7"/>
    <w:rsid w:val="004036C0"/>
    <w:rsid w:val="004128A3"/>
    <w:rsid w:val="00413B93"/>
    <w:rsid w:val="00415609"/>
    <w:rsid w:val="00416118"/>
    <w:rsid w:val="0041791A"/>
    <w:rsid w:val="00421957"/>
    <w:rsid w:val="0042282B"/>
    <w:rsid w:val="0042436C"/>
    <w:rsid w:val="00424C07"/>
    <w:rsid w:val="004254FC"/>
    <w:rsid w:val="0042655E"/>
    <w:rsid w:val="00433E4C"/>
    <w:rsid w:val="0043406D"/>
    <w:rsid w:val="00435231"/>
    <w:rsid w:val="004365C9"/>
    <w:rsid w:val="00446528"/>
    <w:rsid w:val="00447FE5"/>
    <w:rsid w:val="004501FD"/>
    <w:rsid w:val="004525C6"/>
    <w:rsid w:val="00454018"/>
    <w:rsid w:val="004545F0"/>
    <w:rsid w:val="0046153F"/>
    <w:rsid w:val="004615CD"/>
    <w:rsid w:val="004616D7"/>
    <w:rsid w:val="004621AC"/>
    <w:rsid w:val="00465911"/>
    <w:rsid w:val="00467EB2"/>
    <w:rsid w:val="004717B5"/>
    <w:rsid w:val="0047307E"/>
    <w:rsid w:val="0047504B"/>
    <w:rsid w:val="0047B616"/>
    <w:rsid w:val="00480C5D"/>
    <w:rsid w:val="004811A9"/>
    <w:rsid w:val="004846B1"/>
    <w:rsid w:val="00485EA7"/>
    <w:rsid w:val="004865E1"/>
    <w:rsid w:val="004874E1"/>
    <w:rsid w:val="00493587"/>
    <w:rsid w:val="00493D03"/>
    <w:rsid w:val="00494982"/>
    <w:rsid w:val="00494B34"/>
    <w:rsid w:val="00497604"/>
    <w:rsid w:val="00497BDE"/>
    <w:rsid w:val="004A13D7"/>
    <w:rsid w:val="004A19BE"/>
    <w:rsid w:val="004A1C27"/>
    <w:rsid w:val="004A1DAB"/>
    <w:rsid w:val="004A2E78"/>
    <w:rsid w:val="004A7619"/>
    <w:rsid w:val="004A761B"/>
    <w:rsid w:val="004B10EE"/>
    <w:rsid w:val="004B2725"/>
    <w:rsid w:val="004B2B83"/>
    <w:rsid w:val="004C1FA6"/>
    <w:rsid w:val="004C20EA"/>
    <w:rsid w:val="004C3818"/>
    <w:rsid w:val="004C66D6"/>
    <w:rsid w:val="004D041D"/>
    <w:rsid w:val="004D247D"/>
    <w:rsid w:val="004D37CF"/>
    <w:rsid w:val="004D6987"/>
    <w:rsid w:val="004D6BA6"/>
    <w:rsid w:val="004D7046"/>
    <w:rsid w:val="004E13C5"/>
    <w:rsid w:val="004E1EBF"/>
    <w:rsid w:val="004E2E7C"/>
    <w:rsid w:val="004E520E"/>
    <w:rsid w:val="004E52CC"/>
    <w:rsid w:val="004E624C"/>
    <w:rsid w:val="004F1444"/>
    <w:rsid w:val="004F3614"/>
    <w:rsid w:val="004F47AE"/>
    <w:rsid w:val="004F56F7"/>
    <w:rsid w:val="004F6722"/>
    <w:rsid w:val="004F7CB8"/>
    <w:rsid w:val="00500978"/>
    <w:rsid w:val="00501008"/>
    <w:rsid w:val="0050456F"/>
    <w:rsid w:val="0051091A"/>
    <w:rsid w:val="00511328"/>
    <w:rsid w:val="00511624"/>
    <w:rsid w:val="00513D80"/>
    <w:rsid w:val="00517546"/>
    <w:rsid w:val="00520B8B"/>
    <w:rsid w:val="0052251F"/>
    <w:rsid w:val="00522C55"/>
    <w:rsid w:val="00525435"/>
    <w:rsid w:val="00525B62"/>
    <w:rsid w:val="00530526"/>
    <w:rsid w:val="00531677"/>
    <w:rsid w:val="00534A97"/>
    <w:rsid w:val="005356C3"/>
    <w:rsid w:val="005416D3"/>
    <w:rsid w:val="00541DA7"/>
    <w:rsid w:val="0055482C"/>
    <w:rsid w:val="005548BF"/>
    <w:rsid w:val="00555266"/>
    <w:rsid w:val="005621D7"/>
    <w:rsid w:val="00570FFB"/>
    <w:rsid w:val="00572AA5"/>
    <w:rsid w:val="00576E7B"/>
    <w:rsid w:val="00582110"/>
    <w:rsid w:val="005825D0"/>
    <w:rsid w:val="00583F0C"/>
    <w:rsid w:val="00584107"/>
    <w:rsid w:val="00585C11"/>
    <w:rsid w:val="00587E09"/>
    <w:rsid w:val="00592D98"/>
    <w:rsid w:val="005958A6"/>
    <w:rsid w:val="00596EC4"/>
    <w:rsid w:val="005A09D1"/>
    <w:rsid w:val="005A25F6"/>
    <w:rsid w:val="005A314E"/>
    <w:rsid w:val="005A4687"/>
    <w:rsid w:val="005A5167"/>
    <w:rsid w:val="005B08D0"/>
    <w:rsid w:val="005B2B1A"/>
    <w:rsid w:val="005B4DE7"/>
    <w:rsid w:val="005B557A"/>
    <w:rsid w:val="005B5AA0"/>
    <w:rsid w:val="005B7716"/>
    <w:rsid w:val="005C30F9"/>
    <w:rsid w:val="005C3A92"/>
    <w:rsid w:val="005C57F2"/>
    <w:rsid w:val="005C7CFF"/>
    <w:rsid w:val="005D02BD"/>
    <w:rsid w:val="005D05C2"/>
    <w:rsid w:val="005D1A2B"/>
    <w:rsid w:val="005D1EEB"/>
    <w:rsid w:val="005D38E0"/>
    <w:rsid w:val="005D3C04"/>
    <w:rsid w:val="005D62C6"/>
    <w:rsid w:val="005D71C5"/>
    <w:rsid w:val="005D7944"/>
    <w:rsid w:val="005D7F9D"/>
    <w:rsid w:val="005E0BC9"/>
    <w:rsid w:val="005E275C"/>
    <w:rsid w:val="005E2E64"/>
    <w:rsid w:val="005E44B1"/>
    <w:rsid w:val="005E4F7B"/>
    <w:rsid w:val="005F04FF"/>
    <w:rsid w:val="005F7FAD"/>
    <w:rsid w:val="00600C38"/>
    <w:rsid w:val="00603042"/>
    <w:rsid w:val="006033DA"/>
    <w:rsid w:val="00606634"/>
    <w:rsid w:val="00606BD7"/>
    <w:rsid w:val="0061158A"/>
    <w:rsid w:val="0061183E"/>
    <w:rsid w:val="00611899"/>
    <w:rsid w:val="006132F9"/>
    <w:rsid w:val="00617035"/>
    <w:rsid w:val="00620958"/>
    <w:rsid w:val="00620D68"/>
    <w:rsid w:val="00625152"/>
    <w:rsid w:val="00625A07"/>
    <w:rsid w:val="00626D44"/>
    <w:rsid w:val="0063006F"/>
    <w:rsid w:val="00631587"/>
    <w:rsid w:val="00633EB7"/>
    <w:rsid w:val="00634D30"/>
    <w:rsid w:val="00634EF1"/>
    <w:rsid w:val="00634F42"/>
    <w:rsid w:val="006377CE"/>
    <w:rsid w:val="00643991"/>
    <w:rsid w:val="006443BB"/>
    <w:rsid w:val="00644B13"/>
    <w:rsid w:val="00645105"/>
    <w:rsid w:val="00646BEF"/>
    <w:rsid w:val="006479CA"/>
    <w:rsid w:val="00647B3D"/>
    <w:rsid w:val="006507FB"/>
    <w:rsid w:val="00652B81"/>
    <w:rsid w:val="006561F7"/>
    <w:rsid w:val="00657308"/>
    <w:rsid w:val="00660E44"/>
    <w:rsid w:val="0066298F"/>
    <w:rsid w:val="00664385"/>
    <w:rsid w:val="00664834"/>
    <w:rsid w:val="0066554A"/>
    <w:rsid w:val="006679A8"/>
    <w:rsid w:val="00670652"/>
    <w:rsid w:val="0067221E"/>
    <w:rsid w:val="00672539"/>
    <w:rsid w:val="00673D9E"/>
    <w:rsid w:val="00674129"/>
    <w:rsid w:val="00674435"/>
    <w:rsid w:val="00675483"/>
    <w:rsid w:val="006756F3"/>
    <w:rsid w:val="0068544C"/>
    <w:rsid w:val="00686035"/>
    <w:rsid w:val="00686421"/>
    <w:rsid w:val="0069150D"/>
    <w:rsid w:val="006917C4"/>
    <w:rsid w:val="006961A7"/>
    <w:rsid w:val="006A2F05"/>
    <w:rsid w:val="006A3CC0"/>
    <w:rsid w:val="006A47C9"/>
    <w:rsid w:val="006A657E"/>
    <w:rsid w:val="006B190C"/>
    <w:rsid w:val="006B51FF"/>
    <w:rsid w:val="006B641E"/>
    <w:rsid w:val="006C0038"/>
    <w:rsid w:val="006D1DF2"/>
    <w:rsid w:val="006D1F0E"/>
    <w:rsid w:val="006D40A9"/>
    <w:rsid w:val="006D43A1"/>
    <w:rsid w:val="006D44EA"/>
    <w:rsid w:val="006D7258"/>
    <w:rsid w:val="006E5C7B"/>
    <w:rsid w:val="006E6088"/>
    <w:rsid w:val="006F0662"/>
    <w:rsid w:val="006F0FD3"/>
    <w:rsid w:val="006F24D8"/>
    <w:rsid w:val="00702F2B"/>
    <w:rsid w:val="00703C43"/>
    <w:rsid w:val="007054A6"/>
    <w:rsid w:val="0070572E"/>
    <w:rsid w:val="00707C55"/>
    <w:rsid w:val="0071202D"/>
    <w:rsid w:val="0071282E"/>
    <w:rsid w:val="00712A24"/>
    <w:rsid w:val="00714CBC"/>
    <w:rsid w:val="00715258"/>
    <w:rsid w:val="00715972"/>
    <w:rsid w:val="00715FD9"/>
    <w:rsid w:val="00716FBA"/>
    <w:rsid w:val="00717AE8"/>
    <w:rsid w:val="0072220C"/>
    <w:rsid w:val="007232CA"/>
    <w:rsid w:val="0072492D"/>
    <w:rsid w:val="007249BF"/>
    <w:rsid w:val="00724D21"/>
    <w:rsid w:val="0072677B"/>
    <w:rsid w:val="0073001C"/>
    <w:rsid w:val="007321B3"/>
    <w:rsid w:val="00734552"/>
    <w:rsid w:val="0073485D"/>
    <w:rsid w:val="00746710"/>
    <w:rsid w:val="00747653"/>
    <w:rsid w:val="0075047F"/>
    <w:rsid w:val="007507F5"/>
    <w:rsid w:val="00750DBB"/>
    <w:rsid w:val="0075286B"/>
    <w:rsid w:val="00752E06"/>
    <w:rsid w:val="0075654E"/>
    <w:rsid w:val="007628B6"/>
    <w:rsid w:val="007736CB"/>
    <w:rsid w:val="0077461D"/>
    <w:rsid w:val="00775EFE"/>
    <w:rsid w:val="00782933"/>
    <w:rsid w:val="00784B02"/>
    <w:rsid w:val="00786111"/>
    <w:rsid w:val="007861CC"/>
    <w:rsid w:val="00790976"/>
    <w:rsid w:val="00790DF5"/>
    <w:rsid w:val="007919D9"/>
    <w:rsid w:val="00791B47"/>
    <w:rsid w:val="0079329C"/>
    <w:rsid w:val="00793555"/>
    <w:rsid w:val="007942C1"/>
    <w:rsid w:val="00794ED1"/>
    <w:rsid w:val="00795E41"/>
    <w:rsid w:val="0079779E"/>
    <w:rsid w:val="007A406C"/>
    <w:rsid w:val="007A4DC7"/>
    <w:rsid w:val="007B06F0"/>
    <w:rsid w:val="007B11B6"/>
    <w:rsid w:val="007B268C"/>
    <w:rsid w:val="007B48DF"/>
    <w:rsid w:val="007B6C4C"/>
    <w:rsid w:val="007C336E"/>
    <w:rsid w:val="007C343A"/>
    <w:rsid w:val="007C7259"/>
    <w:rsid w:val="007C7D3D"/>
    <w:rsid w:val="007D2FCC"/>
    <w:rsid w:val="007D4987"/>
    <w:rsid w:val="007E3960"/>
    <w:rsid w:val="008027AA"/>
    <w:rsid w:val="00805AC3"/>
    <w:rsid w:val="008109AE"/>
    <w:rsid w:val="0081129F"/>
    <w:rsid w:val="008127C7"/>
    <w:rsid w:val="00822CC7"/>
    <w:rsid w:val="00823B21"/>
    <w:rsid w:val="00824361"/>
    <w:rsid w:val="008245BE"/>
    <w:rsid w:val="00824B5D"/>
    <w:rsid w:val="0082554D"/>
    <w:rsid w:val="00830F15"/>
    <w:rsid w:val="00832335"/>
    <w:rsid w:val="00834E86"/>
    <w:rsid w:val="00835E3B"/>
    <w:rsid w:val="008405AD"/>
    <w:rsid w:val="008407F1"/>
    <w:rsid w:val="00840B45"/>
    <w:rsid w:val="00841D96"/>
    <w:rsid w:val="00842BE2"/>
    <w:rsid w:val="008455A8"/>
    <w:rsid w:val="008530BA"/>
    <w:rsid w:val="0085335B"/>
    <w:rsid w:val="00863475"/>
    <w:rsid w:val="008637B7"/>
    <w:rsid w:val="008650D1"/>
    <w:rsid w:val="008664D2"/>
    <w:rsid w:val="00866916"/>
    <w:rsid w:val="00866EB5"/>
    <w:rsid w:val="0087283B"/>
    <w:rsid w:val="0088474F"/>
    <w:rsid w:val="00886DA6"/>
    <w:rsid w:val="00890915"/>
    <w:rsid w:val="00894E97"/>
    <w:rsid w:val="008A0361"/>
    <w:rsid w:val="008A2CEF"/>
    <w:rsid w:val="008A48D8"/>
    <w:rsid w:val="008A5543"/>
    <w:rsid w:val="008A6EF7"/>
    <w:rsid w:val="008C1BF2"/>
    <w:rsid w:val="008C26FA"/>
    <w:rsid w:val="008C28EC"/>
    <w:rsid w:val="008C32E7"/>
    <w:rsid w:val="008C43AF"/>
    <w:rsid w:val="008C47D2"/>
    <w:rsid w:val="008C58C6"/>
    <w:rsid w:val="008C633F"/>
    <w:rsid w:val="008C69EA"/>
    <w:rsid w:val="008D1167"/>
    <w:rsid w:val="008D123D"/>
    <w:rsid w:val="008D133B"/>
    <w:rsid w:val="008D57CD"/>
    <w:rsid w:val="008E0052"/>
    <w:rsid w:val="008E05B9"/>
    <w:rsid w:val="008E715A"/>
    <w:rsid w:val="008F3AAB"/>
    <w:rsid w:val="009011F1"/>
    <w:rsid w:val="00910CCC"/>
    <w:rsid w:val="00921C21"/>
    <w:rsid w:val="00922F22"/>
    <w:rsid w:val="00922FC7"/>
    <w:rsid w:val="00926E68"/>
    <w:rsid w:val="00927A89"/>
    <w:rsid w:val="00930E90"/>
    <w:rsid w:val="00930E93"/>
    <w:rsid w:val="00932C42"/>
    <w:rsid w:val="00934AF8"/>
    <w:rsid w:val="0093614C"/>
    <w:rsid w:val="009366D1"/>
    <w:rsid w:val="00947902"/>
    <w:rsid w:val="009518E3"/>
    <w:rsid w:val="00951AA0"/>
    <w:rsid w:val="009545B4"/>
    <w:rsid w:val="00960384"/>
    <w:rsid w:val="00962427"/>
    <w:rsid w:val="00962E5F"/>
    <w:rsid w:val="00963E09"/>
    <w:rsid w:val="009645EE"/>
    <w:rsid w:val="00964CF5"/>
    <w:rsid w:val="00967E60"/>
    <w:rsid w:val="0097384C"/>
    <w:rsid w:val="0097444C"/>
    <w:rsid w:val="00976240"/>
    <w:rsid w:val="009849D2"/>
    <w:rsid w:val="0099280D"/>
    <w:rsid w:val="00995353"/>
    <w:rsid w:val="009A08F2"/>
    <w:rsid w:val="009A15EC"/>
    <w:rsid w:val="009A210D"/>
    <w:rsid w:val="009A2942"/>
    <w:rsid w:val="009A3922"/>
    <w:rsid w:val="009A632B"/>
    <w:rsid w:val="009B0EC0"/>
    <w:rsid w:val="009B1A0F"/>
    <w:rsid w:val="009B2512"/>
    <w:rsid w:val="009B45C0"/>
    <w:rsid w:val="009C054F"/>
    <w:rsid w:val="009C07A1"/>
    <w:rsid w:val="009C21F1"/>
    <w:rsid w:val="009C26BD"/>
    <w:rsid w:val="009C7A1D"/>
    <w:rsid w:val="009D10E4"/>
    <w:rsid w:val="009D142C"/>
    <w:rsid w:val="009D23FB"/>
    <w:rsid w:val="009D432E"/>
    <w:rsid w:val="009D6763"/>
    <w:rsid w:val="009D6DE7"/>
    <w:rsid w:val="009D78BE"/>
    <w:rsid w:val="009E2A84"/>
    <w:rsid w:val="009E6189"/>
    <w:rsid w:val="009E7205"/>
    <w:rsid w:val="009F3A59"/>
    <w:rsid w:val="009F59A8"/>
    <w:rsid w:val="009F711C"/>
    <w:rsid w:val="009F7D80"/>
    <w:rsid w:val="00A00FB3"/>
    <w:rsid w:val="00A047EC"/>
    <w:rsid w:val="00A069E0"/>
    <w:rsid w:val="00A114E1"/>
    <w:rsid w:val="00A117D9"/>
    <w:rsid w:val="00A12597"/>
    <w:rsid w:val="00A13045"/>
    <w:rsid w:val="00A164FC"/>
    <w:rsid w:val="00A20A90"/>
    <w:rsid w:val="00A24327"/>
    <w:rsid w:val="00A24814"/>
    <w:rsid w:val="00A249A7"/>
    <w:rsid w:val="00A25146"/>
    <w:rsid w:val="00A327AF"/>
    <w:rsid w:val="00A33F0B"/>
    <w:rsid w:val="00A343A9"/>
    <w:rsid w:val="00A35280"/>
    <w:rsid w:val="00A3715F"/>
    <w:rsid w:val="00A37F6D"/>
    <w:rsid w:val="00A438E8"/>
    <w:rsid w:val="00A44502"/>
    <w:rsid w:val="00A44F9C"/>
    <w:rsid w:val="00A45D19"/>
    <w:rsid w:val="00A607ED"/>
    <w:rsid w:val="00A73052"/>
    <w:rsid w:val="00A73656"/>
    <w:rsid w:val="00A74B95"/>
    <w:rsid w:val="00A75555"/>
    <w:rsid w:val="00A75F2C"/>
    <w:rsid w:val="00A76016"/>
    <w:rsid w:val="00A760D8"/>
    <w:rsid w:val="00A90402"/>
    <w:rsid w:val="00A92DBF"/>
    <w:rsid w:val="00A93FE4"/>
    <w:rsid w:val="00A95244"/>
    <w:rsid w:val="00AA0638"/>
    <w:rsid w:val="00AA2993"/>
    <w:rsid w:val="00AB185D"/>
    <w:rsid w:val="00AB2938"/>
    <w:rsid w:val="00AB4468"/>
    <w:rsid w:val="00AB559E"/>
    <w:rsid w:val="00AB5887"/>
    <w:rsid w:val="00AB739C"/>
    <w:rsid w:val="00AC5DCE"/>
    <w:rsid w:val="00AC73DF"/>
    <w:rsid w:val="00AD4B53"/>
    <w:rsid w:val="00AD65FD"/>
    <w:rsid w:val="00AD773C"/>
    <w:rsid w:val="00AE0419"/>
    <w:rsid w:val="00AE0F5E"/>
    <w:rsid w:val="00AE1D04"/>
    <w:rsid w:val="00AE2A21"/>
    <w:rsid w:val="00AE56A3"/>
    <w:rsid w:val="00AE59FD"/>
    <w:rsid w:val="00AF21D2"/>
    <w:rsid w:val="00AF4BAA"/>
    <w:rsid w:val="00AF57C1"/>
    <w:rsid w:val="00B00E20"/>
    <w:rsid w:val="00B020C0"/>
    <w:rsid w:val="00B02D04"/>
    <w:rsid w:val="00B12DFB"/>
    <w:rsid w:val="00B13921"/>
    <w:rsid w:val="00B14C99"/>
    <w:rsid w:val="00B16B45"/>
    <w:rsid w:val="00B17655"/>
    <w:rsid w:val="00B2501F"/>
    <w:rsid w:val="00B25D24"/>
    <w:rsid w:val="00B26A45"/>
    <w:rsid w:val="00B27751"/>
    <w:rsid w:val="00B343CE"/>
    <w:rsid w:val="00B344E4"/>
    <w:rsid w:val="00B37387"/>
    <w:rsid w:val="00B40F5E"/>
    <w:rsid w:val="00B43598"/>
    <w:rsid w:val="00B439E7"/>
    <w:rsid w:val="00B44170"/>
    <w:rsid w:val="00B57D6C"/>
    <w:rsid w:val="00B60559"/>
    <w:rsid w:val="00B63FE5"/>
    <w:rsid w:val="00B64B6F"/>
    <w:rsid w:val="00B70800"/>
    <w:rsid w:val="00B724D2"/>
    <w:rsid w:val="00B73CB9"/>
    <w:rsid w:val="00B7481B"/>
    <w:rsid w:val="00B77107"/>
    <w:rsid w:val="00B7727A"/>
    <w:rsid w:val="00B83666"/>
    <w:rsid w:val="00B868D3"/>
    <w:rsid w:val="00B87DD9"/>
    <w:rsid w:val="00B92638"/>
    <w:rsid w:val="00B97413"/>
    <w:rsid w:val="00BA1BDD"/>
    <w:rsid w:val="00BA4DAA"/>
    <w:rsid w:val="00BA588E"/>
    <w:rsid w:val="00BA6FC7"/>
    <w:rsid w:val="00BB0562"/>
    <w:rsid w:val="00BB2DE8"/>
    <w:rsid w:val="00BB4B11"/>
    <w:rsid w:val="00BC095A"/>
    <w:rsid w:val="00BC1B17"/>
    <w:rsid w:val="00BC1CE1"/>
    <w:rsid w:val="00BC238A"/>
    <w:rsid w:val="00BC3F3F"/>
    <w:rsid w:val="00BC4F4A"/>
    <w:rsid w:val="00BC740B"/>
    <w:rsid w:val="00BD4506"/>
    <w:rsid w:val="00BD6BD2"/>
    <w:rsid w:val="00BE3FBC"/>
    <w:rsid w:val="00BE403D"/>
    <w:rsid w:val="00BF2A93"/>
    <w:rsid w:val="00BF3A1E"/>
    <w:rsid w:val="00BF3E62"/>
    <w:rsid w:val="00BF5DCF"/>
    <w:rsid w:val="00BF7C7E"/>
    <w:rsid w:val="00C0004A"/>
    <w:rsid w:val="00C008F0"/>
    <w:rsid w:val="00C00D4B"/>
    <w:rsid w:val="00C01E00"/>
    <w:rsid w:val="00C04EF5"/>
    <w:rsid w:val="00C07607"/>
    <w:rsid w:val="00C138BF"/>
    <w:rsid w:val="00C15DAC"/>
    <w:rsid w:val="00C16944"/>
    <w:rsid w:val="00C172D4"/>
    <w:rsid w:val="00C20331"/>
    <w:rsid w:val="00C20C8A"/>
    <w:rsid w:val="00C238FF"/>
    <w:rsid w:val="00C377DF"/>
    <w:rsid w:val="00C37BFD"/>
    <w:rsid w:val="00C40768"/>
    <w:rsid w:val="00C40A6A"/>
    <w:rsid w:val="00C421AE"/>
    <w:rsid w:val="00C427AA"/>
    <w:rsid w:val="00C43151"/>
    <w:rsid w:val="00C44C70"/>
    <w:rsid w:val="00C45349"/>
    <w:rsid w:val="00C47AD6"/>
    <w:rsid w:val="00C5261A"/>
    <w:rsid w:val="00C5367E"/>
    <w:rsid w:val="00C53BA7"/>
    <w:rsid w:val="00C565E5"/>
    <w:rsid w:val="00C57BD5"/>
    <w:rsid w:val="00C675BB"/>
    <w:rsid w:val="00C71355"/>
    <w:rsid w:val="00C716E8"/>
    <w:rsid w:val="00C73260"/>
    <w:rsid w:val="00C80CB2"/>
    <w:rsid w:val="00C85708"/>
    <w:rsid w:val="00C87037"/>
    <w:rsid w:val="00C870D1"/>
    <w:rsid w:val="00C920A0"/>
    <w:rsid w:val="00C9239C"/>
    <w:rsid w:val="00C957CD"/>
    <w:rsid w:val="00C95DC3"/>
    <w:rsid w:val="00C968AD"/>
    <w:rsid w:val="00CA0224"/>
    <w:rsid w:val="00CA1867"/>
    <w:rsid w:val="00CA219F"/>
    <w:rsid w:val="00CA3689"/>
    <w:rsid w:val="00CA43C0"/>
    <w:rsid w:val="00CA513F"/>
    <w:rsid w:val="00CA5A07"/>
    <w:rsid w:val="00CA5F1C"/>
    <w:rsid w:val="00CA6FF0"/>
    <w:rsid w:val="00CB38B6"/>
    <w:rsid w:val="00CB4E49"/>
    <w:rsid w:val="00CB5D0D"/>
    <w:rsid w:val="00CC0782"/>
    <w:rsid w:val="00CC3519"/>
    <w:rsid w:val="00CD63BF"/>
    <w:rsid w:val="00CE0F50"/>
    <w:rsid w:val="00CE1449"/>
    <w:rsid w:val="00CE51D4"/>
    <w:rsid w:val="00CE594D"/>
    <w:rsid w:val="00CE633C"/>
    <w:rsid w:val="00CE72D4"/>
    <w:rsid w:val="00CF1487"/>
    <w:rsid w:val="00CF18E6"/>
    <w:rsid w:val="00CF7D6F"/>
    <w:rsid w:val="00D012F0"/>
    <w:rsid w:val="00D03014"/>
    <w:rsid w:val="00D039C3"/>
    <w:rsid w:val="00D0689E"/>
    <w:rsid w:val="00D07EB7"/>
    <w:rsid w:val="00D10FB0"/>
    <w:rsid w:val="00D12317"/>
    <w:rsid w:val="00D1564E"/>
    <w:rsid w:val="00D20455"/>
    <w:rsid w:val="00D2065D"/>
    <w:rsid w:val="00D220D2"/>
    <w:rsid w:val="00D22D3C"/>
    <w:rsid w:val="00D23767"/>
    <w:rsid w:val="00D25593"/>
    <w:rsid w:val="00D27676"/>
    <w:rsid w:val="00D30D2D"/>
    <w:rsid w:val="00D31D3E"/>
    <w:rsid w:val="00D32D80"/>
    <w:rsid w:val="00D33BFA"/>
    <w:rsid w:val="00D34214"/>
    <w:rsid w:val="00D3432B"/>
    <w:rsid w:val="00D343A6"/>
    <w:rsid w:val="00D34846"/>
    <w:rsid w:val="00D3DEE8"/>
    <w:rsid w:val="00D4797F"/>
    <w:rsid w:val="00D50419"/>
    <w:rsid w:val="00D508AE"/>
    <w:rsid w:val="00D518FC"/>
    <w:rsid w:val="00D52D74"/>
    <w:rsid w:val="00D55D3D"/>
    <w:rsid w:val="00D6427C"/>
    <w:rsid w:val="00D64933"/>
    <w:rsid w:val="00D72B59"/>
    <w:rsid w:val="00D77592"/>
    <w:rsid w:val="00D852B3"/>
    <w:rsid w:val="00D95540"/>
    <w:rsid w:val="00D95D78"/>
    <w:rsid w:val="00D95E19"/>
    <w:rsid w:val="00D95EDB"/>
    <w:rsid w:val="00D96F19"/>
    <w:rsid w:val="00DA0334"/>
    <w:rsid w:val="00DA0394"/>
    <w:rsid w:val="00DA359D"/>
    <w:rsid w:val="00DA4101"/>
    <w:rsid w:val="00DA73DF"/>
    <w:rsid w:val="00DB149E"/>
    <w:rsid w:val="00DB3FF1"/>
    <w:rsid w:val="00DB4F6F"/>
    <w:rsid w:val="00DB6DD3"/>
    <w:rsid w:val="00DB6EFA"/>
    <w:rsid w:val="00DB78B9"/>
    <w:rsid w:val="00DB7BC2"/>
    <w:rsid w:val="00DC3C71"/>
    <w:rsid w:val="00DC423C"/>
    <w:rsid w:val="00DC66EC"/>
    <w:rsid w:val="00DD2364"/>
    <w:rsid w:val="00DD419A"/>
    <w:rsid w:val="00DD4CFE"/>
    <w:rsid w:val="00DD7420"/>
    <w:rsid w:val="00DE02BE"/>
    <w:rsid w:val="00DE0658"/>
    <w:rsid w:val="00DE2900"/>
    <w:rsid w:val="00DE336A"/>
    <w:rsid w:val="00DE645C"/>
    <w:rsid w:val="00DE7C60"/>
    <w:rsid w:val="00DF1931"/>
    <w:rsid w:val="00DF2BCB"/>
    <w:rsid w:val="00DF30F7"/>
    <w:rsid w:val="00DF3487"/>
    <w:rsid w:val="00DF52B4"/>
    <w:rsid w:val="00DF7223"/>
    <w:rsid w:val="00E04523"/>
    <w:rsid w:val="00E12248"/>
    <w:rsid w:val="00E1454E"/>
    <w:rsid w:val="00E14D62"/>
    <w:rsid w:val="00E15C67"/>
    <w:rsid w:val="00E22060"/>
    <w:rsid w:val="00E24B7E"/>
    <w:rsid w:val="00E264F0"/>
    <w:rsid w:val="00E30EEF"/>
    <w:rsid w:val="00E32670"/>
    <w:rsid w:val="00E33974"/>
    <w:rsid w:val="00E4089B"/>
    <w:rsid w:val="00E40B15"/>
    <w:rsid w:val="00E40F72"/>
    <w:rsid w:val="00E43107"/>
    <w:rsid w:val="00E43908"/>
    <w:rsid w:val="00E43E81"/>
    <w:rsid w:val="00E44D60"/>
    <w:rsid w:val="00E4642A"/>
    <w:rsid w:val="00E471F2"/>
    <w:rsid w:val="00E573C8"/>
    <w:rsid w:val="00E60226"/>
    <w:rsid w:val="00E610DE"/>
    <w:rsid w:val="00E702BF"/>
    <w:rsid w:val="00E70622"/>
    <w:rsid w:val="00E7075B"/>
    <w:rsid w:val="00E71D8C"/>
    <w:rsid w:val="00E73D12"/>
    <w:rsid w:val="00E7641E"/>
    <w:rsid w:val="00E76C1E"/>
    <w:rsid w:val="00E8021F"/>
    <w:rsid w:val="00E81863"/>
    <w:rsid w:val="00E83E0F"/>
    <w:rsid w:val="00E930C1"/>
    <w:rsid w:val="00E960B1"/>
    <w:rsid w:val="00EA1E7C"/>
    <w:rsid w:val="00EA5110"/>
    <w:rsid w:val="00EB078D"/>
    <w:rsid w:val="00EB10A3"/>
    <w:rsid w:val="00EB27DB"/>
    <w:rsid w:val="00EB514A"/>
    <w:rsid w:val="00EB6D87"/>
    <w:rsid w:val="00EB76F0"/>
    <w:rsid w:val="00EC3CA9"/>
    <w:rsid w:val="00EC4B66"/>
    <w:rsid w:val="00EC672A"/>
    <w:rsid w:val="00EC70E0"/>
    <w:rsid w:val="00ED11FC"/>
    <w:rsid w:val="00ED398D"/>
    <w:rsid w:val="00ED4797"/>
    <w:rsid w:val="00ED5E96"/>
    <w:rsid w:val="00ED5EF1"/>
    <w:rsid w:val="00ED6F00"/>
    <w:rsid w:val="00EE11DC"/>
    <w:rsid w:val="00EE5B1B"/>
    <w:rsid w:val="00EE66CB"/>
    <w:rsid w:val="00EE6D97"/>
    <w:rsid w:val="00EF2CB6"/>
    <w:rsid w:val="00EF44C0"/>
    <w:rsid w:val="00EF76F0"/>
    <w:rsid w:val="00F019E3"/>
    <w:rsid w:val="00F035F2"/>
    <w:rsid w:val="00F05225"/>
    <w:rsid w:val="00F05C09"/>
    <w:rsid w:val="00F06D0E"/>
    <w:rsid w:val="00F06E71"/>
    <w:rsid w:val="00F1036D"/>
    <w:rsid w:val="00F119D7"/>
    <w:rsid w:val="00F259A6"/>
    <w:rsid w:val="00F321B3"/>
    <w:rsid w:val="00F32D0B"/>
    <w:rsid w:val="00F37012"/>
    <w:rsid w:val="00F37B0B"/>
    <w:rsid w:val="00F37D30"/>
    <w:rsid w:val="00F40BC6"/>
    <w:rsid w:val="00F42128"/>
    <w:rsid w:val="00F430BC"/>
    <w:rsid w:val="00F47B5A"/>
    <w:rsid w:val="00F504BB"/>
    <w:rsid w:val="00F505D2"/>
    <w:rsid w:val="00F51E10"/>
    <w:rsid w:val="00F54D78"/>
    <w:rsid w:val="00F556F9"/>
    <w:rsid w:val="00F561E9"/>
    <w:rsid w:val="00F63948"/>
    <w:rsid w:val="00F64AC8"/>
    <w:rsid w:val="00F65825"/>
    <w:rsid w:val="00F65B3F"/>
    <w:rsid w:val="00F66588"/>
    <w:rsid w:val="00F67CE5"/>
    <w:rsid w:val="00F76351"/>
    <w:rsid w:val="00F80323"/>
    <w:rsid w:val="00F81A95"/>
    <w:rsid w:val="00F8473D"/>
    <w:rsid w:val="00F92121"/>
    <w:rsid w:val="00F93A29"/>
    <w:rsid w:val="00F93D5F"/>
    <w:rsid w:val="00F9761A"/>
    <w:rsid w:val="00FA11A3"/>
    <w:rsid w:val="00FA373D"/>
    <w:rsid w:val="00FA3A6B"/>
    <w:rsid w:val="00FA3E7A"/>
    <w:rsid w:val="00FA47C8"/>
    <w:rsid w:val="00FA4DCA"/>
    <w:rsid w:val="00FA5574"/>
    <w:rsid w:val="00FB00E8"/>
    <w:rsid w:val="00FB29D6"/>
    <w:rsid w:val="00FC158D"/>
    <w:rsid w:val="00FC4E15"/>
    <w:rsid w:val="00FC5D96"/>
    <w:rsid w:val="00FD31AE"/>
    <w:rsid w:val="00FD473A"/>
    <w:rsid w:val="00FD5945"/>
    <w:rsid w:val="00FD5CF1"/>
    <w:rsid w:val="00FD7750"/>
    <w:rsid w:val="00FF0D0D"/>
    <w:rsid w:val="00FF133A"/>
    <w:rsid w:val="00FF1E41"/>
    <w:rsid w:val="00FF2340"/>
    <w:rsid w:val="00FF5F31"/>
    <w:rsid w:val="00FF6951"/>
    <w:rsid w:val="014498B3"/>
    <w:rsid w:val="015738A5"/>
    <w:rsid w:val="018B1FA8"/>
    <w:rsid w:val="01E0B9B1"/>
    <w:rsid w:val="01E2953C"/>
    <w:rsid w:val="01F708CA"/>
    <w:rsid w:val="0219E9EB"/>
    <w:rsid w:val="025099AD"/>
    <w:rsid w:val="0269236D"/>
    <w:rsid w:val="026FB082"/>
    <w:rsid w:val="027F3D32"/>
    <w:rsid w:val="028C5CDF"/>
    <w:rsid w:val="02C2354F"/>
    <w:rsid w:val="02C938C0"/>
    <w:rsid w:val="0367B9E6"/>
    <w:rsid w:val="036E317A"/>
    <w:rsid w:val="0393F6FD"/>
    <w:rsid w:val="03ABD4DD"/>
    <w:rsid w:val="044D5932"/>
    <w:rsid w:val="04697EC4"/>
    <w:rsid w:val="04890B99"/>
    <w:rsid w:val="04C2DD3C"/>
    <w:rsid w:val="04C65113"/>
    <w:rsid w:val="04DADEA1"/>
    <w:rsid w:val="0501B307"/>
    <w:rsid w:val="050C3A46"/>
    <w:rsid w:val="056DAC97"/>
    <w:rsid w:val="05DACEEB"/>
    <w:rsid w:val="06A6F174"/>
    <w:rsid w:val="06C104DE"/>
    <w:rsid w:val="06C5CE11"/>
    <w:rsid w:val="06D05246"/>
    <w:rsid w:val="06DECEC1"/>
    <w:rsid w:val="06E426A4"/>
    <w:rsid w:val="06F2CE4E"/>
    <w:rsid w:val="06FEDE6F"/>
    <w:rsid w:val="07169465"/>
    <w:rsid w:val="07206D64"/>
    <w:rsid w:val="081BBFAF"/>
    <w:rsid w:val="0845718F"/>
    <w:rsid w:val="085359D3"/>
    <w:rsid w:val="08EF9EEF"/>
    <w:rsid w:val="0934D3C8"/>
    <w:rsid w:val="09410596"/>
    <w:rsid w:val="0958A558"/>
    <w:rsid w:val="095C3957"/>
    <w:rsid w:val="096C661F"/>
    <w:rsid w:val="09A28148"/>
    <w:rsid w:val="09A85DFF"/>
    <w:rsid w:val="0A08891F"/>
    <w:rsid w:val="0A157B34"/>
    <w:rsid w:val="0A30DA9C"/>
    <w:rsid w:val="0A6E7BB6"/>
    <w:rsid w:val="0AD9F94D"/>
    <w:rsid w:val="0B131AE1"/>
    <w:rsid w:val="0B269C27"/>
    <w:rsid w:val="0B32A05E"/>
    <w:rsid w:val="0B4FBD3B"/>
    <w:rsid w:val="0B88E93D"/>
    <w:rsid w:val="0BC444DD"/>
    <w:rsid w:val="0C02A1E3"/>
    <w:rsid w:val="0C1B17D8"/>
    <w:rsid w:val="0C1C5ECC"/>
    <w:rsid w:val="0C6169E5"/>
    <w:rsid w:val="0CA470F6"/>
    <w:rsid w:val="0CA96EAB"/>
    <w:rsid w:val="0CD2BFFB"/>
    <w:rsid w:val="0CDA9AB5"/>
    <w:rsid w:val="0CF32FE2"/>
    <w:rsid w:val="0D245FB2"/>
    <w:rsid w:val="0D509122"/>
    <w:rsid w:val="0D762B06"/>
    <w:rsid w:val="0D83A4E9"/>
    <w:rsid w:val="0DDEC64C"/>
    <w:rsid w:val="0DDFD666"/>
    <w:rsid w:val="0DE37169"/>
    <w:rsid w:val="0E6AF545"/>
    <w:rsid w:val="0E7675EA"/>
    <w:rsid w:val="0F5CFB9D"/>
    <w:rsid w:val="0F6FAD27"/>
    <w:rsid w:val="0F88DA1D"/>
    <w:rsid w:val="0F8B095B"/>
    <w:rsid w:val="1042AD1E"/>
    <w:rsid w:val="1055600E"/>
    <w:rsid w:val="10B845A9"/>
    <w:rsid w:val="10BB8907"/>
    <w:rsid w:val="1184142D"/>
    <w:rsid w:val="11C4B9FA"/>
    <w:rsid w:val="11C4C11C"/>
    <w:rsid w:val="1257DD4D"/>
    <w:rsid w:val="1280D15E"/>
    <w:rsid w:val="12BE3AFE"/>
    <w:rsid w:val="12E169A6"/>
    <w:rsid w:val="12FA8FAD"/>
    <w:rsid w:val="13462A18"/>
    <w:rsid w:val="134C024A"/>
    <w:rsid w:val="13D65D72"/>
    <w:rsid w:val="13DBD0A4"/>
    <w:rsid w:val="13E0EF09"/>
    <w:rsid w:val="13E64827"/>
    <w:rsid w:val="14B7F1EE"/>
    <w:rsid w:val="14CEE504"/>
    <w:rsid w:val="14F110CB"/>
    <w:rsid w:val="153B8639"/>
    <w:rsid w:val="1589DE2F"/>
    <w:rsid w:val="159950A5"/>
    <w:rsid w:val="15998574"/>
    <w:rsid w:val="15C30ADD"/>
    <w:rsid w:val="15F3DC37"/>
    <w:rsid w:val="16268559"/>
    <w:rsid w:val="162A516A"/>
    <w:rsid w:val="16B3100D"/>
    <w:rsid w:val="16CFF88F"/>
    <w:rsid w:val="173664D0"/>
    <w:rsid w:val="175D3868"/>
    <w:rsid w:val="17609FA7"/>
    <w:rsid w:val="1762FA31"/>
    <w:rsid w:val="1777C757"/>
    <w:rsid w:val="17C09B7F"/>
    <w:rsid w:val="17C71870"/>
    <w:rsid w:val="1805DBA1"/>
    <w:rsid w:val="18593D99"/>
    <w:rsid w:val="1894019A"/>
    <w:rsid w:val="18A79EC1"/>
    <w:rsid w:val="191CC679"/>
    <w:rsid w:val="193DBD76"/>
    <w:rsid w:val="1945EF95"/>
    <w:rsid w:val="1959F7F3"/>
    <w:rsid w:val="19C7F6F7"/>
    <w:rsid w:val="1A272663"/>
    <w:rsid w:val="1A286404"/>
    <w:rsid w:val="1A2A045B"/>
    <w:rsid w:val="1A4D87E5"/>
    <w:rsid w:val="1A80182F"/>
    <w:rsid w:val="1ABE4730"/>
    <w:rsid w:val="1ADB9CE9"/>
    <w:rsid w:val="1AF73E42"/>
    <w:rsid w:val="1B01C7E2"/>
    <w:rsid w:val="1B418D44"/>
    <w:rsid w:val="1B934589"/>
    <w:rsid w:val="1C199A0F"/>
    <w:rsid w:val="1C6289BD"/>
    <w:rsid w:val="1C76EE71"/>
    <w:rsid w:val="1CA37006"/>
    <w:rsid w:val="1D117843"/>
    <w:rsid w:val="1D386097"/>
    <w:rsid w:val="1D41B30D"/>
    <w:rsid w:val="1D4FE953"/>
    <w:rsid w:val="1D7BEDB9"/>
    <w:rsid w:val="1DB86D57"/>
    <w:rsid w:val="1DE691DD"/>
    <w:rsid w:val="1E09F02F"/>
    <w:rsid w:val="1E1E74E1"/>
    <w:rsid w:val="1E2538D3"/>
    <w:rsid w:val="1E65A9A6"/>
    <w:rsid w:val="1E6E9E72"/>
    <w:rsid w:val="1ED38C8B"/>
    <w:rsid w:val="1EE84319"/>
    <w:rsid w:val="1EF0FC14"/>
    <w:rsid w:val="1F217A29"/>
    <w:rsid w:val="1F2BA942"/>
    <w:rsid w:val="1F616A67"/>
    <w:rsid w:val="1FDCBE3A"/>
    <w:rsid w:val="1FF101C1"/>
    <w:rsid w:val="20018436"/>
    <w:rsid w:val="2043B67D"/>
    <w:rsid w:val="20466D94"/>
    <w:rsid w:val="2073C46A"/>
    <w:rsid w:val="20758170"/>
    <w:rsid w:val="20AE5C22"/>
    <w:rsid w:val="20CC69D2"/>
    <w:rsid w:val="210AB301"/>
    <w:rsid w:val="21175EF9"/>
    <w:rsid w:val="212CFF56"/>
    <w:rsid w:val="21519A2A"/>
    <w:rsid w:val="215C51C4"/>
    <w:rsid w:val="218BC489"/>
    <w:rsid w:val="2193EA73"/>
    <w:rsid w:val="21A3D25F"/>
    <w:rsid w:val="22577509"/>
    <w:rsid w:val="227247EF"/>
    <w:rsid w:val="22BB28E7"/>
    <w:rsid w:val="232BF43D"/>
    <w:rsid w:val="23F31B03"/>
    <w:rsid w:val="2406C9B0"/>
    <w:rsid w:val="2440C350"/>
    <w:rsid w:val="247F4B53"/>
    <w:rsid w:val="248EFCBB"/>
    <w:rsid w:val="2491A71E"/>
    <w:rsid w:val="249E3BE4"/>
    <w:rsid w:val="24A17AED"/>
    <w:rsid w:val="24C6536F"/>
    <w:rsid w:val="250395FA"/>
    <w:rsid w:val="25216D9E"/>
    <w:rsid w:val="255CCEF3"/>
    <w:rsid w:val="2579B127"/>
    <w:rsid w:val="25C56176"/>
    <w:rsid w:val="25FE7BA4"/>
    <w:rsid w:val="2626D97A"/>
    <w:rsid w:val="26930741"/>
    <w:rsid w:val="26A35B2C"/>
    <w:rsid w:val="26D53638"/>
    <w:rsid w:val="272680D6"/>
    <w:rsid w:val="2733D59D"/>
    <w:rsid w:val="27A92447"/>
    <w:rsid w:val="27DC9394"/>
    <w:rsid w:val="27F62CCB"/>
    <w:rsid w:val="28082872"/>
    <w:rsid w:val="2813DEF0"/>
    <w:rsid w:val="285571FB"/>
    <w:rsid w:val="2856E12D"/>
    <w:rsid w:val="287517B5"/>
    <w:rsid w:val="2878C250"/>
    <w:rsid w:val="28CAB295"/>
    <w:rsid w:val="28E5CDEA"/>
    <w:rsid w:val="29251433"/>
    <w:rsid w:val="2959A746"/>
    <w:rsid w:val="296EDC28"/>
    <w:rsid w:val="2987D9DB"/>
    <w:rsid w:val="29F09E1B"/>
    <w:rsid w:val="2A063B21"/>
    <w:rsid w:val="2A06BA5B"/>
    <w:rsid w:val="2A0BB36C"/>
    <w:rsid w:val="2A6BB68B"/>
    <w:rsid w:val="2AD4FF49"/>
    <w:rsid w:val="2AD54F89"/>
    <w:rsid w:val="2B3BA415"/>
    <w:rsid w:val="2B5148A9"/>
    <w:rsid w:val="2B653A8E"/>
    <w:rsid w:val="2B6BC04E"/>
    <w:rsid w:val="2B6E1B31"/>
    <w:rsid w:val="2BA301C6"/>
    <w:rsid w:val="2BAA3779"/>
    <w:rsid w:val="2C263C07"/>
    <w:rsid w:val="2C4FAF42"/>
    <w:rsid w:val="2C58BFF4"/>
    <w:rsid w:val="2C6D2101"/>
    <w:rsid w:val="2C8FCEE7"/>
    <w:rsid w:val="2C92B3AB"/>
    <w:rsid w:val="2CA76212"/>
    <w:rsid w:val="2CC50BDA"/>
    <w:rsid w:val="2D2CFC5D"/>
    <w:rsid w:val="2D3CE3EE"/>
    <w:rsid w:val="2D44E3F2"/>
    <w:rsid w:val="2E7BF815"/>
    <w:rsid w:val="2F151DCD"/>
    <w:rsid w:val="2F3A5232"/>
    <w:rsid w:val="2FB433F3"/>
    <w:rsid w:val="3064651E"/>
    <w:rsid w:val="30695D82"/>
    <w:rsid w:val="3069EFE2"/>
    <w:rsid w:val="3072CADC"/>
    <w:rsid w:val="30A882D4"/>
    <w:rsid w:val="30DC5BD8"/>
    <w:rsid w:val="31547D68"/>
    <w:rsid w:val="319CE58A"/>
    <w:rsid w:val="31A97C09"/>
    <w:rsid w:val="31BFCC10"/>
    <w:rsid w:val="31F4D326"/>
    <w:rsid w:val="3284DD9E"/>
    <w:rsid w:val="329C2ADD"/>
    <w:rsid w:val="32D40C5C"/>
    <w:rsid w:val="33377BC6"/>
    <w:rsid w:val="333D16FF"/>
    <w:rsid w:val="333F2F7D"/>
    <w:rsid w:val="3373B774"/>
    <w:rsid w:val="3390858A"/>
    <w:rsid w:val="33927484"/>
    <w:rsid w:val="3394C925"/>
    <w:rsid w:val="33B4EED6"/>
    <w:rsid w:val="33F16B93"/>
    <w:rsid w:val="3402DC28"/>
    <w:rsid w:val="343FA88E"/>
    <w:rsid w:val="34C2FB55"/>
    <w:rsid w:val="34E67785"/>
    <w:rsid w:val="351EFFB8"/>
    <w:rsid w:val="35CFA471"/>
    <w:rsid w:val="35F0A2B9"/>
    <w:rsid w:val="3600DF87"/>
    <w:rsid w:val="363EBFED"/>
    <w:rsid w:val="368DFBA6"/>
    <w:rsid w:val="3696DD42"/>
    <w:rsid w:val="36A438B2"/>
    <w:rsid w:val="36CD517D"/>
    <w:rsid w:val="3717B0F8"/>
    <w:rsid w:val="3734E3C3"/>
    <w:rsid w:val="3742CE58"/>
    <w:rsid w:val="37768C60"/>
    <w:rsid w:val="37D78AE5"/>
    <w:rsid w:val="37E03FAC"/>
    <w:rsid w:val="384E7263"/>
    <w:rsid w:val="386E86FA"/>
    <w:rsid w:val="3876EDBD"/>
    <w:rsid w:val="38B743B3"/>
    <w:rsid w:val="39D45BA1"/>
    <w:rsid w:val="39F94F15"/>
    <w:rsid w:val="39FE5C25"/>
    <w:rsid w:val="3A021F1B"/>
    <w:rsid w:val="3A51CEB5"/>
    <w:rsid w:val="3ACF82B8"/>
    <w:rsid w:val="3B4F9891"/>
    <w:rsid w:val="3B60737E"/>
    <w:rsid w:val="3B710729"/>
    <w:rsid w:val="3B7EDDED"/>
    <w:rsid w:val="3B9AA451"/>
    <w:rsid w:val="3BD904CC"/>
    <w:rsid w:val="3C906AF3"/>
    <w:rsid w:val="3CC0B593"/>
    <w:rsid w:val="3CEA683B"/>
    <w:rsid w:val="3D2E2C36"/>
    <w:rsid w:val="3D5C32E5"/>
    <w:rsid w:val="3D612137"/>
    <w:rsid w:val="3D81F93E"/>
    <w:rsid w:val="3E303394"/>
    <w:rsid w:val="3E7B3B1D"/>
    <w:rsid w:val="3E9FD833"/>
    <w:rsid w:val="3EB7CB9C"/>
    <w:rsid w:val="3EE9C526"/>
    <w:rsid w:val="3F59C346"/>
    <w:rsid w:val="3F75801D"/>
    <w:rsid w:val="3FD48995"/>
    <w:rsid w:val="40290D5C"/>
    <w:rsid w:val="40575F62"/>
    <w:rsid w:val="405CA2DB"/>
    <w:rsid w:val="40811595"/>
    <w:rsid w:val="4118026F"/>
    <w:rsid w:val="41435E63"/>
    <w:rsid w:val="419EE547"/>
    <w:rsid w:val="41A01FD1"/>
    <w:rsid w:val="41AD8CF0"/>
    <w:rsid w:val="41D65219"/>
    <w:rsid w:val="423CD22B"/>
    <w:rsid w:val="42612397"/>
    <w:rsid w:val="42CC25DB"/>
    <w:rsid w:val="42CC3D1B"/>
    <w:rsid w:val="43097805"/>
    <w:rsid w:val="431C5F03"/>
    <w:rsid w:val="43219E1D"/>
    <w:rsid w:val="432F59BF"/>
    <w:rsid w:val="43448626"/>
    <w:rsid w:val="4354D8C1"/>
    <w:rsid w:val="436FB64E"/>
    <w:rsid w:val="43A28EAC"/>
    <w:rsid w:val="43C6A29B"/>
    <w:rsid w:val="43C6D2A5"/>
    <w:rsid w:val="43F25AE5"/>
    <w:rsid w:val="4422FF57"/>
    <w:rsid w:val="445D7596"/>
    <w:rsid w:val="44BE494A"/>
    <w:rsid w:val="457272E4"/>
    <w:rsid w:val="458AA6A6"/>
    <w:rsid w:val="459662A8"/>
    <w:rsid w:val="45A94E44"/>
    <w:rsid w:val="45B438CB"/>
    <w:rsid w:val="45EC6536"/>
    <w:rsid w:val="45FC8C0A"/>
    <w:rsid w:val="46027FD6"/>
    <w:rsid w:val="4606EBAE"/>
    <w:rsid w:val="463C4EFC"/>
    <w:rsid w:val="46DF3DE9"/>
    <w:rsid w:val="473A014E"/>
    <w:rsid w:val="47778EC6"/>
    <w:rsid w:val="47E1EE13"/>
    <w:rsid w:val="483DC351"/>
    <w:rsid w:val="484F56C2"/>
    <w:rsid w:val="487D0581"/>
    <w:rsid w:val="48D5A6D3"/>
    <w:rsid w:val="49049DF3"/>
    <w:rsid w:val="49331A3C"/>
    <w:rsid w:val="4951EA90"/>
    <w:rsid w:val="498608F2"/>
    <w:rsid w:val="49AB574E"/>
    <w:rsid w:val="49BA77EB"/>
    <w:rsid w:val="49BF0E9C"/>
    <w:rsid w:val="49C2824D"/>
    <w:rsid w:val="49FFB246"/>
    <w:rsid w:val="4A21BD7A"/>
    <w:rsid w:val="4A5E1A15"/>
    <w:rsid w:val="4A6FBB86"/>
    <w:rsid w:val="4A981C59"/>
    <w:rsid w:val="4AEAF36C"/>
    <w:rsid w:val="4B717D79"/>
    <w:rsid w:val="4BBE4E6F"/>
    <w:rsid w:val="4BCB5A2A"/>
    <w:rsid w:val="4C453E21"/>
    <w:rsid w:val="4C5C8656"/>
    <w:rsid w:val="4CBF6346"/>
    <w:rsid w:val="4CE598D4"/>
    <w:rsid w:val="4D3F5C6E"/>
    <w:rsid w:val="4D78E1FD"/>
    <w:rsid w:val="4D7C7183"/>
    <w:rsid w:val="4DB10619"/>
    <w:rsid w:val="4E322AAD"/>
    <w:rsid w:val="4E3A789A"/>
    <w:rsid w:val="4E53EA1E"/>
    <w:rsid w:val="4E8AA591"/>
    <w:rsid w:val="4EBD4071"/>
    <w:rsid w:val="4EE15B21"/>
    <w:rsid w:val="4F39189B"/>
    <w:rsid w:val="4F7CBE84"/>
    <w:rsid w:val="4F92C9EC"/>
    <w:rsid w:val="4FA49113"/>
    <w:rsid w:val="4FAF6EFD"/>
    <w:rsid w:val="4FB38CB1"/>
    <w:rsid w:val="4FBFA466"/>
    <w:rsid w:val="4FFCFBE0"/>
    <w:rsid w:val="5082D481"/>
    <w:rsid w:val="5098C812"/>
    <w:rsid w:val="50DE664E"/>
    <w:rsid w:val="5103EAE9"/>
    <w:rsid w:val="511A6F75"/>
    <w:rsid w:val="51323171"/>
    <w:rsid w:val="5175D1DE"/>
    <w:rsid w:val="51BF821A"/>
    <w:rsid w:val="51C61776"/>
    <w:rsid w:val="51D80991"/>
    <w:rsid w:val="51FC009D"/>
    <w:rsid w:val="522B82AB"/>
    <w:rsid w:val="52694AE1"/>
    <w:rsid w:val="5283E9B5"/>
    <w:rsid w:val="52A3638B"/>
    <w:rsid w:val="53848B5D"/>
    <w:rsid w:val="538BC164"/>
    <w:rsid w:val="53C02627"/>
    <w:rsid w:val="53E402A9"/>
    <w:rsid w:val="53EAE6EA"/>
    <w:rsid w:val="53F019D8"/>
    <w:rsid w:val="542B84EA"/>
    <w:rsid w:val="54CE24F6"/>
    <w:rsid w:val="550B025C"/>
    <w:rsid w:val="55474D01"/>
    <w:rsid w:val="555CDFBB"/>
    <w:rsid w:val="5626C60C"/>
    <w:rsid w:val="565EAE38"/>
    <w:rsid w:val="5671C6B2"/>
    <w:rsid w:val="56938F84"/>
    <w:rsid w:val="56A0F4BA"/>
    <w:rsid w:val="56A54D31"/>
    <w:rsid w:val="57172916"/>
    <w:rsid w:val="57511FE3"/>
    <w:rsid w:val="576B3F0B"/>
    <w:rsid w:val="57721C7C"/>
    <w:rsid w:val="5794CF01"/>
    <w:rsid w:val="57C210D6"/>
    <w:rsid w:val="57D259A3"/>
    <w:rsid w:val="57FBCE91"/>
    <w:rsid w:val="583548B8"/>
    <w:rsid w:val="5845BE66"/>
    <w:rsid w:val="5858F937"/>
    <w:rsid w:val="58A9CCAA"/>
    <w:rsid w:val="58B2C365"/>
    <w:rsid w:val="592F57C2"/>
    <w:rsid w:val="59377350"/>
    <w:rsid w:val="594CB34E"/>
    <w:rsid w:val="59603717"/>
    <w:rsid w:val="596C9A9C"/>
    <w:rsid w:val="5973CBBC"/>
    <w:rsid w:val="5974A1B9"/>
    <w:rsid w:val="5979B8E1"/>
    <w:rsid w:val="59AC93D8"/>
    <w:rsid w:val="59F39381"/>
    <w:rsid w:val="5A0D0307"/>
    <w:rsid w:val="5A27A9EE"/>
    <w:rsid w:val="5A6585B0"/>
    <w:rsid w:val="5A83F721"/>
    <w:rsid w:val="5AF5055D"/>
    <w:rsid w:val="5B7AC398"/>
    <w:rsid w:val="5BFD6EBE"/>
    <w:rsid w:val="5C0EEA14"/>
    <w:rsid w:val="5C6F132B"/>
    <w:rsid w:val="5C89E84E"/>
    <w:rsid w:val="5CF49A56"/>
    <w:rsid w:val="5E18A901"/>
    <w:rsid w:val="5E28C0BD"/>
    <w:rsid w:val="5E35A801"/>
    <w:rsid w:val="5E4A7429"/>
    <w:rsid w:val="5E911DC8"/>
    <w:rsid w:val="5F0ADD25"/>
    <w:rsid w:val="5F0FB5FB"/>
    <w:rsid w:val="5F83ED56"/>
    <w:rsid w:val="5FBF3659"/>
    <w:rsid w:val="5FD7535C"/>
    <w:rsid w:val="5FDD5403"/>
    <w:rsid w:val="5FF022F0"/>
    <w:rsid w:val="60652248"/>
    <w:rsid w:val="609E53A5"/>
    <w:rsid w:val="60E15475"/>
    <w:rsid w:val="60F50062"/>
    <w:rsid w:val="610AE18C"/>
    <w:rsid w:val="61125F8D"/>
    <w:rsid w:val="6167755C"/>
    <w:rsid w:val="61946354"/>
    <w:rsid w:val="61952814"/>
    <w:rsid w:val="61AEA024"/>
    <w:rsid w:val="61C939B0"/>
    <w:rsid w:val="61EB8CE0"/>
    <w:rsid w:val="61F06B73"/>
    <w:rsid w:val="62060F4E"/>
    <w:rsid w:val="62109F56"/>
    <w:rsid w:val="62591FA3"/>
    <w:rsid w:val="62DB7891"/>
    <w:rsid w:val="62F2B63F"/>
    <w:rsid w:val="63167DA3"/>
    <w:rsid w:val="634EF6FE"/>
    <w:rsid w:val="635D1462"/>
    <w:rsid w:val="63BF25CA"/>
    <w:rsid w:val="63E48EAC"/>
    <w:rsid w:val="63FAF600"/>
    <w:rsid w:val="6432B922"/>
    <w:rsid w:val="6459D241"/>
    <w:rsid w:val="6462CF5C"/>
    <w:rsid w:val="649E4F31"/>
    <w:rsid w:val="64AD9E23"/>
    <w:rsid w:val="64B58BC9"/>
    <w:rsid w:val="64C6D673"/>
    <w:rsid w:val="650FA039"/>
    <w:rsid w:val="65373E4E"/>
    <w:rsid w:val="65668A25"/>
    <w:rsid w:val="657CFFD1"/>
    <w:rsid w:val="65A9F804"/>
    <w:rsid w:val="65B1DDB9"/>
    <w:rsid w:val="65E57437"/>
    <w:rsid w:val="65ED730B"/>
    <w:rsid w:val="661D20EC"/>
    <w:rsid w:val="664EDBFE"/>
    <w:rsid w:val="6653557E"/>
    <w:rsid w:val="666F6FC9"/>
    <w:rsid w:val="6686F2C4"/>
    <w:rsid w:val="668AC489"/>
    <w:rsid w:val="66BA3481"/>
    <w:rsid w:val="66F5FBC3"/>
    <w:rsid w:val="670540B4"/>
    <w:rsid w:val="670AC8F5"/>
    <w:rsid w:val="674FB648"/>
    <w:rsid w:val="67589CD6"/>
    <w:rsid w:val="67692F4A"/>
    <w:rsid w:val="676A3C1D"/>
    <w:rsid w:val="67922654"/>
    <w:rsid w:val="67EEE965"/>
    <w:rsid w:val="681413FF"/>
    <w:rsid w:val="685C3B96"/>
    <w:rsid w:val="685E5B47"/>
    <w:rsid w:val="68937E9D"/>
    <w:rsid w:val="689533F8"/>
    <w:rsid w:val="68C193E8"/>
    <w:rsid w:val="693F2E88"/>
    <w:rsid w:val="6979E5D0"/>
    <w:rsid w:val="69D8CC6F"/>
    <w:rsid w:val="69EBEC54"/>
    <w:rsid w:val="6A1A3CA3"/>
    <w:rsid w:val="6A1C3711"/>
    <w:rsid w:val="6A38EB74"/>
    <w:rsid w:val="6A5C3DC9"/>
    <w:rsid w:val="6AA26E71"/>
    <w:rsid w:val="6AAF34F8"/>
    <w:rsid w:val="6AC2ABB2"/>
    <w:rsid w:val="6B4D8463"/>
    <w:rsid w:val="6C3B3F6B"/>
    <w:rsid w:val="6C480888"/>
    <w:rsid w:val="6C49BBD6"/>
    <w:rsid w:val="6C927901"/>
    <w:rsid w:val="6CD81240"/>
    <w:rsid w:val="6CE5EB8F"/>
    <w:rsid w:val="6D02419C"/>
    <w:rsid w:val="6D4E2B23"/>
    <w:rsid w:val="6D57E4FE"/>
    <w:rsid w:val="6D5EE6F3"/>
    <w:rsid w:val="6D7112C7"/>
    <w:rsid w:val="6DC4285E"/>
    <w:rsid w:val="6DC7FED4"/>
    <w:rsid w:val="6DE0F143"/>
    <w:rsid w:val="6E0C440D"/>
    <w:rsid w:val="6E775E8F"/>
    <w:rsid w:val="6EA54360"/>
    <w:rsid w:val="6ED2E2AF"/>
    <w:rsid w:val="6ED80FBA"/>
    <w:rsid w:val="6EDACFAB"/>
    <w:rsid w:val="6F0B4E00"/>
    <w:rsid w:val="6F41FEEA"/>
    <w:rsid w:val="6F4BDFFA"/>
    <w:rsid w:val="70027405"/>
    <w:rsid w:val="700E1C09"/>
    <w:rsid w:val="70B76977"/>
    <w:rsid w:val="70CB0648"/>
    <w:rsid w:val="70E8588E"/>
    <w:rsid w:val="70F8A30C"/>
    <w:rsid w:val="71132AEC"/>
    <w:rsid w:val="71657A9B"/>
    <w:rsid w:val="717188A1"/>
    <w:rsid w:val="717A517F"/>
    <w:rsid w:val="71845D7F"/>
    <w:rsid w:val="719C82B1"/>
    <w:rsid w:val="71A74963"/>
    <w:rsid w:val="71BE86EB"/>
    <w:rsid w:val="7212713B"/>
    <w:rsid w:val="72281563"/>
    <w:rsid w:val="72B78B12"/>
    <w:rsid w:val="72DDD14D"/>
    <w:rsid w:val="7300E9A2"/>
    <w:rsid w:val="7376B605"/>
    <w:rsid w:val="737BED0F"/>
    <w:rsid w:val="73C51764"/>
    <w:rsid w:val="73E47244"/>
    <w:rsid w:val="73FB041A"/>
    <w:rsid w:val="74BDAE85"/>
    <w:rsid w:val="74DC83A7"/>
    <w:rsid w:val="754ED548"/>
    <w:rsid w:val="7564FBAD"/>
    <w:rsid w:val="75A64D3C"/>
    <w:rsid w:val="75AE95D6"/>
    <w:rsid w:val="760F3FE8"/>
    <w:rsid w:val="7676FD33"/>
    <w:rsid w:val="769793A8"/>
    <w:rsid w:val="76F13526"/>
    <w:rsid w:val="771337B2"/>
    <w:rsid w:val="77405BD6"/>
    <w:rsid w:val="774AE40D"/>
    <w:rsid w:val="77839361"/>
    <w:rsid w:val="77871826"/>
    <w:rsid w:val="77B70013"/>
    <w:rsid w:val="77E28253"/>
    <w:rsid w:val="77EB435D"/>
    <w:rsid w:val="7808388C"/>
    <w:rsid w:val="78300A63"/>
    <w:rsid w:val="785B8F18"/>
    <w:rsid w:val="78844500"/>
    <w:rsid w:val="789FE5A2"/>
    <w:rsid w:val="78E42236"/>
    <w:rsid w:val="78EDCB33"/>
    <w:rsid w:val="798878D5"/>
    <w:rsid w:val="799426E9"/>
    <w:rsid w:val="79A38BCC"/>
    <w:rsid w:val="7A1B1F9E"/>
    <w:rsid w:val="7A1E4754"/>
    <w:rsid w:val="7A232E1C"/>
    <w:rsid w:val="7A27AD67"/>
    <w:rsid w:val="7A47247D"/>
    <w:rsid w:val="7A524A85"/>
    <w:rsid w:val="7ABF1A34"/>
    <w:rsid w:val="7ADDE8E9"/>
    <w:rsid w:val="7ADF3773"/>
    <w:rsid w:val="7AFAD943"/>
    <w:rsid w:val="7B4BECC8"/>
    <w:rsid w:val="7BD214E4"/>
    <w:rsid w:val="7BE585FC"/>
    <w:rsid w:val="7C68D394"/>
    <w:rsid w:val="7C6BD05D"/>
    <w:rsid w:val="7C6F532C"/>
    <w:rsid w:val="7C734FA0"/>
    <w:rsid w:val="7C8B86AF"/>
    <w:rsid w:val="7CCBB272"/>
    <w:rsid w:val="7D1E3A6F"/>
    <w:rsid w:val="7D97EDA4"/>
    <w:rsid w:val="7DAA4011"/>
    <w:rsid w:val="7DC31B56"/>
    <w:rsid w:val="7E173CB6"/>
    <w:rsid w:val="7E2446EF"/>
    <w:rsid w:val="7E320A2C"/>
    <w:rsid w:val="7E368195"/>
    <w:rsid w:val="7E4DC2AF"/>
    <w:rsid w:val="7E64B184"/>
    <w:rsid w:val="7E7C1EAA"/>
    <w:rsid w:val="7E91A8E6"/>
    <w:rsid w:val="7F456D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7E76B158-B8BA-4784-8A4C-91ADDCE4D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8D8"/>
  </w:style>
  <w:style w:type="paragraph" w:styleId="Heading1">
    <w:name w:val="heading 1"/>
    <w:basedOn w:val="Normal"/>
    <w:next w:val="Normal"/>
    <w:link w:val="Heading1Char"/>
    <w:uiPriority w:val="9"/>
    <w:qFormat/>
    <w:rsid w:val="0066298F"/>
    <w:pPr>
      <w:keepNext/>
      <w:keepLines/>
      <w:numPr>
        <w:numId w:val="12"/>
      </w:numPr>
      <w:spacing w:before="240" w:after="0"/>
      <w:outlineLvl w:val="0"/>
    </w:pPr>
    <w:rPr>
      <w:rFonts w:asciiTheme="majorHAnsi" w:eastAsiaTheme="majorEastAsia" w:hAnsiTheme="majorHAnsi" w:cstheme="majorBidi"/>
      <w:color w:val="B3186D"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2"/>
      </w:numPr>
      <w:spacing w:before="40" w:after="0"/>
      <w:outlineLvl w:val="1"/>
    </w:pPr>
    <w:rPr>
      <w:rFonts w:asciiTheme="majorHAnsi" w:eastAsiaTheme="majorEastAsia" w:hAnsiTheme="majorHAnsi" w:cstheme="majorBidi"/>
      <w:color w:val="B3186D"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2"/>
      </w:numPr>
      <w:spacing w:before="40" w:after="0"/>
      <w:outlineLvl w:val="2"/>
    </w:pPr>
    <w:rPr>
      <w:rFonts w:asciiTheme="majorHAnsi" w:eastAsiaTheme="majorEastAsia" w:hAnsiTheme="majorHAnsi" w:cstheme="majorBidi"/>
      <w:color w:val="771048"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2"/>
      </w:numPr>
      <w:spacing w:before="40" w:after="0"/>
      <w:outlineLvl w:val="3"/>
    </w:pPr>
    <w:rPr>
      <w:rFonts w:asciiTheme="majorHAnsi" w:eastAsiaTheme="majorEastAsia" w:hAnsiTheme="majorHAnsi" w:cstheme="majorBidi"/>
      <w:i/>
      <w:iCs/>
      <w:color w:val="B3186D"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2"/>
      </w:numPr>
      <w:spacing w:before="40" w:after="0"/>
      <w:outlineLvl w:val="4"/>
    </w:pPr>
    <w:rPr>
      <w:rFonts w:asciiTheme="majorHAnsi" w:eastAsiaTheme="majorEastAsia" w:hAnsiTheme="majorHAnsi" w:cstheme="majorBidi"/>
      <w:color w:val="B3186D"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2"/>
      </w:numPr>
      <w:spacing w:before="40" w:after="0"/>
      <w:outlineLvl w:val="5"/>
    </w:pPr>
    <w:rPr>
      <w:rFonts w:asciiTheme="majorHAnsi" w:eastAsiaTheme="majorEastAsia" w:hAnsiTheme="majorHAnsi" w:cstheme="majorBidi"/>
      <w:color w:val="771048"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2"/>
      </w:numPr>
      <w:spacing w:before="40" w:after="0"/>
      <w:outlineLvl w:val="6"/>
    </w:pPr>
    <w:rPr>
      <w:rFonts w:asciiTheme="majorHAnsi" w:eastAsiaTheme="majorEastAsia" w:hAnsiTheme="majorHAnsi" w:cstheme="majorBidi"/>
      <w:i/>
      <w:iCs/>
      <w:color w:val="771048"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98F"/>
    <w:rPr>
      <w:rFonts w:asciiTheme="majorHAnsi" w:eastAsiaTheme="majorEastAsia" w:hAnsiTheme="majorHAnsi" w:cstheme="majorBidi"/>
      <w:color w:val="B3186D"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B3186D"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771048"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B3186D"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B3186D"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771048"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771048"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6B9F25"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54551"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NormalWeb">
    <w:name w:val="Normal (Web)"/>
    <w:basedOn w:val="Normal"/>
    <w:uiPriority w:val="99"/>
    <w:semiHidden/>
    <w:unhideWhenUsed/>
    <w:rsid w:val="000E34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E0160"/>
    <w:pPr>
      <w:spacing w:after="0" w:line="240" w:lineRule="auto"/>
      <w:ind w:left="720"/>
    </w:pPr>
    <w:rPr>
      <w:rFonts w:ascii="Calibri" w:eastAsia="Times New Roman" w:hAnsi="Calibri" w:cs="Times New Roman"/>
      <w:szCs w:val="20"/>
      <w:lang w:eastAsia="en-GB"/>
    </w:rPr>
  </w:style>
  <w:style w:type="paragraph" w:styleId="z-TopofForm">
    <w:name w:val="HTML Top of Form"/>
    <w:basedOn w:val="Normal"/>
    <w:next w:val="Normal"/>
    <w:link w:val="z-TopofFormChar"/>
    <w:hidden/>
    <w:uiPriority w:val="99"/>
    <w:semiHidden/>
    <w:unhideWhenUsed/>
    <w:rsid w:val="003C27FA"/>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C27FA"/>
    <w:rPr>
      <w:rFonts w:ascii="Arial" w:eastAsia="Times New Roman" w:hAnsi="Arial" w:cs="Arial"/>
      <w:vanish/>
      <w:sz w:val="16"/>
      <w:szCs w:val="16"/>
      <w:lang w:eastAsia="en-GB"/>
    </w:rPr>
  </w:style>
  <w:style w:type="character" w:styleId="Strong">
    <w:name w:val="Strong"/>
    <w:basedOn w:val="DefaultParagraphFont"/>
    <w:uiPriority w:val="22"/>
    <w:qFormat/>
    <w:rsid w:val="00B343CE"/>
    <w:rPr>
      <w:b/>
      <w:bCs/>
    </w:rPr>
  </w:style>
  <w:style w:type="paragraph" w:styleId="NoSpacing">
    <w:name w:val="No Spacing"/>
    <w:link w:val="NoSpacingChar"/>
    <w:uiPriority w:val="1"/>
    <w:qFormat/>
    <w:rsid w:val="00F47B5A"/>
    <w:pPr>
      <w:spacing w:after="0" w:line="240" w:lineRule="auto"/>
    </w:pPr>
    <w:rPr>
      <w:color w:val="454551" w:themeColor="text2"/>
      <w:sz w:val="20"/>
      <w:szCs w:val="20"/>
      <w:lang w:val="en-US"/>
    </w:rPr>
  </w:style>
  <w:style w:type="character" w:customStyle="1" w:styleId="NoSpacingChar">
    <w:name w:val="No Spacing Char"/>
    <w:basedOn w:val="DefaultParagraphFont"/>
    <w:link w:val="NoSpacing"/>
    <w:uiPriority w:val="1"/>
    <w:rsid w:val="000F5148"/>
    <w:rPr>
      <w:color w:val="454551" w:themeColor="text2"/>
      <w:sz w:val="20"/>
      <w:szCs w:val="20"/>
      <w:lang w:val="en-U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6D40A9"/>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620958"/>
    <w:rPr>
      <w:b/>
      <w:bCs/>
    </w:rPr>
  </w:style>
  <w:style w:type="character" w:customStyle="1" w:styleId="CommentSubjectChar">
    <w:name w:val="Comment Subject Char"/>
    <w:basedOn w:val="CommentTextChar"/>
    <w:link w:val="CommentSubject"/>
    <w:uiPriority w:val="99"/>
    <w:semiHidden/>
    <w:rsid w:val="00620958"/>
    <w:rPr>
      <w:b/>
      <w:bCs/>
      <w:sz w:val="20"/>
      <w:szCs w:val="20"/>
    </w:rPr>
  </w:style>
  <w:style w:type="paragraph" w:styleId="Subtitle">
    <w:name w:val="Subtitle"/>
    <w:basedOn w:val="Normal"/>
    <w:next w:val="Normal"/>
    <w:link w:val="SubtitleChar"/>
    <w:uiPriority w:val="11"/>
    <w:qFormat/>
    <w:rsid w:val="0017038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7038E"/>
    <w:rPr>
      <w:rFonts w:eastAsiaTheme="minorEastAsia"/>
      <w:color w:val="5A5A5A" w:themeColor="text1" w:themeTint="A5"/>
      <w:spacing w:val="15"/>
    </w:rPr>
  </w:style>
  <w:style w:type="paragraph" w:styleId="Revision">
    <w:name w:val="Revision"/>
    <w:hidden/>
    <w:uiPriority w:val="99"/>
    <w:semiHidden/>
    <w:rsid w:val="00B020C0"/>
    <w:pPr>
      <w:spacing w:after="0" w:line="240" w:lineRule="auto"/>
    </w:pPr>
  </w:style>
  <w:style w:type="paragraph" w:customStyle="1" w:styleId="pf0">
    <w:name w:val="pf0"/>
    <w:basedOn w:val="Normal"/>
    <w:rsid w:val="00023B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023B0A"/>
    <w:rPr>
      <w:rFonts w:ascii="Segoe UI" w:hAnsi="Segoe UI" w:cs="Segoe UI" w:hint="default"/>
      <w:sz w:val="18"/>
      <w:szCs w:val="18"/>
    </w:rPr>
  </w:style>
  <w:style w:type="paragraph" w:styleId="Quote">
    <w:name w:val="Quote"/>
    <w:basedOn w:val="Normal"/>
    <w:next w:val="Normal"/>
    <w:link w:val="QuoteChar"/>
    <w:uiPriority w:val="29"/>
    <w:qFormat/>
    <w:rsid w:val="000075F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075F2"/>
    <w:rPr>
      <w:i/>
      <w:iCs/>
      <w:color w:val="404040" w:themeColor="text1" w:themeTint="BF"/>
    </w:rPr>
  </w:style>
  <w:style w:type="paragraph" w:styleId="IntenseQuote">
    <w:name w:val="Intense Quote"/>
    <w:basedOn w:val="Normal"/>
    <w:next w:val="Normal"/>
    <w:link w:val="IntenseQuoteChar"/>
    <w:uiPriority w:val="30"/>
    <w:qFormat/>
    <w:rsid w:val="000075F2"/>
    <w:pPr>
      <w:pBdr>
        <w:top w:val="single" w:sz="4" w:space="10" w:color="E32D91" w:themeColor="accent1"/>
        <w:bottom w:val="single" w:sz="4" w:space="10" w:color="E32D91" w:themeColor="accent1"/>
      </w:pBdr>
      <w:spacing w:before="360" w:after="360"/>
      <w:ind w:left="864" w:right="864"/>
      <w:jc w:val="center"/>
    </w:pPr>
    <w:rPr>
      <w:i/>
      <w:iCs/>
      <w:color w:val="E32D91" w:themeColor="accent1"/>
    </w:rPr>
  </w:style>
  <w:style w:type="character" w:customStyle="1" w:styleId="IntenseQuoteChar">
    <w:name w:val="Intense Quote Char"/>
    <w:basedOn w:val="DefaultParagraphFont"/>
    <w:link w:val="IntenseQuote"/>
    <w:uiPriority w:val="30"/>
    <w:rsid w:val="000075F2"/>
    <w:rPr>
      <w:i/>
      <w:iCs/>
      <w:color w:val="E32D91"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879375">
      <w:bodyDiv w:val="1"/>
      <w:marLeft w:val="0"/>
      <w:marRight w:val="0"/>
      <w:marTop w:val="0"/>
      <w:marBottom w:val="0"/>
      <w:divBdr>
        <w:top w:val="none" w:sz="0" w:space="0" w:color="auto"/>
        <w:left w:val="none" w:sz="0" w:space="0" w:color="auto"/>
        <w:bottom w:val="none" w:sz="0" w:space="0" w:color="auto"/>
        <w:right w:val="none" w:sz="0" w:space="0" w:color="auto"/>
      </w:divBdr>
      <w:divsChild>
        <w:div w:id="328140706">
          <w:marLeft w:val="0"/>
          <w:marRight w:val="0"/>
          <w:marTop w:val="0"/>
          <w:marBottom w:val="0"/>
          <w:divBdr>
            <w:top w:val="none" w:sz="0" w:space="0" w:color="auto"/>
            <w:left w:val="none" w:sz="0" w:space="0" w:color="auto"/>
            <w:bottom w:val="none" w:sz="0" w:space="0" w:color="auto"/>
            <w:right w:val="none" w:sz="0" w:space="0" w:color="auto"/>
          </w:divBdr>
        </w:div>
        <w:div w:id="465197842">
          <w:marLeft w:val="0"/>
          <w:marRight w:val="0"/>
          <w:marTop w:val="0"/>
          <w:marBottom w:val="0"/>
          <w:divBdr>
            <w:top w:val="none" w:sz="0" w:space="0" w:color="auto"/>
            <w:left w:val="none" w:sz="0" w:space="0" w:color="auto"/>
            <w:bottom w:val="none" w:sz="0" w:space="0" w:color="auto"/>
            <w:right w:val="none" w:sz="0" w:space="0" w:color="auto"/>
          </w:divBdr>
        </w:div>
        <w:div w:id="688222782">
          <w:marLeft w:val="0"/>
          <w:marRight w:val="0"/>
          <w:marTop w:val="0"/>
          <w:marBottom w:val="0"/>
          <w:divBdr>
            <w:top w:val="none" w:sz="0" w:space="0" w:color="auto"/>
            <w:left w:val="none" w:sz="0" w:space="0" w:color="auto"/>
            <w:bottom w:val="none" w:sz="0" w:space="0" w:color="auto"/>
            <w:right w:val="none" w:sz="0" w:space="0" w:color="auto"/>
          </w:divBdr>
        </w:div>
        <w:div w:id="946473425">
          <w:marLeft w:val="0"/>
          <w:marRight w:val="0"/>
          <w:marTop w:val="0"/>
          <w:marBottom w:val="0"/>
          <w:divBdr>
            <w:top w:val="none" w:sz="0" w:space="0" w:color="auto"/>
            <w:left w:val="none" w:sz="0" w:space="0" w:color="auto"/>
            <w:bottom w:val="none" w:sz="0" w:space="0" w:color="auto"/>
            <w:right w:val="none" w:sz="0" w:space="0" w:color="auto"/>
          </w:divBdr>
        </w:div>
        <w:div w:id="1057975783">
          <w:marLeft w:val="0"/>
          <w:marRight w:val="0"/>
          <w:marTop w:val="0"/>
          <w:marBottom w:val="0"/>
          <w:divBdr>
            <w:top w:val="none" w:sz="0" w:space="0" w:color="auto"/>
            <w:left w:val="none" w:sz="0" w:space="0" w:color="auto"/>
            <w:bottom w:val="none" w:sz="0" w:space="0" w:color="auto"/>
            <w:right w:val="none" w:sz="0" w:space="0" w:color="auto"/>
          </w:divBdr>
        </w:div>
        <w:div w:id="1089230118">
          <w:marLeft w:val="0"/>
          <w:marRight w:val="0"/>
          <w:marTop w:val="0"/>
          <w:marBottom w:val="0"/>
          <w:divBdr>
            <w:top w:val="none" w:sz="0" w:space="0" w:color="auto"/>
            <w:left w:val="none" w:sz="0" w:space="0" w:color="auto"/>
            <w:bottom w:val="none" w:sz="0" w:space="0" w:color="auto"/>
            <w:right w:val="none" w:sz="0" w:space="0" w:color="auto"/>
          </w:divBdr>
        </w:div>
        <w:div w:id="1297636621">
          <w:marLeft w:val="0"/>
          <w:marRight w:val="0"/>
          <w:marTop w:val="0"/>
          <w:marBottom w:val="0"/>
          <w:divBdr>
            <w:top w:val="none" w:sz="0" w:space="0" w:color="auto"/>
            <w:left w:val="none" w:sz="0" w:space="0" w:color="auto"/>
            <w:bottom w:val="none" w:sz="0" w:space="0" w:color="auto"/>
            <w:right w:val="none" w:sz="0" w:space="0" w:color="auto"/>
          </w:divBdr>
        </w:div>
        <w:div w:id="1472866365">
          <w:marLeft w:val="0"/>
          <w:marRight w:val="0"/>
          <w:marTop w:val="0"/>
          <w:marBottom w:val="0"/>
          <w:divBdr>
            <w:top w:val="none" w:sz="0" w:space="0" w:color="auto"/>
            <w:left w:val="none" w:sz="0" w:space="0" w:color="auto"/>
            <w:bottom w:val="none" w:sz="0" w:space="0" w:color="auto"/>
            <w:right w:val="none" w:sz="0" w:space="0" w:color="auto"/>
          </w:divBdr>
        </w:div>
        <w:div w:id="1505391670">
          <w:marLeft w:val="0"/>
          <w:marRight w:val="0"/>
          <w:marTop w:val="0"/>
          <w:marBottom w:val="0"/>
          <w:divBdr>
            <w:top w:val="none" w:sz="0" w:space="0" w:color="auto"/>
            <w:left w:val="none" w:sz="0" w:space="0" w:color="auto"/>
            <w:bottom w:val="none" w:sz="0" w:space="0" w:color="auto"/>
            <w:right w:val="none" w:sz="0" w:space="0" w:color="auto"/>
          </w:divBdr>
        </w:div>
        <w:div w:id="1593049365">
          <w:marLeft w:val="0"/>
          <w:marRight w:val="0"/>
          <w:marTop w:val="0"/>
          <w:marBottom w:val="0"/>
          <w:divBdr>
            <w:top w:val="none" w:sz="0" w:space="0" w:color="auto"/>
            <w:left w:val="none" w:sz="0" w:space="0" w:color="auto"/>
            <w:bottom w:val="none" w:sz="0" w:space="0" w:color="auto"/>
            <w:right w:val="none" w:sz="0" w:space="0" w:color="auto"/>
          </w:divBdr>
        </w:div>
        <w:div w:id="1616596778">
          <w:marLeft w:val="0"/>
          <w:marRight w:val="0"/>
          <w:marTop w:val="0"/>
          <w:marBottom w:val="0"/>
          <w:divBdr>
            <w:top w:val="none" w:sz="0" w:space="0" w:color="auto"/>
            <w:left w:val="none" w:sz="0" w:space="0" w:color="auto"/>
            <w:bottom w:val="none" w:sz="0" w:space="0" w:color="auto"/>
            <w:right w:val="none" w:sz="0" w:space="0" w:color="auto"/>
          </w:divBdr>
        </w:div>
        <w:div w:id="1797023366">
          <w:marLeft w:val="0"/>
          <w:marRight w:val="0"/>
          <w:marTop w:val="0"/>
          <w:marBottom w:val="0"/>
          <w:divBdr>
            <w:top w:val="none" w:sz="0" w:space="0" w:color="auto"/>
            <w:left w:val="none" w:sz="0" w:space="0" w:color="auto"/>
            <w:bottom w:val="none" w:sz="0" w:space="0" w:color="auto"/>
            <w:right w:val="none" w:sz="0" w:space="0" w:color="auto"/>
          </w:divBdr>
        </w:div>
      </w:divsChild>
    </w:div>
    <w:div w:id="1133668307">
      <w:bodyDiv w:val="1"/>
      <w:marLeft w:val="0"/>
      <w:marRight w:val="0"/>
      <w:marTop w:val="0"/>
      <w:marBottom w:val="0"/>
      <w:divBdr>
        <w:top w:val="none" w:sz="0" w:space="0" w:color="auto"/>
        <w:left w:val="none" w:sz="0" w:space="0" w:color="auto"/>
        <w:bottom w:val="none" w:sz="0" w:space="0" w:color="auto"/>
        <w:right w:val="none" w:sz="0" w:space="0" w:color="auto"/>
      </w:divBdr>
      <w:divsChild>
        <w:div w:id="389890102">
          <w:marLeft w:val="0"/>
          <w:marRight w:val="0"/>
          <w:marTop w:val="0"/>
          <w:marBottom w:val="0"/>
          <w:divBdr>
            <w:top w:val="none" w:sz="0" w:space="0" w:color="auto"/>
            <w:left w:val="none" w:sz="0" w:space="0" w:color="auto"/>
            <w:bottom w:val="none" w:sz="0" w:space="0" w:color="auto"/>
            <w:right w:val="none" w:sz="0" w:space="0" w:color="auto"/>
          </w:divBdr>
        </w:div>
        <w:div w:id="562789123">
          <w:marLeft w:val="0"/>
          <w:marRight w:val="0"/>
          <w:marTop w:val="0"/>
          <w:marBottom w:val="0"/>
          <w:divBdr>
            <w:top w:val="none" w:sz="0" w:space="0" w:color="auto"/>
            <w:left w:val="none" w:sz="0" w:space="0" w:color="auto"/>
            <w:bottom w:val="none" w:sz="0" w:space="0" w:color="auto"/>
            <w:right w:val="none" w:sz="0" w:space="0" w:color="auto"/>
          </w:divBdr>
        </w:div>
        <w:div w:id="732462201">
          <w:marLeft w:val="0"/>
          <w:marRight w:val="0"/>
          <w:marTop w:val="0"/>
          <w:marBottom w:val="0"/>
          <w:divBdr>
            <w:top w:val="none" w:sz="0" w:space="0" w:color="auto"/>
            <w:left w:val="none" w:sz="0" w:space="0" w:color="auto"/>
            <w:bottom w:val="none" w:sz="0" w:space="0" w:color="auto"/>
            <w:right w:val="none" w:sz="0" w:space="0" w:color="auto"/>
          </w:divBdr>
        </w:div>
        <w:div w:id="812059217">
          <w:marLeft w:val="0"/>
          <w:marRight w:val="0"/>
          <w:marTop w:val="0"/>
          <w:marBottom w:val="0"/>
          <w:divBdr>
            <w:top w:val="none" w:sz="0" w:space="0" w:color="auto"/>
            <w:left w:val="none" w:sz="0" w:space="0" w:color="auto"/>
            <w:bottom w:val="none" w:sz="0" w:space="0" w:color="auto"/>
            <w:right w:val="none" w:sz="0" w:space="0" w:color="auto"/>
          </w:divBdr>
        </w:div>
        <w:div w:id="907107042">
          <w:marLeft w:val="0"/>
          <w:marRight w:val="0"/>
          <w:marTop w:val="0"/>
          <w:marBottom w:val="0"/>
          <w:divBdr>
            <w:top w:val="none" w:sz="0" w:space="0" w:color="auto"/>
            <w:left w:val="none" w:sz="0" w:space="0" w:color="auto"/>
            <w:bottom w:val="none" w:sz="0" w:space="0" w:color="auto"/>
            <w:right w:val="none" w:sz="0" w:space="0" w:color="auto"/>
          </w:divBdr>
        </w:div>
        <w:div w:id="919483930">
          <w:marLeft w:val="0"/>
          <w:marRight w:val="0"/>
          <w:marTop w:val="0"/>
          <w:marBottom w:val="0"/>
          <w:divBdr>
            <w:top w:val="none" w:sz="0" w:space="0" w:color="auto"/>
            <w:left w:val="none" w:sz="0" w:space="0" w:color="auto"/>
            <w:bottom w:val="none" w:sz="0" w:space="0" w:color="auto"/>
            <w:right w:val="none" w:sz="0" w:space="0" w:color="auto"/>
          </w:divBdr>
        </w:div>
        <w:div w:id="1299264677">
          <w:marLeft w:val="0"/>
          <w:marRight w:val="0"/>
          <w:marTop w:val="0"/>
          <w:marBottom w:val="0"/>
          <w:divBdr>
            <w:top w:val="none" w:sz="0" w:space="0" w:color="auto"/>
            <w:left w:val="none" w:sz="0" w:space="0" w:color="auto"/>
            <w:bottom w:val="none" w:sz="0" w:space="0" w:color="auto"/>
            <w:right w:val="none" w:sz="0" w:space="0" w:color="auto"/>
          </w:divBdr>
        </w:div>
        <w:div w:id="1513834299">
          <w:marLeft w:val="0"/>
          <w:marRight w:val="0"/>
          <w:marTop w:val="0"/>
          <w:marBottom w:val="0"/>
          <w:divBdr>
            <w:top w:val="none" w:sz="0" w:space="0" w:color="auto"/>
            <w:left w:val="none" w:sz="0" w:space="0" w:color="auto"/>
            <w:bottom w:val="none" w:sz="0" w:space="0" w:color="auto"/>
            <w:right w:val="none" w:sz="0" w:space="0" w:color="auto"/>
          </w:divBdr>
        </w:div>
        <w:div w:id="1531257731">
          <w:marLeft w:val="0"/>
          <w:marRight w:val="0"/>
          <w:marTop w:val="0"/>
          <w:marBottom w:val="0"/>
          <w:divBdr>
            <w:top w:val="none" w:sz="0" w:space="0" w:color="auto"/>
            <w:left w:val="none" w:sz="0" w:space="0" w:color="auto"/>
            <w:bottom w:val="none" w:sz="0" w:space="0" w:color="auto"/>
            <w:right w:val="none" w:sz="0" w:space="0" w:color="auto"/>
          </w:divBdr>
        </w:div>
        <w:div w:id="1635792785">
          <w:marLeft w:val="0"/>
          <w:marRight w:val="0"/>
          <w:marTop w:val="0"/>
          <w:marBottom w:val="0"/>
          <w:divBdr>
            <w:top w:val="none" w:sz="0" w:space="0" w:color="auto"/>
            <w:left w:val="none" w:sz="0" w:space="0" w:color="auto"/>
            <w:bottom w:val="none" w:sz="0" w:space="0" w:color="auto"/>
            <w:right w:val="none" w:sz="0" w:space="0" w:color="auto"/>
          </w:divBdr>
        </w:div>
        <w:div w:id="1746997250">
          <w:marLeft w:val="0"/>
          <w:marRight w:val="0"/>
          <w:marTop w:val="0"/>
          <w:marBottom w:val="0"/>
          <w:divBdr>
            <w:top w:val="none" w:sz="0" w:space="0" w:color="auto"/>
            <w:left w:val="none" w:sz="0" w:space="0" w:color="auto"/>
            <w:bottom w:val="none" w:sz="0" w:space="0" w:color="auto"/>
            <w:right w:val="none" w:sz="0" w:space="0" w:color="auto"/>
          </w:divBdr>
        </w:div>
        <w:div w:id="1997417313">
          <w:marLeft w:val="0"/>
          <w:marRight w:val="0"/>
          <w:marTop w:val="0"/>
          <w:marBottom w:val="0"/>
          <w:divBdr>
            <w:top w:val="none" w:sz="0" w:space="0" w:color="auto"/>
            <w:left w:val="none" w:sz="0" w:space="0" w:color="auto"/>
            <w:bottom w:val="none" w:sz="0" w:space="0" w:color="auto"/>
            <w:right w:val="none" w:sz="0" w:space="0" w:color="auto"/>
          </w:divBdr>
        </w:div>
      </w:divsChild>
    </w:div>
    <w:div w:id="1149397018">
      <w:bodyDiv w:val="1"/>
      <w:marLeft w:val="0"/>
      <w:marRight w:val="0"/>
      <w:marTop w:val="0"/>
      <w:marBottom w:val="0"/>
      <w:divBdr>
        <w:top w:val="none" w:sz="0" w:space="0" w:color="auto"/>
        <w:left w:val="none" w:sz="0" w:space="0" w:color="auto"/>
        <w:bottom w:val="none" w:sz="0" w:space="0" w:color="auto"/>
        <w:right w:val="none" w:sz="0" w:space="0" w:color="auto"/>
      </w:divBdr>
    </w:div>
    <w:div w:id="1438332240">
      <w:bodyDiv w:val="1"/>
      <w:marLeft w:val="0"/>
      <w:marRight w:val="0"/>
      <w:marTop w:val="0"/>
      <w:marBottom w:val="0"/>
      <w:divBdr>
        <w:top w:val="none" w:sz="0" w:space="0" w:color="auto"/>
        <w:left w:val="none" w:sz="0" w:space="0" w:color="auto"/>
        <w:bottom w:val="none" w:sz="0" w:space="0" w:color="auto"/>
        <w:right w:val="none" w:sz="0" w:space="0" w:color="auto"/>
      </w:divBdr>
      <w:divsChild>
        <w:div w:id="175268367">
          <w:marLeft w:val="0"/>
          <w:marRight w:val="0"/>
          <w:marTop w:val="0"/>
          <w:marBottom w:val="0"/>
          <w:divBdr>
            <w:top w:val="none" w:sz="0" w:space="0" w:color="auto"/>
            <w:left w:val="none" w:sz="0" w:space="0" w:color="auto"/>
            <w:bottom w:val="none" w:sz="0" w:space="0" w:color="auto"/>
            <w:right w:val="none" w:sz="0" w:space="0" w:color="auto"/>
          </w:divBdr>
        </w:div>
        <w:div w:id="327364754">
          <w:marLeft w:val="0"/>
          <w:marRight w:val="0"/>
          <w:marTop w:val="0"/>
          <w:marBottom w:val="0"/>
          <w:divBdr>
            <w:top w:val="none" w:sz="0" w:space="0" w:color="auto"/>
            <w:left w:val="none" w:sz="0" w:space="0" w:color="auto"/>
            <w:bottom w:val="none" w:sz="0" w:space="0" w:color="auto"/>
            <w:right w:val="none" w:sz="0" w:space="0" w:color="auto"/>
          </w:divBdr>
        </w:div>
        <w:div w:id="501625106">
          <w:marLeft w:val="0"/>
          <w:marRight w:val="0"/>
          <w:marTop w:val="0"/>
          <w:marBottom w:val="0"/>
          <w:divBdr>
            <w:top w:val="none" w:sz="0" w:space="0" w:color="auto"/>
            <w:left w:val="none" w:sz="0" w:space="0" w:color="auto"/>
            <w:bottom w:val="none" w:sz="0" w:space="0" w:color="auto"/>
            <w:right w:val="none" w:sz="0" w:space="0" w:color="auto"/>
          </w:divBdr>
        </w:div>
        <w:div w:id="556549470">
          <w:marLeft w:val="0"/>
          <w:marRight w:val="0"/>
          <w:marTop w:val="0"/>
          <w:marBottom w:val="0"/>
          <w:divBdr>
            <w:top w:val="none" w:sz="0" w:space="0" w:color="auto"/>
            <w:left w:val="none" w:sz="0" w:space="0" w:color="auto"/>
            <w:bottom w:val="none" w:sz="0" w:space="0" w:color="auto"/>
            <w:right w:val="none" w:sz="0" w:space="0" w:color="auto"/>
          </w:divBdr>
        </w:div>
        <w:div w:id="707723913">
          <w:marLeft w:val="0"/>
          <w:marRight w:val="0"/>
          <w:marTop w:val="0"/>
          <w:marBottom w:val="0"/>
          <w:divBdr>
            <w:top w:val="none" w:sz="0" w:space="0" w:color="auto"/>
            <w:left w:val="none" w:sz="0" w:space="0" w:color="auto"/>
            <w:bottom w:val="none" w:sz="0" w:space="0" w:color="auto"/>
            <w:right w:val="none" w:sz="0" w:space="0" w:color="auto"/>
          </w:divBdr>
        </w:div>
        <w:div w:id="717703157">
          <w:marLeft w:val="0"/>
          <w:marRight w:val="0"/>
          <w:marTop w:val="0"/>
          <w:marBottom w:val="0"/>
          <w:divBdr>
            <w:top w:val="none" w:sz="0" w:space="0" w:color="auto"/>
            <w:left w:val="none" w:sz="0" w:space="0" w:color="auto"/>
            <w:bottom w:val="none" w:sz="0" w:space="0" w:color="auto"/>
            <w:right w:val="none" w:sz="0" w:space="0" w:color="auto"/>
          </w:divBdr>
        </w:div>
        <w:div w:id="922497771">
          <w:marLeft w:val="0"/>
          <w:marRight w:val="0"/>
          <w:marTop w:val="0"/>
          <w:marBottom w:val="0"/>
          <w:divBdr>
            <w:top w:val="none" w:sz="0" w:space="0" w:color="auto"/>
            <w:left w:val="none" w:sz="0" w:space="0" w:color="auto"/>
            <w:bottom w:val="none" w:sz="0" w:space="0" w:color="auto"/>
            <w:right w:val="none" w:sz="0" w:space="0" w:color="auto"/>
          </w:divBdr>
        </w:div>
        <w:div w:id="924339855">
          <w:marLeft w:val="0"/>
          <w:marRight w:val="0"/>
          <w:marTop w:val="0"/>
          <w:marBottom w:val="0"/>
          <w:divBdr>
            <w:top w:val="none" w:sz="0" w:space="0" w:color="auto"/>
            <w:left w:val="none" w:sz="0" w:space="0" w:color="auto"/>
            <w:bottom w:val="none" w:sz="0" w:space="0" w:color="auto"/>
            <w:right w:val="none" w:sz="0" w:space="0" w:color="auto"/>
          </w:divBdr>
        </w:div>
        <w:div w:id="1131048429">
          <w:marLeft w:val="0"/>
          <w:marRight w:val="0"/>
          <w:marTop w:val="0"/>
          <w:marBottom w:val="0"/>
          <w:divBdr>
            <w:top w:val="none" w:sz="0" w:space="0" w:color="auto"/>
            <w:left w:val="none" w:sz="0" w:space="0" w:color="auto"/>
            <w:bottom w:val="none" w:sz="0" w:space="0" w:color="auto"/>
            <w:right w:val="none" w:sz="0" w:space="0" w:color="auto"/>
          </w:divBdr>
        </w:div>
        <w:div w:id="1191182611">
          <w:marLeft w:val="0"/>
          <w:marRight w:val="0"/>
          <w:marTop w:val="0"/>
          <w:marBottom w:val="0"/>
          <w:divBdr>
            <w:top w:val="none" w:sz="0" w:space="0" w:color="auto"/>
            <w:left w:val="none" w:sz="0" w:space="0" w:color="auto"/>
            <w:bottom w:val="none" w:sz="0" w:space="0" w:color="auto"/>
            <w:right w:val="none" w:sz="0" w:space="0" w:color="auto"/>
          </w:divBdr>
        </w:div>
        <w:div w:id="1241909414">
          <w:marLeft w:val="0"/>
          <w:marRight w:val="0"/>
          <w:marTop w:val="0"/>
          <w:marBottom w:val="0"/>
          <w:divBdr>
            <w:top w:val="none" w:sz="0" w:space="0" w:color="auto"/>
            <w:left w:val="none" w:sz="0" w:space="0" w:color="auto"/>
            <w:bottom w:val="none" w:sz="0" w:space="0" w:color="auto"/>
            <w:right w:val="none" w:sz="0" w:space="0" w:color="auto"/>
          </w:divBdr>
        </w:div>
        <w:div w:id="1433553569">
          <w:marLeft w:val="0"/>
          <w:marRight w:val="0"/>
          <w:marTop w:val="0"/>
          <w:marBottom w:val="0"/>
          <w:divBdr>
            <w:top w:val="none" w:sz="0" w:space="0" w:color="auto"/>
            <w:left w:val="none" w:sz="0" w:space="0" w:color="auto"/>
            <w:bottom w:val="none" w:sz="0" w:space="0" w:color="auto"/>
            <w:right w:val="none" w:sz="0" w:space="0" w:color="auto"/>
          </w:divBdr>
        </w:div>
        <w:div w:id="1468668619">
          <w:marLeft w:val="0"/>
          <w:marRight w:val="0"/>
          <w:marTop w:val="0"/>
          <w:marBottom w:val="0"/>
          <w:divBdr>
            <w:top w:val="none" w:sz="0" w:space="0" w:color="auto"/>
            <w:left w:val="none" w:sz="0" w:space="0" w:color="auto"/>
            <w:bottom w:val="none" w:sz="0" w:space="0" w:color="auto"/>
            <w:right w:val="none" w:sz="0" w:space="0" w:color="auto"/>
          </w:divBdr>
        </w:div>
        <w:div w:id="1741517272">
          <w:marLeft w:val="0"/>
          <w:marRight w:val="0"/>
          <w:marTop w:val="0"/>
          <w:marBottom w:val="0"/>
          <w:divBdr>
            <w:top w:val="none" w:sz="0" w:space="0" w:color="auto"/>
            <w:left w:val="none" w:sz="0" w:space="0" w:color="auto"/>
            <w:bottom w:val="none" w:sz="0" w:space="0" w:color="auto"/>
            <w:right w:val="none" w:sz="0" w:space="0" w:color="auto"/>
          </w:divBdr>
        </w:div>
        <w:div w:id="1755276743">
          <w:marLeft w:val="0"/>
          <w:marRight w:val="0"/>
          <w:marTop w:val="0"/>
          <w:marBottom w:val="0"/>
          <w:divBdr>
            <w:top w:val="none" w:sz="0" w:space="0" w:color="auto"/>
            <w:left w:val="none" w:sz="0" w:space="0" w:color="auto"/>
            <w:bottom w:val="none" w:sz="0" w:space="0" w:color="auto"/>
            <w:right w:val="none" w:sz="0" w:space="0" w:color="auto"/>
          </w:divBdr>
        </w:div>
        <w:div w:id="1923759613">
          <w:marLeft w:val="0"/>
          <w:marRight w:val="0"/>
          <w:marTop w:val="0"/>
          <w:marBottom w:val="0"/>
          <w:divBdr>
            <w:top w:val="none" w:sz="0" w:space="0" w:color="auto"/>
            <w:left w:val="none" w:sz="0" w:space="0" w:color="auto"/>
            <w:bottom w:val="none" w:sz="0" w:space="0" w:color="auto"/>
            <w:right w:val="none" w:sz="0" w:space="0" w:color="auto"/>
          </w:divBdr>
        </w:div>
        <w:div w:id="1938563781">
          <w:marLeft w:val="0"/>
          <w:marRight w:val="0"/>
          <w:marTop w:val="0"/>
          <w:marBottom w:val="0"/>
          <w:divBdr>
            <w:top w:val="none" w:sz="0" w:space="0" w:color="auto"/>
            <w:left w:val="none" w:sz="0" w:space="0" w:color="auto"/>
            <w:bottom w:val="none" w:sz="0" w:space="0" w:color="auto"/>
            <w:right w:val="none" w:sz="0" w:space="0" w:color="auto"/>
          </w:divBdr>
        </w:div>
        <w:div w:id="2093307266">
          <w:marLeft w:val="0"/>
          <w:marRight w:val="0"/>
          <w:marTop w:val="0"/>
          <w:marBottom w:val="0"/>
          <w:divBdr>
            <w:top w:val="none" w:sz="0" w:space="0" w:color="auto"/>
            <w:left w:val="none" w:sz="0" w:space="0" w:color="auto"/>
            <w:bottom w:val="none" w:sz="0" w:space="0" w:color="auto"/>
            <w:right w:val="none" w:sz="0" w:space="0" w:color="auto"/>
          </w:divBdr>
        </w:div>
      </w:divsChild>
    </w:div>
    <w:div w:id="1629432753">
      <w:bodyDiv w:val="1"/>
      <w:marLeft w:val="0"/>
      <w:marRight w:val="0"/>
      <w:marTop w:val="0"/>
      <w:marBottom w:val="0"/>
      <w:divBdr>
        <w:top w:val="none" w:sz="0" w:space="0" w:color="auto"/>
        <w:left w:val="none" w:sz="0" w:space="0" w:color="auto"/>
        <w:bottom w:val="none" w:sz="0" w:space="0" w:color="auto"/>
        <w:right w:val="none" w:sz="0" w:space="0" w:color="auto"/>
      </w:divBdr>
      <w:divsChild>
        <w:div w:id="1853643226">
          <w:marLeft w:val="0"/>
          <w:marRight w:val="0"/>
          <w:marTop w:val="0"/>
          <w:marBottom w:val="0"/>
          <w:divBdr>
            <w:top w:val="single" w:sz="2" w:space="0" w:color="D9D9E3"/>
            <w:left w:val="single" w:sz="2" w:space="0" w:color="D9D9E3"/>
            <w:bottom w:val="single" w:sz="2" w:space="0" w:color="D9D9E3"/>
            <w:right w:val="single" w:sz="2" w:space="0" w:color="D9D9E3"/>
          </w:divBdr>
          <w:divsChild>
            <w:div w:id="134876784">
              <w:marLeft w:val="0"/>
              <w:marRight w:val="0"/>
              <w:marTop w:val="0"/>
              <w:marBottom w:val="0"/>
              <w:divBdr>
                <w:top w:val="single" w:sz="2" w:space="0" w:color="D9D9E3"/>
                <w:left w:val="single" w:sz="2" w:space="0" w:color="D9D9E3"/>
                <w:bottom w:val="single" w:sz="2" w:space="0" w:color="D9D9E3"/>
                <w:right w:val="single" w:sz="2" w:space="0" w:color="D9D9E3"/>
              </w:divBdr>
              <w:divsChild>
                <w:div w:id="939214022">
                  <w:marLeft w:val="0"/>
                  <w:marRight w:val="0"/>
                  <w:marTop w:val="0"/>
                  <w:marBottom w:val="0"/>
                  <w:divBdr>
                    <w:top w:val="single" w:sz="2" w:space="0" w:color="D9D9E3"/>
                    <w:left w:val="single" w:sz="2" w:space="0" w:color="D9D9E3"/>
                    <w:bottom w:val="single" w:sz="2" w:space="0" w:color="D9D9E3"/>
                    <w:right w:val="single" w:sz="2" w:space="0" w:color="D9D9E3"/>
                  </w:divBdr>
                  <w:divsChild>
                    <w:div w:id="913778338">
                      <w:marLeft w:val="0"/>
                      <w:marRight w:val="0"/>
                      <w:marTop w:val="0"/>
                      <w:marBottom w:val="0"/>
                      <w:divBdr>
                        <w:top w:val="single" w:sz="2" w:space="0" w:color="D9D9E3"/>
                        <w:left w:val="single" w:sz="2" w:space="0" w:color="D9D9E3"/>
                        <w:bottom w:val="single" w:sz="2" w:space="0" w:color="D9D9E3"/>
                        <w:right w:val="single" w:sz="2" w:space="0" w:color="D9D9E3"/>
                      </w:divBdr>
                      <w:divsChild>
                        <w:div w:id="27537516">
                          <w:marLeft w:val="0"/>
                          <w:marRight w:val="0"/>
                          <w:marTop w:val="0"/>
                          <w:marBottom w:val="0"/>
                          <w:divBdr>
                            <w:top w:val="single" w:sz="2" w:space="0" w:color="auto"/>
                            <w:left w:val="single" w:sz="2" w:space="0" w:color="auto"/>
                            <w:bottom w:val="single" w:sz="6" w:space="0" w:color="auto"/>
                            <w:right w:val="single" w:sz="2" w:space="0" w:color="auto"/>
                          </w:divBdr>
                          <w:divsChild>
                            <w:div w:id="2008705872">
                              <w:marLeft w:val="0"/>
                              <w:marRight w:val="0"/>
                              <w:marTop w:val="100"/>
                              <w:marBottom w:val="100"/>
                              <w:divBdr>
                                <w:top w:val="single" w:sz="2" w:space="0" w:color="D9D9E3"/>
                                <w:left w:val="single" w:sz="2" w:space="0" w:color="D9D9E3"/>
                                <w:bottom w:val="single" w:sz="2" w:space="0" w:color="D9D9E3"/>
                                <w:right w:val="single" w:sz="2" w:space="0" w:color="D9D9E3"/>
                              </w:divBdr>
                              <w:divsChild>
                                <w:div w:id="1842037424">
                                  <w:marLeft w:val="0"/>
                                  <w:marRight w:val="0"/>
                                  <w:marTop w:val="0"/>
                                  <w:marBottom w:val="0"/>
                                  <w:divBdr>
                                    <w:top w:val="single" w:sz="2" w:space="0" w:color="D9D9E3"/>
                                    <w:left w:val="single" w:sz="2" w:space="0" w:color="D9D9E3"/>
                                    <w:bottom w:val="single" w:sz="2" w:space="0" w:color="D9D9E3"/>
                                    <w:right w:val="single" w:sz="2" w:space="0" w:color="D9D9E3"/>
                                  </w:divBdr>
                                  <w:divsChild>
                                    <w:div w:id="1699313672">
                                      <w:marLeft w:val="0"/>
                                      <w:marRight w:val="0"/>
                                      <w:marTop w:val="0"/>
                                      <w:marBottom w:val="0"/>
                                      <w:divBdr>
                                        <w:top w:val="single" w:sz="2" w:space="0" w:color="D9D9E3"/>
                                        <w:left w:val="single" w:sz="2" w:space="0" w:color="D9D9E3"/>
                                        <w:bottom w:val="single" w:sz="2" w:space="0" w:color="D9D9E3"/>
                                        <w:right w:val="single" w:sz="2" w:space="0" w:color="D9D9E3"/>
                                      </w:divBdr>
                                      <w:divsChild>
                                        <w:div w:id="1460536526">
                                          <w:marLeft w:val="0"/>
                                          <w:marRight w:val="0"/>
                                          <w:marTop w:val="0"/>
                                          <w:marBottom w:val="0"/>
                                          <w:divBdr>
                                            <w:top w:val="single" w:sz="2" w:space="0" w:color="D9D9E3"/>
                                            <w:left w:val="single" w:sz="2" w:space="0" w:color="D9D9E3"/>
                                            <w:bottom w:val="single" w:sz="2" w:space="0" w:color="D9D9E3"/>
                                            <w:right w:val="single" w:sz="2" w:space="0" w:color="D9D9E3"/>
                                          </w:divBdr>
                                          <w:divsChild>
                                            <w:div w:id="480539948">
                                              <w:marLeft w:val="0"/>
                                              <w:marRight w:val="0"/>
                                              <w:marTop w:val="0"/>
                                              <w:marBottom w:val="0"/>
                                              <w:divBdr>
                                                <w:top w:val="single" w:sz="2" w:space="0" w:color="D9D9E3"/>
                                                <w:left w:val="single" w:sz="2" w:space="0" w:color="D9D9E3"/>
                                                <w:bottom w:val="single" w:sz="2" w:space="0" w:color="D9D9E3"/>
                                                <w:right w:val="single" w:sz="2" w:space="0" w:color="D9D9E3"/>
                                              </w:divBdr>
                                              <w:divsChild>
                                                <w:div w:id="1058437249">
                                                  <w:marLeft w:val="0"/>
                                                  <w:marRight w:val="0"/>
                                                  <w:marTop w:val="0"/>
                                                  <w:marBottom w:val="0"/>
                                                  <w:divBdr>
                                                    <w:top w:val="single" w:sz="2" w:space="0" w:color="D9D9E3"/>
                                                    <w:left w:val="single" w:sz="2" w:space="0" w:color="D9D9E3"/>
                                                    <w:bottom w:val="single" w:sz="2" w:space="0" w:color="D9D9E3"/>
                                                    <w:right w:val="single" w:sz="2" w:space="0" w:color="D9D9E3"/>
                                                  </w:divBdr>
                                                  <w:divsChild>
                                                    <w:div w:id="1207304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64207556">
          <w:marLeft w:val="0"/>
          <w:marRight w:val="0"/>
          <w:marTop w:val="0"/>
          <w:marBottom w:val="0"/>
          <w:divBdr>
            <w:top w:val="none" w:sz="0" w:space="0" w:color="auto"/>
            <w:left w:val="none" w:sz="0" w:space="0" w:color="auto"/>
            <w:bottom w:val="none" w:sz="0" w:space="0" w:color="auto"/>
            <w:right w:val="none" w:sz="0" w:space="0" w:color="auto"/>
          </w:divBdr>
        </w:div>
      </w:divsChild>
    </w:div>
    <w:div w:id="1665351897">
      <w:bodyDiv w:val="1"/>
      <w:marLeft w:val="0"/>
      <w:marRight w:val="0"/>
      <w:marTop w:val="0"/>
      <w:marBottom w:val="0"/>
      <w:divBdr>
        <w:top w:val="none" w:sz="0" w:space="0" w:color="auto"/>
        <w:left w:val="none" w:sz="0" w:space="0" w:color="auto"/>
        <w:bottom w:val="none" w:sz="0" w:space="0" w:color="auto"/>
        <w:right w:val="none" w:sz="0" w:space="0" w:color="auto"/>
      </w:divBdr>
      <w:divsChild>
        <w:div w:id="13264615">
          <w:marLeft w:val="0"/>
          <w:marRight w:val="0"/>
          <w:marTop w:val="0"/>
          <w:marBottom w:val="0"/>
          <w:divBdr>
            <w:top w:val="none" w:sz="0" w:space="0" w:color="auto"/>
            <w:left w:val="none" w:sz="0" w:space="0" w:color="auto"/>
            <w:bottom w:val="none" w:sz="0" w:space="0" w:color="auto"/>
            <w:right w:val="none" w:sz="0" w:space="0" w:color="auto"/>
          </w:divBdr>
        </w:div>
        <w:div w:id="49307946">
          <w:marLeft w:val="0"/>
          <w:marRight w:val="0"/>
          <w:marTop w:val="0"/>
          <w:marBottom w:val="0"/>
          <w:divBdr>
            <w:top w:val="none" w:sz="0" w:space="0" w:color="auto"/>
            <w:left w:val="none" w:sz="0" w:space="0" w:color="auto"/>
            <w:bottom w:val="none" w:sz="0" w:space="0" w:color="auto"/>
            <w:right w:val="none" w:sz="0" w:space="0" w:color="auto"/>
          </w:divBdr>
        </w:div>
        <w:div w:id="60561647">
          <w:marLeft w:val="0"/>
          <w:marRight w:val="0"/>
          <w:marTop w:val="0"/>
          <w:marBottom w:val="0"/>
          <w:divBdr>
            <w:top w:val="none" w:sz="0" w:space="0" w:color="auto"/>
            <w:left w:val="none" w:sz="0" w:space="0" w:color="auto"/>
            <w:bottom w:val="none" w:sz="0" w:space="0" w:color="auto"/>
            <w:right w:val="none" w:sz="0" w:space="0" w:color="auto"/>
          </w:divBdr>
        </w:div>
        <w:div w:id="150214392">
          <w:marLeft w:val="0"/>
          <w:marRight w:val="0"/>
          <w:marTop w:val="0"/>
          <w:marBottom w:val="0"/>
          <w:divBdr>
            <w:top w:val="none" w:sz="0" w:space="0" w:color="auto"/>
            <w:left w:val="none" w:sz="0" w:space="0" w:color="auto"/>
            <w:bottom w:val="none" w:sz="0" w:space="0" w:color="auto"/>
            <w:right w:val="none" w:sz="0" w:space="0" w:color="auto"/>
          </w:divBdr>
        </w:div>
        <w:div w:id="249044985">
          <w:marLeft w:val="0"/>
          <w:marRight w:val="0"/>
          <w:marTop w:val="0"/>
          <w:marBottom w:val="0"/>
          <w:divBdr>
            <w:top w:val="none" w:sz="0" w:space="0" w:color="auto"/>
            <w:left w:val="none" w:sz="0" w:space="0" w:color="auto"/>
            <w:bottom w:val="none" w:sz="0" w:space="0" w:color="auto"/>
            <w:right w:val="none" w:sz="0" w:space="0" w:color="auto"/>
          </w:divBdr>
        </w:div>
        <w:div w:id="310985726">
          <w:marLeft w:val="0"/>
          <w:marRight w:val="0"/>
          <w:marTop w:val="0"/>
          <w:marBottom w:val="0"/>
          <w:divBdr>
            <w:top w:val="none" w:sz="0" w:space="0" w:color="auto"/>
            <w:left w:val="none" w:sz="0" w:space="0" w:color="auto"/>
            <w:bottom w:val="none" w:sz="0" w:space="0" w:color="auto"/>
            <w:right w:val="none" w:sz="0" w:space="0" w:color="auto"/>
          </w:divBdr>
        </w:div>
        <w:div w:id="512573390">
          <w:marLeft w:val="0"/>
          <w:marRight w:val="0"/>
          <w:marTop w:val="0"/>
          <w:marBottom w:val="0"/>
          <w:divBdr>
            <w:top w:val="none" w:sz="0" w:space="0" w:color="auto"/>
            <w:left w:val="none" w:sz="0" w:space="0" w:color="auto"/>
            <w:bottom w:val="none" w:sz="0" w:space="0" w:color="auto"/>
            <w:right w:val="none" w:sz="0" w:space="0" w:color="auto"/>
          </w:divBdr>
        </w:div>
        <w:div w:id="754858824">
          <w:marLeft w:val="0"/>
          <w:marRight w:val="0"/>
          <w:marTop w:val="0"/>
          <w:marBottom w:val="0"/>
          <w:divBdr>
            <w:top w:val="none" w:sz="0" w:space="0" w:color="auto"/>
            <w:left w:val="none" w:sz="0" w:space="0" w:color="auto"/>
            <w:bottom w:val="none" w:sz="0" w:space="0" w:color="auto"/>
            <w:right w:val="none" w:sz="0" w:space="0" w:color="auto"/>
          </w:divBdr>
        </w:div>
        <w:div w:id="930356298">
          <w:marLeft w:val="0"/>
          <w:marRight w:val="0"/>
          <w:marTop w:val="0"/>
          <w:marBottom w:val="0"/>
          <w:divBdr>
            <w:top w:val="none" w:sz="0" w:space="0" w:color="auto"/>
            <w:left w:val="none" w:sz="0" w:space="0" w:color="auto"/>
            <w:bottom w:val="none" w:sz="0" w:space="0" w:color="auto"/>
            <w:right w:val="none" w:sz="0" w:space="0" w:color="auto"/>
          </w:divBdr>
        </w:div>
        <w:div w:id="1095202597">
          <w:marLeft w:val="0"/>
          <w:marRight w:val="0"/>
          <w:marTop w:val="0"/>
          <w:marBottom w:val="0"/>
          <w:divBdr>
            <w:top w:val="none" w:sz="0" w:space="0" w:color="auto"/>
            <w:left w:val="none" w:sz="0" w:space="0" w:color="auto"/>
            <w:bottom w:val="none" w:sz="0" w:space="0" w:color="auto"/>
            <w:right w:val="none" w:sz="0" w:space="0" w:color="auto"/>
          </w:divBdr>
        </w:div>
        <w:div w:id="1207253573">
          <w:marLeft w:val="0"/>
          <w:marRight w:val="0"/>
          <w:marTop w:val="0"/>
          <w:marBottom w:val="0"/>
          <w:divBdr>
            <w:top w:val="none" w:sz="0" w:space="0" w:color="auto"/>
            <w:left w:val="none" w:sz="0" w:space="0" w:color="auto"/>
            <w:bottom w:val="none" w:sz="0" w:space="0" w:color="auto"/>
            <w:right w:val="none" w:sz="0" w:space="0" w:color="auto"/>
          </w:divBdr>
        </w:div>
        <w:div w:id="1267734012">
          <w:marLeft w:val="0"/>
          <w:marRight w:val="0"/>
          <w:marTop w:val="0"/>
          <w:marBottom w:val="0"/>
          <w:divBdr>
            <w:top w:val="none" w:sz="0" w:space="0" w:color="auto"/>
            <w:left w:val="none" w:sz="0" w:space="0" w:color="auto"/>
            <w:bottom w:val="none" w:sz="0" w:space="0" w:color="auto"/>
            <w:right w:val="none" w:sz="0" w:space="0" w:color="auto"/>
          </w:divBdr>
        </w:div>
        <w:div w:id="1275406999">
          <w:marLeft w:val="0"/>
          <w:marRight w:val="0"/>
          <w:marTop w:val="0"/>
          <w:marBottom w:val="0"/>
          <w:divBdr>
            <w:top w:val="none" w:sz="0" w:space="0" w:color="auto"/>
            <w:left w:val="none" w:sz="0" w:space="0" w:color="auto"/>
            <w:bottom w:val="none" w:sz="0" w:space="0" w:color="auto"/>
            <w:right w:val="none" w:sz="0" w:space="0" w:color="auto"/>
          </w:divBdr>
        </w:div>
        <w:div w:id="1359359090">
          <w:marLeft w:val="0"/>
          <w:marRight w:val="0"/>
          <w:marTop w:val="0"/>
          <w:marBottom w:val="0"/>
          <w:divBdr>
            <w:top w:val="none" w:sz="0" w:space="0" w:color="auto"/>
            <w:left w:val="none" w:sz="0" w:space="0" w:color="auto"/>
            <w:bottom w:val="none" w:sz="0" w:space="0" w:color="auto"/>
            <w:right w:val="none" w:sz="0" w:space="0" w:color="auto"/>
          </w:divBdr>
        </w:div>
        <w:div w:id="1533375792">
          <w:marLeft w:val="0"/>
          <w:marRight w:val="0"/>
          <w:marTop w:val="0"/>
          <w:marBottom w:val="0"/>
          <w:divBdr>
            <w:top w:val="none" w:sz="0" w:space="0" w:color="auto"/>
            <w:left w:val="none" w:sz="0" w:space="0" w:color="auto"/>
            <w:bottom w:val="none" w:sz="0" w:space="0" w:color="auto"/>
            <w:right w:val="none" w:sz="0" w:space="0" w:color="auto"/>
          </w:divBdr>
        </w:div>
        <w:div w:id="2060546923">
          <w:marLeft w:val="0"/>
          <w:marRight w:val="0"/>
          <w:marTop w:val="0"/>
          <w:marBottom w:val="0"/>
          <w:divBdr>
            <w:top w:val="none" w:sz="0" w:space="0" w:color="auto"/>
            <w:left w:val="none" w:sz="0" w:space="0" w:color="auto"/>
            <w:bottom w:val="none" w:sz="0" w:space="0" w:color="auto"/>
            <w:right w:val="none" w:sz="0" w:space="0" w:color="auto"/>
          </w:divBdr>
        </w:div>
        <w:div w:id="2081442004">
          <w:marLeft w:val="0"/>
          <w:marRight w:val="0"/>
          <w:marTop w:val="0"/>
          <w:marBottom w:val="0"/>
          <w:divBdr>
            <w:top w:val="none" w:sz="0" w:space="0" w:color="auto"/>
            <w:left w:val="none" w:sz="0" w:space="0" w:color="auto"/>
            <w:bottom w:val="none" w:sz="0" w:space="0" w:color="auto"/>
            <w:right w:val="none" w:sz="0" w:space="0" w:color="auto"/>
          </w:divBdr>
        </w:div>
        <w:div w:id="2118913824">
          <w:marLeft w:val="0"/>
          <w:marRight w:val="0"/>
          <w:marTop w:val="0"/>
          <w:marBottom w:val="0"/>
          <w:divBdr>
            <w:top w:val="none" w:sz="0" w:space="0" w:color="auto"/>
            <w:left w:val="none" w:sz="0" w:space="0" w:color="auto"/>
            <w:bottom w:val="none" w:sz="0" w:space="0" w:color="auto"/>
            <w:right w:val="none" w:sz="0" w:space="0" w:color="auto"/>
          </w:divBdr>
        </w:div>
      </w:divsChild>
    </w:div>
    <w:div w:id="189893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3.png"/><Relationship Id="rId26" Type="http://schemas.openxmlformats.org/officeDocument/2006/relationships/image" Target="media/image9.png"/><Relationship Id="rId39" Type="http://schemas.openxmlformats.org/officeDocument/2006/relationships/theme" Target="theme/theme1.xml"/><Relationship Id="rId21" Type="http://schemas.openxmlformats.org/officeDocument/2006/relationships/image" Target="media/image4.png"/><Relationship Id="rId34" Type="http://schemas.openxmlformats.org/officeDocument/2006/relationships/image" Target="media/image17.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study investigated the effectiveness of biochar slurry injection as a remediation method for copper-contaminated soils at Kilvey Hill, Swansea, a post-industrial landscape heavily affected by historic copper smelting. The research aimed to assess whether biochar could reduce copper concentrations and improve soil conditions within contaminated mine spoil environments. Eight paired control and treatment plots were established across four habitat types. Biochar slurry was applied to treatment plots, and soil samples were collected at baseline, four months, and eight months after application. Copper concentrations and soil pH were analysed using spectrophotometric methods and statistical testing. The results showed significant reductions in copper concentrations over time within treatment plots, while control plots remained relatively stable. Significant increases in soil pH were also observed, suggesting that biochar contributed to reducing copper mobility through alkalisation and immobilisation processes. No significant differences were identified between habitat types, indicating that remediation effectiveness was relatively consistent across the study area. The findings suggest that biochar slurry injection may provide a sustainable and low-cost remediation strategy for contaminated mine spoil soils. In addition to reducing heavy metal bioavailability, biochar may support ecological restoration through improved soil conditions and carbon sequestration. However, further long-term research is required to assess the persistence of remediation effects and broader ecological recovery.</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d02ee663-9d75-423d-bf72-2074728981ac" xsi:nil="true"/>
    <lcf76f155ced4ddcb4097134ff3c332f xmlns="745442ed-da55-4337-9919-68a3d2d4cc2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BA249224504BBF4AADE362CB267FC93F" ma:contentTypeVersion="8" ma:contentTypeDescription="Create a new document." ma:contentTypeScope="" ma:versionID="0ebf9f4aae06073bbf16d2936161b015">
  <xsd:schema xmlns:xsd="http://www.w3.org/2001/XMLSchema" xmlns:xs="http://www.w3.org/2001/XMLSchema" xmlns:p="http://schemas.microsoft.com/office/2006/metadata/properties" xmlns:ns2="745442ed-da55-4337-9919-68a3d2d4cc24" xmlns:ns3="d02ee663-9d75-423d-bf72-2074728981ac" targetNamespace="http://schemas.microsoft.com/office/2006/metadata/properties" ma:root="true" ma:fieldsID="d7c6fc1498dc7a3f4b55449163e8ab00" ns2:_="" ns3:_="">
    <xsd:import namespace="745442ed-da55-4337-9919-68a3d2d4cc24"/>
    <xsd:import namespace="d02ee663-9d75-423d-bf72-2074728981a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5442ed-da55-4337-9919-68a3d2d4cc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2ee663-9d75-423d-bf72-2074728981a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a6df9508-f4d0-48f2-a408-e814f2d9cb18}" ma:internalName="TaxCatchAll" ma:showField="CatchAllData" ma:web="d02ee663-9d75-423d-bf72-207472898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D56C32-4B64-4D6C-A664-C6774133A076}">
  <ds:schemaRefs>
    <ds:schemaRef ds:uri="http://schemas.microsoft.com/office/2006/metadata/properties"/>
    <ds:schemaRef ds:uri="http://schemas.microsoft.com/office/infopath/2007/PartnerControls"/>
    <ds:schemaRef ds:uri="d02ee663-9d75-423d-bf72-2074728981ac"/>
    <ds:schemaRef ds:uri="745442ed-da55-4337-9919-68a3d2d4cc24"/>
  </ds:schemaRefs>
</ds:datastoreItem>
</file>

<file path=customXml/itemProps3.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4.xml><?xml version="1.0" encoding="utf-8"?>
<ds:datastoreItem xmlns:ds="http://schemas.openxmlformats.org/officeDocument/2006/customXml" ds:itemID="{AB4E4364-FEBC-4279-AB7D-1DAD30D18F28}">
  <ds:schemaRefs>
    <ds:schemaRef ds:uri="http://schemas.microsoft.com/sharepoint/v3/contenttype/forms"/>
  </ds:schemaRefs>
</ds:datastoreItem>
</file>

<file path=customXml/itemProps5.xml><?xml version="1.0" encoding="utf-8"?>
<ds:datastoreItem xmlns:ds="http://schemas.openxmlformats.org/officeDocument/2006/customXml" ds:itemID="{F0DAAE3C-B2CA-45FB-AC4D-64D477FB4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5442ed-da55-4337-9919-68a3d2d4cc24"/>
    <ds:schemaRef ds:uri="d02ee663-9d75-423d-bf72-207472898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2297</TotalTime>
  <Pages>39</Pages>
  <Words>13614</Words>
  <Characters>77600</Characters>
  <Application>Microsoft Office Word</Application>
  <DocSecurity>0</DocSecurity>
  <Lines>646</Lines>
  <Paragraphs>182</Paragraphs>
  <ScaleCrop>false</ScaleCrop>
  <HeadingPairs>
    <vt:vector size="2" baseType="variant">
      <vt:variant>
        <vt:lpstr>Title</vt:lpstr>
      </vt:variant>
      <vt:variant>
        <vt:i4>1</vt:i4>
      </vt:variant>
    </vt:vector>
  </HeadingPairs>
  <TitlesOfParts>
    <vt:vector size="1" baseType="lpstr">
      <vt:lpstr>remediation of kilvey hill using biochar</vt:lpstr>
    </vt:vector>
  </TitlesOfParts>
  <Company/>
  <LinksUpToDate>false</LinksUpToDate>
  <CharactersWithSpaces>91032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remediation of kilvey hill using biochar</dc:title>
  <dc:subject>Supervisor: Elanor Alun</dc:subject>
  <dc:creator>Ryan James</dc:creator>
  <cp:keywords/>
  <dc:description/>
  <cp:lastModifiedBy>Ysabelle Tuddenham</cp:lastModifiedBy>
  <cp:revision>103</cp:revision>
  <cp:lastPrinted>2021-10-01T07:07:00Z</cp:lastPrinted>
  <dcterms:created xsi:type="dcterms:W3CDTF">2026-06-16T11:20:00Z</dcterms:created>
  <dcterms:modified xsi:type="dcterms:W3CDTF">2026-06-21T23:04:00Z</dcterms:modified>
  <cp:category>Environment Sustainability and Climate Change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0x010100BA249224504BBF4AADE362CB267FC93F</vt:lpwstr>
  </property>
  <property fmtid="{D5CDD505-2E9C-101B-9397-08002B2CF9AE}" pid="3" name="MediaServiceImageTags">
    <vt:lpwstr/>
  </property>
  <property fmtid="{D5CDD505-2E9C-101B-9397-08002B2CF9AE}" pid="4" name="GrammarlyDocumentId">
    <vt:lpwstr>24f1e730-6194-4082-8e1d-eddc2f616d4a</vt:lpwstr>
  </property>
</Properties>
</file>