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ackground w:color="FFFFFF"/>
  <w:body>
    <w:p w:rsidR="00000000" w:rsidDel="00000000" w:rsidP="00000000" w:rsidRDefault="00000000" w:rsidRPr="00000000" w14:paraId="00000001">
      <w:pPr>
        <w:rPr/>
      </w:pPr>
      <w:r w:rsidDel="00000000" w:rsidR="00000000" w:rsidRPr="00000000">
        <w:rPr>
          <w:rtl w:val="0"/>
        </w:rPr>
        <w:t xml:space="preserve">Student Number: 1803476</w:t>
      </w:r>
    </w:p>
    <w:p w:rsidR="00000000" w:rsidDel="00000000" w:rsidP="00000000" w:rsidRDefault="00000000" w:rsidRPr="00000000" w14:paraId="00000002">
      <w:pPr>
        <w:rPr/>
      </w:pPr>
      <w:r w:rsidDel="00000000" w:rsidR="00000000" w:rsidRPr="00000000">
        <w:rPr>
          <w:rtl w:val="0"/>
        </w:rPr>
        <w:t xml:space="preserve">Course Title: Creative Computer Games Design</w:t>
      </w:r>
    </w:p>
    <w:p w:rsidR="00000000" w:rsidDel="00000000" w:rsidP="00000000" w:rsidRDefault="00000000" w:rsidRPr="00000000" w14:paraId="00000003">
      <w:pPr>
        <w:rPr/>
      </w:pPr>
      <w:r w:rsidDel="00000000" w:rsidR="00000000" w:rsidRPr="00000000">
        <w:rPr>
          <w:rtl w:val="0"/>
        </w:rPr>
        <w:t xml:space="preserve">Word Count: 1377 </w:t>
      </w:r>
    </w:p>
    <w:p w:rsidR="00000000" w:rsidDel="00000000" w:rsidP="00000000" w:rsidRDefault="00000000" w:rsidRPr="00000000" w14:paraId="00000004">
      <w:pPr>
        <w:rPr/>
      </w:pPr>
      <w:r w:rsidDel="00000000" w:rsidR="00000000" w:rsidRPr="00000000">
        <w:rPr>
          <w:rtl w:val="0"/>
        </w:rPr>
        <w:t xml:space="preserve">Tutor: Scott Smith</w:t>
      </w:r>
      <w:r w:rsidDel="00000000" w:rsidR="00000000" w:rsidRPr="00000000">
        <w:br w:type="page"/>
      </w:r>
      <w:r w:rsidDel="00000000" w:rsidR="00000000" w:rsidRPr="00000000">
        <w:rPr>
          <w:rtl w:val="0"/>
        </w:rPr>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t xml:space="preserve">When traversing through a museum, we see historical and cultural artefacts on display. They are usually behind glass or other methods that separate the individual from the artefacts for security and preservation reasons. However, it does give the audience the disservice of viewing these objects outside of their original context. According to Kreps (2003) “In western museum culture, objects are stripped of their social attributes through decontextualisation, a process by which objects are detached from some social whole and given new meanings as they are recontextualised within the culture of the museum.” In this sense, objects can be perceived as being more akin to art pieces to be gazed and admired - rather than as glimpses into the lives and cultures of people of the foreign past. My proposal is therefore for a virtual exhibit which will create digital reconstructions of late bronze-age artefacts recovered from Must Farm (excavated in 2016) and place them within a virtual environment that mimics what the settlement would have been like while in use. </w:t>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t xml:space="preserve">My aim in creating this exhibit is to showcase a more holistic view of the bronze age in Britain. Which is why I chose this site specifically for digital reconstruction. Unlike most settlements of this time period, the method of preservation in this site allowed for unusual and unlikely organic finds. This includes support beams, textiles, the remains of food alongside giving us data on not just how the settlement was arranged but also how bronze age home interiors were organised alongside common items found within them. All of this information allows such reconstruction to be built with much higher accuracy than other sites around Britain relating to this time period.</w:t>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t xml:space="preserve"> </w:t>
      </w:r>
    </w:p>
    <w:p w:rsidR="00000000" w:rsidDel="00000000" w:rsidP="00000000" w:rsidRDefault="00000000" w:rsidRPr="00000000" w14:paraId="0000000C">
      <w:pPr>
        <w:jc w:val="center"/>
        <w:rPr/>
      </w:pPr>
      <w:r w:rsidDel="00000000" w:rsidR="00000000" w:rsidRPr="00000000">
        <w:rPr/>
        <w:drawing>
          <wp:inline distB="114300" distT="114300" distL="114300" distR="114300">
            <wp:extent cx="6721838" cy="4496364"/>
            <wp:effectExtent b="0" l="0" r="0" t="0"/>
            <wp:docPr id="2" name="image2.png"/>
            <a:graphic>
              <a:graphicData uri="http://schemas.openxmlformats.org/drawingml/2006/picture">
                <pic:pic>
                  <pic:nvPicPr>
                    <pic:cNvPr id="0" name="image2.png"/>
                    <pic:cNvPicPr preferRelativeResize="0"/>
                  </pic:nvPicPr>
                  <pic:blipFill>
                    <a:blip r:embed="rId6"/>
                    <a:srcRect b="0" l="0" r="0" t="0"/>
                    <a:stretch>
                      <a:fillRect/>
                    </a:stretch>
                  </pic:blipFill>
                  <pic:spPr>
                    <a:xfrm>
                      <a:off x="0" y="0"/>
                      <a:ext cx="6721838" cy="4496364"/>
                    </a:xfrm>
                    <a:prstGeom prst="rect"/>
                    <a:ln/>
                  </pic:spPr>
                </pic:pic>
              </a:graphicData>
            </a:graphic>
          </wp:inline>
        </w:drawing>
      </w:r>
      <w:r w:rsidDel="00000000" w:rsidR="00000000" w:rsidRPr="00000000">
        <w:rPr>
          <w:rtl w:val="0"/>
        </w:rPr>
        <w:t xml:space="preserve">Figure 1. Bobbins</w:t>
      </w:r>
    </w:p>
    <w:p w:rsidR="00000000" w:rsidDel="00000000" w:rsidP="00000000" w:rsidRDefault="00000000" w:rsidRPr="00000000" w14:paraId="0000000D">
      <w:pPr>
        <w:jc w:val="center"/>
        <w:rPr/>
      </w:pPr>
      <w:r w:rsidDel="00000000" w:rsidR="00000000" w:rsidRPr="00000000">
        <w:rPr/>
        <w:drawing>
          <wp:inline distB="114300" distT="114300" distL="114300" distR="114300">
            <wp:extent cx="6743700" cy="3935775"/>
            <wp:effectExtent b="0" l="0" r="0" t="0"/>
            <wp:docPr id="1" name="image1.png"/>
            <a:graphic>
              <a:graphicData uri="http://schemas.openxmlformats.org/drawingml/2006/picture">
                <pic:pic>
                  <pic:nvPicPr>
                    <pic:cNvPr id="0" name="image1.png"/>
                    <pic:cNvPicPr preferRelativeResize="0"/>
                  </pic:nvPicPr>
                  <pic:blipFill>
                    <a:blip r:embed="rId7"/>
                    <a:srcRect b="8850" l="0" r="0" t="3645"/>
                    <a:stretch>
                      <a:fillRect/>
                    </a:stretch>
                  </pic:blipFill>
                  <pic:spPr>
                    <a:xfrm>
                      <a:off x="0" y="0"/>
                      <a:ext cx="6743700" cy="3935775"/>
                    </a:xfrm>
                    <a:prstGeom prst="rect"/>
                    <a:ln/>
                  </pic:spPr>
                </pic:pic>
              </a:graphicData>
            </a:graphic>
          </wp:inline>
        </w:drawing>
      </w:r>
      <w:r w:rsidDel="00000000" w:rsidR="00000000" w:rsidRPr="00000000">
        <w:rPr>
          <w:rtl w:val="0"/>
        </w:rPr>
      </w:r>
    </w:p>
    <w:p w:rsidR="00000000" w:rsidDel="00000000" w:rsidP="00000000" w:rsidRDefault="00000000" w:rsidRPr="00000000" w14:paraId="0000000E">
      <w:pPr>
        <w:jc w:val="center"/>
        <w:rPr/>
      </w:pPr>
      <w:r w:rsidDel="00000000" w:rsidR="00000000" w:rsidRPr="00000000">
        <w:rPr>
          <w:rtl w:val="0"/>
        </w:rPr>
        <w:t xml:space="preserve">Figure 2. Wattle remains</w:t>
      </w:r>
    </w:p>
    <w:p w:rsidR="00000000" w:rsidDel="00000000" w:rsidP="00000000" w:rsidRDefault="00000000" w:rsidRPr="00000000" w14:paraId="0000000F">
      <w:pPr>
        <w:rPr/>
      </w:pPr>
      <w:r w:rsidDel="00000000" w:rsidR="00000000" w:rsidRPr="00000000">
        <w:rPr>
          <w:rtl w:val="0"/>
        </w:rPr>
        <w:t xml:space="preserve"> </w:t>
      </w:r>
    </w:p>
    <w:p w:rsidR="00000000" w:rsidDel="00000000" w:rsidP="00000000" w:rsidRDefault="00000000" w:rsidRPr="00000000" w14:paraId="00000010">
      <w:pPr>
        <w:rPr/>
      </w:pPr>
      <w:r w:rsidDel="00000000" w:rsidR="00000000" w:rsidRPr="00000000">
        <w:rPr/>
        <w:drawing>
          <wp:inline distB="114300" distT="114300" distL="114300" distR="114300">
            <wp:extent cx="6778988" cy="4519325"/>
            <wp:effectExtent b="0" l="0" r="0" t="0"/>
            <wp:docPr id="3" name="image3.png"/>
            <a:graphic>
              <a:graphicData uri="http://schemas.openxmlformats.org/drawingml/2006/picture">
                <pic:pic>
                  <pic:nvPicPr>
                    <pic:cNvPr id="0" name="image3.png"/>
                    <pic:cNvPicPr preferRelativeResize="0"/>
                  </pic:nvPicPr>
                  <pic:blipFill>
                    <a:blip r:embed="rId8"/>
                    <a:srcRect b="0" l="0" r="0" t="0"/>
                    <a:stretch>
                      <a:fillRect/>
                    </a:stretch>
                  </pic:blipFill>
                  <pic:spPr>
                    <a:xfrm>
                      <a:off x="0" y="0"/>
                      <a:ext cx="6778988" cy="4519325"/>
                    </a:xfrm>
                    <a:prstGeom prst="rect"/>
                    <a:ln/>
                  </pic:spPr>
                </pic:pic>
              </a:graphicData>
            </a:graphic>
          </wp:inline>
        </w:drawing>
      </w:r>
      <w:r w:rsidDel="00000000" w:rsidR="00000000" w:rsidRPr="00000000">
        <w:rPr>
          <w:rtl w:val="0"/>
        </w:rPr>
      </w:r>
    </w:p>
    <w:p w:rsidR="00000000" w:rsidDel="00000000" w:rsidP="00000000" w:rsidRDefault="00000000" w:rsidRPr="00000000" w14:paraId="00000011">
      <w:pPr>
        <w:jc w:val="center"/>
        <w:rPr/>
      </w:pPr>
      <w:r w:rsidDel="00000000" w:rsidR="00000000" w:rsidRPr="00000000">
        <w:rPr>
          <w:rtl w:val="0"/>
        </w:rPr>
        <w:t xml:space="preserve">Figure 3. Tanged bronze razor </w:t>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t xml:space="preserve">Virtual Reality (VR) is the idealised platform for this exhibit, although a setup incorporating the use of a monitor and controller is also possible. As “The knowledge underlying mental representations of space and the things in it comes from many sources: from looking, from hearing, from touching, from imagining, and from language.” Tversky (2003), the immersive nature of VR allows the user to more intuitively pick up, examine and play with artefacts in the virtual space. This allows exploration of these artefacts in a way that is safe for the user and also non-destructive to the artefact in question. However, it may prove to be less accessible than a setup using a monitor with a mouse, controller or touchscreen. This is due to the distribution of these technologies being far more widespread and less expensive to acquire then VR headsets. Furthermore, a non-VR setup would allow for the reconstruction to be available in places where there is not enough space to use VR safely. Because of these reasons, a virtual world which incorporates both interfaces may be key to ensure the exhibition is kept as accessible to others as possible.</w:t>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t xml:space="preserve">The use of a virtual space to showcase history already has precedent in other reconstructions such as “The Virtual Museum of the Ancient via Flaminia”, alongside archaeological programs such as “Time Team” and even within Video Games such as “Assassins Creed Odyssey.” In the first two examples these work as visualisation aids or to inform what artefacts would have looked like while in use. In “Assassins Creed Odyssey” the reconstruction works partially as set dressing for the story and also to showcase an as accurate a feel for the time period as the gameplay and user experience allows. According to Stanco, F., Battiato, S. and Gallo, G. (2017) “Reconstructions such as this can be powerful tools in “creating the historical reality in the minds of the public” which showcases that a virtual reconstruction would be extremely effective in teaching about this little known era of British history and therefore generating more interest in history as a whole.</w:t>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t xml:space="preserve">Knowledge of level design will likely be important in guiding a user through the exhibit. As while the aim is for them to pick up, examine and explore the world of the past, the usage of colour and saturation alongside sightlines are all ways the user can be subconsciously guided throughout. This is especially true if the user is to be guided to items of specific interest, which could have information linked to them relating to the object or to how people may have lived. Colour is one of the few areas in this site which remains more flexible for those doing the reconstruction. An example of this being the textiles within the structure as, due to the nature of how these items were preserved, the original colour of these artifacts was destroyed, and while the types of colours available can be extrapolated from what the peoples of this time had access to, it can be argued that this is one of the areas where colour can be used more artistically in order to guide the user around the exhibit. </w:t>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t xml:space="preserve">An advantage of creating a virtual heritage site is that it is not constrained to a physical space or location, unlike large physical reconstructions. Likewise, the setup for a room to act as a virtual space is relatively lightweight or replaceable so can easily be moved. This means it is far more accessible for people who have movement-based disabilities and also for people who are unable to travel to the location because of time or money constraints. All of these mean that “visual representations of monument, artefacts, building and culture can be delivered openly to global audiences” Noh, Zakiah, et al., 2009</w:t>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t xml:space="preserve">Despite this, there are potential accessibility issues for people who have severe visual impairments, as the current nature of a virtual display means that it tends to focus solely on visual and auditory senses so lacks a tactile nature. Arguably, the same could be said for regular museum exhibits due to how the artefacts are usually kept separate from its audience. This is one of the areas within this exhibit where the use of physical reconstructions would be more appropriate then virtual ones. A method to get around this would to also have small reconstructions of objects on hand alongside 3D prints or maps that showcase the layout and arrangement of the site. Similarly, the exhibit, if a VR exhibit was showcased in a building specially made for the display, it could have tactile displays around the site. However, this greatly reduces the advantages of using a virtual space for one specific display and so, for this situation, the creation of a physical reconstruction would be far superior. </w:t>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t xml:space="preserve">The cost of creating a virtual exhibit is also one of its benefits, as it will likely be less expensive as a whole to build and maintain than an exhibit showcasing physical reconstructions. Much of the cost to build such an exhibit will come from its initial creation and the hardware used to display it. While, like a physical reconstruction, knowledge into how an object was made and therefore what it would have once looked like is needed. The use of 3D scanning could potentially reduce the time taken to create virtual reconstructions as there is less of a need for trial and error using physical materials. 3D scanning is already used for examining and researching artefacts in a non-destructive manner, so using these highly detailed models, can inform the creation of 3D reconstructions to be placed within this virtual space. Likewise, the cost of upkeep will likely be reduced as virtual objects do not need to be replaced or maintained in the same way as their physical counterparts. </w:t>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t xml:space="preserve">To conclude, through the use and creation of a unique virtual heritage exhibit, “Virtual Heritage becomes as a platform for enhancing the learning process of students and researchers” Noh, Zakiah, et al (2009). This can be through maximising user enjoyment which could entice younger members of the intended audience, but also through reducing the “temporal, spatial, and conceptual distances between objects and people” Kreps (2003) caused by the decontextualisation that treating historical art pieces can cause. Furthurmore, the use of virtual spaces not only could reduce the price of such a display but also allow the exhibition to be seen more widely then just within the museum space as it accounts for both distance and also many accessibility limitations. </w:t>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02E">
      <w:pPr>
        <w:keepNext w:val="0"/>
        <w:keepLines w:val="0"/>
        <w:widowControl w:val="0"/>
        <w:pBdr>
          <w:top w:space="0" w:sz="0" w:val="nil"/>
          <w:left w:space="0" w:sz="0" w:val="nil"/>
          <w:bottom w:space="0" w:sz="0" w:val="nil"/>
          <w:right w:space="0" w:sz="0" w:val="nil"/>
          <w:between w:space="0" w:sz="0" w:val="nil"/>
        </w:pBdr>
        <w:shd w:fill="auto" w:val="clear"/>
        <w:spacing w:after="0" w:before="0" w:line="480" w:lineRule="auto"/>
        <w:ind w:left="0" w:right="0" w:firstLine="0"/>
        <w:jc w:val="center"/>
        <w:rPr/>
      </w:pPr>
      <w:r w:rsidDel="00000000" w:rsidR="00000000" w:rsidRPr="00000000">
        <w:rPr>
          <w:rtl w:val="0"/>
        </w:rPr>
        <w:t xml:space="preserve">Bibliography</w:t>
      </w:r>
      <w:r w:rsidDel="00000000" w:rsidR="00000000" w:rsidRPr="00000000">
        <w:rPr>
          <w:rtl w:val="0"/>
        </w:rPr>
      </w:r>
    </w:p>
    <w:p w:rsidR="00000000" w:rsidDel="00000000" w:rsidP="00000000" w:rsidRDefault="00000000" w:rsidRPr="00000000" w14:paraId="0000002F">
      <w:pPr>
        <w:keepNext w:val="0"/>
        <w:keepLines w:val="0"/>
        <w:widowControl w:val="0"/>
        <w:pBdr>
          <w:top w:space="0" w:sz="0" w:val="nil"/>
          <w:left w:space="0" w:sz="0" w:val="nil"/>
          <w:bottom w:space="0" w:sz="0" w:val="nil"/>
          <w:right w:space="0" w:sz="0" w:val="nil"/>
          <w:between w:space="0" w:sz="0" w:val="nil"/>
        </w:pBdr>
        <w:shd w:fill="auto" w:val="clear"/>
        <w:spacing w:after="0" w:before="0" w:line="480" w:lineRule="auto"/>
        <w:ind w:left="600" w:right="0" w:hanging="600"/>
        <w:jc w:val="left"/>
        <w:rPr/>
      </w:pPr>
      <w:r w:rsidDel="00000000" w:rsidR="00000000" w:rsidRPr="00000000">
        <w:rPr>
          <w:b w:val="0"/>
          <w:i w:val="0"/>
          <w:rtl w:val="0"/>
        </w:rPr>
        <w:t xml:space="preserve">Kreps, Christina. “Curatorship as Social Practice.” </w:t>
      </w:r>
      <w:r w:rsidDel="00000000" w:rsidR="00000000" w:rsidRPr="00000000">
        <w:rPr>
          <w:b w:val="0"/>
          <w:i w:val="1"/>
          <w:rtl w:val="0"/>
        </w:rPr>
        <w:t xml:space="preserve">Curator: The Museum Journal</w:t>
      </w:r>
      <w:r w:rsidDel="00000000" w:rsidR="00000000" w:rsidRPr="00000000">
        <w:rPr>
          <w:b w:val="0"/>
          <w:i w:val="0"/>
          <w:rtl w:val="0"/>
        </w:rPr>
        <w:t xml:space="preserve">, vol. 46, no. 3, 2003, pp. 311–323., doi:10.1111/j.2151-6952.2003.tb00097.x.</w:t>
      </w:r>
      <w:r w:rsidDel="00000000" w:rsidR="00000000" w:rsidRPr="00000000">
        <w:rPr>
          <w:rtl w:val="0"/>
        </w:rPr>
      </w:r>
    </w:p>
    <w:p w:rsidR="00000000" w:rsidDel="00000000" w:rsidP="00000000" w:rsidRDefault="00000000" w:rsidRPr="00000000" w14:paraId="00000030">
      <w:pPr>
        <w:keepNext w:val="0"/>
        <w:keepLines w:val="0"/>
        <w:widowControl w:val="0"/>
        <w:pBdr>
          <w:top w:space="0" w:sz="0" w:val="nil"/>
          <w:left w:space="0" w:sz="0" w:val="nil"/>
          <w:bottom w:space="0" w:sz="0" w:val="nil"/>
          <w:right w:space="0" w:sz="0" w:val="nil"/>
          <w:between w:space="0" w:sz="0" w:val="nil"/>
        </w:pBdr>
        <w:shd w:fill="auto" w:val="clear"/>
        <w:spacing w:after="0" w:before="0" w:line="480" w:lineRule="auto"/>
        <w:ind w:left="600" w:right="0" w:hanging="600"/>
        <w:jc w:val="left"/>
        <w:rPr/>
      </w:pPr>
      <w:r w:rsidDel="00000000" w:rsidR="00000000" w:rsidRPr="00000000">
        <w:rPr>
          <w:b w:val="0"/>
          <w:i w:val="0"/>
          <w:rtl w:val="0"/>
        </w:rPr>
        <w:t xml:space="preserve">Noh, Zakiah, et al. “A Review on Augmented Reality for Virtual Heritage System.” </w:t>
      </w:r>
      <w:r w:rsidDel="00000000" w:rsidR="00000000" w:rsidRPr="00000000">
        <w:rPr>
          <w:b w:val="0"/>
          <w:i w:val="1"/>
          <w:rtl w:val="0"/>
        </w:rPr>
        <w:t xml:space="preserve">Learning by Playing. Game-Based Education System Design and Development Lecture Notes in Computer Science</w:t>
      </w:r>
      <w:r w:rsidDel="00000000" w:rsidR="00000000" w:rsidRPr="00000000">
        <w:rPr>
          <w:b w:val="0"/>
          <w:i w:val="0"/>
          <w:rtl w:val="0"/>
        </w:rPr>
        <w:t xml:space="preserve">, 2009, pp. 50–61., doi:10.1007/978-3-642-03364-3_7.</w:t>
      </w:r>
      <w:r w:rsidDel="00000000" w:rsidR="00000000" w:rsidRPr="00000000">
        <w:rPr>
          <w:rtl w:val="0"/>
        </w:rPr>
      </w:r>
    </w:p>
    <w:p w:rsidR="00000000" w:rsidDel="00000000" w:rsidP="00000000" w:rsidRDefault="00000000" w:rsidRPr="00000000" w14:paraId="00000031">
      <w:pPr>
        <w:keepNext w:val="0"/>
        <w:keepLines w:val="0"/>
        <w:widowControl w:val="0"/>
        <w:pBdr>
          <w:top w:space="0" w:sz="0" w:val="nil"/>
          <w:left w:space="0" w:sz="0" w:val="nil"/>
          <w:bottom w:space="0" w:sz="0" w:val="nil"/>
          <w:right w:space="0" w:sz="0" w:val="nil"/>
          <w:between w:space="0" w:sz="0" w:val="nil"/>
        </w:pBdr>
        <w:shd w:fill="auto" w:val="clear"/>
        <w:spacing w:after="0" w:before="0" w:line="480" w:lineRule="auto"/>
        <w:ind w:left="600" w:right="0" w:hanging="600"/>
        <w:jc w:val="left"/>
        <w:rPr/>
      </w:pPr>
      <w:r w:rsidDel="00000000" w:rsidR="00000000" w:rsidRPr="00000000">
        <w:rPr>
          <w:b w:val="0"/>
          <w:i w:val="0"/>
          <w:rtl w:val="0"/>
        </w:rPr>
        <w:t xml:space="preserve">Stanco, Filippo, et al. “Digital Imaging for Cultural Heritage Preservation.” 2017, doi:10.1201/b11049.</w:t>
      </w:r>
      <w:r w:rsidDel="00000000" w:rsidR="00000000" w:rsidRPr="00000000">
        <w:rPr>
          <w:rtl w:val="0"/>
        </w:rPr>
      </w:r>
    </w:p>
    <w:p w:rsidR="00000000" w:rsidDel="00000000" w:rsidP="00000000" w:rsidRDefault="00000000" w:rsidRPr="00000000" w14:paraId="00000032">
      <w:pPr>
        <w:keepNext w:val="0"/>
        <w:keepLines w:val="0"/>
        <w:widowControl w:val="0"/>
        <w:pBdr>
          <w:top w:space="0" w:sz="0" w:val="nil"/>
          <w:left w:space="0" w:sz="0" w:val="nil"/>
          <w:bottom w:space="0" w:sz="0" w:val="nil"/>
          <w:right w:space="0" w:sz="0" w:val="nil"/>
          <w:between w:space="0" w:sz="0" w:val="nil"/>
        </w:pBdr>
        <w:shd w:fill="auto" w:val="clear"/>
        <w:spacing w:after="0" w:before="0" w:line="480" w:lineRule="auto"/>
        <w:ind w:left="600" w:right="0" w:hanging="600"/>
        <w:jc w:val="left"/>
        <w:rPr>
          <w:b w:val="0"/>
          <w:i w:val="0"/>
        </w:rPr>
      </w:pPr>
      <w:r w:rsidDel="00000000" w:rsidR="00000000" w:rsidRPr="00000000">
        <w:rPr>
          <w:b w:val="0"/>
          <w:i w:val="0"/>
          <w:rtl w:val="0"/>
        </w:rPr>
        <w:t xml:space="preserve">Tversky, Barbara. “Structures Of Mental Spaces.” </w:t>
      </w:r>
      <w:r w:rsidDel="00000000" w:rsidR="00000000" w:rsidRPr="00000000">
        <w:rPr>
          <w:b w:val="0"/>
          <w:i w:val="1"/>
          <w:rtl w:val="0"/>
        </w:rPr>
        <w:t xml:space="preserve">Environment and Behavior</w:t>
      </w:r>
      <w:r w:rsidDel="00000000" w:rsidR="00000000" w:rsidRPr="00000000">
        <w:rPr>
          <w:b w:val="0"/>
          <w:i w:val="0"/>
          <w:rtl w:val="0"/>
        </w:rPr>
        <w:t xml:space="preserve">, vol. 35, no. 1, 2003, pp. 66–80., doi:10.1177/0013916502238865.</w:t>
      </w:r>
    </w:p>
    <w:p w:rsidR="00000000" w:rsidDel="00000000" w:rsidP="00000000" w:rsidRDefault="00000000" w:rsidRPr="00000000" w14:paraId="00000033">
      <w:pPr>
        <w:keepNext w:val="0"/>
        <w:keepLines w:val="0"/>
        <w:widowControl w:val="0"/>
        <w:pBdr>
          <w:top w:space="0" w:sz="0" w:val="nil"/>
          <w:left w:space="0" w:sz="0" w:val="nil"/>
          <w:bottom w:space="0" w:sz="0" w:val="nil"/>
          <w:right w:space="0" w:sz="0" w:val="nil"/>
          <w:between w:space="0" w:sz="0" w:val="nil"/>
        </w:pBdr>
        <w:shd w:fill="auto" w:val="clear"/>
        <w:spacing w:after="0" w:before="0" w:line="480" w:lineRule="auto"/>
        <w:ind w:left="600" w:right="0" w:hanging="600"/>
        <w:jc w:val="left"/>
        <w:rPr/>
      </w:pPr>
      <w:r w:rsidDel="00000000" w:rsidR="00000000" w:rsidRPr="00000000">
        <w:rPr>
          <w:rtl w:val="0"/>
        </w:rPr>
      </w:r>
    </w:p>
    <w:p w:rsidR="00000000" w:rsidDel="00000000" w:rsidP="00000000" w:rsidRDefault="00000000" w:rsidRPr="00000000" w14:paraId="00000034">
      <w:pPr>
        <w:keepNext w:val="0"/>
        <w:keepLines w:val="0"/>
        <w:widowControl w:val="0"/>
        <w:pBdr>
          <w:top w:space="0" w:sz="0" w:val="nil"/>
          <w:left w:space="0" w:sz="0" w:val="nil"/>
          <w:bottom w:space="0" w:sz="0" w:val="nil"/>
          <w:right w:space="0" w:sz="0" w:val="nil"/>
          <w:between w:space="0" w:sz="0" w:val="nil"/>
        </w:pBdr>
        <w:shd w:fill="auto" w:val="clear"/>
        <w:spacing w:after="0" w:before="0" w:line="480" w:lineRule="auto"/>
        <w:ind w:left="600" w:right="0" w:hanging="600"/>
        <w:jc w:val="center"/>
        <w:rPr/>
      </w:pPr>
      <w:r w:rsidDel="00000000" w:rsidR="00000000" w:rsidRPr="00000000">
        <w:rPr>
          <w:rtl w:val="0"/>
        </w:rPr>
        <w:t xml:space="preserve">Figures used</w:t>
      </w:r>
    </w:p>
    <w:p w:rsidR="00000000" w:rsidDel="00000000" w:rsidP="00000000" w:rsidRDefault="00000000" w:rsidRPr="00000000" w14:paraId="00000035">
      <w:pPr>
        <w:widowControl w:val="0"/>
        <w:spacing w:line="480" w:lineRule="auto"/>
        <w:ind w:left="0" w:firstLine="0"/>
        <w:rPr/>
      </w:pPr>
      <w:r w:rsidDel="00000000" w:rsidR="00000000" w:rsidRPr="00000000">
        <w:rPr>
          <w:i w:val="1"/>
          <w:rtl w:val="0"/>
        </w:rPr>
        <w:t xml:space="preserve">[Figure 1, 2 and 3] Retrieved from &lt;Must Farm</w:t>
      </w:r>
      <w:r w:rsidDel="00000000" w:rsidR="00000000" w:rsidRPr="00000000">
        <w:rPr>
          <w:rtl w:val="0"/>
        </w:rPr>
        <w:t xml:space="preserve">, </w:t>
      </w:r>
      <w:hyperlink r:id="rId9">
        <w:r w:rsidDel="00000000" w:rsidR="00000000" w:rsidRPr="00000000">
          <w:rPr>
            <w:color w:val="1155cc"/>
            <w:u w:val="single"/>
            <w:rtl w:val="0"/>
          </w:rPr>
          <w:t xml:space="preserve">www.mustfarm.com/</w:t>
        </w:r>
      </w:hyperlink>
      <w:r w:rsidDel="00000000" w:rsidR="00000000" w:rsidRPr="00000000">
        <w:rPr>
          <w:rtl w:val="0"/>
        </w:rPr>
        <w:t xml:space="preserve">&gt;</w:t>
      </w:r>
      <w:r w:rsidDel="00000000" w:rsidR="00000000" w:rsidRPr="00000000">
        <w:rPr>
          <w:rtl w:val="0"/>
        </w:rPr>
      </w:r>
    </w:p>
    <w:p w:rsidR="00000000" w:rsidDel="00000000" w:rsidP="00000000" w:rsidRDefault="00000000" w:rsidRPr="00000000" w14:paraId="00000036">
      <w:pPr>
        <w:widowControl w:val="0"/>
        <w:spacing w:line="480" w:lineRule="auto"/>
        <w:rPr/>
      </w:pPr>
      <w:r w:rsidDel="00000000" w:rsidR="00000000" w:rsidRPr="00000000">
        <w:rPr>
          <w:rtl w:val="0"/>
        </w:rPr>
      </w:r>
    </w:p>
    <w:sectPr>
      <w:pgSz w:h="16838" w:w="11906"/>
      <w:pgMar w:bottom="566.9291338582677" w:top="566.9291338582677" w:left="566.9291338582677" w:right="566.9291338582677"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isplayBackgroundShape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www.mustfarm.com/" TargetMode="External"/><Relationship Id="rId5" Type="http://schemas.openxmlformats.org/officeDocument/2006/relationships/styles" Target="styles.xml"/><Relationship Id="rId6" Type="http://schemas.openxmlformats.org/officeDocument/2006/relationships/image" Target="media/image2.png"/><Relationship Id="rId7" Type="http://schemas.openxmlformats.org/officeDocument/2006/relationships/image" Target="media/image1.png"/><Relationship Id="rId8"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