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33938" w14:textId="77777777" w:rsidR="009E3E89" w:rsidRPr="00FC2E86" w:rsidRDefault="009E3E89" w:rsidP="009E3E89">
      <w:pPr>
        <w:widowControl w:val="0"/>
        <w:autoSpaceDE w:val="0"/>
        <w:autoSpaceDN w:val="0"/>
        <w:spacing w:after="0"/>
        <w:mirrorIndents/>
        <w:jc w:val="both"/>
        <w:rPr>
          <w:rFonts w:eastAsia="Calibri Light" w:cs="Arial"/>
          <w:sz w:val="20"/>
          <w:lang w:val="en-GB" w:eastAsia="en-GB" w:bidi="en-GB"/>
        </w:rPr>
      </w:pPr>
      <w:r w:rsidRPr="00FC2E86">
        <w:rPr>
          <w:rFonts w:eastAsia="Calibri Light" w:cs="Arial"/>
          <w:noProof/>
          <w:lang w:val="en-GB" w:eastAsia="en-GB" w:bidi="en-GB"/>
        </w:rPr>
        <w:drawing>
          <wp:inline distT="0" distB="0" distL="0" distR="0" wp14:anchorId="2C97095D" wp14:editId="394EFD77">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65D97137" w14:textId="77777777" w:rsidR="003A5384" w:rsidRDefault="003A5384">
      <w:pPr>
        <w:spacing w:after="120"/>
        <w:jc w:val="center"/>
        <w:rPr>
          <w:rFonts w:cs="Arial"/>
        </w:rPr>
      </w:pPr>
    </w:p>
    <w:p w14:paraId="61D925F1" w14:textId="77777777" w:rsidR="003A5384" w:rsidRDefault="003A5384">
      <w:pPr>
        <w:spacing w:after="120"/>
        <w:jc w:val="center"/>
        <w:rPr>
          <w:rFonts w:cs="Arial"/>
        </w:rPr>
      </w:pPr>
    </w:p>
    <w:p w14:paraId="77187AAD" w14:textId="77777777" w:rsidR="003A5384" w:rsidRDefault="003A5384">
      <w:pPr>
        <w:spacing w:after="120"/>
        <w:jc w:val="center"/>
        <w:rPr>
          <w:rFonts w:cs="Arial"/>
        </w:rPr>
      </w:pPr>
    </w:p>
    <w:p w14:paraId="01274606" w14:textId="77777777" w:rsidR="003A5384" w:rsidRDefault="00000000">
      <w:pPr>
        <w:spacing w:after="120"/>
        <w:jc w:val="center"/>
        <w:rPr>
          <w:rFonts w:cs="Arial"/>
        </w:rPr>
      </w:pPr>
      <w:r>
        <w:rPr>
          <w:rFonts w:cs="Arial"/>
        </w:rPr>
        <w:t>BMHP6030</w:t>
      </w:r>
    </w:p>
    <w:p w14:paraId="5AB5FB5E" w14:textId="77777777" w:rsidR="003A5384" w:rsidRDefault="00000000">
      <w:pPr>
        <w:spacing w:after="120"/>
        <w:jc w:val="center"/>
        <w:rPr>
          <w:rFonts w:cs="Arial"/>
        </w:rPr>
      </w:pPr>
      <w:r>
        <w:rPr>
          <w:rFonts w:cs="Arial"/>
          <w:b/>
        </w:rPr>
        <w:t>Health, Wellbeing and Sustainable Development</w:t>
      </w:r>
    </w:p>
    <w:p w14:paraId="12791EEB" w14:textId="77777777" w:rsidR="003A5384" w:rsidRDefault="00000000">
      <w:pPr>
        <w:spacing w:after="120"/>
        <w:jc w:val="center"/>
        <w:rPr>
          <w:rFonts w:cs="Arial"/>
        </w:rPr>
      </w:pPr>
      <w:r>
        <w:rPr>
          <w:rFonts w:cs="Arial"/>
        </w:rPr>
        <w:t>Component 2: Written Assignment (Report)</w:t>
      </w:r>
    </w:p>
    <w:p w14:paraId="66030CD7" w14:textId="77777777" w:rsidR="003A5384" w:rsidRDefault="003A5384">
      <w:pPr>
        <w:spacing w:after="120"/>
        <w:jc w:val="center"/>
        <w:rPr>
          <w:rFonts w:cs="Arial"/>
        </w:rPr>
      </w:pPr>
    </w:p>
    <w:p w14:paraId="064CB59D" w14:textId="51062F0D" w:rsidR="003A5384" w:rsidRDefault="001E5758">
      <w:pPr>
        <w:spacing w:after="120"/>
        <w:jc w:val="center"/>
        <w:rPr>
          <w:rFonts w:cs="Arial"/>
        </w:rPr>
      </w:pPr>
      <w:r w:rsidRPr="001E5758">
        <w:rPr>
          <w:rFonts w:cs="Arial"/>
        </w:rPr>
        <w:t>YVETTE Robert-Booth</w:t>
      </w:r>
    </w:p>
    <w:p w14:paraId="47E000C1" w14:textId="5F489B87" w:rsidR="003A5384" w:rsidRDefault="00000000">
      <w:pPr>
        <w:spacing w:after="120"/>
        <w:jc w:val="center"/>
        <w:rPr>
          <w:rFonts w:cs="Arial"/>
        </w:rPr>
      </w:pPr>
      <w:r>
        <w:rPr>
          <w:rFonts w:cs="Arial"/>
        </w:rPr>
        <w:t xml:space="preserve">Student ID: </w:t>
      </w:r>
      <w:r w:rsidR="001E5758" w:rsidRPr="001E5758">
        <w:rPr>
          <w:rFonts w:cs="Arial"/>
        </w:rPr>
        <w:t>2311414</w:t>
      </w:r>
    </w:p>
    <w:p w14:paraId="7789D935" w14:textId="77777777" w:rsidR="003A5384" w:rsidRDefault="00000000">
      <w:pPr>
        <w:spacing w:after="120"/>
        <w:jc w:val="center"/>
        <w:rPr>
          <w:rFonts w:cs="Arial"/>
        </w:rPr>
      </w:pPr>
      <w:r>
        <w:rPr>
          <w:rFonts w:cs="Arial"/>
        </w:rPr>
        <w:t>Module Code: BMHP6030</w:t>
      </w:r>
    </w:p>
    <w:p w14:paraId="7E5EB212" w14:textId="6A21E141" w:rsidR="003A5384" w:rsidRDefault="00000000">
      <w:pPr>
        <w:spacing w:after="120"/>
        <w:jc w:val="center"/>
        <w:rPr>
          <w:rFonts w:cs="Arial"/>
        </w:rPr>
      </w:pPr>
      <w:r>
        <w:rPr>
          <w:rFonts w:cs="Arial"/>
        </w:rPr>
        <w:t xml:space="preserve">Lecturer: </w:t>
      </w:r>
      <w:r w:rsidR="009E3E89" w:rsidRPr="001B7300">
        <w:rPr>
          <w:rFonts w:cs="Arial"/>
        </w:rPr>
        <w:t xml:space="preserve">Dr </w:t>
      </w:r>
      <w:proofErr w:type="spellStart"/>
      <w:r w:rsidR="009E3E89" w:rsidRPr="001B7300">
        <w:rPr>
          <w:rFonts w:cs="Arial"/>
        </w:rPr>
        <w:t>Itse</w:t>
      </w:r>
      <w:proofErr w:type="spellEnd"/>
      <w:r w:rsidR="009E3E89" w:rsidRPr="001B7300">
        <w:rPr>
          <w:rFonts w:cs="Arial"/>
        </w:rPr>
        <w:t xml:space="preserve"> Olaoye</w:t>
      </w:r>
    </w:p>
    <w:p w14:paraId="11E26B6E" w14:textId="621EC4BB" w:rsidR="003A5384" w:rsidRDefault="00000000">
      <w:pPr>
        <w:spacing w:after="120"/>
        <w:jc w:val="center"/>
        <w:rPr>
          <w:rFonts w:cs="Arial"/>
        </w:rPr>
      </w:pPr>
      <w:r>
        <w:rPr>
          <w:rFonts w:cs="Arial"/>
        </w:rPr>
        <w:t>Submission Date:</w:t>
      </w:r>
      <w:r w:rsidR="009E3E89">
        <w:rPr>
          <w:rFonts w:cs="Arial"/>
        </w:rPr>
        <w:t xml:space="preserve"> July, 2026</w:t>
      </w:r>
    </w:p>
    <w:p w14:paraId="36401D6C" w14:textId="77777777" w:rsidR="003A5384" w:rsidRDefault="00000000">
      <w:pPr>
        <w:jc w:val="center"/>
        <w:rPr>
          <w:rFonts w:cs="Arial"/>
        </w:rPr>
      </w:pPr>
      <w:r>
        <w:rPr>
          <w:rFonts w:cs="Arial"/>
        </w:rPr>
        <w:br w:type="page"/>
      </w:r>
    </w:p>
    <w:sdt>
      <w:sdtPr>
        <w:rPr>
          <w:rFonts w:ascii="Arial" w:eastAsia="SimSun" w:hAnsi="Arial" w:cs="Times New Roman"/>
          <w:color w:val="auto"/>
          <w:sz w:val="22"/>
          <w:szCs w:val="22"/>
          <w:lang w:eastAsia="zh-CN"/>
        </w:rPr>
        <w:id w:val="1791543806"/>
        <w:docPartObj>
          <w:docPartGallery w:val="Table of Contents"/>
          <w:docPartUnique/>
        </w:docPartObj>
      </w:sdtPr>
      <w:sdtEndPr>
        <w:rPr>
          <w:b/>
          <w:bCs/>
          <w:noProof/>
        </w:rPr>
      </w:sdtEndPr>
      <w:sdtContent>
        <w:p w14:paraId="6CB0EF58" w14:textId="10B0B340" w:rsidR="00AB39E5" w:rsidRDefault="00AB39E5">
          <w:pPr>
            <w:pStyle w:val="TOCHeading"/>
          </w:pPr>
          <w:r>
            <w:t>Table of Contents</w:t>
          </w:r>
        </w:p>
        <w:p w14:paraId="30F1CAFC" w14:textId="58C32A88" w:rsidR="00AB39E5" w:rsidRDefault="00AB39E5">
          <w:pPr>
            <w:pStyle w:val="TOC1"/>
            <w:tabs>
              <w:tab w:val="right" w:leader="dot" w:pos="8296"/>
            </w:tabs>
            <w:rPr>
              <w:rFonts w:asciiTheme="minorHAnsi" w:eastAsiaTheme="minorEastAsia" w:hAnsiTheme="minorHAnsi" w:cstheme="minorBidi"/>
              <w:noProof/>
              <w:kern w:val="2"/>
              <w:sz w:val="24"/>
              <w:szCs w:val="24"/>
              <w:lang w:eastAsia="en-US"/>
              <w14:ligatures w14:val="standardContextual"/>
            </w:rPr>
          </w:pPr>
          <w:r>
            <w:fldChar w:fldCharType="begin"/>
          </w:r>
          <w:r>
            <w:instrText xml:space="preserve"> TOC \o "1-3" \h \z \u </w:instrText>
          </w:r>
          <w:r>
            <w:fldChar w:fldCharType="separate"/>
          </w:r>
          <w:hyperlink w:anchor="_Toc235371450" w:history="1">
            <w:r w:rsidRPr="00DD6CA9">
              <w:rPr>
                <w:rStyle w:val="Hyperlink"/>
                <w:noProof/>
              </w:rPr>
              <w:t>Introduction</w:t>
            </w:r>
            <w:r>
              <w:rPr>
                <w:noProof/>
                <w:webHidden/>
              </w:rPr>
              <w:tab/>
            </w:r>
            <w:r>
              <w:rPr>
                <w:noProof/>
                <w:webHidden/>
              </w:rPr>
              <w:fldChar w:fldCharType="begin"/>
            </w:r>
            <w:r>
              <w:rPr>
                <w:noProof/>
                <w:webHidden/>
              </w:rPr>
              <w:instrText xml:space="preserve"> PAGEREF _Toc235371450 \h </w:instrText>
            </w:r>
            <w:r>
              <w:rPr>
                <w:noProof/>
                <w:webHidden/>
              </w:rPr>
            </w:r>
            <w:r>
              <w:rPr>
                <w:noProof/>
                <w:webHidden/>
              </w:rPr>
              <w:fldChar w:fldCharType="separate"/>
            </w:r>
            <w:r>
              <w:rPr>
                <w:noProof/>
                <w:webHidden/>
              </w:rPr>
              <w:t>3</w:t>
            </w:r>
            <w:r>
              <w:rPr>
                <w:noProof/>
                <w:webHidden/>
              </w:rPr>
              <w:fldChar w:fldCharType="end"/>
            </w:r>
          </w:hyperlink>
        </w:p>
        <w:p w14:paraId="4704EE14" w14:textId="1A4006E1" w:rsidR="00AB39E5" w:rsidRDefault="00AB39E5">
          <w:pPr>
            <w:pStyle w:val="TOC1"/>
            <w:tabs>
              <w:tab w:val="right" w:leader="dot" w:pos="8296"/>
            </w:tabs>
            <w:rPr>
              <w:rFonts w:asciiTheme="minorHAnsi" w:eastAsiaTheme="minorEastAsia" w:hAnsiTheme="minorHAnsi" w:cstheme="minorBidi"/>
              <w:noProof/>
              <w:kern w:val="2"/>
              <w:sz w:val="24"/>
              <w:szCs w:val="24"/>
              <w:lang w:eastAsia="en-US"/>
              <w14:ligatures w14:val="standardContextual"/>
            </w:rPr>
          </w:pPr>
          <w:hyperlink w:anchor="_Toc235371451" w:history="1">
            <w:r w:rsidRPr="00DD6CA9">
              <w:rPr>
                <w:rStyle w:val="Hyperlink"/>
                <w:noProof/>
              </w:rPr>
              <w:t>SDG 3</w:t>
            </w:r>
            <w:r w:rsidRPr="00DD6CA9">
              <w:rPr>
                <w:rStyle w:val="Hyperlink"/>
                <w:noProof/>
                <w:lang w:val="en-GB"/>
              </w:rPr>
              <w:t>:</w:t>
            </w:r>
            <w:r w:rsidRPr="00DD6CA9">
              <w:rPr>
                <w:rStyle w:val="Hyperlink"/>
                <w:noProof/>
              </w:rPr>
              <w:t xml:space="preserve"> Good Health and Wellbeing.</w:t>
            </w:r>
            <w:r>
              <w:rPr>
                <w:noProof/>
                <w:webHidden/>
              </w:rPr>
              <w:tab/>
            </w:r>
            <w:r>
              <w:rPr>
                <w:noProof/>
                <w:webHidden/>
              </w:rPr>
              <w:fldChar w:fldCharType="begin"/>
            </w:r>
            <w:r>
              <w:rPr>
                <w:noProof/>
                <w:webHidden/>
              </w:rPr>
              <w:instrText xml:space="preserve"> PAGEREF _Toc235371451 \h </w:instrText>
            </w:r>
            <w:r>
              <w:rPr>
                <w:noProof/>
                <w:webHidden/>
              </w:rPr>
            </w:r>
            <w:r>
              <w:rPr>
                <w:noProof/>
                <w:webHidden/>
              </w:rPr>
              <w:fldChar w:fldCharType="separate"/>
            </w:r>
            <w:r>
              <w:rPr>
                <w:noProof/>
                <w:webHidden/>
              </w:rPr>
              <w:t>3</w:t>
            </w:r>
            <w:r>
              <w:rPr>
                <w:noProof/>
                <w:webHidden/>
              </w:rPr>
              <w:fldChar w:fldCharType="end"/>
            </w:r>
          </w:hyperlink>
        </w:p>
        <w:p w14:paraId="232E4883" w14:textId="0CBDB1AE" w:rsidR="00AB39E5" w:rsidRDefault="00AB39E5">
          <w:pPr>
            <w:pStyle w:val="TOC1"/>
            <w:tabs>
              <w:tab w:val="right" w:leader="dot" w:pos="8296"/>
            </w:tabs>
            <w:rPr>
              <w:rFonts w:asciiTheme="minorHAnsi" w:eastAsiaTheme="minorEastAsia" w:hAnsiTheme="minorHAnsi" w:cstheme="minorBidi"/>
              <w:noProof/>
              <w:kern w:val="2"/>
              <w:sz w:val="24"/>
              <w:szCs w:val="24"/>
              <w:lang w:eastAsia="en-US"/>
              <w14:ligatures w14:val="standardContextual"/>
            </w:rPr>
          </w:pPr>
          <w:hyperlink w:anchor="_Toc235371452" w:history="1">
            <w:r w:rsidRPr="00DD6CA9">
              <w:rPr>
                <w:rStyle w:val="Hyperlink"/>
                <w:noProof/>
              </w:rPr>
              <w:t>SDG 13: Climate Action</w:t>
            </w:r>
            <w:r>
              <w:rPr>
                <w:noProof/>
                <w:webHidden/>
              </w:rPr>
              <w:tab/>
            </w:r>
            <w:r>
              <w:rPr>
                <w:noProof/>
                <w:webHidden/>
              </w:rPr>
              <w:fldChar w:fldCharType="begin"/>
            </w:r>
            <w:r>
              <w:rPr>
                <w:noProof/>
                <w:webHidden/>
              </w:rPr>
              <w:instrText xml:space="preserve"> PAGEREF _Toc235371452 \h </w:instrText>
            </w:r>
            <w:r>
              <w:rPr>
                <w:noProof/>
                <w:webHidden/>
              </w:rPr>
            </w:r>
            <w:r>
              <w:rPr>
                <w:noProof/>
                <w:webHidden/>
              </w:rPr>
              <w:fldChar w:fldCharType="separate"/>
            </w:r>
            <w:r>
              <w:rPr>
                <w:noProof/>
                <w:webHidden/>
              </w:rPr>
              <w:t>4</w:t>
            </w:r>
            <w:r>
              <w:rPr>
                <w:noProof/>
                <w:webHidden/>
              </w:rPr>
              <w:fldChar w:fldCharType="end"/>
            </w:r>
          </w:hyperlink>
        </w:p>
        <w:p w14:paraId="41A09BDD" w14:textId="38A8790F" w:rsidR="00AB39E5" w:rsidRDefault="00AB39E5">
          <w:pPr>
            <w:pStyle w:val="TOC1"/>
            <w:tabs>
              <w:tab w:val="right" w:leader="dot" w:pos="8296"/>
            </w:tabs>
            <w:rPr>
              <w:rFonts w:asciiTheme="minorHAnsi" w:eastAsiaTheme="minorEastAsia" w:hAnsiTheme="minorHAnsi" w:cstheme="minorBidi"/>
              <w:noProof/>
              <w:kern w:val="2"/>
              <w:sz w:val="24"/>
              <w:szCs w:val="24"/>
              <w:lang w:eastAsia="en-US"/>
              <w14:ligatures w14:val="standardContextual"/>
            </w:rPr>
          </w:pPr>
          <w:hyperlink w:anchor="_Toc235371453" w:history="1">
            <w:r w:rsidRPr="00DD6CA9">
              <w:rPr>
                <w:rStyle w:val="Hyperlink"/>
                <w:noProof/>
              </w:rPr>
              <w:t>National Wellbeing Initiatives</w:t>
            </w:r>
            <w:r>
              <w:rPr>
                <w:noProof/>
                <w:webHidden/>
              </w:rPr>
              <w:tab/>
            </w:r>
            <w:r>
              <w:rPr>
                <w:noProof/>
                <w:webHidden/>
              </w:rPr>
              <w:fldChar w:fldCharType="begin"/>
            </w:r>
            <w:r>
              <w:rPr>
                <w:noProof/>
                <w:webHidden/>
              </w:rPr>
              <w:instrText xml:space="preserve"> PAGEREF _Toc235371453 \h </w:instrText>
            </w:r>
            <w:r>
              <w:rPr>
                <w:noProof/>
                <w:webHidden/>
              </w:rPr>
            </w:r>
            <w:r>
              <w:rPr>
                <w:noProof/>
                <w:webHidden/>
              </w:rPr>
              <w:fldChar w:fldCharType="separate"/>
            </w:r>
            <w:r>
              <w:rPr>
                <w:noProof/>
                <w:webHidden/>
              </w:rPr>
              <w:t>5</w:t>
            </w:r>
            <w:r>
              <w:rPr>
                <w:noProof/>
                <w:webHidden/>
              </w:rPr>
              <w:fldChar w:fldCharType="end"/>
            </w:r>
          </w:hyperlink>
        </w:p>
        <w:p w14:paraId="498831B2" w14:textId="6F90B4ED" w:rsidR="00AB39E5" w:rsidRDefault="00AB39E5">
          <w:pPr>
            <w:pStyle w:val="TOC2"/>
            <w:tabs>
              <w:tab w:val="right" w:leader="dot" w:pos="8296"/>
            </w:tabs>
            <w:rPr>
              <w:rFonts w:asciiTheme="minorHAnsi" w:eastAsiaTheme="minorEastAsia" w:hAnsiTheme="minorHAnsi" w:cstheme="minorBidi"/>
              <w:noProof/>
              <w:kern w:val="2"/>
              <w:sz w:val="24"/>
              <w:szCs w:val="24"/>
              <w:lang w:eastAsia="en-US"/>
              <w14:ligatures w14:val="standardContextual"/>
            </w:rPr>
          </w:pPr>
          <w:hyperlink w:anchor="_Toc235371454" w:history="1">
            <w:r w:rsidRPr="00DD6CA9">
              <w:rPr>
                <w:rStyle w:val="Hyperlink"/>
                <w:noProof/>
              </w:rPr>
              <w:t>The NHS Long Term Plan</w:t>
            </w:r>
            <w:r>
              <w:rPr>
                <w:noProof/>
                <w:webHidden/>
              </w:rPr>
              <w:tab/>
            </w:r>
            <w:r>
              <w:rPr>
                <w:noProof/>
                <w:webHidden/>
              </w:rPr>
              <w:fldChar w:fldCharType="begin"/>
            </w:r>
            <w:r>
              <w:rPr>
                <w:noProof/>
                <w:webHidden/>
              </w:rPr>
              <w:instrText xml:space="preserve"> PAGEREF _Toc235371454 \h </w:instrText>
            </w:r>
            <w:r>
              <w:rPr>
                <w:noProof/>
                <w:webHidden/>
              </w:rPr>
            </w:r>
            <w:r>
              <w:rPr>
                <w:noProof/>
                <w:webHidden/>
              </w:rPr>
              <w:fldChar w:fldCharType="separate"/>
            </w:r>
            <w:r>
              <w:rPr>
                <w:noProof/>
                <w:webHidden/>
              </w:rPr>
              <w:t>5</w:t>
            </w:r>
            <w:r>
              <w:rPr>
                <w:noProof/>
                <w:webHidden/>
              </w:rPr>
              <w:fldChar w:fldCharType="end"/>
            </w:r>
          </w:hyperlink>
        </w:p>
        <w:p w14:paraId="08E74D4A" w14:textId="39C312EC" w:rsidR="00AB39E5" w:rsidRDefault="00AB39E5">
          <w:pPr>
            <w:pStyle w:val="TOC2"/>
            <w:tabs>
              <w:tab w:val="right" w:leader="dot" w:pos="8296"/>
            </w:tabs>
            <w:rPr>
              <w:rFonts w:asciiTheme="minorHAnsi" w:eastAsiaTheme="minorEastAsia" w:hAnsiTheme="minorHAnsi" w:cstheme="minorBidi"/>
              <w:noProof/>
              <w:kern w:val="2"/>
              <w:sz w:val="24"/>
              <w:szCs w:val="24"/>
              <w:lang w:eastAsia="en-US"/>
              <w14:ligatures w14:val="standardContextual"/>
            </w:rPr>
          </w:pPr>
          <w:hyperlink w:anchor="_Toc235371455" w:history="1">
            <w:r w:rsidRPr="00DD6CA9">
              <w:rPr>
                <w:rStyle w:val="Hyperlink"/>
                <w:noProof/>
              </w:rPr>
              <w:t>The Better Health Campaign</w:t>
            </w:r>
            <w:r>
              <w:rPr>
                <w:noProof/>
                <w:webHidden/>
              </w:rPr>
              <w:tab/>
            </w:r>
            <w:r>
              <w:rPr>
                <w:noProof/>
                <w:webHidden/>
              </w:rPr>
              <w:fldChar w:fldCharType="begin"/>
            </w:r>
            <w:r>
              <w:rPr>
                <w:noProof/>
                <w:webHidden/>
              </w:rPr>
              <w:instrText xml:space="preserve"> PAGEREF _Toc235371455 \h </w:instrText>
            </w:r>
            <w:r>
              <w:rPr>
                <w:noProof/>
                <w:webHidden/>
              </w:rPr>
            </w:r>
            <w:r>
              <w:rPr>
                <w:noProof/>
                <w:webHidden/>
              </w:rPr>
              <w:fldChar w:fldCharType="separate"/>
            </w:r>
            <w:r>
              <w:rPr>
                <w:noProof/>
                <w:webHidden/>
              </w:rPr>
              <w:t>5</w:t>
            </w:r>
            <w:r>
              <w:rPr>
                <w:noProof/>
                <w:webHidden/>
              </w:rPr>
              <w:fldChar w:fldCharType="end"/>
            </w:r>
          </w:hyperlink>
        </w:p>
        <w:p w14:paraId="2C8CB845" w14:textId="21C33EDB" w:rsidR="00AB39E5" w:rsidRDefault="00AB39E5">
          <w:pPr>
            <w:pStyle w:val="TOC1"/>
            <w:tabs>
              <w:tab w:val="right" w:leader="dot" w:pos="8296"/>
            </w:tabs>
            <w:rPr>
              <w:rFonts w:asciiTheme="minorHAnsi" w:eastAsiaTheme="minorEastAsia" w:hAnsiTheme="minorHAnsi" w:cstheme="minorBidi"/>
              <w:noProof/>
              <w:kern w:val="2"/>
              <w:sz w:val="24"/>
              <w:szCs w:val="24"/>
              <w:lang w:eastAsia="en-US"/>
              <w14:ligatures w14:val="standardContextual"/>
            </w:rPr>
          </w:pPr>
          <w:hyperlink w:anchor="_Toc235371456" w:history="1">
            <w:r w:rsidRPr="00DD6CA9">
              <w:rPr>
                <w:rStyle w:val="Hyperlink"/>
                <w:noProof/>
              </w:rPr>
              <w:t>Local Wellbeing Initiatives</w:t>
            </w:r>
            <w:r>
              <w:rPr>
                <w:noProof/>
                <w:webHidden/>
              </w:rPr>
              <w:tab/>
            </w:r>
            <w:r>
              <w:rPr>
                <w:noProof/>
                <w:webHidden/>
              </w:rPr>
              <w:fldChar w:fldCharType="begin"/>
            </w:r>
            <w:r>
              <w:rPr>
                <w:noProof/>
                <w:webHidden/>
              </w:rPr>
              <w:instrText xml:space="preserve"> PAGEREF _Toc235371456 \h </w:instrText>
            </w:r>
            <w:r>
              <w:rPr>
                <w:noProof/>
                <w:webHidden/>
              </w:rPr>
            </w:r>
            <w:r>
              <w:rPr>
                <w:noProof/>
                <w:webHidden/>
              </w:rPr>
              <w:fldChar w:fldCharType="separate"/>
            </w:r>
            <w:r>
              <w:rPr>
                <w:noProof/>
                <w:webHidden/>
              </w:rPr>
              <w:t>6</w:t>
            </w:r>
            <w:r>
              <w:rPr>
                <w:noProof/>
                <w:webHidden/>
              </w:rPr>
              <w:fldChar w:fldCharType="end"/>
            </w:r>
          </w:hyperlink>
        </w:p>
        <w:p w14:paraId="2D86053C" w14:textId="7DB4D998" w:rsidR="00AB39E5" w:rsidRDefault="00AB39E5">
          <w:pPr>
            <w:pStyle w:val="TOC2"/>
            <w:tabs>
              <w:tab w:val="right" w:leader="dot" w:pos="8296"/>
            </w:tabs>
            <w:rPr>
              <w:rFonts w:asciiTheme="minorHAnsi" w:eastAsiaTheme="minorEastAsia" w:hAnsiTheme="minorHAnsi" w:cstheme="minorBidi"/>
              <w:noProof/>
              <w:kern w:val="2"/>
              <w:sz w:val="24"/>
              <w:szCs w:val="24"/>
              <w:lang w:eastAsia="en-US"/>
              <w14:ligatures w14:val="standardContextual"/>
            </w:rPr>
          </w:pPr>
          <w:hyperlink w:anchor="_Toc235371457" w:history="1">
            <w:r w:rsidRPr="00DD6CA9">
              <w:rPr>
                <w:rStyle w:val="Hyperlink"/>
                <w:noProof/>
              </w:rPr>
              <w:t>Birmingham Healthy City Planning Toolkit</w:t>
            </w:r>
            <w:r>
              <w:rPr>
                <w:noProof/>
                <w:webHidden/>
              </w:rPr>
              <w:tab/>
            </w:r>
            <w:r>
              <w:rPr>
                <w:noProof/>
                <w:webHidden/>
              </w:rPr>
              <w:fldChar w:fldCharType="begin"/>
            </w:r>
            <w:r>
              <w:rPr>
                <w:noProof/>
                <w:webHidden/>
              </w:rPr>
              <w:instrText xml:space="preserve"> PAGEREF _Toc235371457 \h </w:instrText>
            </w:r>
            <w:r>
              <w:rPr>
                <w:noProof/>
                <w:webHidden/>
              </w:rPr>
            </w:r>
            <w:r>
              <w:rPr>
                <w:noProof/>
                <w:webHidden/>
              </w:rPr>
              <w:fldChar w:fldCharType="separate"/>
            </w:r>
            <w:r>
              <w:rPr>
                <w:noProof/>
                <w:webHidden/>
              </w:rPr>
              <w:t>6</w:t>
            </w:r>
            <w:r>
              <w:rPr>
                <w:noProof/>
                <w:webHidden/>
              </w:rPr>
              <w:fldChar w:fldCharType="end"/>
            </w:r>
          </w:hyperlink>
        </w:p>
        <w:p w14:paraId="0983A44B" w14:textId="34F2B0A7" w:rsidR="00AB39E5" w:rsidRDefault="00AB39E5">
          <w:pPr>
            <w:pStyle w:val="TOC2"/>
            <w:tabs>
              <w:tab w:val="right" w:leader="dot" w:pos="8296"/>
            </w:tabs>
            <w:rPr>
              <w:rFonts w:asciiTheme="minorHAnsi" w:eastAsiaTheme="minorEastAsia" w:hAnsiTheme="minorHAnsi" w:cstheme="minorBidi"/>
              <w:noProof/>
              <w:kern w:val="2"/>
              <w:sz w:val="24"/>
              <w:szCs w:val="24"/>
              <w:lang w:eastAsia="en-US"/>
              <w14:ligatures w14:val="standardContextual"/>
            </w:rPr>
          </w:pPr>
          <w:hyperlink w:anchor="_Toc235371458" w:history="1">
            <w:r w:rsidRPr="00DD6CA9">
              <w:rPr>
                <w:rStyle w:val="Hyperlink"/>
                <w:noProof/>
              </w:rPr>
              <w:t>Birmingham Connected Care Programme</w:t>
            </w:r>
            <w:r>
              <w:rPr>
                <w:noProof/>
                <w:webHidden/>
              </w:rPr>
              <w:tab/>
            </w:r>
            <w:r>
              <w:rPr>
                <w:noProof/>
                <w:webHidden/>
              </w:rPr>
              <w:fldChar w:fldCharType="begin"/>
            </w:r>
            <w:r>
              <w:rPr>
                <w:noProof/>
                <w:webHidden/>
              </w:rPr>
              <w:instrText xml:space="preserve"> PAGEREF _Toc235371458 \h </w:instrText>
            </w:r>
            <w:r>
              <w:rPr>
                <w:noProof/>
                <w:webHidden/>
              </w:rPr>
            </w:r>
            <w:r>
              <w:rPr>
                <w:noProof/>
                <w:webHidden/>
              </w:rPr>
              <w:fldChar w:fldCharType="separate"/>
            </w:r>
            <w:r>
              <w:rPr>
                <w:noProof/>
                <w:webHidden/>
              </w:rPr>
              <w:t>7</w:t>
            </w:r>
            <w:r>
              <w:rPr>
                <w:noProof/>
                <w:webHidden/>
              </w:rPr>
              <w:fldChar w:fldCharType="end"/>
            </w:r>
          </w:hyperlink>
        </w:p>
        <w:p w14:paraId="1A428E64" w14:textId="6A7F0C18" w:rsidR="00AB39E5" w:rsidRDefault="00AB39E5">
          <w:pPr>
            <w:pStyle w:val="TOC1"/>
            <w:tabs>
              <w:tab w:val="right" w:leader="dot" w:pos="8296"/>
            </w:tabs>
            <w:rPr>
              <w:rFonts w:asciiTheme="minorHAnsi" w:eastAsiaTheme="minorEastAsia" w:hAnsiTheme="minorHAnsi" w:cstheme="minorBidi"/>
              <w:noProof/>
              <w:kern w:val="2"/>
              <w:sz w:val="24"/>
              <w:szCs w:val="24"/>
              <w:lang w:eastAsia="en-US"/>
              <w14:ligatures w14:val="standardContextual"/>
            </w:rPr>
          </w:pPr>
          <w:hyperlink w:anchor="_Toc235371459" w:history="1">
            <w:r w:rsidRPr="00DD6CA9">
              <w:rPr>
                <w:rStyle w:val="Hyperlink"/>
                <w:noProof/>
              </w:rPr>
              <w:t>Conclusion</w:t>
            </w:r>
            <w:r>
              <w:rPr>
                <w:noProof/>
                <w:webHidden/>
              </w:rPr>
              <w:tab/>
            </w:r>
            <w:r>
              <w:rPr>
                <w:noProof/>
                <w:webHidden/>
              </w:rPr>
              <w:fldChar w:fldCharType="begin"/>
            </w:r>
            <w:r>
              <w:rPr>
                <w:noProof/>
                <w:webHidden/>
              </w:rPr>
              <w:instrText xml:space="preserve"> PAGEREF _Toc235371459 \h </w:instrText>
            </w:r>
            <w:r>
              <w:rPr>
                <w:noProof/>
                <w:webHidden/>
              </w:rPr>
            </w:r>
            <w:r>
              <w:rPr>
                <w:noProof/>
                <w:webHidden/>
              </w:rPr>
              <w:fldChar w:fldCharType="separate"/>
            </w:r>
            <w:r>
              <w:rPr>
                <w:noProof/>
                <w:webHidden/>
              </w:rPr>
              <w:t>7</w:t>
            </w:r>
            <w:r>
              <w:rPr>
                <w:noProof/>
                <w:webHidden/>
              </w:rPr>
              <w:fldChar w:fldCharType="end"/>
            </w:r>
          </w:hyperlink>
        </w:p>
        <w:p w14:paraId="065D4E33" w14:textId="5C9CCCE6" w:rsidR="00AB39E5" w:rsidRDefault="00AB39E5">
          <w:pPr>
            <w:pStyle w:val="TOC1"/>
            <w:tabs>
              <w:tab w:val="right" w:leader="dot" w:pos="8296"/>
            </w:tabs>
            <w:rPr>
              <w:rFonts w:asciiTheme="minorHAnsi" w:eastAsiaTheme="minorEastAsia" w:hAnsiTheme="minorHAnsi" w:cstheme="minorBidi"/>
              <w:noProof/>
              <w:kern w:val="2"/>
              <w:sz w:val="24"/>
              <w:szCs w:val="24"/>
              <w:lang w:eastAsia="en-US"/>
              <w14:ligatures w14:val="standardContextual"/>
            </w:rPr>
          </w:pPr>
          <w:hyperlink w:anchor="_Toc235371460" w:history="1">
            <w:r w:rsidRPr="00DD6CA9">
              <w:rPr>
                <w:rStyle w:val="Hyperlink"/>
                <w:noProof/>
              </w:rPr>
              <w:t>References</w:t>
            </w:r>
            <w:r>
              <w:rPr>
                <w:noProof/>
                <w:webHidden/>
              </w:rPr>
              <w:tab/>
            </w:r>
            <w:r>
              <w:rPr>
                <w:noProof/>
                <w:webHidden/>
              </w:rPr>
              <w:fldChar w:fldCharType="begin"/>
            </w:r>
            <w:r>
              <w:rPr>
                <w:noProof/>
                <w:webHidden/>
              </w:rPr>
              <w:instrText xml:space="preserve"> PAGEREF _Toc235371460 \h </w:instrText>
            </w:r>
            <w:r>
              <w:rPr>
                <w:noProof/>
                <w:webHidden/>
              </w:rPr>
            </w:r>
            <w:r>
              <w:rPr>
                <w:noProof/>
                <w:webHidden/>
              </w:rPr>
              <w:fldChar w:fldCharType="separate"/>
            </w:r>
            <w:r>
              <w:rPr>
                <w:noProof/>
                <w:webHidden/>
              </w:rPr>
              <w:t>9</w:t>
            </w:r>
            <w:r>
              <w:rPr>
                <w:noProof/>
                <w:webHidden/>
              </w:rPr>
              <w:fldChar w:fldCharType="end"/>
            </w:r>
          </w:hyperlink>
        </w:p>
        <w:p w14:paraId="5ADAE2A7" w14:textId="448DB306" w:rsidR="00AB39E5" w:rsidRDefault="00AB39E5">
          <w:r>
            <w:rPr>
              <w:b/>
              <w:bCs/>
              <w:noProof/>
            </w:rPr>
            <w:fldChar w:fldCharType="end"/>
          </w:r>
        </w:p>
      </w:sdtContent>
    </w:sdt>
    <w:p w14:paraId="0CAF2332" w14:textId="77777777" w:rsidR="003A5384" w:rsidRDefault="003A5384">
      <w:pPr>
        <w:jc w:val="both"/>
        <w:rPr>
          <w:rFonts w:cs="Arial"/>
        </w:rPr>
      </w:pPr>
    </w:p>
    <w:p w14:paraId="35E5EC63" w14:textId="77777777" w:rsidR="003A5384" w:rsidRDefault="003A5384">
      <w:pPr>
        <w:jc w:val="both"/>
        <w:rPr>
          <w:rFonts w:cs="Arial"/>
        </w:rPr>
      </w:pPr>
    </w:p>
    <w:p w14:paraId="50AA66C8" w14:textId="77777777" w:rsidR="003A5384" w:rsidRDefault="003A5384">
      <w:pPr>
        <w:jc w:val="both"/>
        <w:rPr>
          <w:rFonts w:cs="Arial"/>
        </w:rPr>
      </w:pPr>
    </w:p>
    <w:p w14:paraId="3435F82C" w14:textId="77777777" w:rsidR="003A5384" w:rsidRDefault="003A5384">
      <w:pPr>
        <w:jc w:val="both"/>
        <w:rPr>
          <w:rFonts w:cs="Arial"/>
        </w:rPr>
      </w:pPr>
    </w:p>
    <w:p w14:paraId="157E90F2" w14:textId="77777777" w:rsidR="003A5384" w:rsidRDefault="003A5384">
      <w:pPr>
        <w:jc w:val="both"/>
        <w:rPr>
          <w:rFonts w:cs="Arial"/>
        </w:rPr>
      </w:pPr>
    </w:p>
    <w:p w14:paraId="338B490A" w14:textId="77777777" w:rsidR="003A5384" w:rsidRDefault="003A5384">
      <w:pPr>
        <w:jc w:val="both"/>
        <w:rPr>
          <w:rFonts w:cs="Arial"/>
        </w:rPr>
      </w:pPr>
    </w:p>
    <w:p w14:paraId="017DD629" w14:textId="77777777" w:rsidR="003A5384" w:rsidRDefault="003A5384">
      <w:pPr>
        <w:jc w:val="both"/>
        <w:rPr>
          <w:rFonts w:cs="Arial"/>
        </w:rPr>
      </w:pPr>
    </w:p>
    <w:p w14:paraId="06304843" w14:textId="77777777" w:rsidR="00AB39E5" w:rsidRDefault="00AB39E5">
      <w:pPr>
        <w:jc w:val="both"/>
        <w:rPr>
          <w:rFonts w:cs="Arial"/>
        </w:rPr>
      </w:pPr>
    </w:p>
    <w:p w14:paraId="09AA6A54" w14:textId="77777777" w:rsidR="00AB39E5" w:rsidRDefault="00AB39E5">
      <w:pPr>
        <w:jc w:val="both"/>
        <w:rPr>
          <w:rFonts w:cs="Arial"/>
        </w:rPr>
      </w:pPr>
    </w:p>
    <w:p w14:paraId="317B5E9E" w14:textId="77777777" w:rsidR="00AB39E5" w:rsidRDefault="00AB39E5">
      <w:pPr>
        <w:jc w:val="both"/>
        <w:rPr>
          <w:rFonts w:cs="Arial"/>
        </w:rPr>
      </w:pPr>
    </w:p>
    <w:p w14:paraId="73F84B35" w14:textId="77777777" w:rsidR="00AB39E5" w:rsidRDefault="00AB39E5">
      <w:pPr>
        <w:jc w:val="both"/>
        <w:rPr>
          <w:rFonts w:cs="Arial"/>
        </w:rPr>
      </w:pPr>
    </w:p>
    <w:p w14:paraId="538D87FC" w14:textId="77777777" w:rsidR="003A5384" w:rsidRDefault="003A5384">
      <w:pPr>
        <w:jc w:val="both"/>
        <w:rPr>
          <w:rFonts w:cs="Arial"/>
        </w:rPr>
      </w:pPr>
    </w:p>
    <w:p w14:paraId="77A6A503" w14:textId="77777777" w:rsidR="003A5384" w:rsidRDefault="00000000" w:rsidP="00FE6FFD">
      <w:pPr>
        <w:pStyle w:val="Heading1"/>
      </w:pPr>
      <w:bookmarkStart w:id="0" w:name="_Toc235371450"/>
      <w:r>
        <w:lastRenderedPageBreak/>
        <w:t>Introduction</w:t>
      </w:r>
      <w:bookmarkEnd w:id="0"/>
    </w:p>
    <w:p w14:paraId="4F1560EB" w14:textId="77777777" w:rsidR="003A5384" w:rsidRDefault="00000000">
      <w:pPr>
        <w:jc w:val="both"/>
        <w:rPr>
          <w:rFonts w:cs="Arial"/>
        </w:rPr>
      </w:pPr>
      <w:r>
        <w:rPr>
          <w:rFonts w:cs="Arial"/>
        </w:rPr>
        <w:t xml:space="preserve">Health and wellbeing </w:t>
      </w:r>
      <w:proofErr w:type="gramStart"/>
      <w:r>
        <w:rPr>
          <w:rFonts w:cs="Arial"/>
        </w:rPr>
        <w:t>is</w:t>
      </w:r>
      <w:proofErr w:type="gramEnd"/>
      <w:r>
        <w:rPr>
          <w:rFonts w:cs="Arial"/>
        </w:rPr>
        <w:t xml:space="preserve"> fundamental to human capital and sustainable global development. The Sustainable Development Goals (SDGs) were set by the United Nations (UN) 2030 Agenda, which was designed as a comprehensive plan of action to solve overlapping social, economic and environmental crises (United Nations, 2015). SDG 3 specifically targets healthy lives and wellbeing for all ages, and is one of these. This report </w:t>
      </w:r>
      <w:proofErr w:type="spellStart"/>
      <w:r>
        <w:rPr>
          <w:rFonts w:cs="Arial"/>
        </w:rPr>
        <w:t>investigatively</w:t>
      </w:r>
      <w:proofErr w:type="spellEnd"/>
      <w:r>
        <w:rPr>
          <w:rFonts w:cs="Arial"/>
        </w:rPr>
        <w:t xml:space="preserve"> explores the concept of SDG 3 in relation to SDG 13 (Climate Action) and its connection with civilian health. In addition, it assesses the structural effectiveness of two national policies in the UK (the NHS Long Term Plan and the Better Health Campaign), and two local initiatives, overseen in the city of Birmingham. In this multi-level analysis, evidence-based recommendations are provided to help address systemic inequalities and improve public health governance.</w:t>
      </w:r>
    </w:p>
    <w:p w14:paraId="7A0ABE18" w14:textId="77777777" w:rsidR="00B17D2F" w:rsidRDefault="00B17D2F" w:rsidP="00FE6FFD">
      <w:pPr>
        <w:pStyle w:val="Heading1"/>
      </w:pPr>
      <w:bookmarkStart w:id="1" w:name="_Toc235371451"/>
    </w:p>
    <w:p w14:paraId="65E79EA9" w14:textId="77777777" w:rsidR="00B17D2F" w:rsidRDefault="00B17D2F" w:rsidP="00FE6FFD">
      <w:pPr>
        <w:pStyle w:val="Heading1"/>
      </w:pPr>
    </w:p>
    <w:p w14:paraId="089BC588" w14:textId="77777777" w:rsidR="00B17D2F" w:rsidRDefault="00B17D2F" w:rsidP="00FE6FFD">
      <w:pPr>
        <w:pStyle w:val="Heading1"/>
      </w:pPr>
    </w:p>
    <w:p w14:paraId="1C6E1D55" w14:textId="77777777" w:rsidR="00B17D2F" w:rsidRDefault="00B17D2F" w:rsidP="00FE6FFD">
      <w:pPr>
        <w:pStyle w:val="Heading1"/>
      </w:pPr>
    </w:p>
    <w:p w14:paraId="7AADAB8A" w14:textId="77777777" w:rsidR="00B17D2F" w:rsidRDefault="00B17D2F" w:rsidP="00FE6FFD">
      <w:pPr>
        <w:pStyle w:val="Heading1"/>
      </w:pPr>
    </w:p>
    <w:p w14:paraId="11D8CF9E" w14:textId="77777777" w:rsidR="00B17D2F" w:rsidRDefault="00B17D2F" w:rsidP="00FE6FFD">
      <w:pPr>
        <w:pStyle w:val="Heading1"/>
      </w:pPr>
    </w:p>
    <w:p w14:paraId="63484352" w14:textId="77777777" w:rsidR="00B17D2F" w:rsidRDefault="00B17D2F" w:rsidP="00FE6FFD">
      <w:pPr>
        <w:pStyle w:val="Heading1"/>
      </w:pPr>
    </w:p>
    <w:p w14:paraId="7AFC6984" w14:textId="77777777" w:rsidR="00B17D2F" w:rsidRDefault="00B17D2F" w:rsidP="00FE6FFD">
      <w:pPr>
        <w:pStyle w:val="Heading1"/>
      </w:pPr>
    </w:p>
    <w:p w14:paraId="677024A5" w14:textId="77777777" w:rsidR="00B17D2F" w:rsidRDefault="00B17D2F" w:rsidP="00FE6FFD">
      <w:pPr>
        <w:pStyle w:val="Heading1"/>
      </w:pPr>
    </w:p>
    <w:p w14:paraId="6B6B5C7F" w14:textId="77777777" w:rsidR="00B17D2F" w:rsidRPr="00B17D2F" w:rsidRDefault="00B17D2F" w:rsidP="00B17D2F"/>
    <w:p w14:paraId="2145CD6D" w14:textId="33F8B623" w:rsidR="003A5384" w:rsidRDefault="00000000" w:rsidP="00FE6FFD">
      <w:pPr>
        <w:pStyle w:val="Heading1"/>
      </w:pPr>
      <w:r>
        <w:lastRenderedPageBreak/>
        <w:t>SDG 3</w:t>
      </w:r>
      <w:r>
        <w:rPr>
          <w:lang w:val="en-GB"/>
        </w:rPr>
        <w:t>:</w:t>
      </w:r>
      <w:r>
        <w:t xml:space="preserve"> Good Health and Wellbeing.</w:t>
      </w:r>
      <w:bookmarkEnd w:id="1"/>
    </w:p>
    <w:p w14:paraId="5F5838BB" w14:textId="5B8C2D31" w:rsidR="003A5384" w:rsidRDefault="00000000">
      <w:pPr>
        <w:jc w:val="both"/>
        <w:rPr>
          <w:rFonts w:cs="Arial"/>
        </w:rPr>
      </w:pPr>
      <w:r>
        <w:rPr>
          <w:rFonts w:cs="Arial"/>
        </w:rPr>
        <w:t>SDG 3 is meant to tackle the underlying structural causes of a country's death and disease rates (United Nations, 2015)</w:t>
      </w:r>
      <w:r w:rsidR="009E3E89">
        <w:rPr>
          <w:rFonts w:cs="Arial"/>
        </w:rPr>
        <w:t>,</w:t>
      </w:r>
      <w:r>
        <w:rPr>
          <w:rFonts w:cs="Arial"/>
        </w:rPr>
        <w:t xml:space="preserve"> which were accepted by all 193 UN Member States in 2015. The objective is to focus on public health aspects that cross and integrate the pillars of public health – namely, to reduce maternal and neonatal mortality, to end epidemics of communicable vectors (HIV, TB, malaria </w:t>
      </w:r>
      <w:proofErr w:type="spellStart"/>
      <w:r>
        <w:rPr>
          <w:rFonts w:cs="Arial"/>
        </w:rPr>
        <w:t>etc</w:t>
      </w:r>
      <w:proofErr w:type="spellEnd"/>
      <w:r>
        <w:rPr>
          <w:rFonts w:cs="Arial"/>
        </w:rPr>
        <w:t xml:space="preserve">), to combat non-communicable diseases (NCDs) through preventative intervention and mental health promotion (United Nations Development </w:t>
      </w:r>
      <w:proofErr w:type="spellStart"/>
      <w:r>
        <w:rPr>
          <w:rFonts w:cs="Arial"/>
        </w:rPr>
        <w:t>Programme</w:t>
      </w:r>
      <w:proofErr w:type="spellEnd"/>
      <w:r>
        <w:rPr>
          <w:rFonts w:cs="Arial"/>
        </w:rPr>
        <w:t>, 2023). Universal Health Coverage (UHC) is an essential pillar of SDG 3 to ensure that all citizens have access to all the key health services without financial burden (World Health Organization, 2024a). This has been adopted as a way of approaching health as not only a lack of illness but a precondition for economic productivity and social cohesion.</w:t>
      </w:r>
    </w:p>
    <w:p w14:paraId="568546AF" w14:textId="650624D9" w:rsidR="003A5384" w:rsidRDefault="00000000">
      <w:pPr>
        <w:jc w:val="both"/>
        <w:rPr>
          <w:rFonts w:cs="Arial"/>
        </w:rPr>
      </w:pPr>
      <w:r>
        <w:rPr>
          <w:rFonts w:cs="Arial"/>
        </w:rPr>
        <w:t xml:space="preserve">The implementation of SDG 3 has been achieved with significant progress, globally. Vaccine-preventable child mortality has been lowered as a result of better </w:t>
      </w:r>
      <w:proofErr w:type="spellStart"/>
      <w:r w:rsidR="009E3E89">
        <w:rPr>
          <w:rFonts w:cs="Arial"/>
        </w:rPr>
        <w:t>immunisation</w:t>
      </w:r>
      <w:proofErr w:type="spellEnd"/>
      <w:r>
        <w:rPr>
          <w:rFonts w:cs="Arial"/>
        </w:rPr>
        <w:t xml:space="preserve"> </w:t>
      </w:r>
      <w:proofErr w:type="spellStart"/>
      <w:r>
        <w:rPr>
          <w:rFonts w:cs="Arial"/>
        </w:rPr>
        <w:t>programmes</w:t>
      </w:r>
      <w:proofErr w:type="spellEnd"/>
      <w:r>
        <w:rPr>
          <w:rFonts w:cs="Arial"/>
        </w:rPr>
        <w:t xml:space="preserve">, and funding for specific interventions has helped to limit the spread of important vectors of infectious diseases internationally (World Health Organization, 2024a). Although there has been consistent progress over time in </w:t>
      </w:r>
      <w:proofErr w:type="spellStart"/>
      <w:r>
        <w:rPr>
          <w:rFonts w:cs="Arial"/>
        </w:rPr>
        <w:t>localised</w:t>
      </w:r>
      <w:proofErr w:type="spellEnd"/>
      <w:r>
        <w:rPr>
          <w:rFonts w:cs="Arial"/>
        </w:rPr>
        <w:t xml:space="preserve"> measures of life expectancy, this can be attributed to population-based strategies at the national level in the UK, including the implementation of national cancer screening </w:t>
      </w:r>
      <w:proofErr w:type="spellStart"/>
      <w:r>
        <w:rPr>
          <w:rFonts w:cs="Arial"/>
        </w:rPr>
        <w:t>programmes</w:t>
      </w:r>
      <w:proofErr w:type="spellEnd"/>
      <w:r>
        <w:rPr>
          <w:rFonts w:cs="Arial"/>
        </w:rPr>
        <w:t xml:space="preserve"> (Office for Health Improvement and Disparities, 2022). </w:t>
      </w:r>
    </w:p>
    <w:p w14:paraId="47959EE3" w14:textId="77777777" w:rsidR="00FE6FFD" w:rsidRDefault="00FE6FFD">
      <w:pPr>
        <w:jc w:val="both"/>
        <w:rPr>
          <w:rFonts w:cs="Arial"/>
        </w:rPr>
      </w:pPr>
    </w:p>
    <w:p w14:paraId="5210D593" w14:textId="6D3B42BD" w:rsidR="003A5384" w:rsidRDefault="009E3E89">
      <w:pPr>
        <w:jc w:val="both"/>
        <w:rPr>
          <w:rFonts w:cs="Arial"/>
        </w:rPr>
      </w:pPr>
      <w:r>
        <w:rPr>
          <w:rFonts w:cs="Arial"/>
        </w:rPr>
        <w:t>Some systemic inequities persist, and there are macro-level progressions. Multi-morbidity is more common, and healthy life expectancy is the lowest among the poorest and most deprived people in the UK than among wealthier and less deprived groups (Marmot et al., 2020). The structural shifts in how healthcare is delivered have had a significant impact on the delivery of elective care since the start of the COVID-19 pandemic, causing unparalleled care backlogs and exacerbating existing health inequalities (The King's Fund, 2024). Moreover, the increasing burden of lifestyle-related chronic health conditions, such as type 2 diabetes and clinical obesity, puts a continuous financial and operational strain on publicly funded health care systems (ONS, 2024). More critically, addressing SDG 3 must go beyond merely clinical aspects of medical expansion, and extend to structural mitigation of broader social determinants of health including inadequate housing, precarious employment and environmental degradation (Marmot et al., 2020).</w:t>
      </w:r>
    </w:p>
    <w:p w14:paraId="6ADE5AD1" w14:textId="77777777" w:rsidR="003A5384" w:rsidRDefault="00000000" w:rsidP="00FE6FFD">
      <w:pPr>
        <w:pStyle w:val="Heading1"/>
      </w:pPr>
      <w:bookmarkStart w:id="2" w:name="_Toc235371452"/>
      <w:r>
        <w:lastRenderedPageBreak/>
        <w:t>SDG 13: Climate Action</w:t>
      </w:r>
      <w:bookmarkEnd w:id="2"/>
    </w:p>
    <w:p w14:paraId="41B801D7" w14:textId="7CE7D5E1" w:rsidR="003A5384" w:rsidRDefault="00000000">
      <w:pPr>
        <w:jc w:val="both"/>
        <w:rPr>
          <w:rFonts w:cs="Arial"/>
        </w:rPr>
      </w:pPr>
      <w:r>
        <w:rPr>
          <w:rFonts w:cs="Arial"/>
        </w:rPr>
        <w:t xml:space="preserve">State action is needed now more than ever to reduce climate change and its compounding environmental effects as SDG 13 calls for (United Nations, 2015). Traditionally SDG13 is regarded as an ecological imperative, but has come to be </w:t>
      </w:r>
      <w:proofErr w:type="spellStart"/>
      <w:r>
        <w:rPr>
          <w:rFonts w:cs="Arial"/>
        </w:rPr>
        <w:t>recognised</w:t>
      </w:r>
      <w:proofErr w:type="spellEnd"/>
      <w:r>
        <w:rPr>
          <w:rFonts w:cs="Arial"/>
        </w:rPr>
        <w:t xml:space="preserve"> as an essential precondition for achieving human wellbeing in the contemporary public health debate (World Health Organization, 2021). Climate change, caused by human activity, interferes with basic environmental factors that are essential for good health: fresh air, clean drinking water, adequate food and safe homes. This means that if the world isn't able to meet its carbon emission goals</w:t>
      </w:r>
      <w:r w:rsidR="009E3E89">
        <w:rPr>
          <w:rFonts w:cs="Arial"/>
        </w:rPr>
        <w:t>,</w:t>
      </w:r>
      <w:r>
        <w:rPr>
          <w:rFonts w:cs="Arial"/>
        </w:rPr>
        <w:t xml:space="preserve"> there are direct impacts on health delivery systems and </w:t>
      </w:r>
      <w:r w:rsidR="009E3E89">
        <w:rPr>
          <w:rFonts w:cs="Arial"/>
        </w:rPr>
        <w:t>an increase in</w:t>
      </w:r>
      <w:r>
        <w:rPr>
          <w:rFonts w:cs="Arial"/>
        </w:rPr>
        <w:t xml:space="preserve"> the vulnerabilities of civilians.</w:t>
      </w:r>
    </w:p>
    <w:p w14:paraId="4B2B7922" w14:textId="0AC28D8C" w:rsidR="003A5384" w:rsidRDefault="00000000">
      <w:pPr>
        <w:jc w:val="both"/>
        <w:rPr>
          <w:rFonts w:cs="Arial"/>
        </w:rPr>
      </w:pPr>
      <w:r>
        <w:rPr>
          <w:rFonts w:cs="Arial"/>
        </w:rPr>
        <w:t xml:space="preserve">Climate change has direct and indirect impacts on public health. To sum up: It is closely tied to the rise in extreme weather events, such as record hot days and extreme flooding, that are linked to higher numbers of excess deaths. Extreme heat waves in the UK cause immediate health threats to the cardiovascular and respiratory </w:t>
      </w:r>
      <w:r w:rsidR="009E3E89">
        <w:rPr>
          <w:rFonts w:cs="Arial"/>
        </w:rPr>
        <w:t>systems</w:t>
      </w:r>
      <w:r>
        <w:rPr>
          <w:rFonts w:cs="Arial"/>
        </w:rPr>
        <w:t xml:space="preserve">, especially in children and </w:t>
      </w:r>
      <w:r w:rsidR="009E3E89">
        <w:rPr>
          <w:rFonts w:cs="Arial"/>
        </w:rPr>
        <w:t xml:space="preserve">the </w:t>
      </w:r>
      <w:r>
        <w:rPr>
          <w:rFonts w:cs="Arial"/>
        </w:rPr>
        <w:t xml:space="preserve">elderly (UK Health Security Agency, 2023). In addition, a bad local flood can have a lasting effect on mental health, leading to greater rates of </w:t>
      </w:r>
      <w:r w:rsidR="00626DDD">
        <w:rPr>
          <w:rFonts w:cs="Arial"/>
        </w:rPr>
        <w:t>post-traumatic</w:t>
      </w:r>
      <w:r>
        <w:rPr>
          <w:rFonts w:cs="Arial"/>
        </w:rPr>
        <w:t xml:space="preserve"> stress disorder (PTSD) and chronic anxiety (UK Health Security Agency, 2023) to be found in the region.</w:t>
      </w:r>
    </w:p>
    <w:p w14:paraId="538783E6" w14:textId="77777777" w:rsidR="00FE6FFD" w:rsidRDefault="00FE6FFD">
      <w:pPr>
        <w:jc w:val="both"/>
        <w:rPr>
          <w:rFonts w:cs="Arial"/>
        </w:rPr>
      </w:pPr>
    </w:p>
    <w:p w14:paraId="6171C536" w14:textId="77777777" w:rsidR="00FE6FFD" w:rsidRDefault="00FE6FFD">
      <w:pPr>
        <w:jc w:val="both"/>
        <w:rPr>
          <w:rFonts w:cs="Arial"/>
        </w:rPr>
      </w:pPr>
    </w:p>
    <w:p w14:paraId="01CD9404" w14:textId="6AC9E40B" w:rsidR="003A5384" w:rsidRDefault="00000000">
      <w:pPr>
        <w:jc w:val="both"/>
        <w:rPr>
          <w:rFonts w:cs="Arial"/>
        </w:rPr>
      </w:pPr>
      <w:r>
        <w:rPr>
          <w:rFonts w:cs="Arial"/>
        </w:rPr>
        <w:t xml:space="preserve">Indirectly, increases in ambient temperature contribute to worsening air quality and altering </w:t>
      </w:r>
      <w:r w:rsidR="009E3E89">
        <w:rPr>
          <w:rFonts w:cs="Arial"/>
        </w:rPr>
        <w:t xml:space="preserve">the </w:t>
      </w:r>
      <w:r>
        <w:rPr>
          <w:rFonts w:cs="Arial"/>
        </w:rPr>
        <w:t xml:space="preserve">epidemiological geography of vector-borne diseases. Exposure to ambient particulate matter (PM2.5) and ambient nitrogen dioxide (NO2) exposure are associated with the proportion of people admitted to hospital for asthma and Chronic Obstructive Pulmonary Disease (COPD) (Public Health England, 2021). Furthermore, </w:t>
      </w:r>
      <w:r w:rsidR="009E3E89">
        <w:rPr>
          <w:rFonts w:cs="Arial"/>
        </w:rPr>
        <w:t>climate-induced</w:t>
      </w:r>
      <w:r>
        <w:rPr>
          <w:rFonts w:cs="Arial"/>
        </w:rPr>
        <w:t xml:space="preserve"> shocks and stresses to food systems are impacting food insecurity and micronutrient deficiencies disproportionately among low-income groups (The Lancet, 2023). The UK Government has a good policy framework, as well as targets for Net Zero by 2050, but there is a lack of consistency in implementation (UK Health Security Agency, 2023). Due to policy differences between agencies and the </w:t>
      </w:r>
      <w:proofErr w:type="spellStart"/>
      <w:r>
        <w:rPr>
          <w:rFonts w:cs="Arial"/>
        </w:rPr>
        <w:t>DoH</w:t>
      </w:r>
      <w:proofErr w:type="spellEnd"/>
      <w:r>
        <w:rPr>
          <w:rFonts w:cs="Arial"/>
        </w:rPr>
        <w:t xml:space="preserve">, the potential for achieving climate resilience in the local context is limited, and environmental sustainability must be integrated into the framework of public health planning to achieve real health benefits (World Health </w:t>
      </w:r>
      <w:proofErr w:type="spellStart"/>
      <w:r>
        <w:rPr>
          <w:rFonts w:cs="Arial"/>
        </w:rPr>
        <w:t>Organisation</w:t>
      </w:r>
      <w:proofErr w:type="spellEnd"/>
      <w:r>
        <w:rPr>
          <w:rFonts w:cs="Arial"/>
        </w:rPr>
        <w:t>, 2021).</w:t>
      </w:r>
    </w:p>
    <w:p w14:paraId="051FAA75" w14:textId="77777777" w:rsidR="003A5384" w:rsidRDefault="00000000" w:rsidP="00FE6FFD">
      <w:pPr>
        <w:pStyle w:val="Heading1"/>
      </w:pPr>
      <w:bookmarkStart w:id="3" w:name="_Toc235371453"/>
      <w:r>
        <w:lastRenderedPageBreak/>
        <w:t>National Wellbeing Initiatives</w:t>
      </w:r>
      <w:bookmarkEnd w:id="3"/>
    </w:p>
    <w:p w14:paraId="2ADB0553" w14:textId="62B49551" w:rsidR="003A5384" w:rsidRDefault="00000000" w:rsidP="00FE6FFD">
      <w:pPr>
        <w:pStyle w:val="Heading2"/>
      </w:pPr>
      <w:bookmarkStart w:id="4" w:name="_Toc235371454"/>
      <w:r>
        <w:t>The NHS Long Term Plan</w:t>
      </w:r>
      <w:bookmarkEnd w:id="4"/>
    </w:p>
    <w:p w14:paraId="2F680B2F" w14:textId="77777777" w:rsidR="003A5384" w:rsidRDefault="00000000">
      <w:pPr>
        <w:jc w:val="both"/>
        <w:rPr>
          <w:rFonts w:cs="Arial"/>
        </w:rPr>
      </w:pPr>
      <w:r>
        <w:rPr>
          <w:rFonts w:cs="Arial"/>
        </w:rPr>
        <w:t xml:space="preserve">The NHS Long Term Plan is a statutory plan, which will see a shift towards proactively delivering NHS health care services in the community, rather than in the reactive and acute environment. It highlights the financial and operational growth of wider digital health approaches, increased funding for community mental health services and for early-stage diagnostic pathways in oncological and cardiovascular services (The King's Fund, 2023). The policy has made a positive impact on improving access to primary care services (Office for National Statistics, 2024) as part of a way of working that has been updated by implementing outpatient </w:t>
      </w:r>
      <w:proofErr w:type="spellStart"/>
      <w:r>
        <w:rPr>
          <w:rFonts w:cs="Arial"/>
        </w:rPr>
        <w:t>modernisation</w:t>
      </w:r>
      <w:proofErr w:type="spellEnd"/>
      <w:r>
        <w:rPr>
          <w:rFonts w:cs="Arial"/>
        </w:rPr>
        <w:t>, such as digital triage and homeward monitoring. However, major staffing gaps in the clinical workforce, underfunding of adult social care and an extremely fatigued clinical workforce (National Health Service England, 2023) have a significant impact on the effectiveness of the practice going forward. The COVID-19 pandemic has resulted in an electronic treatment waiting list that has surged to unprecedented levels, directly affecting the early intervention (The King's Fund, 2023) theme of the plan.</w:t>
      </w:r>
    </w:p>
    <w:p w14:paraId="4581CF3C" w14:textId="4CB057A6" w:rsidR="003A5384" w:rsidRDefault="00000000">
      <w:pPr>
        <w:jc w:val="both"/>
        <w:rPr>
          <w:rFonts w:cs="Arial"/>
        </w:rPr>
      </w:pPr>
      <w:bookmarkStart w:id="5" w:name="_Toc235371455"/>
      <w:r w:rsidRPr="00FE6FFD">
        <w:rPr>
          <w:rStyle w:val="Heading2Char"/>
        </w:rPr>
        <w:t>The Better Health Campaign</w:t>
      </w:r>
      <w:bookmarkEnd w:id="5"/>
    </w:p>
    <w:p w14:paraId="1FF7FD60" w14:textId="77777777" w:rsidR="003A5384" w:rsidRDefault="00000000">
      <w:pPr>
        <w:jc w:val="both"/>
        <w:rPr>
          <w:rFonts w:cs="Arial"/>
        </w:rPr>
      </w:pPr>
      <w:r>
        <w:rPr>
          <w:rFonts w:cs="Arial"/>
        </w:rPr>
        <w:t xml:space="preserve">The Better Health Campaign is a national public health </w:t>
      </w:r>
      <w:proofErr w:type="spellStart"/>
      <w:r>
        <w:rPr>
          <w:rFonts w:cs="Arial"/>
        </w:rPr>
        <w:t>programme</w:t>
      </w:r>
      <w:proofErr w:type="spellEnd"/>
      <w:r>
        <w:rPr>
          <w:rFonts w:cs="Arial"/>
        </w:rPr>
        <w:t xml:space="preserve">, managed by the Office for Health Improvement and Disparities (OHID), which uses digital media, applications and community partnerships to create </w:t>
      </w:r>
      <w:proofErr w:type="spellStart"/>
      <w:r>
        <w:rPr>
          <w:rFonts w:cs="Arial"/>
        </w:rPr>
        <w:t>behaviour</w:t>
      </w:r>
      <w:proofErr w:type="spellEnd"/>
      <w:r>
        <w:rPr>
          <w:rFonts w:cs="Arial"/>
        </w:rPr>
        <w:t xml:space="preserve"> change in relation to weight management, nutrition and smoking cessation (Office for Health Improvement and Disparities, 2022). The campaign has effectively been able to spark community awareness about NCD risk factors and made health tracking tools more accessible through easily accessible digital platforms. Its main drawback is, however, its singular focus on </w:t>
      </w:r>
      <w:proofErr w:type="spellStart"/>
      <w:r>
        <w:rPr>
          <w:rFonts w:cs="Arial"/>
        </w:rPr>
        <w:t>behaviour</w:t>
      </w:r>
      <w:proofErr w:type="spellEnd"/>
      <w:r>
        <w:rPr>
          <w:rFonts w:cs="Arial"/>
        </w:rPr>
        <w:t xml:space="preserve"> change. The campaign ignores structural commercial determinants of health, and individual agency is very constrained by the financial situation of food poverty and the high density of fast-food retail outlets in economically deprived communities (Marmot et al., 2020). </w:t>
      </w:r>
    </w:p>
    <w:p w14:paraId="07C017C8" w14:textId="2E3225EA" w:rsidR="003A5384" w:rsidRDefault="00000000">
      <w:pPr>
        <w:jc w:val="both"/>
        <w:rPr>
          <w:rFonts w:cs="Arial"/>
        </w:rPr>
      </w:pPr>
      <w:r>
        <w:rPr>
          <w:rFonts w:cs="Arial"/>
        </w:rPr>
        <w:t xml:space="preserve">Recommendation for improvement: National health campaigns should be accompanied by tight macro-level regulation of markets and by digital </w:t>
      </w:r>
      <w:r w:rsidR="00B17D2F">
        <w:rPr>
          <w:rFonts w:cs="Arial"/>
        </w:rPr>
        <w:t>behavioural</w:t>
      </w:r>
      <w:r>
        <w:rPr>
          <w:rFonts w:cs="Arial"/>
        </w:rPr>
        <w:t xml:space="preserve"> interventions. The government should be expanding its use of the SDIL to include high sugar foods; it should be paying for the purchase of nutrient-dense foods by low-income families using voucher schemes; and it should be enforcing zoning regulations, so that fast food shops are not located near schools.</w:t>
      </w:r>
    </w:p>
    <w:p w14:paraId="5EEA54E4" w14:textId="77777777" w:rsidR="003A5384" w:rsidRDefault="00000000" w:rsidP="00FE6FFD">
      <w:pPr>
        <w:pStyle w:val="Heading1"/>
      </w:pPr>
      <w:bookmarkStart w:id="6" w:name="_Toc235371456"/>
      <w:r>
        <w:lastRenderedPageBreak/>
        <w:t>Local Wellbeing Initiatives</w:t>
      </w:r>
      <w:bookmarkEnd w:id="6"/>
    </w:p>
    <w:p w14:paraId="5EC7AA88" w14:textId="4FC099A2" w:rsidR="003A5384" w:rsidRDefault="00000000" w:rsidP="00FE6FFD">
      <w:pPr>
        <w:pStyle w:val="Heading2"/>
      </w:pPr>
      <w:bookmarkStart w:id="7" w:name="_Toc235371457"/>
      <w:r>
        <w:t>Birmingham Healthy City Planning Toolkit</w:t>
      </w:r>
      <w:bookmarkEnd w:id="7"/>
    </w:p>
    <w:p w14:paraId="2CE61F57" w14:textId="3D88C4E0" w:rsidR="003A5384" w:rsidRDefault="00000000">
      <w:pPr>
        <w:jc w:val="both"/>
        <w:rPr>
          <w:rFonts w:cs="Arial"/>
        </w:rPr>
      </w:pPr>
      <w:r>
        <w:rPr>
          <w:rFonts w:cs="Arial"/>
        </w:rPr>
        <w:t xml:space="preserve">The Birmingham Healthy City Planning Toolkit is a locally-created public health policy which is built into the urban design, active transport planning and spatial development process of Birmingham City Council (Birmingham City Council, 2021). The toolkit draws on the Childhood Obesity Trailblazer </w:t>
      </w:r>
      <w:proofErr w:type="spellStart"/>
      <w:r>
        <w:rPr>
          <w:rFonts w:cs="Arial"/>
        </w:rPr>
        <w:t>Programme</w:t>
      </w:r>
      <w:proofErr w:type="spellEnd"/>
      <w:r>
        <w:rPr>
          <w:rFonts w:cs="Arial"/>
        </w:rPr>
        <w:t xml:space="preserve"> and requires developers to carry out a Health Impact Assessment (HIA) early in the planning process of an application (University of Birmingham, 2022). The initiative has made a real impact in bringing about a shift in the thinking of local planners, with them now taking into account spatial factors in relation to health, such as access to open green spaces, active travel, air quality mitigation and curbing the over proliferation of hot food takeaways (Birmingham City Council, 2021). Yet, the practical application of the toolkit presents operational challenges in the context of these progressive design frameworks.</w:t>
      </w:r>
      <w:r w:rsidR="009E3E89">
        <w:rPr>
          <w:rFonts w:cs="Arial"/>
        </w:rPr>
        <w:t xml:space="preserve"> </w:t>
      </w:r>
      <w:r>
        <w:rPr>
          <w:rFonts w:cs="Arial"/>
        </w:rPr>
        <w:t>However, the operational aspects of implementing the toolkit are fraught with challenges. It takes place in a very constrained municipal context where the council's funding is severely restricted</w:t>
      </w:r>
      <w:r w:rsidR="009E3E89">
        <w:rPr>
          <w:rFonts w:cs="Arial"/>
        </w:rPr>
        <w:t>,</w:t>
      </w:r>
      <w:r>
        <w:rPr>
          <w:rFonts w:cs="Arial"/>
        </w:rPr>
        <w:t xml:space="preserve"> and it has limited capacity to monitor compliance and enforce environmental standards throughout all development zones. Also, an inverse "inverse care law" can still be discerned in the city: inner city wards are still suffering from disproportionate exposure to ambient air pollution (PM2.5) and industrial congestion </w:t>
      </w:r>
      <w:r w:rsidR="009E3E89">
        <w:rPr>
          <w:rFonts w:cs="Arial"/>
        </w:rPr>
        <w:t>in</w:t>
      </w:r>
      <w:r>
        <w:rPr>
          <w:rFonts w:cs="Arial"/>
        </w:rPr>
        <w:t xml:space="preserve"> outer city suburbs</w:t>
      </w:r>
      <w:r>
        <w:rPr>
          <w:rFonts w:cs="Arial"/>
          <w:lang w:val="en-GB"/>
        </w:rPr>
        <w:t xml:space="preserve"> </w:t>
      </w:r>
      <w:r>
        <w:rPr>
          <w:rFonts w:cs="Arial"/>
        </w:rPr>
        <w:t>(WM-Air, 2025).</w:t>
      </w:r>
    </w:p>
    <w:p w14:paraId="134D10B8" w14:textId="77777777" w:rsidR="003A5384" w:rsidRDefault="00000000">
      <w:pPr>
        <w:jc w:val="both"/>
        <w:rPr>
          <w:rFonts w:cs="Arial"/>
        </w:rPr>
      </w:pPr>
      <w:r>
        <w:rPr>
          <w:rFonts w:cs="Arial"/>
        </w:rPr>
        <w:t>Recommendations for Improvement: Birmingham City Council should consider the toolkit as a checklist rather than a consultative document, and make it legally binding with financial penalties for non-compliance. In addition, the council should introduce an equity-weighted planning model which requires a greater proportion of green infrastructure and active travel funding in the most deprived urban wards to push strongly for a reduction in the gap between local wards in health outcomes.</w:t>
      </w:r>
    </w:p>
    <w:p w14:paraId="0E871A98" w14:textId="5BA71E4E" w:rsidR="003A5384" w:rsidRDefault="00000000" w:rsidP="00FE6FFD">
      <w:pPr>
        <w:pStyle w:val="Heading2"/>
      </w:pPr>
      <w:bookmarkStart w:id="8" w:name="_Toc235371458"/>
      <w:r>
        <w:t xml:space="preserve">Birmingham Connected Care </w:t>
      </w:r>
      <w:proofErr w:type="spellStart"/>
      <w:r>
        <w:t>Programme</w:t>
      </w:r>
      <w:bookmarkEnd w:id="8"/>
      <w:proofErr w:type="spellEnd"/>
    </w:p>
    <w:p w14:paraId="7013F216" w14:textId="6F850772" w:rsidR="003A5384" w:rsidRDefault="00000000">
      <w:pPr>
        <w:jc w:val="both"/>
        <w:rPr>
          <w:rFonts w:cs="Arial"/>
        </w:rPr>
      </w:pPr>
      <w:r>
        <w:rPr>
          <w:rFonts w:cs="Arial"/>
        </w:rPr>
        <w:t xml:space="preserve">The Birmingham Connected Care </w:t>
      </w:r>
      <w:proofErr w:type="spellStart"/>
      <w:r>
        <w:rPr>
          <w:rFonts w:cs="Arial"/>
        </w:rPr>
        <w:t>Programme</w:t>
      </w:r>
      <w:proofErr w:type="spellEnd"/>
      <w:r>
        <w:rPr>
          <w:rFonts w:cs="Arial"/>
        </w:rPr>
        <w:t xml:space="preserve"> is a bespoke local health integration approach, which structurally connects Birmingham's primary health care providers, Birmingham City Council social care and community voluntary support teams. The approach is based on multi-disciplinary team hubs and focuses on person-</w:t>
      </w:r>
      <w:proofErr w:type="spellStart"/>
      <w:r>
        <w:rPr>
          <w:rFonts w:cs="Arial"/>
        </w:rPr>
        <w:t>centred</w:t>
      </w:r>
      <w:proofErr w:type="spellEnd"/>
      <w:r>
        <w:rPr>
          <w:rFonts w:cs="Arial"/>
        </w:rPr>
        <w:t xml:space="preserve"> care pathways for older people and those with complex multi-morbidities, to reduce avoidable hospital admissions and transfers to and from emergency wards. The framework has helped to </w:t>
      </w:r>
      <w:proofErr w:type="spellStart"/>
      <w:r>
        <w:rPr>
          <w:rFonts w:cs="Arial"/>
        </w:rPr>
        <w:t>optimise</w:t>
      </w:r>
      <w:proofErr w:type="spellEnd"/>
      <w:r>
        <w:rPr>
          <w:rFonts w:cs="Arial"/>
        </w:rPr>
        <w:t xml:space="preserve"> local care transitions and </w:t>
      </w:r>
      <w:proofErr w:type="spellStart"/>
      <w:r>
        <w:rPr>
          <w:rFonts w:cs="Arial"/>
        </w:rPr>
        <w:t>minimise</w:t>
      </w:r>
      <w:proofErr w:type="spellEnd"/>
      <w:r>
        <w:rPr>
          <w:rFonts w:cs="Arial"/>
        </w:rPr>
        <w:t xml:space="preserve"> ‘bed blocking' in </w:t>
      </w:r>
      <w:r>
        <w:rPr>
          <w:rFonts w:cs="Arial"/>
        </w:rPr>
        <w:lastRenderedPageBreak/>
        <w:t xml:space="preserve">acute services, but there are limitations in its systemic effects due to the technological incompatibility of local social care teams' databases, and an acute </w:t>
      </w:r>
      <w:proofErr w:type="spellStart"/>
      <w:r>
        <w:rPr>
          <w:rFonts w:cs="Arial"/>
        </w:rPr>
        <w:t>labour</w:t>
      </w:r>
      <w:proofErr w:type="spellEnd"/>
      <w:r>
        <w:rPr>
          <w:rFonts w:cs="Arial"/>
        </w:rPr>
        <w:t xml:space="preserve"> shortage across local NHS social care teams (National Health Service England, 2023). </w:t>
      </w:r>
    </w:p>
    <w:p w14:paraId="483B3106" w14:textId="6BA6698D" w:rsidR="003A5384" w:rsidRDefault="00000000">
      <w:pPr>
        <w:jc w:val="both"/>
        <w:rPr>
          <w:rFonts w:cs="Arial"/>
        </w:rPr>
      </w:pPr>
      <w:r>
        <w:rPr>
          <w:rFonts w:cs="Arial"/>
        </w:rPr>
        <w:t>Recommendations for Improvement: Local health authorities need to have a unified, fully interoperable digital care record that is shared between the NHS and local social care. Secondly, the local Integrated Care Board will need to secure local funding for social care staff wages</w:t>
      </w:r>
      <w:r w:rsidR="009E3E89">
        <w:rPr>
          <w:rFonts w:cs="Arial"/>
        </w:rPr>
        <w:t>,</w:t>
      </w:r>
      <w:r>
        <w:rPr>
          <w:rFonts w:cs="Arial"/>
        </w:rPr>
        <w:t xml:space="preserve"> which are financially stable, and enable social care staff in the community to support </w:t>
      </w:r>
      <w:r w:rsidR="009E3E89">
        <w:rPr>
          <w:rFonts w:cs="Arial"/>
        </w:rPr>
        <w:t>long-term</w:t>
      </w:r>
      <w:r>
        <w:rPr>
          <w:rFonts w:cs="Arial"/>
        </w:rPr>
        <w:t xml:space="preserve"> care for patients after discharge from </w:t>
      </w:r>
      <w:r w:rsidR="009E3E89">
        <w:rPr>
          <w:rFonts w:cs="Arial"/>
        </w:rPr>
        <w:t xml:space="preserve">the </w:t>
      </w:r>
      <w:r>
        <w:rPr>
          <w:rFonts w:cs="Arial"/>
        </w:rPr>
        <w:t>hospital.</w:t>
      </w:r>
    </w:p>
    <w:p w14:paraId="717AE983" w14:textId="77777777" w:rsidR="00B17D2F" w:rsidRDefault="00B17D2F" w:rsidP="00FE6FFD">
      <w:pPr>
        <w:pStyle w:val="Heading1"/>
      </w:pPr>
      <w:bookmarkStart w:id="9" w:name="_Toc235371459"/>
    </w:p>
    <w:p w14:paraId="77C8C116" w14:textId="77777777" w:rsidR="00B17D2F" w:rsidRDefault="00B17D2F" w:rsidP="00FE6FFD">
      <w:pPr>
        <w:pStyle w:val="Heading1"/>
      </w:pPr>
    </w:p>
    <w:p w14:paraId="1AE93192" w14:textId="77777777" w:rsidR="00B17D2F" w:rsidRDefault="00B17D2F" w:rsidP="00FE6FFD">
      <w:pPr>
        <w:pStyle w:val="Heading1"/>
      </w:pPr>
    </w:p>
    <w:p w14:paraId="7276D06A" w14:textId="77777777" w:rsidR="00B17D2F" w:rsidRDefault="00B17D2F" w:rsidP="00FE6FFD">
      <w:pPr>
        <w:pStyle w:val="Heading1"/>
      </w:pPr>
    </w:p>
    <w:p w14:paraId="041A0CBB" w14:textId="77777777" w:rsidR="00B17D2F" w:rsidRDefault="00B17D2F" w:rsidP="00FE6FFD">
      <w:pPr>
        <w:pStyle w:val="Heading1"/>
      </w:pPr>
    </w:p>
    <w:p w14:paraId="6CC9C203" w14:textId="77777777" w:rsidR="00B17D2F" w:rsidRDefault="00B17D2F" w:rsidP="00FE6FFD">
      <w:pPr>
        <w:pStyle w:val="Heading1"/>
      </w:pPr>
    </w:p>
    <w:p w14:paraId="06FB92AD" w14:textId="77777777" w:rsidR="00B17D2F" w:rsidRDefault="00B17D2F" w:rsidP="00FE6FFD">
      <w:pPr>
        <w:pStyle w:val="Heading1"/>
      </w:pPr>
    </w:p>
    <w:p w14:paraId="56007D0B" w14:textId="77777777" w:rsidR="00B17D2F" w:rsidRDefault="00B17D2F" w:rsidP="00FE6FFD">
      <w:pPr>
        <w:pStyle w:val="Heading1"/>
      </w:pPr>
    </w:p>
    <w:p w14:paraId="3B9A2F8E" w14:textId="77777777" w:rsidR="00B17D2F" w:rsidRDefault="00B17D2F" w:rsidP="00FE6FFD">
      <w:pPr>
        <w:pStyle w:val="Heading1"/>
      </w:pPr>
    </w:p>
    <w:p w14:paraId="35E3B109" w14:textId="77777777" w:rsidR="00B17D2F" w:rsidRDefault="00B17D2F" w:rsidP="00FE6FFD">
      <w:pPr>
        <w:pStyle w:val="Heading1"/>
      </w:pPr>
    </w:p>
    <w:p w14:paraId="029249B2" w14:textId="77777777" w:rsidR="00B17D2F" w:rsidRDefault="00B17D2F" w:rsidP="00FE6FFD">
      <w:pPr>
        <w:pStyle w:val="Heading1"/>
      </w:pPr>
    </w:p>
    <w:p w14:paraId="4CD64273" w14:textId="77777777" w:rsidR="00B17D2F" w:rsidRPr="00B17D2F" w:rsidRDefault="00B17D2F" w:rsidP="00B17D2F"/>
    <w:p w14:paraId="73AE396A" w14:textId="5B7069A8" w:rsidR="003A5384" w:rsidRDefault="00000000" w:rsidP="00FE6FFD">
      <w:pPr>
        <w:pStyle w:val="Heading1"/>
      </w:pPr>
      <w:r>
        <w:lastRenderedPageBreak/>
        <w:t>Conclusion</w:t>
      </w:r>
      <w:bookmarkEnd w:id="9"/>
    </w:p>
    <w:p w14:paraId="0671587F" w14:textId="3B924697" w:rsidR="00FE6FFD" w:rsidRDefault="00000000">
      <w:pPr>
        <w:jc w:val="both"/>
        <w:rPr>
          <w:rFonts w:cs="Arial"/>
        </w:rPr>
      </w:pPr>
      <w:r>
        <w:rPr>
          <w:rFonts w:cs="Arial"/>
        </w:rPr>
        <w:t xml:space="preserve">This report has shown the intrinsic codependence between global policies for sustainability and </w:t>
      </w:r>
      <w:proofErr w:type="spellStart"/>
      <w:r w:rsidR="009E3E89">
        <w:rPr>
          <w:rFonts w:cs="Arial"/>
        </w:rPr>
        <w:t>localised</w:t>
      </w:r>
      <w:proofErr w:type="spellEnd"/>
      <w:r>
        <w:rPr>
          <w:rFonts w:cs="Arial"/>
        </w:rPr>
        <w:t xml:space="preserve"> public health outcomes. Without a clear, concurrent effort to achieve SDG 13 (Action on climate change; United Nations, 2015; World Health Organization, 2021), SDG 3 is difficult to achieve. National policies in the UK, such as the NHS Long Term Plan, develop a progressive plan for preventative medicine, but as detailed in Marmot et al.</w:t>
      </w:r>
      <w:r w:rsidR="009E3E89">
        <w:rPr>
          <w:rFonts w:cs="Arial"/>
        </w:rPr>
        <w:t xml:space="preserve"> (</w:t>
      </w:r>
      <w:r>
        <w:rPr>
          <w:rFonts w:cs="Arial"/>
        </w:rPr>
        <w:t>2020</w:t>
      </w:r>
      <w:r w:rsidR="009E3E89">
        <w:rPr>
          <w:rFonts w:cs="Arial"/>
        </w:rPr>
        <w:t>)</w:t>
      </w:r>
      <w:r>
        <w:rPr>
          <w:rFonts w:cs="Arial"/>
        </w:rPr>
        <w:t xml:space="preserve"> and National Health Service England</w:t>
      </w:r>
      <w:r w:rsidR="009E3E89">
        <w:rPr>
          <w:rFonts w:cs="Arial"/>
        </w:rPr>
        <w:t xml:space="preserve"> (</w:t>
      </w:r>
      <w:r>
        <w:rPr>
          <w:rFonts w:cs="Arial"/>
        </w:rPr>
        <w:t>2023</w:t>
      </w:r>
      <w:r w:rsidR="009E3E89">
        <w:rPr>
          <w:rFonts w:cs="Arial"/>
        </w:rPr>
        <w:t>)</w:t>
      </w:r>
      <w:r>
        <w:rPr>
          <w:rFonts w:cs="Arial"/>
        </w:rPr>
        <w:t xml:space="preserve">, there are deficiencies in the supply of </w:t>
      </w:r>
      <w:proofErr w:type="spellStart"/>
      <w:r>
        <w:rPr>
          <w:rFonts w:cs="Arial"/>
        </w:rPr>
        <w:t>labour</w:t>
      </w:r>
      <w:proofErr w:type="spellEnd"/>
      <w:r>
        <w:rPr>
          <w:rFonts w:cs="Arial"/>
        </w:rPr>
        <w:t xml:space="preserve"> and socio-environmental inequalities in their implementation. Similarly, at the local municipal level, Birmingham's efforts point to the importance of social and health systems working together, but are at risk from other socioeconomic and budgetary pressures.</w:t>
      </w:r>
    </w:p>
    <w:p w14:paraId="7DDD905D" w14:textId="75AADE0D" w:rsidR="003A5384" w:rsidRDefault="00000000">
      <w:pPr>
        <w:jc w:val="both"/>
        <w:rPr>
          <w:rFonts w:cs="Arial"/>
        </w:rPr>
      </w:pPr>
      <w:r>
        <w:rPr>
          <w:rFonts w:cs="Arial"/>
        </w:rPr>
        <w:t>In the future</w:t>
      </w:r>
      <w:r w:rsidR="009E3E89">
        <w:rPr>
          <w:rFonts w:cs="Arial"/>
        </w:rPr>
        <w:t>,</w:t>
      </w:r>
      <w:r>
        <w:rPr>
          <w:rFonts w:cs="Arial"/>
        </w:rPr>
        <w:t xml:space="preserve"> health governance should move towards comprehensive strategies that not only can expand the health workforce but also address climate systems and effectively challenge broader social determinants of health inequities.</w:t>
      </w:r>
    </w:p>
    <w:p w14:paraId="37F83F8A" w14:textId="77777777" w:rsidR="003A5384" w:rsidRDefault="003A5384">
      <w:pPr>
        <w:jc w:val="both"/>
        <w:rPr>
          <w:rFonts w:cs="Arial"/>
        </w:rPr>
      </w:pPr>
    </w:p>
    <w:p w14:paraId="49AA5F6F" w14:textId="77777777" w:rsidR="003A5384" w:rsidRDefault="003A5384">
      <w:pPr>
        <w:jc w:val="both"/>
        <w:rPr>
          <w:rFonts w:cs="Arial"/>
        </w:rPr>
      </w:pPr>
    </w:p>
    <w:p w14:paraId="281BF80C" w14:textId="77777777" w:rsidR="003A5384" w:rsidRDefault="003A5384">
      <w:pPr>
        <w:jc w:val="both"/>
        <w:rPr>
          <w:rFonts w:cs="Arial"/>
        </w:rPr>
      </w:pPr>
    </w:p>
    <w:p w14:paraId="5407AC37" w14:textId="77777777" w:rsidR="003A5384" w:rsidRDefault="003A5384">
      <w:pPr>
        <w:jc w:val="both"/>
        <w:rPr>
          <w:rFonts w:cs="Arial"/>
        </w:rPr>
      </w:pPr>
    </w:p>
    <w:p w14:paraId="45669B3D" w14:textId="77777777" w:rsidR="003A5384" w:rsidRDefault="003A5384">
      <w:pPr>
        <w:jc w:val="both"/>
        <w:rPr>
          <w:rFonts w:cs="Arial"/>
        </w:rPr>
      </w:pPr>
    </w:p>
    <w:p w14:paraId="0C5E4429" w14:textId="77777777" w:rsidR="003A5384" w:rsidRDefault="003A5384">
      <w:pPr>
        <w:jc w:val="both"/>
        <w:rPr>
          <w:rFonts w:cs="Arial"/>
        </w:rPr>
      </w:pPr>
    </w:p>
    <w:p w14:paraId="176999EF" w14:textId="77777777" w:rsidR="003A5384" w:rsidRDefault="003A5384">
      <w:pPr>
        <w:jc w:val="both"/>
        <w:rPr>
          <w:rFonts w:cs="Arial"/>
        </w:rPr>
      </w:pPr>
    </w:p>
    <w:p w14:paraId="494332C6" w14:textId="77777777" w:rsidR="003A5384" w:rsidRDefault="003A5384">
      <w:pPr>
        <w:jc w:val="both"/>
        <w:rPr>
          <w:rFonts w:cs="Arial"/>
        </w:rPr>
      </w:pPr>
    </w:p>
    <w:p w14:paraId="31FFC4AD" w14:textId="77777777" w:rsidR="003A5384" w:rsidRDefault="003A5384">
      <w:pPr>
        <w:jc w:val="both"/>
        <w:rPr>
          <w:rFonts w:cs="Arial"/>
        </w:rPr>
      </w:pPr>
    </w:p>
    <w:p w14:paraId="3C28E628" w14:textId="77777777" w:rsidR="003A5384" w:rsidRDefault="003A5384">
      <w:pPr>
        <w:jc w:val="both"/>
        <w:rPr>
          <w:rFonts w:cs="Arial"/>
        </w:rPr>
      </w:pPr>
    </w:p>
    <w:p w14:paraId="0812670C" w14:textId="77777777" w:rsidR="003A5384" w:rsidRDefault="003A5384">
      <w:pPr>
        <w:jc w:val="both"/>
        <w:rPr>
          <w:rFonts w:cs="Arial"/>
        </w:rPr>
      </w:pPr>
    </w:p>
    <w:p w14:paraId="4507FB05" w14:textId="77777777" w:rsidR="003A5384" w:rsidRDefault="003A5384">
      <w:pPr>
        <w:jc w:val="both"/>
        <w:rPr>
          <w:rFonts w:cs="Arial"/>
        </w:rPr>
      </w:pPr>
    </w:p>
    <w:p w14:paraId="5E35C97A" w14:textId="77777777" w:rsidR="003A5384" w:rsidRDefault="003A5384">
      <w:pPr>
        <w:jc w:val="both"/>
        <w:rPr>
          <w:rFonts w:cs="Arial"/>
        </w:rPr>
      </w:pPr>
    </w:p>
    <w:p w14:paraId="507F4548" w14:textId="77777777" w:rsidR="003A5384" w:rsidRDefault="003A5384">
      <w:pPr>
        <w:jc w:val="both"/>
        <w:rPr>
          <w:rFonts w:cs="Arial"/>
        </w:rPr>
      </w:pPr>
    </w:p>
    <w:p w14:paraId="3D91AD94" w14:textId="77777777" w:rsidR="003A5384" w:rsidRDefault="00000000" w:rsidP="00FE6FFD">
      <w:pPr>
        <w:pStyle w:val="Heading1"/>
      </w:pPr>
      <w:bookmarkStart w:id="10" w:name="_Toc235371460"/>
      <w:r>
        <w:lastRenderedPageBreak/>
        <w:t>References</w:t>
      </w:r>
      <w:bookmarkEnd w:id="10"/>
    </w:p>
    <w:p w14:paraId="78C5F26E" w14:textId="63F850F1" w:rsidR="00FE6FFD" w:rsidRDefault="00FE6FFD" w:rsidP="00FE6FFD">
      <w:pPr>
        <w:jc w:val="both"/>
      </w:pPr>
      <w:r>
        <w:t>Birmingham City Council (2021) Birmingham healthy city planning toolkit. Birmingham: Birmingham City Council.</w:t>
      </w:r>
    </w:p>
    <w:p w14:paraId="56BCB3AB" w14:textId="45286FE0" w:rsidR="00FE6FFD" w:rsidRDefault="00FE6FFD" w:rsidP="00FE6FFD">
      <w:pPr>
        <w:jc w:val="both"/>
      </w:pPr>
      <w:r>
        <w:t>Birmingham City Council (2024) Health and wellbeing strategy. Birmingham: Birmingham City Council.</w:t>
      </w:r>
    </w:p>
    <w:p w14:paraId="24715A8D" w14:textId="2087F3DC" w:rsidR="00FE6FFD" w:rsidRDefault="00FE6FFD" w:rsidP="00FE6FFD">
      <w:pPr>
        <w:jc w:val="both"/>
      </w:pPr>
      <w:r>
        <w:t xml:space="preserve">Department of Health and Social Care (2023) Major conditions strategy: case for change and our strategic framework. London: Department of Health and Social Care. Available at: </w:t>
      </w:r>
      <w:hyperlink r:id="rId10" w:history="1">
        <w:r w:rsidR="009E3E89" w:rsidRPr="007459A7">
          <w:rPr>
            <w:rStyle w:val="Hyperlink"/>
          </w:rPr>
          <w:t>https://www.gov.uk/</w:t>
        </w:r>
      </w:hyperlink>
      <w:r w:rsidR="009E3E89">
        <w:t xml:space="preserve"> </w:t>
      </w:r>
      <w:r>
        <w:t>(Accessed: 10 July 2026).</w:t>
      </w:r>
    </w:p>
    <w:p w14:paraId="71830E5B" w14:textId="0C9D58D6" w:rsidR="00FE6FFD" w:rsidRDefault="00FE6FFD" w:rsidP="00FE6FFD">
      <w:pPr>
        <w:jc w:val="both"/>
      </w:pPr>
      <w:r>
        <w:t xml:space="preserve">Marmot, M., Allen, J., Boyce, T., Goldblatt, P. and Morrison, J. (2020) Health equity in England: </w:t>
      </w:r>
      <w:proofErr w:type="gramStart"/>
      <w:r>
        <w:t>the</w:t>
      </w:r>
      <w:proofErr w:type="gramEnd"/>
      <w:r>
        <w:t xml:space="preserve"> Marmot review 10 years on. London: Institute of Health Equity.</w:t>
      </w:r>
    </w:p>
    <w:p w14:paraId="3A0FBE39" w14:textId="4D2F9A85" w:rsidR="00FE6FFD" w:rsidRDefault="00FE6FFD" w:rsidP="00FE6FFD">
      <w:pPr>
        <w:jc w:val="both"/>
      </w:pPr>
      <w:r>
        <w:t xml:space="preserve">NHS England (2019) The NHS long term plan. London: NHS England. Available at: </w:t>
      </w:r>
      <w:hyperlink r:id="rId11" w:history="1">
        <w:r w:rsidR="009E3E89" w:rsidRPr="007459A7">
          <w:rPr>
            <w:rStyle w:val="Hyperlink"/>
          </w:rPr>
          <w:t>https://www.longtermplan.nhs.uk/</w:t>
        </w:r>
      </w:hyperlink>
      <w:r w:rsidR="009E3E89">
        <w:t xml:space="preserve"> </w:t>
      </w:r>
      <w:r>
        <w:t>(Accessed: 11 July 2026).</w:t>
      </w:r>
    </w:p>
    <w:p w14:paraId="17896137" w14:textId="17FF7342" w:rsidR="00FE6FFD" w:rsidRDefault="00FE6FFD" w:rsidP="00FE6FFD">
      <w:pPr>
        <w:jc w:val="both"/>
      </w:pPr>
      <w:r>
        <w:t xml:space="preserve">NHS England (2023) NHS long term workforce plan. London: NHS England. Available at: </w:t>
      </w:r>
      <w:hyperlink r:id="rId12" w:history="1">
        <w:r w:rsidR="009E3E89" w:rsidRPr="007459A7">
          <w:rPr>
            <w:rStyle w:val="Hyperlink"/>
          </w:rPr>
          <w:t>https://www.england.nhs.uk/long-read/nhs-long-term-workforce-plan/</w:t>
        </w:r>
      </w:hyperlink>
      <w:r w:rsidR="009E3E89">
        <w:t xml:space="preserve"> </w:t>
      </w:r>
      <w:r>
        <w:t>(Accessed: 12 July 2026).</w:t>
      </w:r>
    </w:p>
    <w:p w14:paraId="5389F538" w14:textId="1A7293B3" w:rsidR="00FE6FFD" w:rsidRDefault="00FE6FFD" w:rsidP="00FE6FFD">
      <w:pPr>
        <w:jc w:val="both"/>
      </w:pPr>
      <w:r>
        <w:t>Office for Health Improvement and Disparities (2022) Better Health campaign. London: Department of Health and Social Care. Available at: https://www.nhs.uk/better-health/ (Accessed: 13 July 2026).</w:t>
      </w:r>
    </w:p>
    <w:p w14:paraId="563753FA" w14:textId="5D9D0261" w:rsidR="00FE6FFD" w:rsidRDefault="00FE6FFD" w:rsidP="00FE6FFD">
      <w:pPr>
        <w:jc w:val="both"/>
      </w:pPr>
      <w:r>
        <w:t>Office for National Statistics (2024) Health state life expectancies, UK. Newport: Office for National Statistics. Available at: https://www.ons.gov.uk/ (Accessed: 14 July 2026).</w:t>
      </w:r>
    </w:p>
    <w:p w14:paraId="6C4091D7" w14:textId="6F7AC2A8" w:rsidR="00FE6FFD" w:rsidRDefault="00FE6FFD" w:rsidP="00FE6FFD">
      <w:pPr>
        <w:jc w:val="both"/>
      </w:pPr>
      <w:r>
        <w:t>Public Health England (2021) Health profile for England. London: Public Health England.</w:t>
      </w:r>
    </w:p>
    <w:p w14:paraId="04D21049" w14:textId="0744914F" w:rsidR="00FE6FFD" w:rsidRDefault="00FE6FFD" w:rsidP="00FE6FFD">
      <w:pPr>
        <w:jc w:val="both"/>
      </w:pPr>
      <w:r>
        <w:t>The King's Fund (2023) The NHS in a nutshell. London: The King's Fund. Available at: https://www.kingsfund.org.uk/ (Accessed: 15 July 2026).</w:t>
      </w:r>
    </w:p>
    <w:p w14:paraId="42190210" w14:textId="1ACCA5FA" w:rsidR="00FE6FFD" w:rsidRDefault="00FE6FFD" w:rsidP="00FE6FFD">
      <w:pPr>
        <w:jc w:val="both"/>
      </w:pPr>
      <w:r>
        <w:t>The King's Fund (2024) Health inequalities in England. London: The King's Fund. Available at: https://www.kingsfund.org.uk/ (Accessed: 16 July 2026).</w:t>
      </w:r>
    </w:p>
    <w:p w14:paraId="0AA54A2F" w14:textId="2EA68F42" w:rsidR="00FE6FFD" w:rsidRDefault="00FE6FFD" w:rsidP="00FE6FFD">
      <w:pPr>
        <w:jc w:val="both"/>
      </w:pPr>
      <w:r>
        <w:t>The Lancet (2023) ‘Health and climate change: policy and practice’, The Lancet, 401(10382), pp. 1000–1015.</w:t>
      </w:r>
    </w:p>
    <w:p w14:paraId="7897B6A4" w14:textId="1B859739" w:rsidR="00FE6FFD" w:rsidRDefault="00FE6FFD" w:rsidP="00FE6FFD">
      <w:pPr>
        <w:jc w:val="both"/>
      </w:pPr>
      <w:r>
        <w:t xml:space="preserve">UK Health Security Agency (2023) Adverse weather and health plan. London: UK Health Security Agency. Available at: </w:t>
      </w:r>
      <w:r>
        <w:lastRenderedPageBreak/>
        <w:t>https://www.gov.uk/government/publications/adverse-weather-and-health-plan (Accessed: 17 July 2026).</w:t>
      </w:r>
    </w:p>
    <w:p w14:paraId="06B7878E" w14:textId="7E583200" w:rsidR="00FE6FFD" w:rsidRDefault="00FE6FFD" w:rsidP="00FE6FFD">
      <w:pPr>
        <w:jc w:val="both"/>
      </w:pPr>
      <w:r>
        <w:t>United Nations (2015) Transforming our world: the 2030 agenda for sustainable development. New York: United Nations. Available at: https://sdgs.un.org/2030agenda (Accessed: 10 July 2026).</w:t>
      </w:r>
    </w:p>
    <w:p w14:paraId="00D1D574" w14:textId="7C21D12F" w:rsidR="00FE6FFD" w:rsidRDefault="00FE6FFD" w:rsidP="00FE6FFD">
      <w:pPr>
        <w:jc w:val="both"/>
      </w:pPr>
      <w:r>
        <w:t>United Nations (2024) The sustainable development goals report 2024. New York: United Nations. Available at: https://unstats.un.org/sdgs/report/2024/ (Accessed: 11 July 2026).</w:t>
      </w:r>
    </w:p>
    <w:p w14:paraId="6448B30E" w14:textId="47D8ADBE" w:rsidR="00FE6FFD" w:rsidRDefault="00FE6FFD" w:rsidP="00FE6FFD">
      <w:pPr>
        <w:jc w:val="both"/>
      </w:pPr>
      <w:r>
        <w:t xml:space="preserve">United Nations Development </w:t>
      </w:r>
      <w:proofErr w:type="spellStart"/>
      <w:r>
        <w:t>Programme</w:t>
      </w:r>
      <w:proofErr w:type="spellEnd"/>
      <w:r>
        <w:t xml:space="preserve"> (2023) Sustainable development goals. New York: United Nations Development </w:t>
      </w:r>
      <w:proofErr w:type="spellStart"/>
      <w:r>
        <w:t>Programme</w:t>
      </w:r>
      <w:proofErr w:type="spellEnd"/>
      <w:r>
        <w:t>. Available at: https://www.undp.org/sustainable-development-goals (Accessed: 12 July 2026).</w:t>
      </w:r>
    </w:p>
    <w:p w14:paraId="20EEF667" w14:textId="11D91092" w:rsidR="00FE6FFD" w:rsidRDefault="00FE6FFD" w:rsidP="00FE6FFD">
      <w:pPr>
        <w:jc w:val="both"/>
      </w:pPr>
      <w:r>
        <w:t xml:space="preserve">University of Birmingham (2022) Childhood obesity trailblazer </w:t>
      </w:r>
      <w:proofErr w:type="spellStart"/>
      <w:r>
        <w:t>programme</w:t>
      </w:r>
      <w:proofErr w:type="spellEnd"/>
      <w:r>
        <w:t>: final evaluation report 2019–2022. Birmingham: University of Birmingham.</w:t>
      </w:r>
    </w:p>
    <w:p w14:paraId="7784AB40" w14:textId="0B148FFF" w:rsidR="00FE6FFD" w:rsidRDefault="00FE6FFD" w:rsidP="00FE6FFD">
      <w:pPr>
        <w:jc w:val="both"/>
      </w:pPr>
      <w:r>
        <w:t xml:space="preserve">WM-Air (2025) West Midlands air quality impact report. Birmingham: University of Birmingham. Available at: </w:t>
      </w:r>
      <w:hyperlink r:id="rId13" w:history="1">
        <w:r w:rsidR="009E3E89" w:rsidRPr="007459A7">
          <w:rPr>
            <w:rStyle w:val="Hyperlink"/>
          </w:rPr>
          <w:t>https://www.wm-air.org.uk/</w:t>
        </w:r>
      </w:hyperlink>
      <w:r w:rsidR="009E3E89">
        <w:t xml:space="preserve"> </w:t>
      </w:r>
      <w:r>
        <w:t>(Accessed: 13 July 2026).</w:t>
      </w:r>
    </w:p>
    <w:p w14:paraId="29FB5F57" w14:textId="3246479E" w:rsidR="00FE6FFD" w:rsidRDefault="00FE6FFD" w:rsidP="00FE6FFD">
      <w:pPr>
        <w:jc w:val="both"/>
      </w:pPr>
      <w:r>
        <w:t>World Health Organization (2021) Global health and climate change. Geneva: World Health Organization.</w:t>
      </w:r>
    </w:p>
    <w:p w14:paraId="33EF40AB" w14:textId="1DE4CD25" w:rsidR="00FE6FFD" w:rsidRDefault="00FE6FFD" w:rsidP="00FE6FFD">
      <w:pPr>
        <w:jc w:val="both"/>
      </w:pPr>
      <w:r>
        <w:t xml:space="preserve">World Health Organization (2024a) World health statistics 2024. Geneva: World Health Organization. Available at: </w:t>
      </w:r>
      <w:hyperlink r:id="rId14" w:history="1">
        <w:r w:rsidR="009E3E89" w:rsidRPr="007459A7">
          <w:rPr>
            <w:rStyle w:val="Hyperlink"/>
          </w:rPr>
          <w:t>https://www.who.int/</w:t>
        </w:r>
      </w:hyperlink>
      <w:r w:rsidR="009E3E89">
        <w:t xml:space="preserve"> </w:t>
      </w:r>
      <w:r>
        <w:t>(Accessed: 14 July 2026).</w:t>
      </w:r>
    </w:p>
    <w:p w14:paraId="2A869292" w14:textId="2B98AB4F" w:rsidR="003A5384" w:rsidRDefault="00FE6FFD" w:rsidP="00FE6FFD">
      <w:pPr>
        <w:jc w:val="both"/>
        <w:rPr>
          <w:rFonts w:cs="Arial"/>
        </w:rPr>
      </w:pPr>
      <w:r>
        <w:t>World Health Organization (2024b) Climate change and health. Geneva: World Health Organization. Available at: https://www.who.int/news-room/fact-sheets/detail/climate-change-and-health (Accessed: 15 July 2026).</w:t>
      </w:r>
    </w:p>
    <w:sectPr w:rsidR="003A5384">
      <w:footerReference w:type="default" r:id="rId15"/>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FC3DC" w14:textId="77777777" w:rsidR="00EE6223" w:rsidRDefault="00EE6223">
      <w:pPr>
        <w:spacing w:line="240" w:lineRule="auto"/>
      </w:pPr>
      <w:r>
        <w:separator/>
      </w:r>
    </w:p>
  </w:endnote>
  <w:endnote w:type="continuationSeparator" w:id="0">
    <w:p w14:paraId="309DC7F7" w14:textId="77777777" w:rsidR="00EE6223" w:rsidRDefault="00EE62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A20B8" w14:textId="77777777" w:rsidR="003A5384" w:rsidRDefault="00000000">
    <w:pPr>
      <w:pStyle w:val="Footer"/>
    </w:pPr>
    <w:r>
      <w:rPr>
        <w:noProof/>
      </w:rPr>
      <mc:AlternateContent>
        <mc:Choice Requires="wps">
          <w:drawing>
            <wp:anchor distT="0" distB="0" distL="114300" distR="114300" simplePos="0" relativeHeight="251659264" behindDoc="0" locked="0" layoutInCell="1" allowOverlap="1" wp14:anchorId="2806A309" wp14:editId="21A95C2D">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941DDE5" w14:textId="77777777" w:rsidR="003A5384"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806A309"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" filled="f" fillcolor="white [3201]" stroked="f" strokeweight=".5pt">
              <v:textbox style="mso-fit-shape-to-text:t" inset="0,0,0,0">
                <w:txbxContent>
                  <w:p w14:paraId="7941DDE5" w14:textId="77777777" w:rsidR="003A5384"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2BA5C" w14:textId="77777777" w:rsidR="00EE6223" w:rsidRDefault="00EE6223">
      <w:pPr>
        <w:spacing w:after="0"/>
      </w:pPr>
      <w:r>
        <w:separator/>
      </w:r>
    </w:p>
  </w:footnote>
  <w:footnote w:type="continuationSeparator" w:id="0">
    <w:p w14:paraId="3F3CC0A6" w14:textId="77777777" w:rsidR="00EE6223" w:rsidRDefault="00EE622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6744F7E"/>
    <w:multiLevelType w:val="singleLevel"/>
    <w:tmpl w:val="96744F7E"/>
    <w:lvl w:ilvl="0">
      <w:start w:val="6"/>
      <w:numFmt w:val="decimal"/>
      <w:suff w:val="space"/>
      <w:lvlText w:val="%1."/>
      <w:lvlJc w:val="left"/>
    </w:lvl>
  </w:abstractNum>
  <w:num w:numId="1" w16cid:durableId="1179349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bordersDoNotSurroundHeader/>
  <w:bordersDoNotSurroundFooter/>
  <w:proofState w:spelling="clean" w:grammar="clean"/>
  <w:defaultTabStop w:val="720"/>
  <w:drawingGridVerticalSpacing w:val="156"/>
  <w:displayHorizontalDrawingGridEvery w:val="0"/>
  <w:displayVerticalDrawingGridEvery w:val="2"/>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5C97FAB"/>
    <w:rsid w:val="00082514"/>
    <w:rsid w:val="001E5758"/>
    <w:rsid w:val="00335302"/>
    <w:rsid w:val="003A5384"/>
    <w:rsid w:val="004D4FEC"/>
    <w:rsid w:val="00626DDD"/>
    <w:rsid w:val="007B2318"/>
    <w:rsid w:val="009E3E89"/>
    <w:rsid w:val="00AB39E5"/>
    <w:rsid w:val="00B17D2F"/>
    <w:rsid w:val="00E376B3"/>
    <w:rsid w:val="00EE6223"/>
    <w:rsid w:val="00EF7D5F"/>
    <w:rsid w:val="00FC6967"/>
    <w:rsid w:val="00FE6FFD"/>
    <w:rsid w:val="033E626C"/>
    <w:rsid w:val="048106ED"/>
    <w:rsid w:val="0AE65372"/>
    <w:rsid w:val="0CDE4E63"/>
    <w:rsid w:val="0DC0001E"/>
    <w:rsid w:val="142E1B4C"/>
    <w:rsid w:val="15C97FAB"/>
    <w:rsid w:val="164D03BE"/>
    <w:rsid w:val="16927656"/>
    <w:rsid w:val="16A135AF"/>
    <w:rsid w:val="196F11D7"/>
    <w:rsid w:val="1BB614A2"/>
    <w:rsid w:val="1C4A3C27"/>
    <w:rsid w:val="1E792110"/>
    <w:rsid w:val="23FD0EA5"/>
    <w:rsid w:val="2A01667B"/>
    <w:rsid w:val="2A982767"/>
    <w:rsid w:val="2F9D12B2"/>
    <w:rsid w:val="34684E59"/>
    <w:rsid w:val="34AC2E87"/>
    <w:rsid w:val="364729C7"/>
    <w:rsid w:val="3CDE426F"/>
    <w:rsid w:val="3CDF79CA"/>
    <w:rsid w:val="46177843"/>
    <w:rsid w:val="47365564"/>
    <w:rsid w:val="4B3F0250"/>
    <w:rsid w:val="51FF13D2"/>
    <w:rsid w:val="5A420BA5"/>
    <w:rsid w:val="5E6E61D1"/>
    <w:rsid w:val="61F877C6"/>
    <w:rsid w:val="64994E32"/>
    <w:rsid w:val="66E128D8"/>
    <w:rsid w:val="68397CBD"/>
    <w:rsid w:val="688376C3"/>
    <w:rsid w:val="69694880"/>
    <w:rsid w:val="69975CCF"/>
    <w:rsid w:val="6E1557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246E18"/>
  <w15:docId w15:val="{A0591FF2-E850-4EFE-BC5B-A653EF9EB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360" w:lineRule="auto"/>
    </w:pPr>
    <w:rPr>
      <w:rFonts w:ascii="Arial" w:eastAsia="SimSun" w:hAnsi="Arial" w:cs="Times New Roman"/>
      <w:sz w:val="22"/>
      <w:szCs w:val="22"/>
      <w:lang w:eastAsia="zh-CN"/>
    </w:rPr>
  </w:style>
  <w:style w:type="paragraph" w:styleId="Heading1">
    <w:name w:val="heading 1"/>
    <w:basedOn w:val="Normal"/>
    <w:next w:val="Normal"/>
    <w:link w:val="Heading1Char"/>
    <w:qFormat/>
    <w:rsid w:val="00FE6FF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FE6FF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rsid w:val="00FE6FFD"/>
    <w:rPr>
      <w:rFonts w:asciiTheme="majorHAnsi" w:eastAsiaTheme="majorEastAsia" w:hAnsiTheme="majorHAnsi" w:cstheme="majorBidi"/>
      <w:color w:val="2E74B5" w:themeColor="accent1" w:themeShade="BF"/>
      <w:sz w:val="32"/>
      <w:szCs w:val="32"/>
      <w:lang w:eastAsia="zh-CN"/>
    </w:rPr>
  </w:style>
  <w:style w:type="character" w:customStyle="1" w:styleId="Heading2Char">
    <w:name w:val="Heading 2 Char"/>
    <w:basedOn w:val="DefaultParagraphFont"/>
    <w:link w:val="Heading2"/>
    <w:rsid w:val="00FE6FFD"/>
    <w:rPr>
      <w:rFonts w:asciiTheme="majorHAnsi" w:eastAsiaTheme="majorEastAsia" w:hAnsiTheme="majorHAnsi" w:cstheme="majorBidi"/>
      <w:color w:val="2E74B5" w:themeColor="accent1" w:themeShade="BF"/>
      <w:sz w:val="26"/>
      <w:szCs w:val="26"/>
      <w:lang w:eastAsia="zh-CN"/>
    </w:rPr>
  </w:style>
  <w:style w:type="paragraph" w:styleId="TOCHeading">
    <w:name w:val="TOC Heading"/>
    <w:basedOn w:val="Heading1"/>
    <w:next w:val="Normal"/>
    <w:uiPriority w:val="39"/>
    <w:unhideWhenUsed/>
    <w:qFormat/>
    <w:rsid w:val="00AB39E5"/>
    <w:pPr>
      <w:spacing w:line="259" w:lineRule="auto"/>
      <w:outlineLvl w:val="9"/>
    </w:pPr>
    <w:rPr>
      <w:lang w:eastAsia="en-US"/>
    </w:rPr>
  </w:style>
  <w:style w:type="paragraph" w:styleId="TOC1">
    <w:name w:val="toc 1"/>
    <w:basedOn w:val="Normal"/>
    <w:next w:val="Normal"/>
    <w:autoRedefine/>
    <w:uiPriority w:val="39"/>
    <w:rsid w:val="00AB39E5"/>
    <w:pPr>
      <w:spacing w:after="100"/>
    </w:pPr>
  </w:style>
  <w:style w:type="paragraph" w:styleId="TOC2">
    <w:name w:val="toc 2"/>
    <w:basedOn w:val="Normal"/>
    <w:next w:val="Normal"/>
    <w:autoRedefine/>
    <w:uiPriority w:val="39"/>
    <w:rsid w:val="00AB39E5"/>
    <w:pPr>
      <w:spacing w:after="100"/>
      <w:ind w:left="220"/>
    </w:pPr>
  </w:style>
  <w:style w:type="character" w:styleId="Hyperlink">
    <w:name w:val="Hyperlink"/>
    <w:basedOn w:val="DefaultParagraphFont"/>
    <w:uiPriority w:val="99"/>
    <w:unhideWhenUsed/>
    <w:rsid w:val="00AB39E5"/>
    <w:rPr>
      <w:color w:val="0563C1" w:themeColor="hyperlink"/>
      <w:u w:val="single"/>
    </w:rPr>
  </w:style>
  <w:style w:type="character" w:styleId="UnresolvedMention">
    <w:name w:val="Unresolved Mention"/>
    <w:basedOn w:val="DefaultParagraphFont"/>
    <w:uiPriority w:val="99"/>
    <w:semiHidden/>
    <w:unhideWhenUsed/>
    <w:rsid w:val="009E3E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m-air.org.uk/"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ngland.nhs.uk/long-read/nhs-long-term-workforce-pla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ongtermplan.nhs.uk/"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gov.uk/"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who.in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740575D-CE0D-45DE-A35E-8D51A5559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2663</Words>
  <Characters>15183</Characters>
  <Application>Microsoft Office Word</Application>
  <DocSecurity>0</DocSecurity>
  <Lines>126</Lines>
  <Paragraphs>35</Paragraphs>
  <ScaleCrop>false</ScaleCrop>
  <Company/>
  <LinksUpToDate>false</LinksUpToDate>
  <CharactersWithSpaces>17811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Mopel</dc:creator>
  <cp:lastModifiedBy>Larry Osei Kofi (2308809)</cp:lastModifiedBy>
  <cp:revision>3</cp:revision>
  <dcterms:created xsi:type="dcterms:W3CDTF">2026-07-19T21:06:00Z</dcterms:created>
  <dcterms:modified xsi:type="dcterms:W3CDTF">2026-07-22T12:27:00Z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F2EBE1B79C0B446195FA6F7EF968E169_11</vt:lpwstr>
  </property>
  <property fmtid="{D5CDD505-2E9C-101B-9397-08002B2CF9AE}" pid="4" name="GrammarlyDocumentId">
    <vt:lpwstr>cf0df8c5-6a1c-494f-8e35-7c9089d3142c</vt:lpwstr>
  </property>
</Properties>
</file>