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F40B3" w14:textId="77777777" w:rsidR="00E7301D" w:rsidRPr="00684832" w:rsidRDefault="00E7301D" w:rsidP="00E7301D">
      <w:pPr>
        <w:spacing w:before="120" w:after="120" w:line="240" w:lineRule="auto"/>
        <w:jc w:val="center"/>
        <w:rPr>
          <w:rFonts w:eastAsia="Aptos" w:cs="Arial"/>
          <w:color w:val="000000"/>
        </w:rPr>
      </w:pPr>
      <w:r w:rsidRPr="00684832">
        <w:rPr>
          <w:rFonts w:eastAsia="Aptos" w:cs="Arial"/>
          <w:noProof/>
          <w:color w:val="000000"/>
        </w:rPr>
        <w:drawing>
          <wp:inline distT="0" distB="0" distL="0" distR="0" wp14:anchorId="77FD15A5" wp14:editId="0805D05A">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601D5B7" w14:textId="77777777" w:rsidR="00E7301D" w:rsidRPr="00684832" w:rsidRDefault="00E7301D" w:rsidP="00E7301D">
      <w:pPr>
        <w:spacing w:before="120" w:after="120" w:line="240" w:lineRule="auto"/>
        <w:rPr>
          <w:rFonts w:eastAsia="Aptos" w:cs="Arial"/>
          <w:color w:val="000000"/>
        </w:rPr>
      </w:pPr>
    </w:p>
    <w:p w14:paraId="3D217D48" w14:textId="77777777" w:rsidR="00E7301D" w:rsidRPr="00684832" w:rsidRDefault="00E7301D" w:rsidP="00E7301D">
      <w:pPr>
        <w:spacing w:before="120" w:after="120" w:line="240" w:lineRule="auto"/>
        <w:rPr>
          <w:rFonts w:eastAsia="Aptos" w:cs="Arial"/>
          <w:color w:val="000000"/>
        </w:rPr>
      </w:pPr>
    </w:p>
    <w:p w14:paraId="48D00CEC" w14:textId="2EAC68DC" w:rsidR="00E7301D" w:rsidRPr="00684832" w:rsidRDefault="00E7301D" w:rsidP="00E7301D">
      <w:pPr>
        <w:spacing w:before="120" w:after="120" w:line="240" w:lineRule="auto"/>
        <w:jc w:val="center"/>
        <w:rPr>
          <w:rFonts w:eastAsia="Aptos" w:cs="Arial"/>
          <w:b/>
          <w:bCs/>
          <w:color w:val="000000"/>
        </w:rPr>
      </w:pPr>
      <w:r w:rsidRPr="00684832">
        <w:rPr>
          <w:rFonts w:eastAsia="Aptos" w:cs="Arial"/>
          <w:b/>
          <w:bCs/>
          <w:color w:val="000000"/>
        </w:rPr>
        <w:t>Student Name:</w:t>
      </w:r>
      <w:r w:rsidR="00022D18" w:rsidRPr="00684832">
        <w:rPr>
          <w:rFonts w:eastAsia="Aptos" w:cs="Arial"/>
          <w:b/>
          <w:bCs/>
          <w:color w:val="000000"/>
        </w:rPr>
        <w:t xml:space="preserve"> </w:t>
      </w:r>
      <w:r w:rsidR="00282900" w:rsidRPr="00282900">
        <w:rPr>
          <w:rFonts w:eastAsia="Aptos" w:cs="Arial"/>
          <w:b/>
          <w:bCs/>
          <w:color w:val="000000"/>
        </w:rPr>
        <w:t>Tanvi ArvindBhai Patel</w:t>
      </w:r>
    </w:p>
    <w:p w14:paraId="708C846F" w14:textId="77777777" w:rsidR="00E7301D" w:rsidRPr="00684832" w:rsidRDefault="00E7301D" w:rsidP="00E7301D">
      <w:pPr>
        <w:spacing w:before="120" w:after="120" w:line="240" w:lineRule="auto"/>
        <w:jc w:val="center"/>
        <w:rPr>
          <w:rFonts w:eastAsia="Aptos" w:cs="Arial"/>
          <w:b/>
          <w:bCs/>
          <w:color w:val="000000"/>
        </w:rPr>
      </w:pPr>
    </w:p>
    <w:p w14:paraId="59C19A32" w14:textId="192E1F48" w:rsidR="00E7301D" w:rsidRPr="00684832" w:rsidRDefault="00E7301D" w:rsidP="00E7301D">
      <w:pPr>
        <w:spacing w:before="120" w:after="120" w:line="240" w:lineRule="auto"/>
        <w:jc w:val="center"/>
        <w:rPr>
          <w:rFonts w:eastAsia="Aptos" w:cs="Arial"/>
          <w:b/>
          <w:bCs/>
          <w:color w:val="000000"/>
        </w:rPr>
      </w:pPr>
      <w:r w:rsidRPr="00684832">
        <w:rPr>
          <w:rFonts w:eastAsia="Aptos" w:cs="Arial"/>
          <w:b/>
          <w:bCs/>
          <w:color w:val="000000"/>
        </w:rPr>
        <w:t>Student ID:</w:t>
      </w:r>
      <w:r w:rsidR="00282900">
        <w:rPr>
          <w:rFonts w:eastAsia="Aptos" w:cs="Arial"/>
          <w:b/>
          <w:bCs/>
          <w:color w:val="000000"/>
        </w:rPr>
        <w:t xml:space="preserve"> </w:t>
      </w:r>
      <w:r w:rsidR="00282900" w:rsidRPr="00282900">
        <w:rPr>
          <w:rFonts w:eastAsia="Aptos" w:cs="Arial"/>
          <w:b/>
          <w:bCs/>
          <w:color w:val="000000"/>
        </w:rPr>
        <w:t>2431763</w:t>
      </w:r>
    </w:p>
    <w:p w14:paraId="73456460" w14:textId="77777777" w:rsidR="00E7301D" w:rsidRPr="00684832" w:rsidRDefault="00E7301D" w:rsidP="00E7301D">
      <w:pPr>
        <w:spacing w:before="120" w:after="120" w:line="240" w:lineRule="auto"/>
        <w:jc w:val="center"/>
        <w:rPr>
          <w:rFonts w:eastAsia="Aptos" w:cs="Arial"/>
          <w:color w:val="000000"/>
        </w:rPr>
      </w:pPr>
    </w:p>
    <w:p w14:paraId="4828AC83" w14:textId="77777777" w:rsidR="00E7301D" w:rsidRPr="00684832" w:rsidRDefault="00E7301D" w:rsidP="00E7301D">
      <w:pPr>
        <w:spacing w:before="120" w:after="120" w:line="240" w:lineRule="auto"/>
        <w:jc w:val="center"/>
        <w:rPr>
          <w:rFonts w:eastAsia="Aptos" w:cs="Arial"/>
          <w:color w:val="000000"/>
        </w:rPr>
      </w:pPr>
    </w:p>
    <w:p w14:paraId="5B6EFE52" w14:textId="2BCE8102" w:rsidR="00E7301D" w:rsidRPr="00684832" w:rsidRDefault="00E7301D" w:rsidP="00E7301D">
      <w:pPr>
        <w:spacing w:before="120" w:after="120" w:line="240" w:lineRule="auto"/>
        <w:jc w:val="center"/>
        <w:rPr>
          <w:rFonts w:eastAsia="Aptos" w:cs="Arial"/>
          <w:b/>
          <w:bCs/>
          <w:color w:val="000000"/>
        </w:rPr>
      </w:pPr>
      <w:r w:rsidRPr="00684832">
        <w:rPr>
          <w:rFonts w:eastAsia="Aptos" w:cs="Arial"/>
          <w:b/>
          <w:bCs/>
          <w:color w:val="000000"/>
        </w:rPr>
        <w:t xml:space="preserve">Module Name: </w:t>
      </w:r>
      <w:r w:rsidR="00AF1CF4" w:rsidRPr="00684832">
        <w:rPr>
          <w:rFonts w:eastAsia="Aptos" w:cs="Arial"/>
          <w:b/>
          <w:bCs/>
          <w:color w:val="000000"/>
        </w:rPr>
        <w:t>Strategic Management</w:t>
      </w:r>
    </w:p>
    <w:p w14:paraId="4C1F7CBC" w14:textId="77777777" w:rsidR="00E7301D" w:rsidRPr="00684832" w:rsidRDefault="00E7301D" w:rsidP="00E7301D">
      <w:pPr>
        <w:spacing w:before="120" w:after="120" w:line="240" w:lineRule="auto"/>
        <w:jc w:val="center"/>
        <w:rPr>
          <w:rFonts w:eastAsia="Aptos" w:cs="Arial"/>
          <w:b/>
          <w:bCs/>
          <w:color w:val="000000"/>
        </w:rPr>
      </w:pPr>
    </w:p>
    <w:p w14:paraId="6F01162E" w14:textId="72A53F79" w:rsidR="00E7301D" w:rsidRPr="00684832" w:rsidRDefault="00E7301D" w:rsidP="00E7301D">
      <w:pPr>
        <w:spacing w:before="120" w:after="120" w:line="240" w:lineRule="auto"/>
        <w:jc w:val="center"/>
        <w:rPr>
          <w:rFonts w:eastAsia="Aptos" w:cs="Arial"/>
          <w:b/>
          <w:bCs/>
          <w:color w:val="000000"/>
        </w:rPr>
      </w:pPr>
      <w:r w:rsidRPr="00684832">
        <w:rPr>
          <w:rFonts w:eastAsia="Aptos" w:cs="Arial"/>
          <w:b/>
          <w:bCs/>
          <w:color w:val="000000"/>
        </w:rPr>
        <w:t xml:space="preserve">Module Code: </w:t>
      </w:r>
      <w:r w:rsidR="00AF1CF4" w:rsidRPr="00684832">
        <w:rPr>
          <w:rFonts w:eastAsia="Aptos" w:cs="Arial"/>
          <w:b/>
          <w:bCs/>
          <w:color w:val="000000"/>
        </w:rPr>
        <w:t>LCMB7003</w:t>
      </w:r>
    </w:p>
    <w:p w14:paraId="17BCD368" w14:textId="77777777" w:rsidR="00E7301D" w:rsidRPr="00684832" w:rsidRDefault="00E7301D" w:rsidP="00E7301D">
      <w:pPr>
        <w:spacing w:before="120" w:after="120" w:line="240" w:lineRule="auto"/>
        <w:jc w:val="center"/>
        <w:rPr>
          <w:rFonts w:eastAsia="Aptos" w:cs="Arial"/>
          <w:b/>
          <w:bCs/>
          <w:color w:val="000000"/>
        </w:rPr>
      </w:pPr>
    </w:p>
    <w:p w14:paraId="204FD93C" w14:textId="77777777" w:rsidR="00E7301D" w:rsidRPr="00684832" w:rsidRDefault="00E7301D" w:rsidP="00E7301D">
      <w:pPr>
        <w:spacing w:before="120" w:after="120" w:line="240" w:lineRule="auto"/>
        <w:rPr>
          <w:rFonts w:eastAsia="Aptos" w:cs="Arial"/>
          <w:b/>
          <w:bCs/>
          <w:color w:val="000000"/>
        </w:rPr>
      </w:pPr>
    </w:p>
    <w:p w14:paraId="324DA033" w14:textId="77777777" w:rsidR="00E7301D" w:rsidRPr="00684832" w:rsidRDefault="00E7301D" w:rsidP="00E7301D">
      <w:pPr>
        <w:spacing w:before="120" w:after="120" w:line="240" w:lineRule="auto"/>
        <w:jc w:val="center"/>
        <w:rPr>
          <w:rFonts w:eastAsia="Aptos" w:cs="Arial"/>
          <w:b/>
          <w:bCs/>
          <w:color w:val="000000"/>
        </w:rPr>
      </w:pPr>
    </w:p>
    <w:p w14:paraId="7573DE6E" w14:textId="24E6726F" w:rsidR="00E7301D" w:rsidRPr="00684832" w:rsidRDefault="00E7301D" w:rsidP="00E7301D">
      <w:pPr>
        <w:spacing w:before="120" w:after="120" w:line="240" w:lineRule="auto"/>
        <w:jc w:val="center"/>
        <w:rPr>
          <w:rFonts w:eastAsia="Aptos" w:cs="Arial"/>
          <w:b/>
          <w:bCs/>
          <w:color w:val="000000"/>
        </w:rPr>
      </w:pPr>
      <w:r w:rsidRPr="00684832">
        <w:rPr>
          <w:rFonts w:eastAsia="Aptos" w:cs="Arial"/>
          <w:b/>
          <w:bCs/>
          <w:color w:val="000000"/>
        </w:rPr>
        <w:t>Lecturer’s Name:</w:t>
      </w:r>
      <w:r w:rsidRPr="00684832">
        <w:t xml:space="preserve"> </w:t>
      </w:r>
      <w:r w:rsidR="00AF1CF4" w:rsidRPr="00684832">
        <w:rPr>
          <w:rFonts w:eastAsia="Aptos" w:cs="Arial"/>
          <w:b/>
          <w:bCs/>
          <w:color w:val="000000"/>
        </w:rPr>
        <w:t>Amare Desta</w:t>
      </w:r>
    </w:p>
    <w:p w14:paraId="2839C602" w14:textId="6C0711F7" w:rsidR="00E7301D" w:rsidRPr="00684832" w:rsidRDefault="00E7301D" w:rsidP="00D46F50">
      <w:pPr>
        <w:spacing w:before="120" w:after="120" w:line="240" w:lineRule="auto"/>
        <w:jc w:val="center"/>
        <w:rPr>
          <w:rFonts w:eastAsia="Aptos" w:cs="Arial"/>
          <w:b/>
          <w:bCs/>
          <w:color w:val="000000"/>
        </w:rPr>
      </w:pPr>
      <w:r w:rsidRPr="00684832">
        <w:rPr>
          <w:rFonts w:eastAsia="Aptos" w:cs="Arial"/>
          <w:b/>
          <w:bCs/>
          <w:color w:val="000000"/>
        </w:rPr>
        <w:t xml:space="preserve"> </w:t>
      </w:r>
    </w:p>
    <w:p w14:paraId="53C82D85" w14:textId="77777777" w:rsidR="00E7301D" w:rsidRPr="00684832" w:rsidRDefault="00E7301D" w:rsidP="00E7301D">
      <w:pPr>
        <w:spacing w:before="120" w:after="120" w:line="240" w:lineRule="auto"/>
        <w:rPr>
          <w:rFonts w:eastAsia="Aptos" w:cs="Arial"/>
          <w:b/>
          <w:bCs/>
          <w:color w:val="000000"/>
        </w:rPr>
      </w:pPr>
    </w:p>
    <w:p w14:paraId="4C4C9117" w14:textId="194D7F60" w:rsidR="00E7301D" w:rsidRDefault="00E7301D" w:rsidP="00D46F50">
      <w:pPr>
        <w:spacing w:before="120" w:after="120" w:line="240" w:lineRule="auto"/>
        <w:jc w:val="center"/>
        <w:rPr>
          <w:rFonts w:eastAsia="Aptos" w:cs="Arial"/>
          <w:b/>
          <w:bCs/>
          <w:color w:val="000000"/>
        </w:rPr>
      </w:pPr>
      <w:r w:rsidRPr="00684832">
        <w:rPr>
          <w:rFonts w:eastAsia="Aptos" w:cs="Arial"/>
          <w:b/>
          <w:bCs/>
          <w:color w:val="000000"/>
        </w:rPr>
        <w:t xml:space="preserve">Work Count: </w:t>
      </w:r>
      <w:r w:rsidR="00DB0451">
        <w:rPr>
          <w:rFonts w:eastAsia="Aptos" w:cs="Arial"/>
          <w:b/>
          <w:bCs/>
          <w:color w:val="000000"/>
        </w:rPr>
        <w:t>5263</w:t>
      </w:r>
    </w:p>
    <w:p w14:paraId="327C35C0" w14:textId="77777777" w:rsidR="00D46F50" w:rsidRPr="00684832" w:rsidRDefault="00D46F50" w:rsidP="00D46F50">
      <w:pPr>
        <w:spacing w:before="120" w:after="120" w:line="240" w:lineRule="auto"/>
        <w:jc w:val="center"/>
        <w:rPr>
          <w:rFonts w:eastAsia="Aptos" w:cs="Arial"/>
          <w:b/>
          <w:bCs/>
          <w:color w:val="000000"/>
        </w:rPr>
      </w:pPr>
    </w:p>
    <w:p w14:paraId="3066EF75" w14:textId="6C06BEFF" w:rsidR="00E7301D" w:rsidRPr="00684832" w:rsidRDefault="00E7301D" w:rsidP="00E7301D">
      <w:pPr>
        <w:spacing w:before="120" w:after="120"/>
        <w:jc w:val="center"/>
        <w:rPr>
          <w:rFonts w:eastAsia="Aptos" w:cs="Arial"/>
          <w:b/>
          <w:bCs/>
          <w:color w:val="000000"/>
        </w:rPr>
      </w:pPr>
      <w:r w:rsidRPr="00684832">
        <w:rPr>
          <w:rFonts w:eastAsia="Aptos" w:cs="Arial"/>
          <w:b/>
          <w:bCs/>
          <w:color w:val="000000"/>
        </w:rPr>
        <w:t>Term 2</w:t>
      </w:r>
    </w:p>
    <w:p w14:paraId="59DA3A37" w14:textId="23F83A4E" w:rsidR="00D91825" w:rsidRPr="00684832" w:rsidRDefault="00D91825" w:rsidP="00E7301D">
      <w:pPr>
        <w:spacing w:before="120" w:after="120"/>
        <w:jc w:val="center"/>
        <w:rPr>
          <w:rFonts w:eastAsia="Aptos" w:cs="Arial"/>
          <w:b/>
          <w:bCs/>
          <w:color w:val="000000"/>
        </w:rPr>
      </w:pPr>
    </w:p>
    <w:p w14:paraId="04E19283" w14:textId="5C3B0652" w:rsidR="00D91825" w:rsidRPr="00684832" w:rsidRDefault="00D91825" w:rsidP="00E7301D">
      <w:pPr>
        <w:spacing w:before="120" w:after="120"/>
        <w:jc w:val="center"/>
        <w:rPr>
          <w:rFonts w:eastAsia="Aptos" w:cs="Arial"/>
          <w:b/>
          <w:bCs/>
          <w:color w:val="000000"/>
        </w:rPr>
      </w:pPr>
    </w:p>
    <w:p w14:paraId="5F6E63D6" w14:textId="77777777" w:rsidR="00D91825" w:rsidRPr="00684832" w:rsidRDefault="00D91825">
      <w:pPr>
        <w:spacing w:line="278" w:lineRule="auto"/>
        <w:jc w:val="left"/>
        <w:rPr>
          <w:rFonts w:eastAsia="Aptos" w:cs="Arial"/>
          <w:b/>
          <w:bCs/>
          <w:color w:val="000000"/>
        </w:rPr>
      </w:pPr>
      <w:r w:rsidRPr="00684832">
        <w:rPr>
          <w:rFonts w:eastAsia="Aptos" w:cs="Arial"/>
          <w:b/>
          <w:bCs/>
          <w:color w:val="000000"/>
        </w:rPr>
        <w:br w:type="page"/>
      </w:r>
    </w:p>
    <w:p w14:paraId="74A0987D" w14:textId="77777777" w:rsidR="00964574" w:rsidRPr="00684832" w:rsidRDefault="00964574" w:rsidP="00964574">
      <w:pPr>
        <w:pStyle w:val="Heading1"/>
        <w:rPr>
          <w:rFonts w:ascii="Times New Roman" w:hAnsi="Times New Roman"/>
        </w:rPr>
      </w:pPr>
      <w:bookmarkStart w:id="0" w:name="_Toc217290340"/>
      <w:r w:rsidRPr="00684832">
        <w:lastRenderedPageBreak/>
        <w:t>Executive Summary</w:t>
      </w:r>
      <w:bookmarkEnd w:id="0"/>
    </w:p>
    <w:p w14:paraId="44997AD8" w14:textId="3BA3B809" w:rsidR="002B5B6D" w:rsidRPr="00684832" w:rsidRDefault="002B5B6D" w:rsidP="00C51B87">
      <w:pPr>
        <w:rPr>
          <w:lang w:bidi="si-LK"/>
        </w:rPr>
      </w:pPr>
      <w:r w:rsidRPr="00684832">
        <w:rPr>
          <w:lang w:bidi="si-LK"/>
        </w:rPr>
        <w:t>This study evaluates the strategic reasonableness of Nothing's proposed expansion into the smartphone market of the United States. The United States was selected because of its large market size, high purchasing capabilities and constant need for differentiated Android devices contrary to a mature market and fierce competition. The analysis uses established strategic frameworks to examine external conditions, industry structure, internal capabilities and strategic alignment.</w:t>
      </w:r>
    </w:p>
    <w:p w14:paraId="3F0EDBD5" w14:textId="1F5703DD" w:rsidR="002B5B6D" w:rsidRPr="00684832" w:rsidRDefault="002B5B6D" w:rsidP="00C51B87">
      <w:pPr>
        <w:rPr>
          <w:lang w:bidi="si-LK"/>
        </w:rPr>
      </w:pPr>
      <w:r w:rsidRPr="00684832">
        <w:rPr>
          <w:lang w:bidi="si-LK"/>
        </w:rPr>
        <w:t>The macro-environmental review examines key threats, including geopolitical trade conflicts, high standard regulatory compliance requirements, and increase in sustainability pressures, and identify enabling forces to include, the fast use of 5G, full-fledged digital retail systems, and consumer responsiveness to design-led innovation. This trend is supported by an industry analysis using Porters Five Forces as it indicates that there is a highly competitive rivalry and relatively high buyer power thus support the need to ensure differentiation strategies which are not limited to price competition. A competitor analysis shows that the strengths of Nothing in the proprietary strength of the industrial design, brand identity, and community-based marketing, but it also identifies weaknesses related to scale and reach of distribution.</w:t>
      </w:r>
    </w:p>
    <w:p w14:paraId="28D57468" w14:textId="1A69524C" w:rsidR="002B5B6D" w:rsidRPr="00684832" w:rsidRDefault="002B5B6D" w:rsidP="002B5B6D">
      <w:pPr>
        <w:rPr>
          <w:lang w:bidi="si-LK"/>
        </w:rPr>
      </w:pPr>
      <w:r w:rsidRPr="00684832">
        <w:rPr>
          <w:lang w:bidi="si-LK"/>
        </w:rPr>
        <w:t>To address the specified circumstances, the study suggests a hybrid approach to market entry, which combines the direct-to-consumer online content with carefully chosen MVNO collaboration. It is advisable to adopt a differentiation approach that targets the premium to the mid segment with design-led innovation, influencer and community-based engagement of influencer and value pricing as the pillars. The Balanced Scorecard framework is used in performance evaluation thus keeping the balance in terms of the financial, customer, operational, and learning aspects. the results indicate that the venture of Nothing to the United States can be deployed strategically, as long as it is done with a strict approach to risk management and a long-term outlook on innovations.</w:t>
      </w:r>
    </w:p>
    <w:p w14:paraId="51EF07AA" w14:textId="77777777" w:rsidR="00CF1947" w:rsidRPr="00684832" w:rsidRDefault="00CF1947" w:rsidP="00D91825"/>
    <w:p w14:paraId="77C8D584" w14:textId="77777777" w:rsidR="00D91825" w:rsidRPr="00684832" w:rsidRDefault="00D91825">
      <w:pPr>
        <w:spacing w:line="278" w:lineRule="auto"/>
        <w:jc w:val="left"/>
      </w:pPr>
      <w:r w:rsidRPr="00684832">
        <w:br w:type="page"/>
      </w:r>
    </w:p>
    <w:p w14:paraId="0E13EAEC" w14:textId="0E745C16" w:rsidR="00D91825" w:rsidRPr="00684832" w:rsidRDefault="007102FC" w:rsidP="00D91825">
      <w:pPr>
        <w:rPr>
          <w:b/>
          <w:bCs/>
          <w:sz w:val="28"/>
          <w:szCs w:val="28"/>
        </w:rPr>
      </w:pPr>
      <w:r w:rsidRPr="00684832">
        <w:rPr>
          <w:b/>
          <w:bCs/>
          <w:sz w:val="28"/>
          <w:szCs w:val="28"/>
        </w:rPr>
        <w:lastRenderedPageBreak/>
        <w:t>Table of Contents</w:t>
      </w:r>
    </w:p>
    <w:p w14:paraId="35577536" w14:textId="1560376D" w:rsidR="00A2598F" w:rsidRDefault="00A2598F">
      <w:pPr>
        <w:pStyle w:val="TOC1"/>
        <w:tabs>
          <w:tab w:val="right" w:leader="dot" w:pos="9350"/>
        </w:tabs>
        <w:rPr>
          <w:rFonts w:asciiTheme="minorHAnsi" w:eastAsiaTheme="minorEastAsia" w:hAnsiTheme="minorHAnsi"/>
          <w:noProof/>
          <w:lang w:val="en-US" w:bidi="si-LK"/>
        </w:rPr>
      </w:pPr>
      <w:r>
        <w:rPr>
          <w:b/>
          <w:bCs/>
          <w:sz w:val="28"/>
          <w:szCs w:val="28"/>
        </w:rPr>
        <w:fldChar w:fldCharType="begin"/>
      </w:r>
      <w:r>
        <w:rPr>
          <w:b/>
          <w:bCs/>
          <w:sz w:val="28"/>
          <w:szCs w:val="28"/>
        </w:rPr>
        <w:instrText xml:space="preserve"> TOC \o "1-4" \h \z \u </w:instrText>
      </w:r>
      <w:r>
        <w:rPr>
          <w:b/>
          <w:bCs/>
          <w:sz w:val="28"/>
          <w:szCs w:val="28"/>
        </w:rPr>
        <w:fldChar w:fldCharType="separate"/>
      </w:r>
      <w:hyperlink w:anchor="_Toc217290340" w:history="1">
        <w:r w:rsidRPr="00BC3E26">
          <w:rPr>
            <w:rStyle w:val="Hyperlink"/>
            <w:noProof/>
          </w:rPr>
          <w:t>Executive Summary</w:t>
        </w:r>
        <w:r>
          <w:rPr>
            <w:noProof/>
            <w:webHidden/>
          </w:rPr>
          <w:tab/>
        </w:r>
        <w:r>
          <w:rPr>
            <w:noProof/>
            <w:webHidden/>
          </w:rPr>
          <w:fldChar w:fldCharType="begin"/>
        </w:r>
        <w:r>
          <w:rPr>
            <w:noProof/>
            <w:webHidden/>
          </w:rPr>
          <w:instrText xml:space="preserve"> PAGEREF _Toc217290340 \h </w:instrText>
        </w:r>
        <w:r>
          <w:rPr>
            <w:noProof/>
            <w:webHidden/>
          </w:rPr>
        </w:r>
        <w:r>
          <w:rPr>
            <w:noProof/>
            <w:webHidden/>
          </w:rPr>
          <w:fldChar w:fldCharType="separate"/>
        </w:r>
        <w:r>
          <w:rPr>
            <w:noProof/>
            <w:webHidden/>
          </w:rPr>
          <w:t>2</w:t>
        </w:r>
        <w:r>
          <w:rPr>
            <w:noProof/>
            <w:webHidden/>
          </w:rPr>
          <w:fldChar w:fldCharType="end"/>
        </w:r>
      </w:hyperlink>
    </w:p>
    <w:p w14:paraId="7738680A" w14:textId="217397E8" w:rsidR="00A2598F" w:rsidRDefault="00A2598F">
      <w:pPr>
        <w:pStyle w:val="TOC1"/>
        <w:tabs>
          <w:tab w:val="right" w:leader="dot" w:pos="9350"/>
        </w:tabs>
        <w:rPr>
          <w:rFonts w:asciiTheme="minorHAnsi" w:eastAsiaTheme="minorEastAsia" w:hAnsiTheme="minorHAnsi"/>
          <w:noProof/>
          <w:lang w:val="en-US" w:bidi="si-LK"/>
        </w:rPr>
      </w:pPr>
      <w:hyperlink w:anchor="_Toc217290341" w:history="1">
        <w:r w:rsidRPr="00BC3E26">
          <w:rPr>
            <w:rStyle w:val="Hyperlink"/>
            <w:noProof/>
          </w:rPr>
          <w:t>1. Introduction &amp; Organisational Overview</w:t>
        </w:r>
        <w:r>
          <w:rPr>
            <w:noProof/>
            <w:webHidden/>
          </w:rPr>
          <w:tab/>
        </w:r>
        <w:r>
          <w:rPr>
            <w:noProof/>
            <w:webHidden/>
          </w:rPr>
          <w:fldChar w:fldCharType="begin"/>
        </w:r>
        <w:r>
          <w:rPr>
            <w:noProof/>
            <w:webHidden/>
          </w:rPr>
          <w:instrText xml:space="preserve"> PAGEREF _Toc217290341 \h </w:instrText>
        </w:r>
        <w:r>
          <w:rPr>
            <w:noProof/>
            <w:webHidden/>
          </w:rPr>
        </w:r>
        <w:r>
          <w:rPr>
            <w:noProof/>
            <w:webHidden/>
          </w:rPr>
          <w:fldChar w:fldCharType="separate"/>
        </w:r>
        <w:r>
          <w:rPr>
            <w:noProof/>
            <w:webHidden/>
          </w:rPr>
          <w:t>6</w:t>
        </w:r>
        <w:r>
          <w:rPr>
            <w:noProof/>
            <w:webHidden/>
          </w:rPr>
          <w:fldChar w:fldCharType="end"/>
        </w:r>
      </w:hyperlink>
    </w:p>
    <w:p w14:paraId="49FC3627" w14:textId="4F4DD499" w:rsidR="00A2598F" w:rsidRDefault="00A2598F">
      <w:pPr>
        <w:pStyle w:val="TOC2"/>
        <w:tabs>
          <w:tab w:val="right" w:leader="dot" w:pos="9350"/>
        </w:tabs>
        <w:rPr>
          <w:rFonts w:asciiTheme="minorHAnsi" w:eastAsiaTheme="minorEastAsia" w:hAnsiTheme="minorHAnsi"/>
          <w:noProof/>
          <w:lang w:val="en-US" w:bidi="si-LK"/>
        </w:rPr>
      </w:pPr>
      <w:hyperlink w:anchor="_Toc217290342" w:history="1">
        <w:r w:rsidRPr="00BC3E26">
          <w:rPr>
            <w:rStyle w:val="Hyperlink"/>
            <w:noProof/>
          </w:rPr>
          <w:t>1.1 Introduction</w:t>
        </w:r>
        <w:r>
          <w:rPr>
            <w:noProof/>
            <w:webHidden/>
          </w:rPr>
          <w:tab/>
        </w:r>
        <w:r>
          <w:rPr>
            <w:noProof/>
            <w:webHidden/>
          </w:rPr>
          <w:fldChar w:fldCharType="begin"/>
        </w:r>
        <w:r>
          <w:rPr>
            <w:noProof/>
            <w:webHidden/>
          </w:rPr>
          <w:instrText xml:space="preserve"> PAGEREF _Toc217290342 \h </w:instrText>
        </w:r>
        <w:r>
          <w:rPr>
            <w:noProof/>
            <w:webHidden/>
          </w:rPr>
        </w:r>
        <w:r>
          <w:rPr>
            <w:noProof/>
            <w:webHidden/>
          </w:rPr>
          <w:fldChar w:fldCharType="separate"/>
        </w:r>
        <w:r>
          <w:rPr>
            <w:noProof/>
            <w:webHidden/>
          </w:rPr>
          <w:t>6</w:t>
        </w:r>
        <w:r>
          <w:rPr>
            <w:noProof/>
            <w:webHidden/>
          </w:rPr>
          <w:fldChar w:fldCharType="end"/>
        </w:r>
      </w:hyperlink>
    </w:p>
    <w:p w14:paraId="6BB64D02" w14:textId="2D56D39F" w:rsidR="00A2598F" w:rsidRDefault="00A2598F">
      <w:pPr>
        <w:pStyle w:val="TOC2"/>
        <w:tabs>
          <w:tab w:val="right" w:leader="dot" w:pos="9350"/>
        </w:tabs>
        <w:rPr>
          <w:rFonts w:asciiTheme="minorHAnsi" w:eastAsiaTheme="minorEastAsia" w:hAnsiTheme="minorHAnsi"/>
          <w:noProof/>
          <w:lang w:val="en-US" w:bidi="si-LK"/>
        </w:rPr>
      </w:pPr>
      <w:hyperlink w:anchor="_Toc217290343" w:history="1">
        <w:r w:rsidRPr="00BC3E26">
          <w:rPr>
            <w:rStyle w:val="Hyperlink"/>
            <w:noProof/>
          </w:rPr>
          <w:t>1.2 Overview of Company-Nothing Mobile</w:t>
        </w:r>
        <w:r>
          <w:rPr>
            <w:noProof/>
            <w:webHidden/>
          </w:rPr>
          <w:tab/>
        </w:r>
        <w:r>
          <w:rPr>
            <w:noProof/>
            <w:webHidden/>
          </w:rPr>
          <w:fldChar w:fldCharType="begin"/>
        </w:r>
        <w:r>
          <w:rPr>
            <w:noProof/>
            <w:webHidden/>
          </w:rPr>
          <w:instrText xml:space="preserve"> PAGEREF _Toc217290343 \h </w:instrText>
        </w:r>
        <w:r>
          <w:rPr>
            <w:noProof/>
            <w:webHidden/>
          </w:rPr>
        </w:r>
        <w:r>
          <w:rPr>
            <w:noProof/>
            <w:webHidden/>
          </w:rPr>
          <w:fldChar w:fldCharType="separate"/>
        </w:r>
        <w:r>
          <w:rPr>
            <w:noProof/>
            <w:webHidden/>
          </w:rPr>
          <w:t>6</w:t>
        </w:r>
        <w:r>
          <w:rPr>
            <w:noProof/>
            <w:webHidden/>
          </w:rPr>
          <w:fldChar w:fldCharType="end"/>
        </w:r>
      </w:hyperlink>
    </w:p>
    <w:p w14:paraId="4BB53392" w14:textId="07DB37D9" w:rsidR="00A2598F" w:rsidRDefault="00A2598F">
      <w:pPr>
        <w:pStyle w:val="TOC2"/>
        <w:tabs>
          <w:tab w:val="right" w:leader="dot" w:pos="9350"/>
        </w:tabs>
        <w:rPr>
          <w:rFonts w:asciiTheme="minorHAnsi" w:eastAsiaTheme="minorEastAsia" w:hAnsiTheme="minorHAnsi"/>
          <w:noProof/>
          <w:lang w:val="en-US" w:bidi="si-LK"/>
        </w:rPr>
      </w:pPr>
      <w:hyperlink w:anchor="_Toc217290344" w:history="1">
        <w:r w:rsidRPr="00BC3E26">
          <w:rPr>
            <w:rStyle w:val="Hyperlink"/>
            <w:noProof/>
          </w:rPr>
          <w:t>1.3 Rationale for International Expansion</w:t>
        </w:r>
        <w:r>
          <w:rPr>
            <w:noProof/>
            <w:webHidden/>
          </w:rPr>
          <w:tab/>
        </w:r>
        <w:r>
          <w:rPr>
            <w:noProof/>
            <w:webHidden/>
          </w:rPr>
          <w:fldChar w:fldCharType="begin"/>
        </w:r>
        <w:r>
          <w:rPr>
            <w:noProof/>
            <w:webHidden/>
          </w:rPr>
          <w:instrText xml:space="preserve"> PAGEREF _Toc217290344 \h </w:instrText>
        </w:r>
        <w:r>
          <w:rPr>
            <w:noProof/>
            <w:webHidden/>
          </w:rPr>
        </w:r>
        <w:r>
          <w:rPr>
            <w:noProof/>
            <w:webHidden/>
          </w:rPr>
          <w:fldChar w:fldCharType="separate"/>
        </w:r>
        <w:r>
          <w:rPr>
            <w:noProof/>
            <w:webHidden/>
          </w:rPr>
          <w:t>7</w:t>
        </w:r>
        <w:r>
          <w:rPr>
            <w:noProof/>
            <w:webHidden/>
          </w:rPr>
          <w:fldChar w:fldCharType="end"/>
        </w:r>
      </w:hyperlink>
    </w:p>
    <w:p w14:paraId="01884CF9" w14:textId="3B6FBC4E" w:rsidR="00A2598F" w:rsidRDefault="00A2598F">
      <w:pPr>
        <w:pStyle w:val="TOC1"/>
        <w:tabs>
          <w:tab w:val="right" w:leader="dot" w:pos="9350"/>
        </w:tabs>
        <w:rPr>
          <w:rFonts w:asciiTheme="minorHAnsi" w:eastAsiaTheme="minorEastAsia" w:hAnsiTheme="minorHAnsi"/>
          <w:noProof/>
          <w:lang w:val="en-US" w:bidi="si-LK"/>
        </w:rPr>
      </w:pPr>
      <w:hyperlink w:anchor="_Toc217290345" w:history="1">
        <w:r w:rsidRPr="00BC3E26">
          <w:rPr>
            <w:rStyle w:val="Hyperlink"/>
            <w:noProof/>
          </w:rPr>
          <w:t>2. Selection of Organisation and Target Market</w:t>
        </w:r>
        <w:r>
          <w:rPr>
            <w:noProof/>
            <w:webHidden/>
          </w:rPr>
          <w:tab/>
        </w:r>
        <w:r>
          <w:rPr>
            <w:noProof/>
            <w:webHidden/>
          </w:rPr>
          <w:fldChar w:fldCharType="begin"/>
        </w:r>
        <w:r>
          <w:rPr>
            <w:noProof/>
            <w:webHidden/>
          </w:rPr>
          <w:instrText xml:space="preserve"> PAGEREF _Toc217290345 \h </w:instrText>
        </w:r>
        <w:r>
          <w:rPr>
            <w:noProof/>
            <w:webHidden/>
          </w:rPr>
        </w:r>
        <w:r>
          <w:rPr>
            <w:noProof/>
            <w:webHidden/>
          </w:rPr>
          <w:fldChar w:fldCharType="separate"/>
        </w:r>
        <w:r>
          <w:rPr>
            <w:noProof/>
            <w:webHidden/>
          </w:rPr>
          <w:t>9</w:t>
        </w:r>
        <w:r>
          <w:rPr>
            <w:noProof/>
            <w:webHidden/>
          </w:rPr>
          <w:fldChar w:fldCharType="end"/>
        </w:r>
      </w:hyperlink>
    </w:p>
    <w:p w14:paraId="64FD9345" w14:textId="02795F9D" w:rsidR="00A2598F" w:rsidRDefault="00A2598F">
      <w:pPr>
        <w:pStyle w:val="TOC2"/>
        <w:tabs>
          <w:tab w:val="right" w:leader="dot" w:pos="9350"/>
        </w:tabs>
        <w:rPr>
          <w:rFonts w:asciiTheme="minorHAnsi" w:eastAsiaTheme="minorEastAsia" w:hAnsiTheme="minorHAnsi"/>
          <w:noProof/>
          <w:lang w:val="en-US" w:bidi="si-LK"/>
        </w:rPr>
      </w:pPr>
      <w:hyperlink w:anchor="_Toc217290346" w:history="1">
        <w:r w:rsidRPr="00BC3E26">
          <w:rPr>
            <w:rStyle w:val="Hyperlink"/>
            <w:noProof/>
          </w:rPr>
          <w:t>2.1 Justification for Selecting Nothing Mobile</w:t>
        </w:r>
        <w:r>
          <w:rPr>
            <w:noProof/>
            <w:webHidden/>
          </w:rPr>
          <w:tab/>
        </w:r>
        <w:r>
          <w:rPr>
            <w:noProof/>
            <w:webHidden/>
          </w:rPr>
          <w:fldChar w:fldCharType="begin"/>
        </w:r>
        <w:r>
          <w:rPr>
            <w:noProof/>
            <w:webHidden/>
          </w:rPr>
          <w:instrText xml:space="preserve"> PAGEREF _Toc217290346 \h </w:instrText>
        </w:r>
        <w:r>
          <w:rPr>
            <w:noProof/>
            <w:webHidden/>
          </w:rPr>
        </w:r>
        <w:r>
          <w:rPr>
            <w:noProof/>
            <w:webHidden/>
          </w:rPr>
          <w:fldChar w:fldCharType="separate"/>
        </w:r>
        <w:r>
          <w:rPr>
            <w:noProof/>
            <w:webHidden/>
          </w:rPr>
          <w:t>9</w:t>
        </w:r>
        <w:r>
          <w:rPr>
            <w:noProof/>
            <w:webHidden/>
          </w:rPr>
          <w:fldChar w:fldCharType="end"/>
        </w:r>
      </w:hyperlink>
    </w:p>
    <w:p w14:paraId="6F079B5A" w14:textId="4303F6E8" w:rsidR="00A2598F" w:rsidRDefault="00A2598F">
      <w:pPr>
        <w:pStyle w:val="TOC2"/>
        <w:tabs>
          <w:tab w:val="right" w:leader="dot" w:pos="9350"/>
        </w:tabs>
        <w:rPr>
          <w:rFonts w:asciiTheme="minorHAnsi" w:eastAsiaTheme="minorEastAsia" w:hAnsiTheme="minorHAnsi"/>
          <w:noProof/>
          <w:lang w:val="en-US" w:bidi="si-LK"/>
        </w:rPr>
      </w:pPr>
      <w:hyperlink w:anchor="_Toc217290347" w:history="1">
        <w:r w:rsidRPr="00BC3E26">
          <w:rPr>
            <w:rStyle w:val="Hyperlink"/>
            <w:noProof/>
          </w:rPr>
          <w:t>2.2 Target Market Selection: United States</w:t>
        </w:r>
        <w:r>
          <w:rPr>
            <w:noProof/>
            <w:webHidden/>
          </w:rPr>
          <w:tab/>
        </w:r>
        <w:r>
          <w:rPr>
            <w:noProof/>
            <w:webHidden/>
          </w:rPr>
          <w:fldChar w:fldCharType="begin"/>
        </w:r>
        <w:r>
          <w:rPr>
            <w:noProof/>
            <w:webHidden/>
          </w:rPr>
          <w:instrText xml:space="preserve"> PAGEREF _Toc217290347 \h </w:instrText>
        </w:r>
        <w:r>
          <w:rPr>
            <w:noProof/>
            <w:webHidden/>
          </w:rPr>
        </w:r>
        <w:r>
          <w:rPr>
            <w:noProof/>
            <w:webHidden/>
          </w:rPr>
          <w:fldChar w:fldCharType="separate"/>
        </w:r>
        <w:r>
          <w:rPr>
            <w:noProof/>
            <w:webHidden/>
          </w:rPr>
          <w:t>11</w:t>
        </w:r>
        <w:r>
          <w:rPr>
            <w:noProof/>
            <w:webHidden/>
          </w:rPr>
          <w:fldChar w:fldCharType="end"/>
        </w:r>
      </w:hyperlink>
    </w:p>
    <w:p w14:paraId="11DFB679" w14:textId="1FEAD9AD" w:rsidR="00A2598F" w:rsidRDefault="00A2598F">
      <w:pPr>
        <w:pStyle w:val="TOC2"/>
        <w:tabs>
          <w:tab w:val="right" w:leader="dot" w:pos="9350"/>
        </w:tabs>
        <w:rPr>
          <w:rFonts w:asciiTheme="minorHAnsi" w:eastAsiaTheme="minorEastAsia" w:hAnsiTheme="minorHAnsi"/>
          <w:noProof/>
          <w:lang w:val="en-US" w:bidi="si-LK"/>
        </w:rPr>
      </w:pPr>
      <w:hyperlink w:anchor="_Toc217290348" w:history="1">
        <w:r w:rsidRPr="00BC3E26">
          <w:rPr>
            <w:rStyle w:val="Hyperlink"/>
            <w:noProof/>
          </w:rPr>
          <w:t>2.3 Strategic Fit Between Nothing and the US Market</w:t>
        </w:r>
        <w:r>
          <w:rPr>
            <w:noProof/>
            <w:webHidden/>
          </w:rPr>
          <w:tab/>
        </w:r>
        <w:r>
          <w:rPr>
            <w:noProof/>
            <w:webHidden/>
          </w:rPr>
          <w:fldChar w:fldCharType="begin"/>
        </w:r>
        <w:r>
          <w:rPr>
            <w:noProof/>
            <w:webHidden/>
          </w:rPr>
          <w:instrText xml:space="preserve"> PAGEREF _Toc217290348 \h </w:instrText>
        </w:r>
        <w:r>
          <w:rPr>
            <w:noProof/>
            <w:webHidden/>
          </w:rPr>
        </w:r>
        <w:r>
          <w:rPr>
            <w:noProof/>
            <w:webHidden/>
          </w:rPr>
          <w:fldChar w:fldCharType="separate"/>
        </w:r>
        <w:r>
          <w:rPr>
            <w:noProof/>
            <w:webHidden/>
          </w:rPr>
          <w:t>12</w:t>
        </w:r>
        <w:r>
          <w:rPr>
            <w:noProof/>
            <w:webHidden/>
          </w:rPr>
          <w:fldChar w:fldCharType="end"/>
        </w:r>
      </w:hyperlink>
    </w:p>
    <w:p w14:paraId="4E67ED4A" w14:textId="0F690113" w:rsidR="00A2598F" w:rsidRDefault="00A2598F">
      <w:pPr>
        <w:pStyle w:val="TOC1"/>
        <w:tabs>
          <w:tab w:val="right" w:leader="dot" w:pos="9350"/>
        </w:tabs>
        <w:rPr>
          <w:rFonts w:asciiTheme="minorHAnsi" w:eastAsiaTheme="minorEastAsia" w:hAnsiTheme="minorHAnsi"/>
          <w:noProof/>
          <w:lang w:val="en-US" w:bidi="si-LK"/>
        </w:rPr>
      </w:pPr>
      <w:hyperlink w:anchor="_Toc217290349" w:history="1">
        <w:r w:rsidRPr="00BC3E26">
          <w:rPr>
            <w:rStyle w:val="Hyperlink"/>
            <w:noProof/>
          </w:rPr>
          <w:t>3. Comprehensive Strategic Analysis</w:t>
        </w:r>
        <w:r>
          <w:rPr>
            <w:noProof/>
            <w:webHidden/>
          </w:rPr>
          <w:tab/>
        </w:r>
        <w:r>
          <w:rPr>
            <w:noProof/>
            <w:webHidden/>
          </w:rPr>
          <w:fldChar w:fldCharType="begin"/>
        </w:r>
        <w:r>
          <w:rPr>
            <w:noProof/>
            <w:webHidden/>
          </w:rPr>
          <w:instrText xml:space="preserve"> PAGEREF _Toc217290349 \h </w:instrText>
        </w:r>
        <w:r>
          <w:rPr>
            <w:noProof/>
            <w:webHidden/>
          </w:rPr>
        </w:r>
        <w:r>
          <w:rPr>
            <w:noProof/>
            <w:webHidden/>
          </w:rPr>
          <w:fldChar w:fldCharType="separate"/>
        </w:r>
        <w:r>
          <w:rPr>
            <w:noProof/>
            <w:webHidden/>
          </w:rPr>
          <w:t>14</w:t>
        </w:r>
        <w:r>
          <w:rPr>
            <w:noProof/>
            <w:webHidden/>
          </w:rPr>
          <w:fldChar w:fldCharType="end"/>
        </w:r>
      </w:hyperlink>
    </w:p>
    <w:p w14:paraId="0407059B" w14:textId="1C702325" w:rsidR="00A2598F" w:rsidRDefault="00A2598F">
      <w:pPr>
        <w:pStyle w:val="TOC2"/>
        <w:tabs>
          <w:tab w:val="right" w:leader="dot" w:pos="9350"/>
        </w:tabs>
        <w:rPr>
          <w:rFonts w:asciiTheme="minorHAnsi" w:eastAsiaTheme="minorEastAsia" w:hAnsiTheme="minorHAnsi"/>
          <w:noProof/>
          <w:lang w:val="en-US" w:bidi="si-LK"/>
        </w:rPr>
      </w:pPr>
      <w:hyperlink w:anchor="_Toc217290350" w:history="1">
        <w:r w:rsidRPr="00BC3E26">
          <w:rPr>
            <w:rStyle w:val="Hyperlink"/>
            <w:noProof/>
          </w:rPr>
          <w:t>3.1 Macro-Environmental Analysis (PESTLE)</w:t>
        </w:r>
        <w:r>
          <w:rPr>
            <w:noProof/>
            <w:webHidden/>
          </w:rPr>
          <w:tab/>
        </w:r>
        <w:r>
          <w:rPr>
            <w:noProof/>
            <w:webHidden/>
          </w:rPr>
          <w:fldChar w:fldCharType="begin"/>
        </w:r>
        <w:r>
          <w:rPr>
            <w:noProof/>
            <w:webHidden/>
          </w:rPr>
          <w:instrText xml:space="preserve"> PAGEREF _Toc217290350 \h </w:instrText>
        </w:r>
        <w:r>
          <w:rPr>
            <w:noProof/>
            <w:webHidden/>
          </w:rPr>
        </w:r>
        <w:r>
          <w:rPr>
            <w:noProof/>
            <w:webHidden/>
          </w:rPr>
          <w:fldChar w:fldCharType="separate"/>
        </w:r>
        <w:r>
          <w:rPr>
            <w:noProof/>
            <w:webHidden/>
          </w:rPr>
          <w:t>14</w:t>
        </w:r>
        <w:r>
          <w:rPr>
            <w:noProof/>
            <w:webHidden/>
          </w:rPr>
          <w:fldChar w:fldCharType="end"/>
        </w:r>
      </w:hyperlink>
    </w:p>
    <w:p w14:paraId="1C6EB6FF" w14:textId="64C6BD6C" w:rsidR="00A2598F" w:rsidRDefault="00A2598F">
      <w:pPr>
        <w:pStyle w:val="TOC3"/>
        <w:tabs>
          <w:tab w:val="right" w:leader="dot" w:pos="9350"/>
        </w:tabs>
        <w:rPr>
          <w:rFonts w:asciiTheme="minorHAnsi" w:eastAsiaTheme="minorEastAsia" w:hAnsiTheme="minorHAnsi"/>
          <w:noProof/>
          <w:lang w:val="en-US" w:bidi="si-LK"/>
        </w:rPr>
      </w:pPr>
      <w:hyperlink w:anchor="_Toc217290351" w:history="1">
        <w:r w:rsidRPr="00BC3E26">
          <w:rPr>
            <w:rStyle w:val="Hyperlink"/>
            <w:noProof/>
          </w:rPr>
          <w:t>3.1.1. Political Factors</w:t>
        </w:r>
        <w:r>
          <w:rPr>
            <w:noProof/>
            <w:webHidden/>
          </w:rPr>
          <w:tab/>
        </w:r>
        <w:r>
          <w:rPr>
            <w:noProof/>
            <w:webHidden/>
          </w:rPr>
          <w:fldChar w:fldCharType="begin"/>
        </w:r>
        <w:r>
          <w:rPr>
            <w:noProof/>
            <w:webHidden/>
          </w:rPr>
          <w:instrText xml:space="preserve"> PAGEREF _Toc217290351 \h </w:instrText>
        </w:r>
        <w:r>
          <w:rPr>
            <w:noProof/>
            <w:webHidden/>
          </w:rPr>
        </w:r>
        <w:r>
          <w:rPr>
            <w:noProof/>
            <w:webHidden/>
          </w:rPr>
          <w:fldChar w:fldCharType="separate"/>
        </w:r>
        <w:r>
          <w:rPr>
            <w:noProof/>
            <w:webHidden/>
          </w:rPr>
          <w:t>16</w:t>
        </w:r>
        <w:r>
          <w:rPr>
            <w:noProof/>
            <w:webHidden/>
          </w:rPr>
          <w:fldChar w:fldCharType="end"/>
        </w:r>
      </w:hyperlink>
    </w:p>
    <w:p w14:paraId="5E6F0424" w14:textId="25DAB725" w:rsidR="00A2598F" w:rsidRDefault="00A2598F">
      <w:pPr>
        <w:pStyle w:val="TOC3"/>
        <w:tabs>
          <w:tab w:val="right" w:leader="dot" w:pos="9350"/>
        </w:tabs>
        <w:rPr>
          <w:rFonts w:asciiTheme="minorHAnsi" w:eastAsiaTheme="minorEastAsia" w:hAnsiTheme="minorHAnsi"/>
          <w:noProof/>
          <w:lang w:val="en-US" w:bidi="si-LK"/>
        </w:rPr>
      </w:pPr>
      <w:hyperlink w:anchor="_Toc217290352" w:history="1">
        <w:r w:rsidRPr="00BC3E26">
          <w:rPr>
            <w:rStyle w:val="Hyperlink"/>
            <w:noProof/>
          </w:rPr>
          <w:t>3.1.2. Economic Factors</w:t>
        </w:r>
        <w:r>
          <w:rPr>
            <w:noProof/>
            <w:webHidden/>
          </w:rPr>
          <w:tab/>
        </w:r>
        <w:r>
          <w:rPr>
            <w:noProof/>
            <w:webHidden/>
          </w:rPr>
          <w:fldChar w:fldCharType="begin"/>
        </w:r>
        <w:r>
          <w:rPr>
            <w:noProof/>
            <w:webHidden/>
          </w:rPr>
          <w:instrText xml:space="preserve"> PAGEREF _Toc217290352 \h </w:instrText>
        </w:r>
        <w:r>
          <w:rPr>
            <w:noProof/>
            <w:webHidden/>
          </w:rPr>
        </w:r>
        <w:r>
          <w:rPr>
            <w:noProof/>
            <w:webHidden/>
          </w:rPr>
          <w:fldChar w:fldCharType="separate"/>
        </w:r>
        <w:r>
          <w:rPr>
            <w:noProof/>
            <w:webHidden/>
          </w:rPr>
          <w:t>17</w:t>
        </w:r>
        <w:r>
          <w:rPr>
            <w:noProof/>
            <w:webHidden/>
          </w:rPr>
          <w:fldChar w:fldCharType="end"/>
        </w:r>
      </w:hyperlink>
    </w:p>
    <w:p w14:paraId="63FEB90F" w14:textId="66625E49" w:rsidR="00A2598F" w:rsidRDefault="00A2598F">
      <w:pPr>
        <w:pStyle w:val="TOC3"/>
        <w:tabs>
          <w:tab w:val="right" w:leader="dot" w:pos="9350"/>
        </w:tabs>
        <w:rPr>
          <w:rFonts w:asciiTheme="minorHAnsi" w:eastAsiaTheme="minorEastAsia" w:hAnsiTheme="minorHAnsi"/>
          <w:noProof/>
          <w:lang w:val="en-US" w:bidi="si-LK"/>
        </w:rPr>
      </w:pPr>
      <w:hyperlink w:anchor="_Toc217290353" w:history="1">
        <w:r w:rsidRPr="00BC3E26">
          <w:rPr>
            <w:rStyle w:val="Hyperlink"/>
            <w:noProof/>
          </w:rPr>
          <w:t>3.1.3. Social Factors</w:t>
        </w:r>
        <w:r>
          <w:rPr>
            <w:noProof/>
            <w:webHidden/>
          </w:rPr>
          <w:tab/>
        </w:r>
        <w:r>
          <w:rPr>
            <w:noProof/>
            <w:webHidden/>
          </w:rPr>
          <w:fldChar w:fldCharType="begin"/>
        </w:r>
        <w:r>
          <w:rPr>
            <w:noProof/>
            <w:webHidden/>
          </w:rPr>
          <w:instrText xml:space="preserve"> PAGEREF _Toc217290353 \h </w:instrText>
        </w:r>
        <w:r>
          <w:rPr>
            <w:noProof/>
            <w:webHidden/>
          </w:rPr>
        </w:r>
        <w:r>
          <w:rPr>
            <w:noProof/>
            <w:webHidden/>
          </w:rPr>
          <w:fldChar w:fldCharType="separate"/>
        </w:r>
        <w:r>
          <w:rPr>
            <w:noProof/>
            <w:webHidden/>
          </w:rPr>
          <w:t>17</w:t>
        </w:r>
        <w:r>
          <w:rPr>
            <w:noProof/>
            <w:webHidden/>
          </w:rPr>
          <w:fldChar w:fldCharType="end"/>
        </w:r>
      </w:hyperlink>
    </w:p>
    <w:p w14:paraId="3E0E6870" w14:textId="1F87E928" w:rsidR="00A2598F" w:rsidRDefault="00A2598F">
      <w:pPr>
        <w:pStyle w:val="TOC3"/>
        <w:tabs>
          <w:tab w:val="right" w:leader="dot" w:pos="9350"/>
        </w:tabs>
        <w:rPr>
          <w:rFonts w:asciiTheme="minorHAnsi" w:eastAsiaTheme="minorEastAsia" w:hAnsiTheme="minorHAnsi"/>
          <w:noProof/>
          <w:lang w:val="en-US" w:bidi="si-LK"/>
        </w:rPr>
      </w:pPr>
      <w:hyperlink w:anchor="_Toc217290354" w:history="1">
        <w:r w:rsidRPr="00BC3E26">
          <w:rPr>
            <w:rStyle w:val="Hyperlink"/>
            <w:noProof/>
          </w:rPr>
          <w:t>3.1.4. Technological Factors</w:t>
        </w:r>
        <w:r>
          <w:rPr>
            <w:noProof/>
            <w:webHidden/>
          </w:rPr>
          <w:tab/>
        </w:r>
        <w:r>
          <w:rPr>
            <w:noProof/>
            <w:webHidden/>
          </w:rPr>
          <w:fldChar w:fldCharType="begin"/>
        </w:r>
        <w:r>
          <w:rPr>
            <w:noProof/>
            <w:webHidden/>
          </w:rPr>
          <w:instrText xml:space="preserve"> PAGEREF _Toc217290354 \h </w:instrText>
        </w:r>
        <w:r>
          <w:rPr>
            <w:noProof/>
            <w:webHidden/>
          </w:rPr>
        </w:r>
        <w:r>
          <w:rPr>
            <w:noProof/>
            <w:webHidden/>
          </w:rPr>
          <w:fldChar w:fldCharType="separate"/>
        </w:r>
        <w:r>
          <w:rPr>
            <w:noProof/>
            <w:webHidden/>
          </w:rPr>
          <w:t>18</w:t>
        </w:r>
        <w:r>
          <w:rPr>
            <w:noProof/>
            <w:webHidden/>
          </w:rPr>
          <w:fldChar w:fldCharType="end"/>
        </w:r>
      </w:hyperlink>
    </w:p>
    <w:p w14:paraId="49C9716B" w14:textId="29298071" w:rsidR="00A2598F" w:rsidRDefault="00A2598F">
      <w:pPr>
        <w:pStyle w:val="TOC3"/>
        <w:tabs>
          <w:tab w:val="right" w:leader="dot" w:pos="9350"/>
        </w:tabs>
        <w:rPr>
          <w:rFonts w:asciiTheme="minorHAnsi" w:eastAsiaTheme="minorEastAsia" w:hAnsiTheme="minorHAnsi"/>
          <w:noProof/>
          <w:lang w:val="en-US" w:bidi="si-LK"/>
        </w:rPr>
      </w:pPr>
      <w:hyperlink w:anchor="_Toc217290355" w:history="1">
        <w:r w:rsidRPr="00BC3E26">
          <w:rPr>
            <w:rStyle w:val="Hyperlink"/>
            <w:noProof/>
          </w:rPr>
          <w:t>3.1.5. Legal Factors</w:t>
        </w:r>
        <w:r>
          <w:rPr>
            <w:noProof/>
            <w:webHidden/>
          </w:rPr>
          <w:tab/>
        </w:r>
        <w:r>
          <w:rPr>
            <w:noProof/>
            <w:webHidden/>
          </w:rPr>
          <w:fldChar w:fldCharType="begin"/>
        </w:r>
        <w:r>
          <w:rPr>
            <w:noProof/>
            <w:webHidden/>
          </w:rPr>
          <w:instrText xml:space="preserve"> PAGEREF _Toc217290355 \h </w:instrText>
        </w:r>
        <w:r>
          <w:rPr>
            <w:noProof/>
            <w:webHidden/>
          </w:rPr>
        </w:r>
        <w:r>
          <w:rPr>
            <w:noProof/>
            <w:webHidden/>
          </w:rPr>
          <w:fldChar w:fldCharType="separate"/>
        </w:r>
        <w:r>
          <w:rPr>
            <w:noProof/>
            <w:webHidden/>
          </w:rPr>
          <w:t>19</w:t>
        </w:r>
        <w:r>
          <w:rPr>
            <w:noProof/>
            <w:webHidden/>
          </w:rPr>
          <w:fldChar w:fldCharType="end"/>
        </w:r>
      </w:hyperlink>
    </w:p>
    <w:p w14:paraId="501102D1" w14:textId="517EF5C6" w:rsidR="00A2598F" w:rsidRDefault="00A2598F">
      <w:pPr>
        <w:pStyle w:val="TOC3"/>
        <w:tabs>
          <w:tab w:val="right" w:leader="dot" w:pos="9350"/>
        </w:tabs>
        <w:rPr>
          <w:rFonts w:asciiTheme="minorHAnsi" w:eastAsiaTheme="minorEastAsia" w:hAnsiTheme="minorHAnsi"/>
          <w:noProof/>
          <w:lang w:val="en-US" w:bidi="si-LK"/>
        </w:rPr>
      </w:pPr>
      <w:hyperlink w:anchor="_Toc217290356" w:history="1">
        <w:r w:rsidRPr="00BC3E26">
          <w:rPr>
            <w:rStyle w:val="Hyperlink"/>
            <w:noProof/>
          </w:rPr>
          <w:t>3.1.6. Environmental Factors</w:t>
        </w:r>
        <w:r>
          <w:rPr>
            <w:noProof/>
            <w:webHidden/>
          </w:rPr>
          <w:tab/>
        </w:r>
        <w:r>
          <w:rPr>
            <w:noProof/>
            <w:webHidden/>
          </w:rPr>
          <w:fldChar w:fldCharType="begin"/>
        </w:r>
        <w:r>
          <w:rPr>
            <w:noProof/>
            <w:webHidden/>
          </w:rPr>
          <w:instrText xml:space="preserve"> PAGEREF _Toc217290356 \h </w:instrText>
        </w:r>
        <w:r>
          <w:rPr>
            <w:noProof/>
            <w:webHidden/>
          </w:rPr>
        </w:r>
        <w:r>
          <w:rPr>
            <w:noProof/>
            <w:webHidden/>
          </w:rPr>
          <w:fldChar w:fldCharType="separate"/>
        </w:r>
        <w:r>
          <w:rPr>
            <w:noProof/>
            <w:webHidden/>
          </w:rPr>
          <w:t>19</w:t>
        </w:r>
        <w:r>
          <w:rPr>
            <w:noProof/>
            <w:webHidden/>
          </w:rPr>
          <w:fldChar w:fldCharType="end"/>
        </w:r>
      </w:hyperlink>
    </w:p>
    <w:p w14:paraId="37A5E9D0" w14:textId="4B6E6ACD" w:rsidR="00A2598F" w:rsidRDefault="00A2598F">
      <w:pPr>
        <w:pStyle w:val="TOC3"/>
        <w:tabs>
          <w:tab w:val="right" w:leader="dot" w:pos="9350"/>
        </w:tabs>
        <w:rPr>
          <w:rFonts w:asciiTheme="minorHAnsi" w:eastAsiaTheme="minorEastAsia" w:hAnsiTheme="minorHAnsi"/>
          <w:noProof/>
          <w:lang w:val="en-US" w:bidi="si-LK"/>
        </w:rPr>
      </w:pPr>
      <w:hyperlink w:anchor="_Toc217290357" w:history="1">
        <w:r w:rsidRPr="00BC3E26">
          <w:rPr>
            <w:rStyle w:val="Hyperlink"/>
            <w:noProof/>
          </w:rPr>
          <w:t>3.1.7. Critical Evaluation of PESTLE</w:t>
        </w:r>
        <w:r>
          <w:rPr>
            <w:noProof/>
            <w:webHidden/>
          </w:rPr>
          <w:tab/>
        </w:r>
        <w:r>
          <w:rPr>
            <w:noProof/>
            <w:webHidden/>
          </w:rPr>
          <w:fldChar w:fldCharType="begin"/>
        </w:r>
        <w:r>
          <w:rPr>
            <w:noProof/>
            <w:webHidden/>
          </w:rPr>
          <w:instrText xml:space="preserve"> PAGEREF _Toc217290357 \h </w:instrText>
        </w:r>
        <w:r>
          <w:rPr>
            <w:noProof/>
            <w:webHidden/>
          </w:rPr>
        </w:r>
        <w:r>
          <w:rPr>
            <w:noProof/>
            <w:webHidden/>
          </w:rPr>
          <w:fldChar w:fldCharType="separate"/>
        </w:r>
        <w:r>
          <w:rPr>
            <w:noProof/>
            <w:webHidden/>
          </w:rPr>
          <w:t>20</w:t>
        </w:r>
        <w:r>
          <w:rPr>
            <w:noProof/>
            <w:webHidden/>
          </w:rPr>
          <w:fldChar w:fldCharType="end"/>
        </w:r>
      </w:hyperlink>
    </w:p>
    <w:p w14:paraId="73079AE3" w14:textId="434A4CBB" w:rsidR="00A2598F" w:rsidRDefault="00A2598F">
      <w:pPr>
        <w:pStyle w:val="TOC2"/>
        <w:tabs>
          <w:tab w:val="right" w:leader="dot" w:pos="9350"/>
        </w:tabs>
        <w:rPr>
          <w:rFonts w:asciiTheme="minorHAnsi" w:eastAsiaTheme="minorEastAsia" w:hAnsiTheme="minorHAnsi"/>
          <w:noProof/>
          <w:lang w:val="en-US" w:bidi="si-LK"/>
        </w:rPr>
      </w:pPr>
      <w:hyperlink w:anchor="_Toc217290358" w:history="1">
        <w:r w:rsidRPr="00BC3E26">
          <w:rPr>
            <w:rStyle w:val="Hyperlink"/>
            <w:noProof/>
          </w:rPr>
          <w:t>3.2. Industry &amp; Competitive Analysis</w:t>
        </w:r>
        <w:r>
          <w:rPr>
            <w:noProof/>
            <w:webHidden/>
          </w:rPr>
          <w:tab/>
        </w:r>
        <w:r>
          <w:rPr>
            <w:noProof/>
            <w:webHidden/>
          </w:rPr>
          <w:fldChar w:fldCharType="begin"/>
        </w:r>
        <w:r>
          <w:rPr>
            <w:noProof/>
            <w:webHidden/>
          </w:rPr>
          <w:instrText xml:space="preserve"> PAGEREF _Toc217290358 \h </w:instrText>
        </w:r>
        <w:r>
          <w:rPr>
            <w:noProof/>
            <w:webHidden/>
          </w:rPr>
        </w:r>
        <w:r>
          <w:rPr>
            <w:noProof/>
            <w:webHidden/>
          </w:rPr>
          <w:fldChar w:fldCharType="separate"/>
        </w:r>
        <w:r>
          <w:rPr>
            <w:noProof/>
            <w:webHidden/>
          </w:rPr>
          <w:t>20</w:t>
        </w:r>
        <w:r>
          <w:rPr>
            <w:noProof/>
            <w:webHidden/>
          </w:rPr>
          <w:fldChar w:fldCharType="end"/>
        </w:r>
      </w:hyperlink>
    </w:p>
    <w:p w14:paraId="05CDFDDD" w14:textId="6B252867" w:rsidR="00A2598F" w:rsidRDefault="00A2598F">
      <w:pPr>
        <w:pStyle w:val="TOC3"/>
        <w:tabs>
          <w:tab w:val="right" w:leader="dot" w:pos="9350"/>
        </w:tabs>
        <w:rPr>
          <w:rFonts w:asciiTheme="minorHAnsi" w:eastAsiaTheme="minorEastAsia" w:hAnsiTheme="minorHAnsi"/>
          <w:noProof/>
          <w:lang w:val="en-US" w:bidi="si-LK"/>
        </w:rPr>
      </w:pPr>
      <w:hyperlink w:anchor="_Toc217290359" w:history="1">
        <w:r w:rsidRPr="00BC3E26">
          <w:rPr>
            <w:rStyle w:val="Hyperlink"/>
            <w:noProof/>
          </w:rPr>
          <w:t>3.2.1 Porter’s Five Forces</w:t>
        </w:r>
        <w:r>
          <w:rPr>
            <w:noProof/>
            <w:webHidden/>
          </w:rPr>
          <w:tab/>
        </w:r>
        <w:r>
          <w:rPr>
            <w:noProof/>
            <w:webHidden/>
          </w:rPr>
          <w:fldChar w:fldCharType="begin"/>
        </w:r>
        <w:r>
          <w:rPr>
            <w:noProof/>
            <w:webHidden/>
          </w:rPr>
          <w:instrText xml:space="preserve"> PAGEREF _Toc217290359 \h </w:instrText>
        </w:r>
        <w:r>
          <w:rPr>
            <w:noProof/>
            <w:webHidden/>
          </w:rPr>
        </w:r>
        <w:r>
          <w:rPr>
            <w:noProof/>
            <w:webHidden/>
          </w:rPr>
          <w:fldChar w:fldCharType="separate"/>
        </w:r>
        <w:r>
          <w:rPr>
            <w:noProof/>
            <w:webHidden/>
          </w:rPr>
          <w:t>20</w:t>
        </w:r>
        <w:r>
          <w:rPr>
            <w:noProof/>
            <w:webHidden/>
          </w:rPr>
          <w:fldChar w:fldCharType="end"/>
        </w:r>
      </w:hyperlink>
    </w:p>
    <w:p w14:paraId="4A90C374" w14:textId="1422FB07" w:rsidR="00A2598F" w:rsidRDefault="00A2598F">
      <w:pPr>
        <w:pStyle w:val="TOC3"/>
        <w:tabs>
          <w:tab w:val="right" w:leader="dot" w:pos="9350"/>
        </w:tabs>
        <w:rPr>
          <w:rFonts w:asciiTheme="minorHAnsi" w:eastAsiaTheme="minorEastAsia" w:hAnsiTheme="minorHAnsi"/>
          <w:noProof/>
          <w:lang w:val="en-US" w:bidi="si-LK"/>
        </w:rPr>
      </w:pPr>
      <w:hyperlink w:anchor="_Toc217290360" w:history="1">
        <w:r w:rsidRPr="00BC3E26">
          <w:rPr>
            <w:rStyle w:val="Hyperlink"/>
            <w:noProof/>
          </w:rPr>
          <w:t>3.2.2 Strategic Group Mapping</w:t>
        </w:r>
        <w:r>
          <w:rPr>
            <w:noProof/>
            <w:webHidden/>
          </w:rPr>
          <w:tab/>
        </w:r>
        <w:r>
          <w:rPr>
            <w:noProof/>
            <w:webHidden/>
          </w:rPr>
          <w:fldChar w:fldCharType="begin"/>
        </w:r>
        <w:r>
          <w:rPr>
            <w:noProof/>
            <w:webHidden/>
          </w:rPr>
          <w:instrText xml:space="preserve"> PAGEREF _Toc217290360 \h </w:instrText>
        </w:r>
        <w:r>
          <w:rPr>
            <w:noProof/>
            <w:webHidden/>
          </w:rPr>
        </w:r>
        <w:r>
          <w:rPr>
            <w:noProof/>
            <w:webHidden/>
          </w:rPr>
          <w:fldChar w:fldCharType="separate"/>
        </w:r>
        <w:r>
          <w:rPr>
            <w:noProof/>
            <w:webHidden/>
          </w:rPr>
          <w:t>22</w:t>
        </w:r>
        <w:r>
          <w:rPr>
            <w:noProof/>
            <w:webHidden/>
          </w:rPr>
          <w:fldChar w:fldCharType="end"/>
        </w:r>
      </w:hyperlink>
    </w:p>
    <w:p w14:paraId="2EA70D83" w14:textId="5FC89634" w:rsidR="00A2598F" w:rsidRDefault="00A2598F">
      <w:pPr>
        <w:pStyle w:val="TOC3"/>
        <w:tabs>
          <w:tab w:val="right" w:leader="dot" w:pos="9350"/>
        </w:tabs>
        <w:rPr>
          <w:rFonts w:asciiTheme="minorHAnsi" w:eastAsiaTheme="minorEastAsia" w:hAnsiTheme="minorHAnsi"/>
          <w:noProof/>
          <w:lang w:val="en-US" w:bidi="si-LK"/>
        </w:rPr>
      </w:pPr>
      <w:hyperlink w:anchor="_Toc217290361" w:history="1">
        <w:r w:rsidRPr="00BC3E26">
          <w:rPr>
            <w:rStyle w:val="Hyperlink"/>
            <w:noProof/>
          </w:rPr>
          <w:t>3.2.3 Critical Evaluation of Porter’s Five Forces</w:t>
        </w:r>
        <w:r>
          <w:rPr>
            <w:noProof/>
            <w:webHidden/>
          </w:rPr>
          <w:tab/>
        </w:r>
        <w:r>
          <w:rPr>
            <w:noProof/>
            <w:webHidden/>
          </w:rPr>
          <w:fldChar w:fldCharType="begin"/>
        </w:r>
        <w:r>
          <w:rPr>
            <w:noProof/>
            <w:webHidden/>
          </w:rPr>
          <w:instrText xml:space="preserve"> PAGEREF _Toc217290361 \h </w:instrText>
        </w:r>
        <w:r>
          <w:rPr>
            <w:noProof/>
            <w:webHidden/>
          </w:rPr>
        </w:r>
        <w:r>
          <w:rPr>
            <w:noProof/>
            <w:webHidden/>
          </w:rPr>
          <w:fldChar w:fldCharType="separate"/>
        </w:r>
        <w:r>
          <w:rPr>
            <w:noProof/>
            <w:webHidden/>
          </w:rPr>
          <w:t>23</w:t>
        </w:r>
        <w:r>
          <w:rPr>
            <w:noProof/>
            <w:webHidden/>
          </w:rPr>
          <w:fldChar w:fldCharType="end"/>
        </w:r>
      </w:hyperlink>
    </w:p>
    <w:p w14:paraId="59BE224C" w14:textId="3B49E2EB" w:rsidR="00A2598F" w:rsidRDefault="00A2598F">
      <w:pPr>
        <w:pStyle w:val="TOC2"/>
        <w:tabs>
          <w:tab w:val="right" w:leader="dot" w:pos="9350"/>
        </w:tabs>
        <w:rPr>
          <w:rFonts w:asciiTheme="minorHAnsi" w:eastAsiaTheme="minorEastAsia" w:hAnsiTheme="minorHAnsi"/>
          <w:noProof/>
          <w:lang w:val="en-US" w:bidi="si-LK"/>
        </w:rPr>
      </w:pPr>
      <w:hyperlink w:anchor="_Toc217290362" w:history="1">
        <w:r w:rsidRPr="00BC3E26">
          <w:rPr>
            <w:rStyle w:val="Hyperlink"/>
            <w:noProof/>
          </w:rPr>
          <w:t>3.3 Internal Strategic Capability Analysis</w:t>
        </w:r>
        <w:r>
          <w:rPr>
            <w:noProof/>
            <w:webHidden/>
          </w:rPr>
          <w:tab/>
        </w:r>
        <w:r>
          <w:rPr>
            <w:noProof/>
            <w:webHidden/>
          </w:rPr>
          <w:fldChar w:fldCharType="begin"/>
        </w:r>
        <w:r>
          <w:rPr>
            <w:noProof/>
            <w:webHidden/>
          </w:rPr>
          <w:instrText xml:space="preserve"> PAGEREF _Toc217290362 \h </w:instrText>
        </w:r>
        <w:r>
          <w:rPr>
            <w:noProof/>
            <w:webHidden/>
          </w:rPr>
        </w:r>
        <w:r>
          <w:rPr>
            <w:noProof/>
            <w:webHidden/>
          </w:rPr>
          <w:fldChar w:fldCharType="separate"/>
        </w:r>
        <w:r>
          <w:rPr>
            <w:noProof/>
            <w:webHidden/>
          </w:rPr>
          <w:t>23</w:t>
        </w:r>
        <w:r>
          <w:rPr>
            <w:noProof/>
            <w:webHidden/>
          </w:rPr>
          <w:fldChar w:fldCharType="end"/>
        </w:r>
      </w:hyperlink>
    </w:p>
    <w:p w14:paraId="6E3690ED" w14:textId="56211A73" w:rsidR="00A2598F" w:rsidRDefault="00A2598F">
      <w:pPr>
        <w:pStyle w:val="TOC1"/>
        <w:tabs>
          <w:tab w:val="right" w:leader="dot" w:pos="9350"/>
        </w:tabs>
        <w:rPr>
          <w:rFonts w:asciiTheme="minorHAnsi" w:eastAsiaTheme="minorEastAsia" w:hAnsiTheme="minorHAnsi"/>
          <w:noProof/>
          <w:lang w:val="en-US" w:bidi="si-LK"/>
        </w:rPr>
      </w:pPr>
      <w:hyperlink w:anchor="_Toc217290363" w:history="1">
        <w:r w:rsidRPr="00BC3E26">
          <w:rPr>
            <w:rStyle w:val="Hyperlink"/>
            <w:noProof/>
          </w:rPr>
          <w:t>4. Strategy Development and Formulation</w:t>
        </w:r>
        <w:r>
          <w:rPr>
            <w:noProof/>
            <w:webHidden/>
          </w:rPr>
          <w:tab/>
        </w:r>
        <w:r>
          <w:rPr>
            <w:noProof/>
            <w:webHidden/>
          </w:rPr>
          <w:fldChar w:fldCharType="begin"/>
        </w:r>
        <w:r>
          <w:rPr>
            <w:noProof/>
            <w:webHidden/>
          </w:rPr>
          <w:instrText xml:space="preserve"> PAGEREF _Toc217290363 \h </w:instrText>
        </w:r>
        <w:r>
          <w:rPr>
            <w:noProof/>
            <w:webHidden/>
          </w:rPr>
        </w:r>
        <w:r>
          <w:rPr>
            <w:noProof/>
            <w:webHidden/>
          </w:rPr>
          <w:fldChar w:fldCharType="separate"/>
        </w:r>
        <w:r>
          <w:rPr>
            <w:noProof/>
            <w:webHidden/>
          </w:rPr>
          <w:t>25</w:t>
        </w:r>
        <w:r>
          <w:rPr>
            <w:noProof/>
            <w:webHidden/>
          </w:rPr>
          <w:fldChar w:fldCharType="end"/>
        </w:r>
      </w:hyperlink>
    </w:p>
    <w:p w14:paraId="3E62D3B3" w14:textId="6536C959" w:rsidR="00A2598F" w:rsidRDefault="00A2598F">
      <w:pPr>
        <w:pStyle w:val="TOC2"/>
        <w:tabs>
          <w:tab w:val="right" w:leader="dot" w:pos="9350"/>
        </w:tabs>
        <w:rPr>
          <w:rFonts w:asciiTheme="minorHAnsi" w:eastAsiaTheme="minorEastAsia" w:hAnsiTheme="minorHAnsi"/>
          <w:noProof/>
          <w:lang w:val="en-US" w:bidi="si-LK"/>
        </w:rPr>
      </w:pPr>
      <w:hyperlink w:anchor="_Toc217290364" w:history="1">
        <w:r w:rsidRPr="00BC3E26">
          <w:rPr>
            <w:rStyle w:val="Hyperlink"/>
            <w:noProof/>
          </w:rPr>
          <w:t>4.1 Strategic Objectives of US Expansion</w:t>
        </w:r>
        <w:r>
          <w:rPr>
            <w:noProof/>
            <w:webHidden/>
          </w:rPr>
          <w:tab/>
        </w:r>
        <w:r>
          <w:rPr>
            <w:noProof/>
            <w:webHidden/>
          </w:rPr>
          <w:fldChar w:fldCharType="begin"/>
        </w:r>
        <w:r>
          <w:rPr>
            <w:noProof/>
            <w:webHidden/>
          </w:rPr>
          <w:instrText xml:space="preserve"> PAGEREF _Toc217290364 \h </w:instrText>
        </w:r>
        <w:r>
          <w:rPr>
            <w:noProof/>
            <w:webHidden/>
          </w:rPr>
        </w:r>
        <w:r>
          <w:rPr>
            <w:noProof/>
            <w:webHidden/>
          </w:rPr>
          <w:fldChar w:fldCharType="separate"/>
        </w:r>
        <w:r>
          <w:rPr>
            <w:noProof/>
            <w:webHidden/>
          </w:rPr>
          <w:t>25</w:t>
        </w:r>
        <w:r>
          <w:rPr>
            <w:noProof/>
            <w:webHidden/>
          </w:rPr>
          <w:fldChar w:fldCharType="end"/>
        </w:r>
      </w:hyperlink>
    </w:p>
    <w:p w14:paraId="706060C0" w14:textId="3CC894FD" w:rsidR="00A2598F" w:rsidRDefault="00A2598F">
      <w:pPr>
        <w:pStyle w:val="TOC2"/>
        <w:tabs>
          <w:tab w:val="right" w:leader="dot" w:pos="9350"/>
        </w:tabs>
        <w:rPr>
          <w:rFonts w:asciiTheme="minorHAnsi" w:eastAsiaTheme="minorEastAsia" w:hAnsiTheme="minorHAnsi"/>
          <w:noProof/>
          <w:lang w:val="en-US" w:bidi="si-LK"/>
        </w:rPr>
      </w:pPr>
      <w:hyperlink w:anchor="_Toc217290365" w:history="1">
        <w:r w:rsidRPr="00BC3E26">
          <w:rPr>
            <w:rStyle w:val="Hyperlink"/>
            <w:noProof/>
          </w:rPr>
          <w:t>4.2 Market Entry Strategy</w:t>
        </w:r>
        <w:r>
          <w:rPr>
            <w:noProof/>
            <w:webHidden/>
          </w:rPr>
          <w:tab/>
        </w:r>
        <w:r>
          <w:rPr>
            <w:noProof/>
            <w:webHidden/>
          </w:rPr>
          <w:fldChar w:fldCharType="begin"/>
        </w:r>
        <w:r>
          <w:rPr>
            <w:noProof/>
            <w:webHidden/>
          </w:rPr>
          <w:instrText xml:space="preserve"> PAGEREF _Toc217290365 \h </w:instrText>
        </w:r>
        <w:r>
          <w:rPr>
            <w:noProof/>
            <w:webHidden/>
          </w:rPr>
        </w:r>
        <w:r>
          <w:rPr>
            <w:noProof/>
            <w:webHidden/>
          </w:rPr>
          <w:fldChar w:fldCharType="separate"/>
        </w:r>
        <w:r>
          <w:rPr>
            <w:noProof/>
            <w:webHidden/>
          </w:rPr>
          <w:t>27</w:t>
        </w:r>
        <w:r>
          <w:rPr>
            <w:noProof/>
            <w:webHidden/>
          </w:rPr>
          <w:fldChar w:fldCharType="end"/>
        </w:r>
      </w:hyperlink>
    </w:p>
    <w:p w14:paraId="3C6CA714" w14:textId="3CE5C09C" w:rsidR="00A2598F" w:rsidRDefault="00A2598F">
      <w:pPr>
        <w:pStyle w:val="TOC2"/>
        <w:tabs>
          <w:tab w:val="right" w:leader="dot" w:pos="9350"/>
        </w:tabs>
        <w:rPr>
          <w:rFonts w:asciiTheme="minorHAnsi" w:eastAsiaTheme="minorEastAsia" w:hAnsiTheme="minorHAnsi"/>
          <w:noProof/>
          <w:lang w:val="en-US" w:bidi="si-LK"/>
        </w:rPr>
      </w:pPr>
      <w:hyperlink w:anchor="_Toc217290366" w:history="1">
        <w:r w:rsidRPr="00BC3E26">
          <w:rPr>
            <w:rStyle w:val="Hyperlink"/>
            <w:noProof/>
          </w:rPr>
          <w:t>4.3 Competitive Strategy</w:t>
        </w:r>
        <w:r>
          <w:rPr>
            <w:noProof/>
            <w:webHidden/>
          </w:rPr>
          <w:tab/>
        </w:r>
        <w:r>
          <w:rPr>
            <w:noProof/>
            <w:webHidden/>
          </w:rPr>
          <w:fldChar w:fldCharType="begin"/>
        </w:r>
        <w:r>
          <w:rPr>
            <w:noProof/>
            <w:webHidden/>
          </w:rPr>
          <w:instrText xml:space="preserve"> PAGEREF _Toc217290366 \h </w:instrText>
        </w:r>
        <w:r>
          <w:rPr>
            <w:noProof/>
            <w:webHidden/>
          </w:rPr>
        </w:r>
        <w:r>
          <w:rPr>
            <w:noProof/>
            <w:webHidden/>
          </w:rPr>
          <w:fldChar w:fldCharType="separate"/>
        </w:r>
        <w:r>
          <w:rPr>
            <w:noProof/>
            <w:webHidden/>
          </w:rPr>
          <w:t>29</w:t>
        </w:r>
        <w:r>
          <w:rPr>
            <w:noProof/>
            <w:webHidden/>
          </w:rPr>
          <w:fldChar w:fldCharType="end"/>
        </w:r>
      </w:hyperlink>
    </w:p>
    <w:p w14:paraId="2F527186" w14:textId="08C9B117" w:rsidR="00A2598F" w:rsidRDefault="00A2598F">
      <w:pPr>
        <w:pStyle w:val="TOC2"/>
        <w:tabs>
          <w:tab w:val="right" w:leader="dot" w:pos="9350"/>
        </w:tabs>
        <w:rPr>
          <w:rFonts w:asciiTheme="minorHAnsi" w:eastAsiaTheme="minorEastAsia" w:hAnsiTheme="minorHAnsi"/>
          <w:noProof/>
          <w:lang w:val="en-US" w:bidi="si-LK"/>
        </w:rPr>
      </w:pPr>
      <w:hyperlink w:anchor="_Toc217290367" w:history="1">
        <w:r w:rsidRPr="00BC3E26">
          <w:rPr>
            <w:rStyle w:val="Hyperlink"/>
            <w:noProof/>
          </w:rPr>
          <w:t>4.4 Risk Analysis and Mitigation</w:t>
        </w:r>
        <w:r>
          <w:rPr>
            <w:noProof/>
            <w:webHidden/>
          </w:rPr>
          <w:tab/>
        </w:r>
        <w:r>
          <w:rPr>
            <w:noProof/>
            <w:webHidden/>
          </w:rPr>
          <w:fldChar w:fldCharType="begin"/>
        </w:r>
        <w:r>
          <w:rPr>
            <w:noProof/>
            <w:webHidden/>
          </w:rPr>
          <w:instrText xml:space="preserve"> PAGEREF _Toc217290367 \h </w:instrText>
        </w:r>
        <w:r>
          <w:rPr>
            <w:noProof/>
            <w:webHidden/>
          </w:rPr>
        </w:r>
        <w:r>
          <w:rPr>
            <w:noProof/>
            <w:webHidden/>
          </w:rPr>
          <w:fldChar w:fldCharType="separate"/>
        </w:r>
        <w:r>
          <w:rPr>
            <w:noProof/>
            <w:webHidden/>
          </w:rPr>
          <w:t>32</w:t>
        </w:r>
        <w:r>
          <w:rPr>
            <w:noProof/>
            <w:webHidden/>
          </w:rPr>
          <w:fldChar w:fldCharType="end"/>
        </w:r>
      </w:hyperlink>
    </w:p>
    <w:p w14:paraId="08D9F18F" w14:textId="33E457CB" w:rsidR="00A2598F" w:rsidRDefault="00A2598F">
      <w:pPr>
        <w:pStyle w:val="TOC1"/>
        <w:tabs>
          <w:tab w:val="right" w:leader="dot" w:pos="9350"/>
        </w:tabs>
        <w:rPr>
          <w:rFonts w:asciiTheme="minorHAnsi" w:eastAsiaTheme="minorEastAsia" w:hAnsiTheme="minorHAnsi"/>
          <w:noProof/>
          <w:lang w:val="en-US" w:bidi="si-LK"/>
        </w:rPr>
      </w:pPr>
      <w:hyperlink w:anchor="_Toc217290368" w:history="1">
        <w:r w:rsidRPr="00BC3E26">
          <w:rPr>
            <w:rStyle w:val="Hyperlink"/>
            <w:noProof/>
          </w:rPr>
          <w:t>5. Performance Evaluation Framework</w:t>
        </w:r>
        <w:r>
          <w:rPr>
            <w:noProof/>
            <w:webHidden/>
          </w:rPr>
          <w:tab/>
        </w:r>
        <w:r>
          <w:rPr>
            <w:noProof/>
            <w:webHidden/>
          </w:rPr>
          <w:fldChar w:fldCharType="begin"/>
        </w:r>
        <w:r>
          <w:rPr>
            <w:noProof/>
            <w:webHidden/>
          </w:rPr>
          <w:instrText xml:space="preserve"> PAGEREF _Toc217290368 \h </w:instrText>
        </w:r>
        <w:r>
          <w:rPr>
            <w:noProof/>
            <w:webHidden/>
          </w:rPr>
        </w:r>
        <w:r>
          <w:rPr>
            <w:noProof/>
            <w:webHidden/>
          </w:rPr>
          <w:fldChar w:fldCharType="separate"/>
        </w:r>
        <w:r>
          <w:rPr>
            <w:noProof/>
            <w:webHidden/>
          </w:rPr>
          <w:t>35</w:t>
        </w:r>
        <w:r>
          <w:rPr>
            <w:noProof/>
            <w:webHidden/>
          </w:rPr>
          <w:fldChar w:fldCharType="end"/>
        </w:r>
      </w:hyperlink>
    </w:p>
    <w:p w14:paraId="2C14A031" w14:textId="1DA8D9B0" w:rsidR="00A2598F" w:rsidRDefault="00A2598F">
      <w:pPr>
        <w:pStyle w:val="TOC2"/>
        <w:tabs>
          <w:tab w:val="right" w:leader="dot" w:pos="9350"/>
        </w:tabs>
        <w:rPr>
          <w:rFonts w:asciiTheme="minorHAnsi" w:eastAsiaTheme="minorEastAsia" w:hAnsiTheme="minorHAnsi"/>
          <w:noProof/>
          <w:lang w:val="en-US" w:bidi="si-LK"/>
        </w:rPr>
      </w:pPr>
      <w:hyperlink w:anchor="_Toc217290369" w:history="1">
        <w:r w:rsidRPr="00BC3E26">
          <w:rPr>
            <w:rStyle w:val="Hyperlink"/>
            <w:noProof/>
          </w:rPr>
          <w:t>5.1 Selection of Framework</w:t>
        </w:r>
        <w:r>
          <w:rPr>
            <w:noProof/>
            <w:webHidden/>
          </w:rPr>
          <w:tab/>
        </w:r>
        <w:r>
          <w:rPr>
            <w:noProof/>
            <w:webHidden/>
          </w:rPr>
          <w:fldChar w:fldCharType="begin"/>
        </w:r>
        <w:r>
          <w:rPr>
            <w:noProof/>
            <w:webHidden/>
          </w:rPr>
          <w:instrText xml:space="preserve"> PAGEREF _Toc217290369 \h </w:instrText>
        </w:r>
        <w:r>
          <w:rPr>
            <w:noProof/>
            <w:webHidden/>
          </w:rPr>
        </w:r>
        <w:r>
          <w:rPr>
            <w:noProof/>
            <w:webHidden/>
          </w:rPr>
          <w:fldChar w:fldCharType="separate"/>
        </w:r>
        <w:r>
          <w:rPr>
            <w:noProof/>
            <w:webHidden/>
          </w:rPr>
          <w:t>35</w:t>
        </w:r>
        <w:r>
          <w:rPr>
            <w:noProof/>
            <w:webHidden/>
          </w:rPr>
          <w:fldChar w:fldCharType="end"/>
        </w:r>
      </w:hyperlink>
    </w:p>
    <w:p w14:paraId="2E5235D8" w14:textId="22828728" w:rsidR="00A2598F" w:rsidRDefault="00A2598F">
      <w:pPr>
        <w:pStyle w:val="TOC3"/>
        <w:tabs>
          <w:tab w:val="right" w:leader="dot" w:pos="9350"/>
        </w:tabs>
        <w:rPr>
          <w:rFonts w:asciiTheme="minorHAnsi" w:eastAsiaTheme="minorEastAsia" w:hAnsiTheme="minorHAnsi"/>
          <w:noProof/>
          <w:lang w:val="en-US" w:bidi="si-LK"/>
        </w:rPr>
      </w:pPr>
      <w:hyperlink w:anchor="_Toc217290370" w:history="1">
        <w:r w:rsidRPr="00BC3E26">
          <w:rPr>
            <w:rStyle w:val="Hyperlink"/>
            <w:noProof/>
          </w:rPr>
          <w:t>5.1.1. Balanced Scorecard (BSC)</w:t>
        </w:r>
        <w:r>
          <w:rPr>
            <w:noProof/>
            <w:webHidden/>
          </w:rPr>
          <w:tab/>
        </w:r>
        <w:r>
          <w:rPr>
            <w:noProof/>
            <w:webHidden/>
          </w:rPr>
          <w:fldChar w:fldCharType="begin"/>
        </w:r>
        <w:r>
          <w:rPr>
            <w:noProof/>
            <w:webHidden/>
          </w:rPr>
          <w:instrText xml:space="preserve"> PAGEREF _Toc217290370 \h </w:instrText>
        </w:r>
        <w:r>
          <w:rPr>
            <w:noProof/>
            <w:webHidden/>
          </w:rPr>
        </w:r>
        <w:r>
          <w:rPr>
            <w:noProof/>
            <w:webHidden/>
          </w:rPr>
          <w:fldChar w:fldCharType="separate"/>
        </w:r>
        <w:r>
          <w:rPr>
            <w:noProof/>
            <w:webHidden/>
          </w:rPr>
          <w:t>35</w:t>
        </w:r>
        <w:r>
          <w:rPr>
            <w:noProof/>
            <w:webHidden/>
          </w:rPr>
          <w:fldChar w:fldCharType="end"/>
        </w:r>
      </w:hyperlink>
    </w:p>
    <w:p w14:paraId="22E8623B" w14:textId="6BDA08CD" w:rsidR="00A2598F" w:rsidRDefault="00A2598F">
      <w:pPr>
        <w:pStyle w:val="TOC3"/>
        <w:tabs>
          <w:tab w:val="right" w:leader="dot" w:pos="9350"/>
        </w:tabs>
        <w:rPr>
          <w:rFonts w:asciiTheme="minorHAnsi" w:eastAsiaTheme="minorEastAsia" w:hAnsiTheme="minorHAnsi"/>
          <w:noProof/>
          <w:lang w:val="en-US" w:bidi="si-LK"/>
        </w:rPr>
      </w:pPr>
      <w:hyperlink w:anchor="_Toc217290371" w:history="1">
        <w:r w:rsidRPr="00BC3E26">
          <w:rPr>
            <w:rStyle w:val="Hyperlink"/>
            <w:noProof/>
          </w:rPr>
          <w:t>5.1.2. Triple Bottom Line (TBL)</w:t>
        </w:r>
        <w:r>
          <w:rPr>
            <w:noProof/>
            <w:webHidden/>
          </w:rPr>
          <w:tab/>
        </w:r>
        <w:r>
          <w:rPr>
            <w:noProof/>
            <w:webHidden/>
          </w:rPr>
          <w:fldChar w:fldCharType="begin"/>
        </w:r>
        <w:r>
          <w:rPr>
            <w:noProof/>
            <w:webHidden/>
          </w:rPr>
          <w:instrText xml:space="preserve"> PAGEREF _Toc217290371 \h </w:instrText>
        </w:r>
        <w:r>
          <w:rPr>
            <w:noProof/>
            <w:webHidden/>
          </w:rPr>
        </w:r>
        <w:r>
          <w:rPr>
            <w:noProof/>
            <w:webHidden/>
          </w:rPr>
          <w:fldChar w:fldCharType="separate"/>
        </w:r>
        <w:r>
          <w:rPr>
            <w:noProof/>
            <w:webHidden/>
          </w:rPr>
          <w:t>37</w:t>
        </w:r>
        <w:r>
          <w:rPr>
            <w:noProof/>
            <w:webHidden/>
          </w:rPr>
          <w:fldChar w:fldCharType="end"/>
        </w:r>
      </w:hyperlink>
    </w:p>
    <w:p w14:paraId="480D4534" w14:textId="156B1EDB" w:rsidR="00A2598F" w:rsidRDefault="00A2598F">
      <w:pPr>
        <w:pStyle w:val="TOC2"/>
        <w:tabs>
          <w:tab w:val="right" w:leader="dot" w:pos="9350"/>
        </w:tabs>
        <w:rPr>
          <w:rFonts w:asciiTheme="minorHAnsi" w:eastAsiaTheme="minorEastAsia" w:hAnsiTheme="minorHAnsi"/>
          <w:noProof/>
          <w:lang w:val="en-US" w:bidi="si-LK"/>
        </w:rPr>
      </w:pPr>
      <w:hyperlink w:anchor="_Toc217290372" w:history="1">
        <w:r w:rsidRPr="00BC3E26">
          <w:rPr>
            <w:rStyle w:val="Hyperlink"/>
            <w:noProof/>
          </w:rPr>
          <w:t>5.3 Evaluation of Framework Effectiveness</w:t>
        </w:r>
        <w:r>
          <w:rPr>
            <w:noProof/>
            <w:webHidden/>
          </w:rPr>
          <w:tab/>
        </w:r>
        <w:r>
          <w:rPr>
            <w:noProof/>
            <w:webHidden/>
          </w:rPr>
          <w:fldChar w:fldCharType="begin"/>
        </w:r>
        <w:r>
          <w:rPr>
            <w:noProof/>
            <w:webHidden/>
          </w:rPr>
          <w:instrText xml:space="preserve"> PAGEREF _Toc217290372 \h </w:instrText>
        </w:r>
        <w:r>
          <w:rPr>
            <w:noProof/>
            <w:webHidden/>
          </w:rPr>
        </w:r>
        <w:r>
          <w:rPr>
            <w:noProof/>
            <w:webHidden/>
          </w:rPr>
          <w:fldChar w:fldCharType="separate"/>
        </w:r>
        <w:r>
          <w:rPr>
            <w:noProof/>
            <w:webHidden/>
          </w:rPr>
          <w:t>38</w:t>
        </w:r>
        <w:r>
          <w:rPr>
            <w:noProof/>
            <w:webHidden/>
          </w:rPr>
          <w:fldChar w:fldCharType="end"/>
        </w:r>
      </w:hyperlink>
    </w:p>
    <w:p w14:paraId="4024B894" w14:textId="06CC5078" w:rsidR="00A2598F" w:rsidRDefault="00A2598F">
      <w:pPr>
        <w:pStyle w:val="TOC2"/>
        <w:tabs>
          <w:tab w:val="right" w:leader="dot" w:pos="9350"/>
        </w:tabs>
        <w:rPr>
          <w:rFonts w:asciiTheme="minorHAnsi" w:eastAsiaTheme="minorEastAsia" w:hAnsiTheme="minorHAnsi"/>
          <w:noProof/>
          <w:lang w:val="en-US" w:bidi="si-LK"/>
        </w:rPr>
      </w:pPr>
      <w:hyperlink w:anchor="_Toc217290373" w:history="1">
        <w:r w:rsidRPr="00BC3E26">
          <w:rPr>
            <w:rStyle w:val="Hyperlink"/>
            <w:noProof/>
          </w:rPr>
          <w:t>5.4. Recommendations</w:t>
        </w:r>
        <w:r>
          <w:rPr>
            <w:noProof/>
            <w:webHidden/>
          </w:rPr>
          <w:tab/>
        </w:r>
        <w:r>
          <w:rPr>
            <w:noProof/>
            <w:webHidden/>
          </w:rPr>
          <w:fldChar w:fldCharType="begin"/>
        </w:r>
        <w:r>
          <w:rPr>
            <w:noProof/>
            <w:webHidden/>
          </w:rPr>
          <w:instrText xml:space="preserve"> PAGEREF _Toc217290373 \h </w:instrText>
        </w:r>
        <w:r>
          <w:rPr>
            <w:noProof/>
            <w:webHidden/>
          </w:rPr>
        </w:r>
        <w:r>
          <w:rPr>
            <w:noProof/>
            <w:webHidden/>
          </w:rPr>
          <w:fldChar w:fldCharType="separate"/>
        </w:r>
        <w:r>
          <w:rPr>
            <w:noProof/>
            <w:webHidden/>
          </w:rPr>
          <w:t>39</w:t>
        </w:r>
        <w:r>
          <w:rPr>
            <w:noProof/>
            <w:webHidden/>
          </w:rPr>
          <w:fldChar w:fldCharType="end"/>
        </w:r>
      </w:hyperlink>
    </w:p>
    <w:p w14:paraId="5BC9D3B1" w14:textId="5FAA12B8" w:rsidR="00A2598F" w:rsidRDefault="00A2598F">
      <w:pPr>
        <w:pStyle w:val="TOC1"/>
        <w:tabs>
          <w:tab w:val="right" w:leader="dot" w:pos="9350"/>
        </w:tabs>
        <w:rPr>
          <w:rFonts w:asciiTheme="minorHAnsi" w:eastAsiaTheme="minorEastAsia" w:hAnsiTheme="minorHAnsi"/>
          <w:noProof/>
          <w:lang w:val="en-US" w:bidi="si-LK"/>
        </w:rPr>
      </w:pPr>
      <w:hyperlink w:anchor="_Toc217290374" w:history="1">
        <w:r w:rsidRPr="00BC3E26">
          <w:rPr>
            <w:rStyle w:val="Hyperlink"/>
            <w:noProof/>
          </w:rPr>
          <w:t>6. Conclusion</w:t>
        </w:r>
        <w:r>
          <w:rPr>
            <w:noProof/>
            <w:webHidden/>
          </w:rPr>
          <w:tab/>
        </w:r>
        <w:r>
          <w:rPr>
            <w:noProof/>
            <w:webHidden/>
          </w:rPr>
          <w:fldChar w:fldCharType="begin"/>
        </w:r>
        <w:r>
          <w:rPr>
            <w:noProof/>
            <w:webHidden/>
          </w:rPr>
          <w:instrText xml:space="preserve"> PAGEREF _Toc217290374 \h </w:instrText>
        </w:r>
        <w:r>
          <w:rPr>
            <w:noProof/>
            <w:webHidden/>
          </w:rPr>
        </w:r>
        <w:r>
          <w:rPr>
            <w:noProof/>
            <w:webHidden/>
          </w:rPr>
          <w:fldChar w:fldCharType="separate"/>
        </w:r>
        <w:r>
          <w:rPr>
            <w:noProof/>
            <w:webHidden/>
          </w:rPr>
          <w:t>40</w:t>
        </w:r>
        <w:r>
          <w:rPr>
            <w:noProof/>
            <w:webHidden/>
          </w:rPr>
          <w:fldChar w:fldCharType="end"/>
        </w:r>
      </w:hyperlink>
    </w:p>
    <w:p w14:paraId="68CB038B" w14:textId="15D824E9" w:rsidR="00A2598F" w:rsidRDefault="00A2598F">
      <w:pPr>
        <w:pStyle w:val="TOC1"/>
        <w:tabs>
          <w:tab w:val="right" w:leader="dot" w:pos="9350"/>
        </w:tabs>
        <w:rPr>
          <w:rFonts w:asciiTheme="minorHAnsi" w:eastAsiaTheme="minorEastAsia" w:hAnsiTheme="minorHAnsi"/>
          <w:noProof/>
          <w:lang w:val="en-US" w:bidi="si-LK"/>
        </w:rPr>
      </w:pPr>
      <w:hyperlink w:anchor="_Toc217290375" w:history="1">
        <w:r w:rsidRPr="00BC3E26">
          <w:rPr>
            <w:rStyle w:val="Hyperlink"/>
            <w:noProof/>
          </w:rPr>
          <w:t>7. References</w:t>
        </w:r>
        <w:r>
          <w:rPr>
            <w:noProof/>
            <w:webHidden/>
          </w:rPr>
          <w:tab/>
        </w:r>
        <w:r>
          <w:rPr>
            <w:noProof/>
            <w:webHidden/>
          </w:rPr>
          <w:fldChar w:fldCharType="begin"/>
        </w:r>
        <w:r>
          <w:rPr>
            <w:noProof/>
            <w:webHidden/>
          </w:rPr>
          <w:instrText xml:space="preserve"> PAGEREF _Toc217290375 \h </w:instrText>
        </w:r>
        <w:r>
          <w:rPr>
            <w:noProof/>
            <w:webHidden/>
          </w:rPr>
        </w:r>
        <w:r>
          <w:rPr>
            <w:noProof/>
            <w:webHidden/>
          </w:rPr>
          <w:fldChar w:fldCharType="separate"/>
        </w:r>
        <w:r>
          <w:rPr>
            <w:noProof/>
            <w:webHidden/>
          </w:rPr>
          <w:t>41</w:t>
        </w:r>
        <w:r>
          <w:rPr>
            <w:noProof/>
            <w:webHidden/>
          </w:rPr>
          <w:fldChar w:fldCharType="end"/>
        </w:r>
      </w:hyperlink>
    </w:p>
    <w:p w14:paraId="20FD6FF7" w14:textId="4F53C7F5" w:rsidR="00D37382" w:rsidRPr="00684832" w:rsidRDefault="00A2598F" w:rsidP="00D91825">
      <w:pPr>
        <w:rPr>
          <w:b/>
          <w:bCs/>
          <w:sz w:val="28"/>
          <w:szCs w:val="28"/>
        </w:rPr>
      </w:pPr>
      <w:r>
        <w:rPr>
          <w:b/>
          <w:bCs/>
          <w:sz w:val="28"/>
          <w:szCs w:val="28"/>
        </w:rPr>
        <w:fldChar w:fldCharType="end"/>
      </w:r>
    </w:p>
    <w:p w14:paraId="68F85F80" w14:textId="77777777" w:rsidR="00D91825" w:rsidRPr="00684832" w:rsidRDefault="00D91825">
      <w:pPr>
        <w:spacing w:line="278" w:lineRule="auto"/>
        <w:jc w:val="left"/>
      </w:pPr>
      <w:r w:rsidRPr="00684832">
        <w:br w:type="page"/>
      </w:r>
    </w:p>
    <w:p w14:paraId="0F2EA5A1" w14:textId="79E6E6AC" w:rsidR="00D91825" w:rsidRPr="00684832" w:rsidRDefault="00C46669" w:rsidP="00D91825">
      <w:pPr>
        <w:rPr>
          <w:b/>
          <w:bCs/>
          <w:sz w:val="28"/>
          <w:szCs w:val="28"/>
        </w:rPr>
      </w:pPr>
      <w:r w:rsidRPr="00684832">
        <w:rPr>
          <w:b/>
          <w:bCs/>
          <w:sz w:val="28"/>
          <w:szCs w:val="28"/>
        </w:rPr>
        <w:lastRenderedPageBreak/>
        <w:t>List of Figures</w:t>
      </w:r>
    </w:p>
    <w:p w14:paraId="5457332C" w14:textId="0DEB07E1" w:rsidR="00A2598F" w:rsidRDefault="00C46669">
      <w:pPr>
        <w:pStyle w:val="TableofFigures"/>
        <w:tabs>
          <w:tab w:val="right" w:leader="dot" w:pos="9350"/>
        </w:tabs>
        <w:rPr>
          <w:rFonts w:asciiTheme="minorHAnsi" w:eastAsiaTheme="minorEastAsia" w:hAnsiTheme="minorHAnsi"/>
          <w:noProof/>
          <w:lang w:val="en-US" w:bidi="si-LK"/>
        </w:rPr>
      </w:pPr>
      <w:r w:rsidRPr="00684832">
        <w:rPr>
          <w:b/>
          <w:bCs/>
          <w:sz w:val="28"/>
          <w:szCs w:val="28"/>
        </w:rPr>
        <w:fldChar w:fldCharType="begin"/>
      </w:r>
      <w:r w:rsidRPr="00684832">
        <w:rPr>
          <w:b/>
          <w:bCs/>
          <w:sz w:val="28"/>
          <w:szCs w:val="28"/>
        </w:rPr>
        <w:instrText xml:space="preserve"> TOC \h \z \c "Figure" </w:instrText>
      </w:r>
      <w:r w:rsidRPr="00684832">
        <w:rPr>
          <w:b/>
          <w:bCs/>
          <w:sz w:val="28"/>
          <w:szCs w:val="28"/>
        </w:rPr>
        <w:fldChar w:fldCharType="separate"/>
      </w:r>
      <w:hyperlink w:anchor="_Toc217290376" w:history="1">
        <w:r w:rsidR="00A2598F" w:rsidRPr="005D327E">
          <w:rPr>
            <w:rStyle w:val="Hyperlink"/>
            <w:noProof/>
          </w:rPr>
          <w:t>Figure 1</w:t>
        </w:r>
        <w:r w:rsidR="00A2598F" w:rsidRPr="005D327E">
          <w:rPr>
            <w:rStyle w:val="Hyperlink"/>
            <w:noProof/>
            <w:lang w:val="en-US"/>
          </w:rPr>
          <w:t>: Nothing mobile</w:t>
        </w:r>
        <w:r w:rsidR="00A2598F">
          <w:rPr>
            <w:noProof/>
            <w:webHidden/>
          </w:rPr>
          <w:tab/>
        </w:r>
        <w:r w:rsidR="00A2598F">
          <w:rPr>
            <w:noProof/>
            <w:webHidden/>
          </w:rPr>
          <w:fldChar w:fldCharType="begin"/>
        </w:r>
        <w:r w:rsidR="00A2598F">
          <w:rPr>
            <w:noProof/>
            <w:webHidden/>
          </w:rPr>
          <w:instrText xml:space="preserve"> PAGEREF _Toc217290376 \h </w:instrText>
        </w:r>
        <w:r w:rsidR="00A2598F">
          <w:rPr>
            <w:noProof/>
            <w:webHidden/>
          </w:rPr>
        </w:r>
        <w:r w:rsidR="00A2598F">
          <w:rPr>
            <w:noProof/>
            <w:webHidden/>
          </w:rPr>
          <w:fldChar w:fldCharType="separate"/>
        </w:r>
        <w:r w:rsidR="00A2598F">
          <w:rPr>
            <w:noProof/>
            <w:webHidden/>
          </w:rPr>
          <w:t>7</w:t>
        </w:r>
        <w:r w:rsidR="00A2598F">
          <w:rPr>
            <w:noProof/>
            <w:webHidden/>
          </w:rPr>
          <w:fldChar w:fldCharType="end"/>
        </w:r>
      </w:hyperlink>
    </w:p>
    <w:p w14:paraId="305310D7" w14:textId="0C2AEF44" w:rsidR="00A2598F" w:rsidRDefault="00A2598F">
      <w:pPr>
        <w:pStyle w:val="TableofFigures"/>
        <w:tabs>
          <w:tab w:val="right" w:leader="dot" w:pos="9350"/>
        </w:tabs>
        <w:rPr>
          <w:rFonts w:asciiTheme="minorHAnsi" w:eastAsiaTheme="minorEastAsia" w:hAnsiTheme="minorHAnsi"/>
          <w:noProof/>
          <w:lang w:val="en-US" w:bidi="si-LK"/>
        </w:rPr>
      </w:pPr>
      <w:hyperlink w:anchor="_Toc217290377" w:history="1">
        <w:r w:rsidRPr="005D327E">
          <w:rPr>
            <w:rStyle w:val="Hyperlink"/>
            <w:noProof/>
          </w:rPr>
          <w:t>Figure 2</w:t>
        </w:r>
        <w:r w:rsidRPr="005D327E">
          <w:rPr>
            <w:rStyle w:val="Hyperlink"/>
            <w:noProof/>
            <w:lang w:val="en-US"/>
          </w:rPr>
          <w:t>: Global Smartphones Market Size Forecast (2025–2034, USD Billion)</w:t>
        </w:r>
        <w:r>
          <w:rPr>
            <w:noProof/>
            <w:webHidden/>
          </w:rPr>
          <w:tab/>
        </w:r>
        <w:r>
          <w:rPr>
            <w:noProof/>
            <w:webHidden/>
          </w:rPr>
          <w:fldChar w:fldCharType="begin"/>
        </w:r>
        <w:r>
          <w:rPr>
            <w:noProof/>
            <w:webHidden/>
          </w:rPr>
          <w:instrText xml:space="preserve"> PAGEREF _Toc217290377 \h </w:instrText>
        </w:r>
        <w:r>
          <w:rPr>
            <w:noProof/>
            <w:webHidden/>
          </w:rPr>
        </w:r>
        <w:r>
          <w:rPr>
            <w:noProof/>
            <w:webHidden/>
          </w:rPr>
          <w:fldChar w:fldCharType="separate"/>
        </w:r>
        <w:r>
          <w:rPr>
            <w:noProof/>
            <w:webHidden/>
          </w:rPr>
          <w:t>8</w:t>
        </w:r>
        <w:r>
          <w:rPr>
            <w:noProof/>
            <w:webHidden/>
          </w:rPr>
          <w:fldChar w:fldCharType="end"/>
        </w:r>
      </w:hyperlink>
    </w:p>
    <w:p w14:paraId="7DB9CED6" w14:textId="67ECA253" w:rsidR="00A2598F" w:rsidRDefault="00A2598F">
      <w:pPr>
        <w:pStyle w:val="TableofFigures"/>
        <w:tabs>
          <w:tab w:val="right" w:leader="dot" w:pos="9350"/>
        </w:tabs>
        <w:rPr>
          <w:rFonts w:asciiTheme="minorHAnsi" w:eastAsiaTheme="minorEastAsia" w:hAnsiTheme="minorHAnsi"/>
          <w:noProof/>
          <w:lang w:val="en-US" w:bidi="si-LK"/>
        </w:rPr>
      </w:pPr>
      <w:hyperlink w:anchor="_Toc217290378" w:history="1">
        <w:r w:rsidRPr="005D327E">
          <w:rPr>
            <w:rStyle w:val="Hyperlink"/>
            <w:noProof/>
          </w:rPr>
          <w:t>Figure 3</w:t>
        </w:r>
        <w:r w:rsidRPr="005D327E">
          <w:rPr>
            <w:rStyle w:val="Hyperlink"/>
            <w:noProof/>
            <w:lang w:val="en-US"/>
          </w:rPr>
          <w:t>:Nothing Mobile Year-on-Year Growth Performance in 2024</w:t>
        </w:r>
        <w:r>
          <w:rPr>
            <w:noProof/>
            <w:webHidden/>
          </w:rPr>
          <w:tab/>
        </w:r>
        <w:r>
          <w:rPr>
            <w:noProof/>
            <w:webHidden/>
          </w:rPr>
          <w:fldChar w:fldCharType="begin"/>
        </w:r>
        <w:r>
          <w:rPr>
            <w:noProof/>
            <w:webHidden/>
          </w:rPr>
          <w:instrText xml:space="preserve"> PAGEREF _Toc217290378 \h </w:instrText>
        </w:r>
        <w:r>
          <w:rPr>
            <w:noProof/>
            <w:webHidden/>
          </w:rPr>
        </w:r>
        <w:r>
          <w:rPr>
            <w:noProof/>
            <w:webHidden/>
          </w:rPr>
          <w:fldChar w:fldCharType="separate"/>
        </w:r>
        <w:r>
          <w:rPr>
            <w:noProof/>
            <w:webHidden/>
          </w:rPr>
          <w:t>9</w:t>
        </w:r>
        <w:r>
          <w:rPr>
            <w:noProof/>
            <w:webHidden/>
          </w:rPr>
          <w:fldChar w:fldCharType="end"/>
        </w:r>
      </w:hyperlink>
    </w:p>
    <w:p w14:paraId="5C40D390" w14:textId="5EF6B4EF" w:rsidR="00A2598F" w:rsidRDefault="00A2598F">
      <w:pPr>
        <w:pStyle w:val="TableofFigures"/>
        <w:tabs>
          <w:tab w:val="right" w:leader="dot" w:pos="9350"/>
        </w:tabs>
        <w:rPr>
          <w:rFonts w:asciiTheme="minorHAnsi" w:eastAsiaTheme="minorEastAsia" w:hAnsiTheme="minorHAnsi"/>
          <w:noProof/>
          <w:lang w:val="en-US" w:bidi="si-LK"/>
        </w:rPr>
      </w:pPr>
      <w:hyperlink w:anchor="_Toc217290379" w:history="1">
        <w:r w:rsidRPr="005D327E">
          <w:rPr>
            <w:rStyle w:val="Hyperlink"/>
            <w:noProof/>
          </w:rPr>
          <w:t>Figure 4</w:t>
        </w:r>
        <w:r w:rsidRPr="005D327E">
          <w:rPr>
            <w:rStyle w:val="Hyperlink"/>
            <w:noProof/>
            <w:lang w:val="en-US"/>
          </w:rPr>
          <w:t>:U.S. Refurbished and Used Mobile Phones Market Size Forecast (2018–2032, USD Billion)</w:t>
        </w:r>
        <w:r>
          <w:rPr>
            <w:noProof/>
            <w:webHidden/>
          </w:rPr>
          <w:tab/>
        </w:r>
        <w:r>
          <w:rPr>
            <w:noProof/>
            <w:webHidden/>
          </w:rPr>
          <w:fldChar w:fldCharType="begin"/>
        </w:r>
        <w:r>
          <w:rPr>
            <w:noProof/>
            <w:webHidden/>
          </w:rPr>
          <w:instrText xml:space="preserve"> PAGEREF _Toc217290379 \h </w:instrText>
        </w:r>
        <w:r>
          <w:rPr>
            <w:noProof/>
            <w:webHidden/>
          </w:rPr>
        </w:r>
        <w:r>
          <w:rPr>
            <w:noProof/>
            <w:webHidden/>
          </w:rPr>
          <w:fldChar w:fldCharType="separate"/>
        </w:r>
        <w:r>
          <w:rPr>
            <w:noProof/>
            <w:webHidden/>
          </w:rPr>
          <w:t>11</w:t>
        </w:r>
        <w:r>
          <w:rPr>
            <w:noProof/>
            <w:webHidden/>
          </w:rPr>
          <w:fldChar w:fldCharType="end"/>
        </w:r>
      </w:hyperlink>
    </w:p>
    <w:p w14:paraId="3E0123D7" w14:textId="3772F5B8" w:rsidR="00A2598F" w:rsidRDefault="00A2598F">
      <w:pPr>
        <w:pStyle w:val="TableofFigures"/>
        <w:tabs>
          <w:tab w:val="right" w:leader="dot" w:pos="9350"/>
        </w:tabs>
        <w:rPr>
          <w:rFonts w:asciiTheme="minorHAnsi" w:eastAsiaTheme="minorEastAsia" w:hAnsiTheme="minorHAnsi"/>
          <w:noProof/>
          <w:lang w:val="en-US" w:bidi="si-LK"/>
        </w:rPr>
      </w:pPr>
      <w:hyperlink w:anchor="_Toc217290380" w:history="1">
        <w:r w:rsidRPr="005D327E">
          <w:rPr>
            <w:rStyle w:val="Hyperlink"/>
            <w:noProof/>
          </w:rPr>
          <w:t>Figure 5</w:t>
        </w:r>
        <w:r w:rsidRPr="005D327E">
          <w:rPr>
            <w:rStyle w:val="Hyperlink"/>
            <w:noProof/>
            <w:lang w:val="en-US"/>
          </w:rPr>
          <w:t>:Competitive Positioning of Nothing Mobile in the US Smartphone Market (Price–Quality Matrix)</w:t>
        </w:r>
        <w:r>
          <w:rPr>
            <w:noProof/>
            <w:webHidden/>
          </w:rPr>
          <w:tab/>
        </w:r>
        <w:r>
          <w:rPr>
            <w:noProof/>
            <w:webHidden/>
          </w:rPr>
          <w:fldChar w:fldCharType="begin"/>
        </w:r>
        <w:r>
          <w:rPr>
            <w:noProof/>
            <w:webHidden/>
          </w:rPr>
          <w:instrText xml:space="preserve"> PAGEREF _Toc217290380 \h </w:instrText>
        </w:r>
        <w:r>
          <w:rPr>
            <w:noProof/>
            <w:webHidden/>
          </w:rPr>
        </w:r>
        <w:r>
          <w:rPr>
            <w:noProof/>
            <w:webHidden/>
          </w:rPr>
          <w:fldChar w:fldCharType="separate"/>
        </w:r>
        <w:r>
          <w:rPr>
            <w:noProof/>
            <w:webHidden/>
          </w:rPr>
          <w:t>13</w:t>
        </w:r>
        <w:r>
          <w:rPr>
            <w:noProof/>
            <w:webHidden/>
          </w:rPr>
          <w:fldChar w:fldCharType="end"/>
        </w:r>
      </w:hyperlink>
    </w:p>
    <w:p w14:paraId="4CC8B17E" w14:textId="2A2A3975" w:rsidR="00A2598F" w:rsidRDefault="00A2598F">
      <w:pPr>
        <w:pStyle w:val="TableofFigures"/>
        <w:tabs>
          <w:tab w:val="right" w:leader="dot" w:pos="9350"/>
        </w:tabs>
        <w:rPr>
          <w:rFonts w:asciiTheme="minorHAnsi" w:eastAsiaTheme="minorEastAsia" w:hAnsiTheme="minorHAnsi"/>
          <w:noProof/>
          <w:lang w:val="en-US" w:bidi="si-LK"/>
        </w:rPr>
      </w:pPr>
      <w:hyperlink w:anchor="_Toc217290381" w:history="1">
        <w:r w:rsidRPr="005D327E">
          <w:rPr>
            <w:rStyle w:val="Hyperlink"/>
            <w:noProof/>
          </w:rPr>
          <w:t>Figure 6</w:t>
        </w:r>
        <w:r w:rsidRPr="005D327E">
          <w:rPr>
            <w:rStyle w:val="Hyperlink"/>
            <w:noProof/>
            <w:lang w:val="en-US"/>
          </w:rPr>
          <w:t>:Gross Domestic Product, 1st Quarter 2025</w:t>
        </w:r>
        <w:r>
          <w:rPr>
            <w:noProof/>
            <w:webHidden/>
          </w:rPr>
          <w:tab/>
        </w:r>
        <w:r>
          <w:rPr>
            <w:noProof/>
            <w:webHidden/>
          </w:rPr>
          <w:fldChar w:fldCharType="begin"/>
        </w:r>
        <w:r>
          <w:rPr>
            <w:noProof/>
            <w:webHidden/>
          </w:rPr>
          <w:instrText xml:space="preserve"> PAGEREF _Toc217290381 \h </w:instrText>
        </w:r>
        <w:r>
          <w:rPr>
            <w:noProof/>
            <w:webHidden/>
          </w:rPr>
        </w:r>
        <w:r>
          <w:rPr>
            <w:noProof/>
            <w:webHidden/>
          </w:rPr>
          <w:fldChar w:fldCharType="separate"/>
        </w:r>
        <w:r>
          <w:rPr>
            <w:noProof/>
            <w:webHidden/>
          </w:rPr>
          <w:t>17</w:t>
        </w:r>
        <w:r>
          <w:rPr>
            <w:noProof/>
            <w:webHidden/>
          </w:rPr>
          <w:fldChar w:fldCharType="end"/>
        </w:r>
      </w:hyperlink>
    </w:p>
    <w:p w14:paraId="4A4E0611" w14:textId="43A6B6C4" w:rsidR="00A2598F" w:rsidRDefault="00A2598F">
      <w:pPr>
        <w:pStyle w:val="TableofFigures"/>
        <w:tabs>
          <w:tab w:val="right" w:leader="dot" w:pos="9350"/>
        </w:tabs>
        <w:rPr>
          <w:rFonts w:asciiTheme="minorHAnsi" w:eastAsiaTheme="minorEastAsia" w:hAnsiTheme="minorHAnsi"/>
          <w:noProof/>
          <w:lang w:val="en-US" w:bidi="si-LK"/>
        </w:rPr>
      </w:pPr>
      <w:hyperlink w:anchor="_Toc217290382" w:history="1">
        <w:r w:rsidRPr="005D327E">
          <w:rPr>
            <w:rStyle w:val="Hyperlink"/>
            <w:noProof/>
          </w:rPr>
          <w:t>Figure 7</w:t>
        </w:r>
        <w:r w:rsidRPr="005D327E">
          <w:rPr>
            <w:rStyle w:val="Hyperlink"/>
            <w:noProof/>
            <w:lang w:val="en-US"/>
          </w:rPr>
          <w:t>: Factors Affecting Mobile Phone Change and Choice Behavior</w:t>
        </w:r>
        <w:r>
          <w:rPr>
            <w:noProof/>
            <w:webHidden/>
          </w:rPr>
          <w:tab/>
        </w:r>
        <w:r>
          <w:rPr>
            <w:noProof/>
            <w:webHidden/>
          </w:rPr>
          <w:fldChar w:fldCharType="begin"/>
        </w:r>
        <w:r>
          <w:rPr>
            <w:noProof/>
            <w:webHidden/>
          </w:rPr>
          <w:instrText xml:space="preserve"> PAGEREF _Toc217290382 \h </w:instrText>
        </w:r>
        <w:r>
          <w:rPr>
            <w:noProof/>
            <w:webHidden/>
          </w:rPr>
        </w:r>
        <w:r>
          <w:rPr>
            <w:noProof/>
            <w:webHidden/>
          </w:rPr>
          <w:fldChar w:fldCharType="separate"/>
        </w:r>
        <w:r>
          <w:rPr>
            <w:noProof/>
            <w:webHidden/>
          </w:rPr>
          <w:t>18</w:t>
        </w:r>
        <w:r>
          <w:rPr>
            <w:noProof/>
            <w:webHidden/>
          </w:rPr>
          <w:fldChar w:fldCharType="end"/>
        </w:r>
      </w:hyperlink>
    </w:p>
    <w:p w14:paraId="2E4B851B" w14:textId="3852275C" w:rsidR="00A2598F" w:rsidRDefault="00A2598F">
      <w:pPr>
        <w:pStyle w:val="TableofFigures"/>
        <w:tabs>
          <w:tab w:val="right" w:leader="dot" w:pos="9350"/>
        </w:tabs>
        <w:rPr>
          <w:rFonts w:asciiTheme="minorHAnsi" w:eastAsiaTheme="minorEastAsia" w:hAnsiTheme="minorHAnsi"/>
          <w:noProof/>
          <w:lang w:val="en-US" w:bidi="si-LK"/>
        </w:rPr>
      </w:pPr>
      <w:hyperlink w:anchor="_Toc217290383" w:history="1">
        <w:r w:rsidRPr="005D327E">
          <w:rPr>
            <w:rStyle w:val="Hyperlink"/>
            <w:noProof/>
          </w:rPr>
          <w:t>Figure 8</w:t>
        </w:r>
        <w:r w:rsidRPr="005D327E">
          <w:rPr>
            <w:rStyle w:val="Hyperlink"/>
            <w:noProof/>
            <w:lang w:val="en-US"/>
          </w:rPr>
          <w:t>:Technological Factors</w:t>
        </w:r>
        <w:r>
          <w:rPr>
            <w:noProof/>
            <w:webHidden/>
          </w:rPr>
          <w:tab/>
        </w:r>
        <w:r>
          <w:rPr>
            <w:noProof/>
            <w:webHidden/>
          </w:rPr>
          <w:fldChar w:fldCharType="begin"/>
        </w:r>
        <w:r>
          <w:rPr>
            <w:noProof/>
            <w:webHidden/>
          </w:rPr>
          <w:instrText xml:space="preserve"> PAGEREF _Toc217290383 \h </w:instrText>
        </w:r>
        <w:r>
          <w:rPr>
            <w:noProof/>
            <w:webHidden/>
          </w:rPr>
        </w:r>
        <w:r>
          <w:rPr>
            <w:noProof/>
            <w:webHidden/>
          </w:rPr>
          <w:fldChar w:fldCharType="separate"/>
        </w:r>
        <w:r>
          <w:rPr>
            <w:noProof/>
            <w:webHidden/>
          </w:rPr>
          <w:t>19</w:t>
        </w:r>
        <w:r>
          <w:rPr>
            <w:noProof/>
            <w:webHidden/>
          </w:rPr>
          <w:fldChar w:fldCharType="end"/>
        </w:r>
      </w:hyperlink>
    </w:p>
    <w:p w14:paraId="223E28DD" w14:textId="614A261D" w:rsidR="00A2598F" w:rsidRDefault="00A2598F">
      <w:pPr>
        <w:pStyle w:val="TableofFigures"/>
        <w:tabs>
          <w:tab w:val="right" w:leader="dot" w:pos="9350"/>
        </w:tabs>
        <w:rPr>
          <w:rFonts w:asciiTheme="minorHAnsi" w:eastAsiaTheme="minorEastAsia" w:hAnsiTheme="minorHAnsi"/>
          <w:noProof/>
          <w:lang w:val="en-US" w:bidi="si-LK"/>
        </w:rPr>
      </w:pPr>
      <w:hyperlink w:anchor="_Toc217290384" w:history="1">
        <w:r w:rsidRPr="005D327E">
          <w:rPr>
            <w:rStyle w:val="Hyperlink"/>
            <w:noProof/>
          </w:rPr>
          <w:t>Figure 9</w:t>
        </w:r>
        <w:r w:rsidRPr="005D327E">
          <w:rPr>
            <w:rStyle w:val="Hyperlink"/>
            <w:noProof/>
            <w:lang w:val="en-US"/>
          </w:rPr>
          <w:t>: Porter’s Five Forces</w:t>
        </w:r>
        <w:r>
          <w:rPr>
            <w:noProof/>
            <w:webHidden/>
          </w:rPr>
          <w:tab/>
        </w:r>
        <w:r>
          <w:rPr>
            <w:noProof/>
            <w:webHidden/>
          </w:rPr>
          <w:fldChar w:fldCharType="begin"/>
        </w:r>
        <w:r>
          <w:rPr>
            <w:noProof/>
            <w:webHidden/>
          </w:rPr>
          <w:instrText xml:space="preserve"> PAGEREF _Toc217290384 \h </w:instrText>
        </w:r>
        <w:r>
          <w:rPr>
            <w:noProof/>
            <w:webHidden/>
          </w:rPr>
        </w:r>
        <w:r>
          <w:rPr>
            <w:noProof/>
            <w:webHidden/>
          </w:rPr>
          <w:fldChar w:fldCharType="separate"/>
        </w:r>
        <w:r>
          <w:rPr>
            <w:noProof/>
            <w:webHidden/>
          </w:rPr>
          <w:t>21</w:t>
        </w:r>
        <w:r>
          <w:rPr>
            <w:noProof/>
            <w:webHidden/>
          </w:rPr>
          <w:fldChar w:fldCharType="end"/>
        </w:r>
      </w:hyperlink>
    </w:p>
    <w:p w14:paraId="45B267C6" w14:textId="79A76D8F" w:rsidR="00A2598F" w:rsidRDefault="00A2598F">
      <w:pPr>
        <w:pStyle w:val="TableofFigures"/>
        <w:tabs>
          <w:tab w:val="right" w:leader="dot" w:pos="9350"/>
        </w:tabs>
        <w:rPr>
          <w:rFonts w:asciiTheme="minorHAnsi" w:eastAsiaTheme="minorEastAsia" w:hAnsiTheme="minorHAnsi"/>
          <w:noProof/>
          <w:lang w:val="en-US" w:bidi="si-LK"/>
        </w:rPr>
      </w:pPr>
      <w:hyperlink w:anchor="_Toc217290385" w:history="1">
        <w:r w:rsidRPr="005D327E">
          <w:rPr>
            <w:rStyle w:val="Hyperlink"/>
            <w:noProof/>
          </w:rPr>
          <w:t>Figure 10</w:t>
        </w:r>
        <w:r w:rsidRPr="005D327E">
          <w:rPr>
            <w:rStyle w:val="Hyperlink"/>
            <w:noProof/>
            <w:lang w:val="en-US"/>
          </w:rPr>
          <w:t>: Hybrid entry mode</w:t>
        </w:r>
        <w:r>
          <w:rPr>
            <w:noProof/>
            <w:webHidden/>
          </w:rPr>
          <w:tab/>
        </w:r>
        <w:r>
          <w:rPr>
            <w:noProof/>
            <w:webHidden/>
          </w:rPr>
          <w:fldChar w:fldCharType="begin"/>
        </w:r>
        <w:r>
          <w:rPr>
            <w:noProof/>
            <w:webHidden/>
          </w:rPr>
          <w:instrText xml:space="preserve"> PAGEREF _Toc217290385 \h </w:instrText>
        </w:r>
        <w:r>
          <w:rPr>
            <w:noProof/>
            <w:webHidden/>
          </w:rPr>
        </w:r>
        <w:r>
          <w:rPr>
            <w:noProof/>
            <w:webHidden/>
          </w:rPr>
          <w:fldChar w:fldCharType="separate"/>
        </w:r>
        <w:r>
          <w:rPr>
            <w:noProof/>
            <w:webHidden/>
          </w:rPr>
          <w:t>27</w:t>
        </w:r>
        <w:r>
          <w:rPr>
            <w:noProof/>
            <w:webHidden/>
          </w:rPr>
          <w:fldChar w:fldCharType="end"/>
        </w:r>
      </w:hyperlink>
    </w:p>
    <w:p w14:paraId="6843E753" w14:textId="06EA2881" w:rsidR="00A2598F" w:rsidRDefault="00A2598F">
      <w:pPr>
        <w:pStyle w:val="TableofFigures"/>
        <w:tabs>
          <w:tab w:val="right" w:leader="dot" w:pos="9350"/>
        </w:tabs>
        <w:rPr>
          <w:rFonts w:asciiTheme="minorHAnsi" w:eastAsiaTheme="minorEastAsia" w:hAnsiTheme="minorHAnsi"/>
          <w:noProof/>
          <w:lang w:val="en-US" w:bidi="si-LK"/>
        </w:rPr>
      </w:pPr>
      <w:hyperlink w:anchor="_Toc217290386" w:history="1">
        <w:r w:rsidRPr="005D327E">
          <w:rPr>
            <w:rStyle w:val="Hyperlink"/>
            <w:noProof/>
          </w:rPr>
          <w:t>Figure 11</w:t>
        </w:r>
        <w:r w:rsidRPr="005D327E">
          <w:rPr>
            <w:rStyle w:val="Hyperlink"/>
            <w:noProof/>
            <w:lang w:val="en-US"/>
          </w:rPr>
          <w:t>:Transaction Cost Theory (TCT)</w:t>
        </w:r>
        <w:r>
          <w:rPr>
            <w:noProof/>
            <w:webHidden/>
          </w:rPr>
          <w:tab/>
        </w:r>
        <w:r>
          <w:rPr>
            <w:noProof/>
            <w:webHidden/>
          </w:rPr>
          <w:fldChar w:fldCharType="begin"/>
        </w:r>
        <w:r>
          <w:rPr>
            <w:noProof/>
            <w:webHidden/>
          </w:rPr>
          <w:instrText xml:space="preserve"> PAGEREF _Toc217290386 \h </w:instrText>
        </w:r>
        <w:r>
          <w:rPr>
            <w:noProof/>
            <w:webHidden/>
          </w:rPr>
        </w:r>
        <w:r>
          <w:rPr>
            <w:noProof/>
            <w:webHidden/>
          </w:rPr>
          <w:fldChar w:fldCharType="separate"/>
        </w:r>
        <w:r>
          <w:rPr>
            <w:noProof/>
            <w:webHidden/>
          </w:rPr>
          <w:t>28</w:t>
        </w:r>
        <w:r>
          <w:rPr>
            <w:noProof/>
            <w:webHidden/>
          </w:rPr>
          <w:fldChar w:fldCharType="end"/>
        </w:r>
      </w:hyperlink>
    </w:p>
    <w:p w14:paraId="100E5789" w14:textId="5B7C54B7" w:rsidR="00A2598F" w:rsidRDefault="00A2598F">
      <w:pPr>
        <w:pStyle w:val="TableofFigures"/>
        <w:tabs>
          <w:tab w:val="right" w:leader="dot" w:pos="9350"/>
        </w:tabs>
        <w:rPr>
          <w:rFonts w:asciiTheme="minorHAnsi" w:eastAsiaTheme="minorEastAsia" w:hAnsiTheme="minorHAnsi"/>
          <w:noProof/>
          <w:lang w:val="en-US" w:bidi="si-LK"/>
        </w:rPr>
      </w:pPr>
      <w:hyperlink w:anchor="_Toc217290387" w:history="1">
        <w:r w:rsidRPr="005D327E">
          <w:rPr>
            <w:rStyle w:val="Hyperlink"/>
            <w:noProof/>
          </w:rPr>
          <w:t>Figure 12:Balanced Scorecard (BSC)</w:t>
        </w:r>
        <w:r>
          <w:rPr>
            <w:noProof/>
            <w:webHidden/>
          </w:rPr>
          <w:tab/>
        </w:r>
        <w:r>
          <w:rPr>
            <w:noProof/>
            <w:webHidden/>
          </w:rPr>
          <w:fldChar w:fldCharType="begin"/>
        </w:r>
        <w:r>
          <w:rPr>
            <w:noProof/>
            <w:webHidden/>
          </w:rPr>
          <w:instrText xml:space="preserve"> PAGEREF _Toc217290387 \h </w:instrText>
        </w:r>
        <w:r>
          <w:rPr>
            <w:noProof/>
            <w:webHidden/>
          </w:rPr>
        </w:r>
        <w:r>
          <w:rPr>
            <w:noProof/>
            <w:webHidden/>
          </w:rPr>
          <w:fldChar w:fldCharType="separate"/>
        </w:r>
        <w:r>
          <w:rPr>
            <w:noProof/>
            <w:webHidden/>
          </w:rPr>
          <w:t>36</w:t>
        </w:r>
        <w:r>
          <w:rPr>
            <w:noProof/>
            <w:webHidden/>
          </w:rPr>
          <w:fldChar w:fldCharType="end"/>
        </w:r>
      </w:hyperlink>
    </w:p>
    <w:p w14:paraId="1140EA54" w14:textId="4286267F" w:rsidR="00A2598F" w:rsidRDefault="00A2598F">
      <w:pPr>
        <w:pStyle w:val="TableofFigures"/>
        <w:tabs>
          <w:tab w:val="right" w:leader="dot" w:pos="9350"/>
        </w:tabs>
        <w:rPr>
          <w:rFonts w:asciiTheme="minorHAnsi" w:eastAsiaTheme="minorEastAsia" w:hAnsiTheme="minorHAnsi"/>
          <w:noProof/>
          <w:lang w:val="en-US" w:bidi="si-LK"/>
        </w:rPr>
      </w:pPr>
      <w:hyperlink w:anchor="_Toc217290388" w:history="1">
        <w:r w:rsidRPr="005D327E">
          <w:rPr>
            <w:rStyle w:val="Hyperlink"/>
            <w:noProof/>
          </w:rPr>
          <w:t>Figure 13</w:t>
        </w:r>
        <w:r w:rsidRPr="005D327E">
          <w:rPr>
            <w:rStyle w:val="Hyperlink"/>
            <w:noProof/>
            <w:lang w:val="en-US"/>
          </w:rPr>
          <w:t>:Triple Bottom Line (TBL)</w:t>
        </w:r>
        <w:r>
          <w:rPr>
            <w:noProof/>
            <w:webHidden/>
          </w:rPr>
          <w:tab/>
        </w:r>
        <w:r>
          <w:rPr>
            <w:noProof/>
            <w:webHidden/>
          </w:rPr>
          <w:fldChar w:fldCharType="begin"/>
        </w:r>
        <w:r>
          <w:rPr>
            <w:noProof/>
            <w:webHidden/>
          </w:rPr>
          <w:instrText xml:space="preserve"> PAGEREF _Toc217290388 \h </w:instrText>
        </w:r>
        <w:r>
          <w:rPr>
            <w:noProof/>
            <w:webHidden/>
          </w:rPr>
        </w:r>
        <w:r>
          <w:rPr>
            <w:noProof/>
            <w:webHidden/>
          </w:rPr>
          <w:fldChar w:fldCharType="separate"/>
        </w:r>
        <w:r>
          <w:rPr>
            <w:noProof/>
            <w:webHidden/>
          </w:rPr>
          <w:t>38</w:t>
        </w:r>
        <w:r>
          <w:rPr>
            <w:noProof/>
            <w:webHidden/>
          </w:rPr>
          <w:fldChar w:fldCharType="end"/>
        </w:r>
      </w:hyperlink>
    </w:p>
    <w:p w14:paraId="2A2C4D45" w14:textId="026A5DE7" w:rsidR="00C46669" w:rsidRPr="00684832" w:rsidRDefault="00C46669" w:rsidP="00D91825">
      <w:pPr>
        <w:rPr>
          <w:b/>
          <w:bCs/>
          <w:sz w:val="28"/>
          <w:szCs w:val="28"/>
        </w:rPr>
      </w:pPr>
      <w:r w:rsidRPr="00684832">
        <w:rPr>
          <w:b/>
          <w:bCs/>
          <w:sz w:val="28"/>
          <w:szCs w:val="28"/>
        </w:rPr>
        <w:fldChar w:fldCharType="end"/>
      </w:r>
    </w:p>
    <w:p w14:paraId="43A93096" w14:textId="0E382EBF" w:rsidR="00C46669" w:rsidRPr="00684832" w:rsidRDefault="00C46669" w:rsidP="00D91825">
      <w:pPr>
        <w:rPr>
          <w:b/>
          <w:bCs/>
          <w:sz w:val="28"/>
          <w:szCs w:val="28"/>
        </w:rPr>
      </w:pPr>
      <w:r w:rsidRPr="00684832">
        <w:rPr>
          <w:b/>
          <w:bCs/>
          <w:sz w:val="28"/>
          <w:szCs w:val="28"/>
        </w:rPr>
        <w:t>List of Tables</w:t>
      </w:r>
    </w:p>
    <w:p w14:paraId="3F938A26" w14:textId="11718512" w:rsidR="00A2598F" w:rsidRDefault="00C46669">
      <w:pPr>
        <w:pStyle w:val="TableofFigures"/>
        <w:tabs>
          <w:tab w:val="right" w:leader="dot" w:pos="9350"/>
        </w:tabs>
        <w:rPr>
          <w:rFonts w:asciiTheme="minorHAnsi" w:eastAsiaTheme="minorEastAsia" w:hAnsiTheme="minorHAnsi"/>
          <w:noProof/>
          <w:lang w:val="en-US" w:bidi="si-LK"/>
        </w:rPr>
      </w:pPr>
      <w:r w:rsidRPr="00684832">
        <w:rPr>
          <w:b/>
          <w:bCs/>
          <w:sz w:val="28"/>
          <w:szCs w:val="28"/>
        </w:rPr>
        <w:fldChar w:fldCharType="begin"/>
      </w:r>
      <w:r w:rsidRPr="00684832">
        <w:rPr>
          <w:b/>
          <w:bCs/>
          <w:sz w:val="28"/>
          <w:szCs w:val="28"/>
        </w:rPr>
        <w:instrText xml:space="preserve"> TOC \h \z \c "Table" </w:instrText>
      </w:r>
      <w:r w:rsidRPr="00684832">
        <w:rPr>
          <w:b/>
          <w:bCs/>
          <w:sz w:val="28"/>
          <w:szCs w:val="28"/>
        </w:rPr>
        <w:fldChar w:fldCharType="separate"/>
      </w:r>
      <w:hyperlink w:anchor="_Toc217290389" w:history="1">
        <w:r w:rsidR="00A2598F" w:rsidRPr="00092DBC">
          <w:rPr>
            <w:rStyle w:val="Hyperlink"/>
            <w:noProof/>
          </w:rPr>
          <w:t>Table 1:Competitive Positioning in the US Smartphone Market</w:t>
        </w:r>
        <w:r w:rsidR="00A2598F">
          <w:rPr>
            <w:noProof/>
            <w:webHidden/>
          </w:rPr>
          <w:tab/>
        </w:r>
        <w:r w:rsidR="00A2598F">
          <w:rPr>
            <w:noProof/>
            <w:webHidden/>
          </w:rPr>
          <w:fldChar w:fldCharType="begin"/>
        </w:r>
        <w:r w:rsidR="00A2598F">
          <w:rPr>
            <w:noProof/>
            <w:webHidden/>
          </w:rPr>
          <w:instrText xml:space="preserve"> PAGEREF _Toc217290389 \h </w:instrText>
        </w:r>
        <w:r w:rsidR="00A2598F">
          <w:rPr>
            <w:noProof/>
            <w:webHidden/>
          </w:rPr>
        </w:r>
        <w:r w:rsidR="00A2598F">
          <w:rPr>
            <w:noProof/>
            <w:webHidden/>
          </w:rPr>
          <w:fldChar w:fldCharType="separate"/>
        </w:r>
        <w:r w:rsidR="00A2598F">
          <w:rPr>
            <w:noProof/>
            <w:webHidden/>
          </w:rPr>
          <w:t>14</w:t>
        </w:r>
        <w:r w:rsidR="00A2598F">
          <w:rPr>
            <w:noProof/>
            <w:webHidden/>
          </w:rPr>
          <w:fldChar w:fldCharType="end"/>
        </w:r>
      </w:hyperlink>
    </w:p>
    <w:p w14:paraId="1A27B4EA" w14:textId="738C5819" w:rsidR="00A2598F" w:rsidRDefault="00A2598F">
      <w:pPr>
        <w:pStyle w:val="TableofFigures"/>
        <w:tabs>
          <w:tab w:val="right" w:leader="dot" w:pos="9350"/>
        </w:tabs>
        <w:rPr>
          <w:rFonts w:asciiTheme="minorHAnsi" w:eastAsiaTheme="minorEastAsia" w:hAnsiTheme="minorHAnsi"/>
          <w:noProof/>
          <w:lang w:val="en-US" w:bidi="si-LK"/>
        </w:rPr>
      </w:pPr>
      <w:hyperlink w:anchor="_Toc217290390" w:history="1">
        <w:r w:rsidRPr="00092DBC">
          <w:rPr>
            <w:rStyle w:val="Hyperlink"/>
            <w:noProof/>
          </w:rPr>
          <w:t>Table 2</w:t>
        </w:r>
        <w:r w:rsidRPr="00092DBC">
          <w:rPr>
            <w:rStyle w:val="Hyperlink"/>
            <w:noProof/>
            <w:lang w:val="en-US"/>
          </w:rPr>
          <w:t>: PESTLE Analysis of the US Smartphone Market</w:t>
        </w:r>
        <w:r>
          <w:rPr>
            <w:noProof/>
            <w:webHidden/>
          </w:rPr>
          <w:tab/>
        </w:r>
        <w:r>
          <w:rPr>
            <w:noProof/>
            <w:webHidden/>
          </w:rPr>
          <w:fldChar w:fldCharType="begin"/>
        </w:r>
        <w:r>
          <w:rPr>
            <w:noProof/>
            <w:webHidden/>
          </w:rPr>
          <w:instrText xml:space="preserve"> PAGEREF _Toc217290390 \h </w:instrText>
        </w:r>
        <w:r>
          <w:rPr>
            <w:noProof/>
            <w:webHidden/>
          </w:rPr>
        </w:r>
        <w:r>
          <w:rPr>
            <w:noProof/>
            <w:webHidden/>
          </w:rPr>
          <w:fldChar w:fldCharType="separate"/>
        </w:r>
        <w:r>
          <w:rPr>
            <w:noProof/>
            <w:webHidden/>
          </w:rPr>
          <w:t>16</w:t>
        </w:r>
        <w:r>
          <w:rPr>
            <w:noProof/>
            <w:webHidden/>
          </w:rPr>
          <w:fldChar w:fldCharType="end"/>
        </w:r>
      </w:hyperlink>
    </w:p>
    <w:p w14:paraId="00543813" w14:textId="6A3A62A4" w:rsidR="00A2598F" w:rsidRDefault="00A2598F">
      <w:pPr>
        <w:pStyle w:val="TableofFigures"/>
        <w:tabs>
          <w:tab w:val="right" w:leader="dot" w:pos="9350"/>
        </w:tabs>
        <w:rPr>
          <w:rFonts w:asciiTheme="minorHAnsi" w:eastAsiaTheme="minorEastAsia" w:hAnsiTheme="minorHAnsi"/>
          <w:noProof/>
          <w:lang w:val="en-US" w:bidi="si-LK"/>
        </w:rPr>
      </w:pPr>
      <w:hyperlink w:anchor="_Toc217290391" w:history="1">
        <w:r w:rsidRPr="00092DBC">
          <w:rPr>
            <w:rStyle w:val="Hyperlink"/>
            <w:noProof/>
          </w:rPr>
          <w:t>Table 3</w:t>
        </w:r>
        <w:r w:rsidRPr="00092DBC">
          <w:rPr>
            <w:rStyle w:val="Hyperlink"/>
            <w:noProof/>
            <w:lang w:val="en-US"/>
          </w:rPr>
          <w:t>: VRIO Assessment of Nothing’s Core Capabilities</w:t>
        </w:r>
        <w:r>
          <w:rPr>
            <w:noProof/>
            <w:webHidden/>
          </w:rPr>
          <w:tab/>
        </w:r>
        <w:r>
          <w:rPr>
            <w:noProof/>
            <w:webHidden/>
          </w:rPr>
          <w:fldChar w:fldCharType="begin"/>
        </w:r>
        <w:r>
          <w:rPr>
            <w:noProof/>
            <w:webHidden/>
          </w:rPr>
          <w:instrText xml:space="preserve"> PAGEREF _Toc217290391 \h </w:instrText>
        </w:r>
        <w:r>
          <w:rPr>
            <w:noProof/>
            <w:webHidden/>
          </w:rPr>
        </w:r>
        <w:r>
          <w:rPr>
            <w:noProof/>
            <w:webHidden/>
          </w:rPr>
          <w:fldChar w:fldCharType="separate"/>
        </w:r>
        <w:r>
          <w:rPr>
            <w:noProof/>
            <w:webHidden/>
          </w:rPr>
          <w:t>24</w:t>
        </w:r>
        <w:r>
          <w:rPr>
            <w:noProof/>
            <w:webHidden/>
          </w:rPr>
          <w:fldChar w:fldCharType="end"/>
        </w:r>
      </w:hyperlink>
    </w:p>
    <w:p w14:paraId="39F7D3D2" w14:textId="2A6CD37F" w:rsidR="00A2598F" w:rsidRDefault="00A2598F">
      <w:pPr>
        <w:pStyle w:val="TableofFigures"/>
        <w:tabs>
          <w:tab w:val="right" w:leader="dot" w:pos="9350"/>
        </w:tabs>
        <w:rPr>
          <w:rFonts w:asciiTheme="minorHAnsi" w:eastAsiaTheme="minorEastAsia" w:hAnsiTheme="minorHAnsi"/>
          <w:noProof/>
          <w:lang w:val="en-US" w:bidi="si-LK"/>
        </w:rPr>
      </w:pPr>
      <w:hyperlink w:anchor="_Toc217290392" w:history="1">
        <w:r w:rsidRPr="00092DBC">
          <w:rPr>
            <w:rStyle w:val="Hyperlink"/>
            <w:noProof/>
          </w:rPr>
          <w:t>Table 4</w:t>
        </w:r>
        <w:r w:rsidRPr="00092DBC">
          <w:rPr>
            <w:rStyle w:val="Hyperlink"/>
            <w:noProof/>
            <w:lang w:val="en-US"/>
          </w:rPr>
          <w:t>:SMART Strategic Objectives for Nothing Mobile’s US Expansion</w:t>
        </w:r>
        <w:r>
          <w:rPr>
            <w:noProof/>
            <w:webHidden/>
          </w:rPr>
          <w:tab/>
        </w:r>
        <w:r>
          <w:rPr>
            <w:noProof/>
            <w:webHidden/>
          </w:rPr>
          <w:fldChar w:fldCharType="begin"/>
        </w:r>
        <w:r>
          <w:rPr>
            <w:noProof/>
            <w:webHidden/>
          </w:rPr>
          <w:instrText xml:space="preserve"> PAGEREF _Toc217290392 \h </w:instrText>
        </w:r>
        <w:r>
          <w:rPr>
            <w:noProof/>
            <w:webHidden/>
          </w:rPr>
        </w:r>
        <w:r>
          <w:rPr>
            <w:noProof/>
            <w:webHidden/>
          </w:rPr>
          <w:fldChar w:fldCharType="separate"/>
        </w:r>
        <w:r>
          <w:rPr>
            <w:noProof/>
            <w:webHidden/>
          </w:rPr>
          <w:t>26</w:t>
        </w:r>
        <w:r>
          <w:rPr>
            <w:noProof/>
            <w:webHidden/>
          </w:rPr>
          <w:fldChar w:fldCharType="end"/>
        </w:r>
      </w:hyperlink>
    </w:p>
    <w:p w14:paraId="7385EB7D" w14:textId="420A3729" w:rsidR="00A2598F" w:rsidRDefault="00A2598F">
      <w:pPr>
        <w:pStyle w:val="TableofFigures"/>
        <w:tabs>
          <w:tab w:val="right" w:leader="dot" w:pos="9350"/>
        </w:tabs>
        <w:rPr>
          <w:rFonts w:asciiTheme="minorHAnsi" w:eastAsiaTheme="minorEastAsia" w:hAnsiTheme="minorHAnsi"/>
          <w:noProof/>
          <w:lang w:val="en-US" w:bidi="si-LK"/>
        </w:rPr>
      </w:pPr>
      <w:hyperlink w:anchor="_Toc217290393" w:history="1">
        <w:r w:rsidRPr="00092DBC">
          <w:rPr>
            <w:rStyle w:val="Hyperlink"/>
            <w:noProof/>
          </w:rPr>
          <w:t>Table 5</w:t>
        </w:r>
        <w:r w:rsidRPr="00092DBC">
          <w:rPr>
            <w:rStyle w:val="Hyperlink"/>
            <w:noProof/>
            <w:lang w:val="en-US"/>
          </w:rPr>
          <w:t>:Competitive Strategy of Nothing Mobile (Based on Porter’s Generic Strategies)</w:t>
        </w:r>
        <w:r>
          <w:rPr>
            <w:noProof/>
            <w:webHidden/>
          </w:rPr>
          <w:tab/>
        </w:r>
        <w:r>
          <w:rPr>
            <w:noProof/>
            <w:webHidden/>
          </w:rPr>
          <w:fldChar w:fldCharType="begin"/>
        </w:r>
        <w:r>
          <w:rPr>
            <w:noProof/>
            <w:webHidden/>
          </w:rPr>
          <w:instrText xml:space="preserve"> PAGEREF _Toc217290393 \h </w:instrText>
        </w:r>
        <w:r>
          <w:rPr>
            <w:noProof/>
            <w:webHidden/>
          </w:rPr>
        </w:r>
        <w:r>
          <w:rPr>
            <w:noProof/>
            <w:webHidden/>
          </w:rPr>
          <w:fldChar w:fldCharType="separate"/>
        </w:r>
        <w:r>
          <w:rPr>
            <w:noProof/>
            <w:webHidden/>
          </w:rPr>
          <w:t>31</w:t>
        </w:r>
        <w:r>
          <w:rPr>
            <w:noProof/>
            <w:webHidden/>
          </w:rPr>
          <w:fldChar w:fldCharType="end"/>
        </w:r>
      </w:hyperlink>
    </w:p>
    <w:p w14:paraId="73A81E95" w14:textId="31018BDB" w:rsidR="00A2598F" w:rsidRDefault="00A2598F">
      <w:pPr>
        <w:pStyle w:val="TableofFigures"/>
        <w:tabs>
          <w:tab w:val="right" w:leader="dot" w:pos="9350"/>
        </w:tabs>
        <w:rPr>
          <w:rFonts w:asciiTheme="minorHAnsi" w:eastAsiaTheme="minorEastAsia" w:hAnsiTheme="minorHAnsi"/>
          <w:noProof/>
          <w:lang w:val="en-US" w:bidi="si-LK"/>
        </w:rPr>
      </w:pPr>
      <w:hyperlink w:anchor="_Toc217290394" w:history="1">
        <w:r w:rsidRPr="00092DBC">
          <w:rPr>
            <w:rStyle w:val="Hyperlink"/>
            <w:noProof/>
          </w:rPr>
          <w:t>Table 6</w:t>
        </w:r>
        <w:r w:rsidRPr="00092DBC">
          <w:rPr>
            <w:rStyle w:val="Hyperlink"/>
            <w:noProof/>
            <w:lang w:val="en-US"/>
          </w:rPr>
          <w:t>: Balanced Scorecard for Nothing’s US Market Expansion</w:t>
        </w:r>
        <w:r>
          <w:rPr>
            <w:noProof/>
            <w:webHidden/>
          </w:rPr>
          <w:tab/>
        </w:r>
        <w:r>
          <w:rPr>
            <w:noProof/>
            <w:webHidden/>
          </w:rPr>
          <w:fldChar w:fldCharType="begin"/>
        </w:r>
        <w:r>
          <w:rPr>
            <w:noProof/>
            <w:webHidden/>
          </w:rPr>
          <w:instrText xml:space="preserve"> PAGEREF _Toc217290394 \h </w:instrText>
        </w:r>
        <w:r>
          <w:rPr>
            <w:noProof/>
            <w:webHidden/>
          </w:rPr>
        </w:r>
        <w:r>
          <w:rPr>
            <w:noProof/>
            <w:webHidden/>
          </w:rPr>
          <w:fldChar w:fldCharType="separate"/>
        </w:r>
        <w:r>
          <w:rPr>
            <w:noProof/>
            <w:webHidden/>
          </w:rPr>
          <w:t>36</w:t>
        </w:r>
        <w:r>
          <w:rPr>
            <w:noProof/>
            <w:webHidden/>
          </w:rPr>
          <w:fldChar w:fldCharType="end"/>
        </w:r>
      </w:hyperlink>
    </w:p>
    <w:p w14:paraId="1C660472" w14:textId="13AA23DB" w:rsidR="00C46669" w:rsidRPr="00684832" w:rsidRDefault="00C46669" w:rsidP="00D91825">
      <w:pPr>
        <w:rPr>
          <w:b/>
          <w:bCs/>
          <w:sz w:val="28"/>
          <w:szCs w:val="28"/>
        </w:rPr>
      </w:pPr>
      <w:r w:rsidRPr="00684832">
        <w:rPr>
          <w:b/>
          <w:bCs/>
          <w:sz w:val="28"/>
          <w:szCs w:val="28"/>
        </w:rPr>
        <w:fldChar w:fldCharType="end"/>
      </w:r>
    </w:p>
    <w:p w14:paraId="0D7C7025" w14:textId="77777777" w:rsidR="00C46669" w:rsidRPr="00684832" w:rsidRDefault="00C46669" w:rsidP="00D91825"/>
    <w:p w14:paraId="0F0A5F5D" w14:textId="77777777" w:rsidR="00D91825" w:rsidRPr="00684832" w:rsidRDefault="00D91825">
      <w:pPr>
        <w:spacing w:line="278" w:lineRule="auto"/>
        <w:jc w:val="left"/>
      </w:pPr>
      <w:r w:rsidRPr="00684832">
        <w:br w:type="page"/>
      </w:r>
    </w:p>
    <w:p w14:paraId="35B3D083" w14:textId="77777777" w:rsidR="00C51CDD" w:rsidRPr="00684832" w:rsidRDefault="00C51CDD" w:rsidP="00163FB0">
      <w:pPr>
        <w:pStyle w:val="Heading1"/>
        <w:rPr>
          <w:rFonts w:ascii="Times New Roman" w:hAnsi="Times New Roman"/>
        </w:rPr>
      </w:pPr>
      <w:bookmarkStart w:id="1" w:name="_Toc217290341"/>
      <w:r w:rsidRPr="00684832">
        <w:lastRenderedPageBreak/>
        <w:t>1. Introduction &amp; Organisational Overview</w:t>
      </w:r>
      <w:bookmarkEnd w:id="1"/>
    </w:p>
    <w:p w14:paraId="4E530DD3" w14:textId="77777777" w:rsidR="00C51CDD" w:rsidRPr="00684832" w:rsidRDefault="00C51CDD" w:rsidP="00163FB0">
      <w:pPr>
        <w:pStyle w:val="Heading2"/>
      </w:pPr>
      <w:bookmarkStart w:id="2" w:name="_Toc217290342"/>
      <w:r w:rsidRPr="00684832">
        <w:t>1.1 Introduction</w:t>
      </w:r>
      <w:bookmarkEnd w:id="2"/>
    </w:p>
    <w:p w14:paraId="2056C355" w14:textId="759A766E" w:rsidR="00163FB0" w:rsidRPr="00684832" w:rsidRDefault="00985465" w:rsidP="00985465">
      <w:r w:rsidRPr="00684832">
        <w:t>This report evaluates Nothing's strategic viability for going international, specifically the United States smartphone market. Drawing up on established strategic management frameworks the analysis examines the external environment, industry competition and the internal capabilities of the company, and culminates in the creation of an entry strategy supported by an appropriate performance evaluation framework. International expansion takes on an accelerated importance in the consumer electronics market that is characterised by fast-moving technological convergence, widespread competition, and short product life cycles, meaning to continue growing, firms must explore new market opportunities to achieve economies of scale (Fan et al., 2020). The report is structured sequentially starting with the context of the organisation and expansion rationale, moving through strategic analysis and strategy formulation and ending with performance measurement.</w:t>
      </w:r>
    </w:p>
    <w:p w14:paraId="7A1C8CB2" w14:textId="77777777" w:rsidR="00985465" w:rsidRPr="00684832" w:rsidRDefault="00985465" w:rsidP="00985465"/>
    <w:p w14:paraId="1A57F8BF" w14:textId="24E2F769" w:rsidR="00C51CDD" w:rsidRPr="00684832" w:rsidRDefault="00C51CDD" w:rsidP="00163FB0">
      <w:pPr>
        <w:pStyle w:val="Heading2"/>
      </w:pPr>
      <w:bookmarkStart w:id="3" w:name="_Toc217290343"/>
      <w:r w:rsidRPr="00684832">
        <w:t xml:space="preserve">1.2 Overview of </w:t>
      </w:r>
      <w:r w:rsidR="000A12B7" w:rsidRPr="00684832">
        <w:t>Company-</w:t>
      </w:r>
      <w:r w:rsidRPr="00684832">
        <w:t>Nothing</w:t>
      </w:r>
      <w:r w:rsidR="000A12B7" w:rsidRPr="00684832">
        <w:t xml:space="preserve"> Mobile</w:t>
      </w:r>
      <w:bookmarkEnd w:id="3"/>
    </w:p>
    <w:p w14:paraId="6195A4AA" w14:textId="394BC83A" w:rsidR="005110D1" w:rsidRDefault="00CF3E3B" w:rsidP="00C51CDD">
      <w:r w:rsidRPr="00684832">
        <w:t>Nothing is a United Kingdom incorporated consumer technology company, founded in 2020 and playing the role of a challenger brand. The company blends high-end design with a digital first approach to business and selective retail partnerships offering smartphones and ecosystem devices differentiated by transparent aesthetics, community co-creation and sustainability-led innovation (Nothing, 2024a; Nothing, 2024b).</w:t>
      </w:r>
    </w:p>
    <w:p w14:paraId="6308132E" w14:textId="762032A4" w:rsidR="009A7231" w:rsidRDefault="009A7231" w:rsidP="009A7231">
      <w:pPr>
        <w:jc w:val="center"/>
      </w:pPr>
      <w:r>
        <w:rPr>
          <w:noProof/>
        </w:rPr>
        <w:lastRenderedPageBreak/>
        <w:drawing>
          <wp:inline distT="0" distB="0" distL="0" distR="0" wp14:anchorId="00262227" wp14:editId="2DC115D1">
            <wp:extent cx="6214110" cy="4373880"/>
            <wp:effectExtent l="0" t="0" r="0" b="7620"/>
            <wp:docPr id="113269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4110" cy="4373880"/>
                    </a:xfrm>
                    <a:prstGeom prst="rect">
                      <a:avLst/>
                    </a:prstGeom>
                    <a:noFill/>
                  </pic:spPr>
                </pic:pic>
              </a:graphicData>
            </a:graphic>
          </wp:inline>
        </w:drawing>
      </w:r>
    </w:p>
    <w:p w14:paraId="543769EE" w14:textId="5F945F74" w:rsidR="00463FD1" w:rsidRDefault="00463FD1" w:rsidP="00463FD1">
      <w:pPr>
        <w:pStyle w:val="Caption"/>
        <w:rPr>
          <w:lang w:val="en-US"/>
        </w:rPr>
      </w:pPr>
      <w:bookmarkStart w:id="4" w:name="_Toc217290376"/>
      <w:r>
        <w:t xml:space="preserve">Figure </w:t>
      </w:r>
      <w:r>
        <w:fldChar w:fldCharType="begin"/>
      </w:r>
      <w:r>
        <w:instrText xml:space="preserve"> SEQ Figure \* ARABIC </w:instrText>
      </w:r>
      <w:r>
        <w:fldChar w:fldCharType="separate"/>
      </w:r>
      <w:r w:rsidR="0027512E">
        <w:rPr>
          <w:noProof/>
        </w:rPr>
        <w:t>1</w:t>
      </w:r>
      <w:r>
        <w:fldChar w:fldCharType="end"/>
      </w:r>
      <w:r>
        <w:rPr>
          <w:lang w:val="en-US"/>
        </w:rPr>
        <w:t>: Nothing mobile</w:t>
      </w:r>
      <w:bookmarkEnd w:id="4"/>
    </w:p>
    <w:p w14:paraId="7227B0BD" w14:textId="5551E9C4" w:rsidR="00463FD1" w:rsidRPr="00463FD1" w:rsidRDefault="00463FD1" w:rsidP="00463FD1">
      <w:pPr>
        <w:rPr>
          <w:lang w:val="en-US"/>
        </w:rPr>
      </w:pPr>
      <w:r>
        <w:rPr>
          <w:lang w:val="en-US"/>
        </w:rPr>
        <w:t>(Source: Nothing mobile company)</w:t>
      </w:r>
    </w:p>
    <w:p w14:paraId="2D371C90" w14:textId="77777777" w:rsidR="00CF3E3B" w:rsidRPr="00684832" w:rsidRDefault="00CF3E3B" w:rsidP="00C51CDD"/>
    <w:p w14:paraId="4494D14F" w14:textId="77777777" w:rsidR="00C51CDD" w:rsidRPr="00684832" w:rsidRDefault="00C51CDD" w:rsidP="00163FB0">
      <w:pPr>
        <w:pStyle w:val="Heading2"/>
      </w:pPr>
      <w:bookmarkStart w:id="5" w:name="_Toc217290344"/>
      <w:r w:rsidRPr="00684832">
        <w:t>1.3 Rationale for International Expansion</w:t>
      </w:r>
      <w:bookmarkEnd w:id="5"/>
    </w:p>
    <w:p w14:paraId="607E0BA7" w14:textId="5E91DEE8" w:rsidR="00DC038F" w:rsidRDefault="000E680B" w:rsidP="000E680B">
      <w:r w:rsidRPr="00684832">
        <w:t xml:space="preserve">The global growth is strategically justified to seize on opportunities that are no longer in the local markets of smartphone and to tap into the emerging global demand of differentiated and design-led devices. </w:t>
      </w:r>
    </w:p>
    <w:p w14:paraId="222AB4D2" w14:textId="5F5DB260" w:rsidR="00DC038F" w:rsidRDefault="00DC038F" w:rsidP="000E680B">
      <w:r>
        <w:rPr>
          <w:noProof/>
        </w:rPr>
        <w:lastRenderedPageBreak/>
        <w:drawing>
          <wp:inline distT="0" distB="0" distL="0" distR="0" wp14:anchorId="184D0CE9" wp14:editId="42051CDC">
            <wp:extent cx="6499860" cy="4053840"/>
            <wp:effectExtent l="0" t="0" r="0" b="3810"/>
            <wp:docPr id="1283090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99860" cy="4053840"/>
                    </a:xfrm>
                    <a:prstGeom prst="rect">
                      <a:avLst/>
                    </a:prstGeom>
                    <a:noFill/>
                  </pic:spPr>
                </pic:pic>
              </a:graphicData>
            </a:graphic>
          </wp:inline>
        </w:drawing>
      </w:r>
    </w:p>
    <w:p w14:paraId="7C4D85E8" w14:textId="685FA7A9" w:rsidR="00DC038F" w:rsidRDefault="00DC038F" w:rsidP="00DC038F">
      <w:pPr>
        <w:pStyle w:val="Caption"/>
        <w:rPr>
          <w:lang w:val="en-US"/>
        </w:rPr>
      </w:pPr>
      <w:bookmarkStart w:id="6" w:name="_Toc217290377"/>
      <w:r>
        <w:t xml:space="preserve">Figure </w:t>
      </w:r>
      <w:r>
        <w:fldChar w:fldCharType="begin"/>
      </w:r>
      <w:r>
        <w:instrText xml:space="preserve"> SEQ Figure \* ARABIC </w:instrText>
      </w:r>
      <w:r>
        <w:fldChar w:fldCharType="separate"/>
      </w:r>
      <w:r w:rsidR="0027512E">
        <w:rPr>
          <w:noProof/>
        </w:rPr>
        <w:t>2</w:t>
      </w:r>
      <w:r>
        <w:fldChar w:fldCharType="end"/>
      </w:r>
      <w:r>
        <w:rPr>
          <w:lang w:val="en-US"/>
        </w:rPr>
        <w:t xml:space="preserve">: </w:t>
      </w:r>
      <w:r w:rsidRPr="00B868C2">
        <w:rPr>
          <w:lang w:val="en-US"/>
        </w:rPr>
        <w:t>Global Smartphones Market Size Forecast (2025–2034, USD Billion)</w:t>
      </w:r>
      <w:bookmarkEnd w:id="6"/>
    </w:p>
    <w:p w14:paraId="266DEEA2" w14:textId="538A7DC6" w:rsidR="00DC038F" w:rsidRPr="00DC038F" w:rsidRDefault="00DC038F" w:rsidP="00DC038F">
      <w:pPr>
        <w:rPr>
          <w:lang w:val="en-US"/>
        </w:rPr>
      </w:pPr>
      <w:r w:rsidRPr="00DC038F">
        <w:rPr>
          <w:lang w:val="en-US"/>
        </w:rPr>
        <w:t>Source: Precedence Research (2024)</w:t>
      </w:r>
    </w:p>
    <w:p w14:paraId="6000BE64" w14:textId="35B02186" w:rsidR="00285E4C" w:rsidRPr="00684832" w:rsidRDefault="00DC038F" w:rsidP="000E680B">
      <w:r w:rsidRPr="00DC038F">
        <w:t>The graph shows that the global smartphone market will show a robust and consistent growth spanning between USD 607.56billion in 2025 to an estimated of USD 1138.76billion in 2034 showing a continuous growth trend every year. This upward trend highlights the ongoing demand that the world is constantly facing being driven by technological breakthrough, the implementation of 5G, the introduction of AI, and the growth of ecosystems regardless of the maturity of markets in developed economies</w:t>
      </w:r>
      <w:r>
        <w:t xml:space="preserve"> </w:t>
      </w:r>
      <w:r w:rsidR="000E680B" w:rsidRPr="00684832">
        <w:t>(Statista, 2024; UNCTAD, 2025). In the US</w:t>
      </w:r>
      <w:r>
        <w:t>,</w:t>
      </w:r>
      <w:r w:rsidR="000E680B" w:rsidRPr="00684832">
        <w:t xml:space="preserve"> revenues present on smartphone surpassed USD 74 billion, which highlights the existence of very high purchasing power and potential in the high-end market (Research and Markets, 2024). Internationalization helps companies to diversify cash flows and capitalize on economies of scale as well as strengthen the positioning in terms of competition in the face of stiff competition (Baird et al., 2024).</w:t>
      </w:r>
    </w:p>
    <w:p w14:paraId="3EAA7F7B" w14:textId="77777777" w:rsidR="00B94563" w:rsidRPr="00684832" w:rsidRDefault="00B94563" w:rsidP="000C2EBC">
      <w:pPr>
        <w:pStyle w:val="Heading1"/>
        <w:rPr>
          <w:rFonts w:ascii="Times New Roman" w:hAnsi="Times New Roman"/>
        </w:rPr>
      </w:pPr>
      <w:bookmarkStart w:id="7" w:name="_Toc217290345"/>
      <w:r w:rsidRPr="00684832">
        <w:lastRenderedPageBreak/>
        <w:t>2. Selection of Organisation and Target Market</w:t>
      </w:r>
      <w:bookmarkEnd w:id="7"/>
    </w:p>
    <w:p w14:paraId="2DE95917" w14:textId="1418948D" w:rsidR="00B94563" w:rsidRPr="00684832" w:rsidRDefault="00B94563" w:rsidP="000C2EBC">
      <w:pPr>
        <w:pStyle w:val="Heading2"/>
      </w:pPr>
      <w:bookmarkStart w:id="8" w:name="_Toc217290346"/>
      <w:r w:rsidRPr="00684832">
        <w:t>2.1 Justification for Selecting Nothing</w:t>
      </w:r>
      <w:r w:rsidR="00A71198" w:rsidRPr="00684832">
        <w:t xml:space="preserve"> Mobile</w:t>
      </w:r>
      <w:bookmarkEnd w:id="8"/>
    </w:p>
    <w:p w14:paraId="6B5BEC31" w14:textId="1FCE12E7" w:rsidR="00B94563" w:rsidRDefault="00A71198" w:rsidP="005070A2">
      <w:r w:rsidRPr="00684832">
        <w:t xml:space="preserve">Nothing Mobile organization provides the best fit to this strategic analysis as it is a unique form of challenger brand in an already established and competitive global smartphone market. Founded in 2020, Nothing has already occupied a differentiated market position through design-led innovation, transparent aesthetics and robust community-driven brand philosophy, all of which differ from the incumbent competitive strategies of specification-centred (Nothing, 2023a; Ward et al., 2025). </w:t>
      </w:r>
    </w:p>
    <w:p w14:paraId="108FE802" w14:textId="7643B8B6" w:rsidR="0068636A" w:rsidRDefault="0068636A" w:rsidP="0068636A">
      <w:pPr>
        <w:jc w:val="center"/>
      </w:pPr>
      <w:r>
        <w:rPr>
          <w:noProof/>
        </w:rPr>
        <w:drawing>
          <wp:inline distT="0" distB="0" distL="0" distR="0" wp14:anchorId="1F12085E" wp14:editId="6E5F47DF">
            <wp:extent cx="3368040" cy="3398520"/>
            <wp:effectExtent l="0" t="0" r="3810" b="0"/>
            <wp:docPr id="2132762661" name="Picture 2132762661" descr="In 2024, Nothing successfully doubled sales and surpassed $1B in cumulative  revenue, with over 7 million products sold. It's great to see that we were  also the fastest-growing smartphone brand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 2024, Nothing successfully doubled sales and surpassed $1B in cumulative  revenue, with over 7 million products sold. It's great to see that we were  also the fastest-growing smartphone brand in…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8040" cy="3398520"/>
                    </a:xfrm>
                    <a:prstGeom prst="rect">
                      <a:avLst/>
                    </a:prstGeom>
                    <a:noFill/>
                    <a:ln>
                      <a:noFill/>
                    </a:ln>
                  </pic:spPr>
                </pic:pic>
              </a:graphicData>
            </a:graphic>
          </wp:inline>
        </w:drawing>
      </w:r>
    </w:p>
    <w:p w14:paraId="24895CC2" w14:textId="71536C62" w:rsidR="0068636A" w:rsidRDefault="0068636A" w:rsidP="0068636A">
      <w:pPr>
        <w:pStyle w:val="Caption"/>
        <w:rPr>
          <w:lang w:val="en-US"/>
        </w:rPr>
      </w:pPr>
      <w:bookmarkStart w:id="9" w:name="_Toc217290378"/>
      <w:r>
        <w:t xml:space="preserve">Figure </w:t>
      </w:r>
      <w:r>
        <w:fldChar w:fldCharType="begin"/>
      </w:r>
      <w:r>
        <w:instrText xml:space="preserve"> SEQ Figure \* ARABIC </w:instrText>
      </w:r>
      <w:r>
        <w:fldChar w:fldCharType="separate"/>
      </w:r>
      <w:r w:rsidR="0027512E">
        <w:rPr>
          <w:noProof/>
        </w:rPr>
        <w:t>3</w:t>
      </w:r>
      <w:r>
        <w:fldChar w:fldCharType="end"/>
      </w:r>
      <w:r>
        <w:rPr>
          <w:lang w:val="en-US"/>
        </w:rPr>
        <w:t>:</w:t>
      </w:r>
      <w:r w:rsidRPr="00F6521E">
        <w:rPr>
          <w:lang w:val="en-US"/>
        </w:rPr>
        <w:t>Nothing Mobile Year-on-Year Growth Performance in 2024</w:t>
      </w:r>
      <w:bookmarkEnd w:id="9"/>
    </w:p>
    <w:p w14:paraId="62F6CA8D" w14:textId="33FC7715" w:rsidR="0068636A" w:rsidRPr="0068636A" w:rsidRDefault="0068636A" w:rsidP="0068636A">
      <w:pPr>
        <w:rPr>
          <w:lang w:val="en-US"/>
        </w:rPr>
      </w:pPr>
      <w:r w:rsidRPr="0068636A">
        <w:rPr>
          <w:lang w:val="en-US"/>
        </w:rPr>
        <w:t>Source: Counterpoint Research (2024)</w:t>
      </w:r>
    </w:p>
    <w:p w14:paraId="573EB70A" w14:textId="53390B75" w:rsidR="0068636A" w:rsidRPr="00684832" w:rsidRDefault="0068636A" w:rsidP="0068636A">
      <w:r w:rsidRPr="0068636A">
        <w:t>The brand experienced year-on-year growth of 577% in 2024 and is therefore the fastest growing smartphone brand, which signifies huge acceptance from the market and rapid brand growth, thanks to differentiation and innovation (Counterpoint Research, 2024).</w:t>
      </w:r>
    </w:p>
    <w:p w14:paraId="53C59F81" w14:textId="77777777" w:rsidR="00A71198" w:rsidRDefault="00A71198" w:rsidP="00A71198">
      <w:r w:rsidRPr="00684832">
        <w:t xml:space="preserve">Empirical evidence shows that it is becoming more important for younger consumers, especially Generation Z consumers, to consider factors like uniqueness, brand symbolism </w:t>
      </w:r>
      <w:r w:rsidRPr="00684832">
        <w:lastRenderedPageBreak/>
        <w:t>and community affiliation while choosing their smartphone, rather than merely considering hardware aspects alone (Aubhi et al., 2025; Kim et al., 2020). The minimalist, industrial design of Nothing, combined with co-creation model for marketing, are a perfect fit with these preferences, making the firm a relevant case for analysing modern competitive strategies. Moreover, the factors of sustainability are having an increasing impact on the decision to buy smartphones as studies have shown that the intention to buy a more environmentally responsible smartphone is increasing (Zwicker et al., 2023). Nothing's focus on recycled materials, product longevity and transparency in sustainability reporting adds to its strategic relevance in this context (Nothing, 2024b).</w:t>
      </w:r>
    </w:p>
    <w:p w14:paraId="125E50BC" w14:textId="25DF3F07" w:rsidR="001109DB" w:rsidRPr="00684832" w:rsidRDefault="001109DB" w:rsidP="001109DB">
      <w:pPr>
        <w:jc w:val="center"/>
      </w:pPr>
      <w:r>
        <w:rPr>
          <w:noProof/>
        </w:rPr>
        <w:drawing>
          <wp:inline distT="0" distB="0" distL="0" distR="0" wp14:anchorId="0081BFDF" wp14:editId="233B70DC">
            <wp:extent cx="4945380" cy="4320540"/>
            <wp:effectExtent l="0" t="0" r="7620" b="3810"/>
            <wp:docPr id="1026262651" name="Picture 1026262651" descr="Nothing Phone 1 - Innovative Smartphone Battery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hing Phone 1 - Innovative Smartphone Battery Perform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5380" cy="4320540"/>
                    </a:xfrm>
                    <a:prstGeom prst="rect">
                      <a:avLst/>
                    </a:prstGeom>
                    <a:noFill/>
                    <a:ln>
                      <a:noFill/>
                    </a:ln>
                  </pic:spPr>
                </pic:pic>
              </a:graphicData>
            </a:graphic>
          </wp:inline>
        </w:drawing>
      </w:r>
    </w:p>
    <w:p w14:paraId="6CA91EDD" w14:textId="6959856E" w:rsidR="00A71198" w:rsidRPr="00684832" w:rsidRDefault="00A71198" w:rsidP="00A71198">
      <w:r w:rsidRPr="00684832">
        <w:t xml:space="preserve">From a strategic management perspective, Nothing </w:t>
      </w:r>
      <w:r w:rsidR="00B85B10">
        <w:t xml:space="preserve">mobile </w:t>
      </w:r>
      <w:r w:rsidRPr="00684832">
        <w:t xml:space="preserve">is particularly </w:t>
      </w:r>
      <w:r w:rsidR="00B85B10">
        <w:t xml:space="preserve">suitable for international expansion because its </w:t>
      </w:r>
      <w:r w:rsidRPr="00684832">
        <w:t xml:space="preserve">strong intangible resources, such as brand personality, designing capability and digital native marketing, whilst at the same time facing obvious limitations to do with scale and distribution and a lack of power to its suppliers. This combination presents a case that is realistic and rich enough to analyse </w:t>
      </w:r>
      <w:r w:rsidRPr="00684832">
        <w:lastRenderedPageBreak/>
        <w:t>international expansion, strategic fit, and competition position within the US smart phone market (Bair</w:t>
      </w:r>
      <w:r w:rsidR="00E23900">
        <w:t>d et al.</w:t>
      </w:r>
      <w:r w:rsidRPr="00684832">
        <w:t>, 2024).</w:t>
      </w:r>
    </w:p>
    <w:p w14:paraId="6106A3F2" w14:textId="77777777" w:rsidR="00A71198" w:rsidRPr="00684832" w:rsidRDefault="00A71198" w:rsidP="005070A2"/>
    <w:p w14:paraId="408106F7" w14:textId="77777777" w:rsidR="00B94563" w:rsidRPr="00684832" w:rsidRDefault="00B94563" w:rsidP="00A92A35">
      <w:pPr>
        <w:pStyle w:val="Heading2"/>
      </w:pPr>
      <w:bookmarkStart w:id="10" w:name="_Toc217290347"/>
      <w:r w:rsidRPr="00684832">
        <w:t>2.2 Target Market Selection: United States</w:t>
      </w:r>
      <w:bookmarkEnd w:id="10"/>
    </w:p>
    <w:p w14:paraId="30F5129D" w14:textId="4A6A983F" w:rsidR="00B94563" w:rsidRPr="00684832" w:rsidRDefault="00E00840" w:rsidP="005070A2">
      <w:r w:rsidRPr="00684832">
        <w:t>The United States has taken strategic selection as the focal market because of its substantial scale, great purchasing power and unique structural characteristics. It comprises the largest smartphone market in the world in terms of revenue, with a penetration rate exceeding 85 % of the entire population and constant demand for device replacement through competitive accelerated innovation cycles (Statista, 2024). Although constraints associated with the maturity of the market do put volume growth pressure, the path of value expansion is unfolding strongly, especially in the premium and the upper mid-range.</w:t>
      </w:r>
    </w:p>
    <w:p w14:paraId="3B4EAF9D" w14:textId="05CB47B4" w:rsidR="009026A8" w:rsidRDefault="009026A8" w:rsidP="009026A8">
      <w:pPr>
        <w:jc w:val="center"/>
      </w:pPr>
      <w:r w:rsidRPr="00684832">
        <w:rPr>
          <w:noProof/>
        </w:rPr>
        <w:drawing>
          <wp:inline distT="0" distB="0" distL="0" distR="0" wp14:anchorId="628A84D4" wp14:editId="22D61717">
            <wp:extent cx="5661660" cy="3238500"/>
            <wp:effectExtent l="0" t="0" r="0" b="0"/>
            <wp:docPr id="1" name="Picture 1" descr="U.S. Refurbished and Used Mobile Phones Market Size, Share, 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Refurbished and Used Mobile Phones Market Size, Share, 2032"/>
                    <pic:cNvPicPr>
                      <a:picLocks noChangeAspect="1" noChangeArrowheads="1"/>
                    </pic:cNvPicPr>
                  </pic:nvPicPr>
                  <pic:blipFill rotWithShape="1">
                    <a:blip r:embed="rId13">
                      <a:extLst>
                        <a:ext uri="{28A0092B-C50C-407E-A947-70E740481C1C}">
                          <a14:useLocalDpi xmlns:a14="http://schemas.microsoft.com/office/drawing/2010/main" val="0"/>
                        </a:ext>
                      </a:extLst>
                    </a:blip>
                    <a:srcRect b="15507"/>
                    <a:stretch>
                      <a:fillRect/>
                    </a:stretch>
                  </pic:blipFill>
                  <pic:spPr bwMode="auto">
                    <a:xfrm>
                      <a:off x="0" y="0"/>
                      <a:ext cx="5661660" cy="3238500"/>
                    </a:xfrm>
                    <a:prstGeom prst="rect">
                      <a:avLst/>
                    </a:prstGeom>
                    <a:noFill/>
                    <a:ln>
                      <a:noFill/>
                    </a:ln>
                    <a:extLst>
                      <a:ext uri="{53640926-AAD7-44D8-BBD7-CCE9431645EC}">
                        <a14:shadowObscured xmlns:a14="http://schemas.microsoft.com/office/drawing/2010/main"/>
                      </a:ext>
                    </a:extLst>
                  </pic:spPr>
                </pic:pic>
              </a:graphicData>
            </a:graphic>
          </wp:inline>
        </w:drawing>
      </w:r>
    </w:p>
    <w:p w14:paraId="21EF0F8E" w14:textId="2EEE6DD1" w:rsidR="00C2356F" w:rsidRDefault="00C2356F" w:rsidP="00C2356F">
      <w:pPr>
        <w:pStyle w:val="Caption"/>
        <w:rPr>
          <w:lang w:val="en-US"/>
        </w:rPr>
      </w:pPr>
      <w:bookmarkStart w:id="11" w:name="_Toc217290379"/>
      <w:r>
        <w:t xml:space="preserve">Figure </w:t>
      </w:r>
      <w:r>
        <w:fldChar w:fldCharType="begin"/>
      </w:r>
      <w:r>
        <w:instrText xml:space="preserve"> SEQ Figure \* ARABIC </w:instrText>
      </w:r>
      <w:r>
        <w:fldChar w:fldCharType="separate"/>
      </w:r>
      <w:r w:rsidR="0027512E">
        <w:rPr>
          <w:noProof/>
        </w:rPr>
        <w:t>4</w:t>
      </w:r>
      <w:r>
        <w:fldChar w:fldCharType="end"/>
      </w:r>
      <w:r>
        <w:rPr>
          <w:lang w:val="en-US"/>
        </w:rPr>
        <w:t>:</w:t>
      </w:r>
      <w:r w:rsidRPr="007831EF">
        <w:rPr>
          <w:lang w:val="en-US"/>
        </w:rPr>
        <w:t>U.S. Refurbished and Used Mobile Phones Market Size Forecast (2018–2032, USD Billion)</w:t>
      </w:r>
      <w:bookmarkEnd w:id="11"/>
    </w:p>
    <w:p w14:paraId="5941260A" w14:textId="6D110D76" w:rsidR="00C2356F" w:rsidRPr="00C2356F" w:rsidRDefault="00C2356F" w:rsidP="00C2356F">
      <w:pPr>
        <w:rPr>
          <w:lang w:val="en-US"/>
        </w:rPr>
      </w:pPr>
      <w:r>
        <w:rPr>
          <w:lang w:val="en-US"/>
        </w:rPr>
        <w:t>(</w:t>
      </w:r>
      <w:r w:rsidRPr="00C2356F">
        <w:rPr>
          <w:lang w:val="en-US"/>
        </w:rPr>
        <w:t>Source: Zion Market Research</w:t>
      </w:r>
      <w:r>
        <w:rPr>
          <w:lang w:val="en-US"/>
        </w:rPr>
        <w:t>)</w:t>
      </w:r>
    </w:p>
    <w:p w14:paraId="132DBAD2" w14:textId="5CAE67F1" w:rsidR="009026A8" w:rsidRPr="00684832" w:rsidRDefault="00E00840" w:rsidP="00B15460">
      <w:r w:rsidRPr="00684832">
        <w:lastRenderedPageBreak/>
        <w:t>The chart shows strong growth in the U.S. refurbished and used mobile phones market, rising from USD 8.67 billion in 2023 to USD 26.67 billion by 2032, with a 13% CAGR. This trend is evidence of increased sensitivity of the consumer prices, increased sensitivity towards sustainability and increased demand of cheap smart phone substitutes.</w:t>
      </w:r>
    </w:p>
    <w:p w14:paraId="44D7E58E" w14:textId="1FB86E6C" w:rsidR="00B94563" w:rsidRPr="00684832" w:rsidRDefault="00E00840" w:rsidP="005070A2">
      <w:r w:rsidRPr="00684832">
        <w:t>There is a noticeable opportunity in the premium-mid-range segment (around USD 400-700), an underexploited market segment in comparison to the flagship and the budget ends. Apple and Samsung continue to dominate the High-End, but at the low-end value brands increase competition, which leaves differentiated entrants with the potential to provide design-focused products with alternatives (Statista, 2024). Empirical measures of the smartphone market in the U.S. have shown that an increase in the variety of the product does not reduce consumer welfare or lessen the competition, indicating that the market is structurally open to new market competitors (Fan et al., 2020).</w:t>
      </w:r>
    </w:p>
    <w:p w14:paraId="535BF883" w14:textId="5E1F0BEF" w:rsidR="00B94563" w:rsidRPr="00684832" w:rsidRDefault="00E00840" w:rsidP="00E00840">
      <w:r w:rsidRPr="00684832">
        <w:t>In addition, American customers are showing a growing desire to seek other Android brands, and especially ones that offer unique design features, integration with the current ecosystem, and strong brand stories. As empirical studies into smartphone preferences show, the impact of peer influence, the sense of uniqueness, and reference-group effects is quite strong on brand choice with young and urban audiences (Kim et al., 2020; Liu, 2022). Those attributes go hand in hand with the target audience and ethos of the brand of Nothing.</w:t>
      </w:r>
    </w:p>
    <w:p w14:paraId="508A47BE" w14:textId="77777777" w:rsidR="00E00840" w:rsidRPr="00684832" w:rsidRDefault="00E00840" w:rsidP="00E00840"/>
    <w:p w14:paraId="0A599395" w14:textId="77777777" w:rsidR="00B94563" w:rsidRPr="00684832" w:rsidRDefault="00B94563" w:rsidP="00A92A35">
      <w:pPr>
        <w:pStyle w:val="Heading2"/>
      </w:pPr>
      <w:bookmarkStart w:id="12" w:name="_Toc217290348"/>
      <w:r w:rsidRPr="00684832">
        <w:t>2.3 Strategic Fit Between Nothing and the US Market</w:t>
      </w:r>
      <w:bookmarkEnd w:id="12"/>
    </w:p>
    <w:p w14:paraId="31B193A7" w14:textId="10B483B0" w:rsidR="006760D2" w:rsidRPr="00684832" w:rsidRDefault="006760D2" w:rsidP="006760D2">
      <w:r w:rsidRPr="00684832">
        <w:t>Nothing has high strategic compatibility with the U.S. consumer preferences with its value proposition. The aesthetics of the product, its integration into the ecosystem, and its brand narrative are highly appreciated by the American consumers, especially in the areas of technology where functional differentiation is becoming more of a narrow slice (Luceri et al., 2022). The language of Nothing is transparent in design and the minimalism of its brand reflects this need of symbolic and experience value directly.</w:t>
      </w:r>
    </w:p>
    <w:p w14:paraId="5DCC094D" w14:textId="782C9F05" w:rsidR="006760D2" w:rsidRPr="00684832" w:rsidRDefault="006760D2" w:rsidP="006760D2">
      <w:r w:rsidRPr="00684832">
        <w:t xml:space="preserve">There is also high potential of distribution and partnership in the U.S market. Although carrier control is an obstacle, selective partnerships with mobile virtual network operators </w:t>
      </w:r>
      <w:r w:rsidRPr="00684832">
        <w:lastRenderedPageBreak/>
        <w:t>(MVNOs) and online stores can facilitate gradual market penetration, which, in conjunction with the direct-to-consumer can be used at Nothing. This is an intermediate strategy that reduces the threat of dependency and retains brand control.</w:t>
      </w:r>
    </w:p>
    <w:p w14:paraId="1FC89C3E" w14:textId="411CF05E" w:rsidR="00B94563" w:rsidRDefault="006760D2" w:rsidP="008A31B5">
      <w:r w:rsidRPr="00684832">
        <w:t xml:space="preserve">Competitively, in terms of differentiated positioning, Nothing position is differentiated as compared to Apple, Samsung, and Google Pixel as it is summed up in </w:t>
      </w:r>
      <w:r w:rsidR="00266599" w:rsidRPr="00684832">
        <w:t>Figure 1</w:t>
      </w:r>
      <w:r w:rsidRPr="00684832">
        <w:t>.</w:t>
      </w:r>
    </w:p>
    <w:p w14:paraId="555271CE" w14:textId="56E4CEBD" w:rsidR="001109DB" w:rsidRDefault="001109DB" w:rsidP="008A31B5">
      <w:r w:rsidRPr="00684832">
        <w:rPr>
          <w:noProof/>
        </w:rPr>
        <w:drawing>
          <wp:inline distT="0" distB="0" distL="0" distR="0" wp14:anchorId="22DC1FE0" wp14:editId="44477ED7">
            <wp:extent cx="5943600" cy="5406026"/>
            <wp:effectExtent l="0" t="0" r="0" b="4445"/>
            <wp:docPr id="444947139" name="Picture 2"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47139" name="Picture 2" descr="A diagram of a marke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5406026"/>
                    </a:xfrm>
                    <a:prstGeom prst="rect">
                      <a:avLst/>
                    </a:prstGeom>
                    <a:noFill/>
                  </pic:spPr>
                </pic:pic>
              </a:graphicData>
            </a:graphic>
          </wp:inline>
        </w:drawing>
      </w:r>
    </w:p>
    <w:p w14:paraId="213BC2A1" w14:textId="56945974" w:rsidR="003747CB" w:rsidRDefault="003747CB" w:rsidP="003747CB">
      <w:pPr>
        <w:pStyle w:val="Caption"/>
        <w:rPr>
          <w:lang w:val="en-US"/>
        </w:rPr>
      </w:pPr>
      <w:bookmarkStart w:id="13" w:name="_Toc217290380"/>
      <w:r>
        <w:t xml:space="preserve">Figure </w:t>
      </w:r>
      <w:r>
        <w:fldChar w:fldCharType="begin"/>
      </w:r>
      <w:r>
        <w:instrText xml:space="preserve"> SEQ Figure \* ARABIC </w:instrText>
      </w:r>
      <w:r>
        <w:fldChar w:fldCharType="separate"/>
      </w:r>
      <w:r w:rsidR="0027512E">
        <w:rPr>
          <w:noProof/>
        </w:rPr>
        <w:t>5</w:t>
      </w:r>
      <w:r>
        <w:fldChar w:fldCharType="end"/>
      </w:r>
      <w:r>
        <w:rPr>
          <w:lang w:val="en-US"/>
        </w:rPr>
        <w:t>:</w:t>
      </w:r>
      <w:r w:rsidRPr="00E960AA">
        <w:rPr>
          <w:lang w:val="en-US"/>
        </w:rPr>
        <w:t>Competitive Positioning of Nothing Mobile in the US Smartphone Market (Price–Quality Matrix)</w:t>
      </w:r>
      <w:bookmarkEnd w:id="13"/>
    </w:p>
    <w:p w14:paraId="45A21261" w14:textId="00306458" w:rsidR="003747CB" w:rsidRPr="003747CB" w:rsidRDefault="003747CB" w:rsidP="003747CB">
      <w:pPr>
        <w:rPr>
          <w:lang w:val="en-US"/>
        </w:rPr>
      </w:pPr>
      <w:r>
        <w:rPr>
          <w:lang w:val="en-US"/>
        </w:rPr>
        <w:t>(</w:t>
      </w:r>
      <w:r w:rsidRPr="003747CB">
        <w:rPr>
          <w:lang w:val="en-US"/>
        </w:rPr>
        <w:t xml:space="preserve">Source: </w:t>
      </w:r>
      <w:r>
        <w:rPr>
          <w:lang w:val="en-US"/>
        </w:rPr>
        <w:t xml:space="preserve">Student </w:t>
      </w:r>
      <w:r w:rsidRPr="003747CB">
        <w:rPr>
          <w:lang w:val="en-US"/>
        </w:rPr>
        <w:t>adapted from Statista, 2024</w:t>
      </w:r>
      <w:r>
        <w:rPr>
          <w:lang w:val="en-US"/>
        </w:rPr>
        <w:t>)</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4"/>
        <w:gridCol w:w="2319"/>
        <w:gridCol w:w="1968"/>
        <w:gridCol w:w="3429"/>
      </w:tblGrid>
      <w:tr w:rsidR="00C37CFC" w:rsidRPr="00C37CFC" w14:paraId="079CA43B" w14:textId="77777777" w:rsidTr="00C37C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B6FCD1"/>
            <w:hideMark/>
          </w:tcPr>
          <w:p w14:paraId="6E1EBFA7" w14:textId="77777777" w:rsidR="00B94563" w:rsidRPr="00C37CFC" w:rsidRDefault="00B94563" w:rsidP="005070A2">
            <w:pPr>
              <w:rPr>
                <w:b w:val="0"/>
                <w:bCs w:val="0"/>
                <w:color w:val="000000" w:themeColor="text1"/>
              </w:rPr>
            </w:pPr>
            <w:r w:rsidRPr="00C37CFC">
              <w:rPr>
                <w:color w:val="000000" w:themeColor="text1"/>
              </w:rPr>
              <w:lastRenderedPageBreak/>
              <w:t>Brand</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2CAB4E4C" w14:textId="77777777" w:rsidR="00B94563" w:rsidRPr="00C37CFC" w:rsidRDefault="00B94563" w:rsidP="005070A2">
            <w:p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C37CFC">
              <w:rPr>
                <w:color w:val="000000" w:themeColor="text1"/>
              </w:rPr>
              <w:t>Core Strength</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42E7915A" w14:textId="77777777" w:rsidR="00B94563" w:rsidRPr="00C37CFC" w:rsidRDefault="00B94563" w:rsidP="005070A2">
            <w:p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C37CFC">
              <w:rPr>
                <w:color w:val="000000" w:themeColor="text1"/>
              </w:rPr>
              <w:t>Strategic Focus</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48BFF812" w14:textId="77777777" w:rsidR="00B94563" w:rsidRPr="00C37CFC" w:rsidRDefault="00B94563" w:rsidP="005070A2">
            <w:p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C37CFC">
              <w:rPr>
                <w:color w:val="000000" w:themeColor="text1"/>
              </w:rPr>
              <w:t>Differentiation Basis</w:t>
            </w:r>
          </w:p>
        </w:tc>
      </w:tr>
      <w:tr w:rsidR="00C37CFC" w:rsidRPr="00C37CFC" w14:paraId="3C38D8FE" w14:textId="77777777" w:rsidTr="00C37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52F2C" w14:textId="77777777" w:rsidR="00B94563" w:rsidRPr="00C37CFC" w:rsidRDefault="00B94563" w:rsidP="005070A2">
            <w:pPr>
              <w:rPr>
                <w:color w:val="000000" w:themeColor="text1"/>
              </w:rPr>
            </w:pPr>
            <w:r w:rsidRPr="00C37CFC">
              <w:rPr>
                <w:color w:val="000000" w:themeColor="text1"/>
              </w:rPr>
              <w:t>Apple</w:t>
            </w:r>
          </w:p>
        </w:tc>
        <w:tc>
          <w:tcPr>
            <w:tcW w:w="0" w:type="auto"/>
            <w:hideMark/>
          </w:tcPr>
          <w:p w14:paraId="21FF6641"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Ecosystem lock-in</w:t>
            </w:r>
          </w:p>
        </w:tc>
        <w:tc>
          <w:tcPr>
            <w:tcW w:w="0" w:type="auto"/>
            <w:hideMark/>
          </w:tcPr>
          <w:p w14:paraId="5E029916"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Premium</w:t>
            </w:r>
          </w:p>
        </w:tc>
        <w:tc>
          <w:tcPr>
            <w:tcW w:w="0" w:type="auto"/>
            <w:hideMark/>
          </w:tcPr>
          <w:p w14:paraId="24B7DA27"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Brand loyalty, iOS integration</w:t>
            </w:r>
          </w:p>
        </w:tc>
      </w:tr>
      <w:tr w:rsidR="00C37CFC" w:rsidRPr="00C37CFC" w14:paraId="2AABCB43" w14:textId="77777777" w:rsidTr="00C37CFC">
        <w:tc>
          <w:tcPr>
            <w:cnfStyle w:val="001000000000" w:firstRow="0" w:lastRow="0" w:firstColumn="1" w:lastColumn="0" w:oddVBand="0" w:evenVBand="0" w:oddHBand="0" w:evenHBand="0" w:firstRowFirstColumn="0" w:firstRowLastColumn="0" w:lastRowFirstColumn="0" w:lastRowLastColumn="0"/>
            <w:tcW w:w="0" w:type="auto"/>
            <w:hideMark/>
          </w:tcPr>
          <w:p w14:paraId="6BE96568" w14:textId="77777777" w:rsidR="00B94563" w:rsidRPr="00C37CFC" w:rsidRDefault="00B94563" w:rsidP="005070A2">
            <w:pPr>
              <w:rPr>
                <w:color w:val="000000" w:themeColor="text1"/>
              </w:rPr>
            </w:pPr>
            <w:r w:rsidRPr="00C37CFC">
              <w:rPr>
                <w:color w:val="000000" w:themeColor="text1"/>
              </w:rPr>
              <w:t>Samsung</w:t>
            </w:r>
          </w:p>
        </w:tc>
        <w:tc>
          <w:tcPr>
            <w:tcW w:w="0" w:type="auto"/>
            <w:hideMark/>
          </w:tcPr>
          <w:p w14:paraId="73E43E84"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Scale and breadth</w:t>
            </w:r>
          </w:p>
        </w:tc>
        <w:tc>
          <w:tcPr>
            <w:tcW w:w="0" w:type="auto"/>
            <w:hideMark/>
          </w:tcPr>
          <w:p w14:paraId="163F31FC"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Premium &amp; mass</w:t>
            </w:r>
          </w:p>
        </w:tc>
        <w:tc>
          <w:tcPr>
            <w:tcW w:w="0" w:type="auto"/>
            <w:hideMark/>
          </w:tcPr>
          <w:p w14:paraId="116D56E8"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Technology leadership</w:t>
            </w:r>
          </w:p>
        </w:tc>
      </w:tr>
      <w:tr w:rsidR="00C37CFC" w:rsidRPr="00C37CFC" w14:paraId="6E4EB3E7" w14:textId="77777777" w:rsidTr="00C37C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A1A009" w14:textId="77777777" w:rsidR="00B94563" w:rsidRPr="00C37CFC" w:rsidRDefault="00B94563" w:rsidP="005070A2">
            <w:pPr>
              <w:rPr>
                <w:color w:val="000000" w:themeColor="text1"/>
              </w:rPr>
            </w:pPr>
            <w:r w:rsidRPr="00C37CFC">
              <w:rPr>
                <w:color w:val="000000" w:themeColor="text1"/>
              </w:rPr>
              <w:t>Google Pixel</w:t>
            </w:r>
          </w:p>
        </w:tc>
        <w:tc>
          <w:tcPr>
            <w:tcW w:w="0" w:type="auto"/>
            <w:hideMark/>
          </w:tcPr>
          <w:p w14:paraId="228532D1"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Software &amp; AI</w:t>
            </w:r>
          </w:p>
        </w:tc>
        <w:tc>
          <w:tcPr>
            <w:tcW w:w="0" w:type="auto"/>
            <w:hideMark/>
          </w:tcPr>
          <w:p w14:paraId="6AFB4295"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Upper-mid</w:t>
            </w:r>
          </w:p>
        </w:tc>
        <w:tc>
          <w:tcPr>
            <w:tcW w:w="0" w:type="auto"/>
            <w:hideMark/>
          </w:tcPr>
          <w:p w14:paraId="443632FC" w14:textId="77777777" w:rsidR="00B94563" w:rsidRPr="00C37CFC" w:rsidRDefault="00B94563" w:rsidP="005070A2">
            <w:pPr>
              <w:cnfStyle w:val="000000100000" w:firstRow="0" w:lastRow="0" w:firstColumn="0" w:lastColumn="0" w:oddVBand="0" w:evenVBand="0" w:oddHBand="1" w:evenHBand="0" w:firstRowFirstColumn="0" w:firstRowLastColumn="0" w:lastRowFirstColumn="0" w:lastRowLastColumn="0"/>
              <w:rPr>
                <w:color w:val="000000" w:themeColor="text1"/>
              </w:rPr>
            </w:pPr>
            <w:r w:rsidRPr="00C37CFC">
              <w:rPr>
                <w:color w:val="000000" w:themeColor="text1"/>
              </w:rPr>
              <w:t>Camera and AI features</w:t>
            </w:r>
          </w:p>
        </w:tc>
      </w:tr>
      <w:tr w:rsidR="00C37CFC" w:rsidRPr="00C37CFC" w14:paraId="7DBDEC62" w14:textId="77777777" w:rsidTr="00C37CFC">
        <w:tc>
          <w:tcPr>
            <w:cnfStyle w:val="001000000000" w:firstRow="0" w:lastRow="0" w:firstColumn="1" w:lastColumn="0" w:oddVBand="0" w:evenVBand="0" w:oddHBand="0" w:evenHBand="0" w:firstRowFirstColumn="0" w:firstRowLastColumn="0" w:lastRowFirstColumn="0" w:lastRowLastColumn="0"/>
            <w:tcW w:w="0" w:type="auto"/>
            <w:hideMark/>
          </w:tcPr>
          <w:p w14:paraId="5C589443" w14:textId="77777777" w:rsidR="00B94563" w:rsidRPr="00C37CFC" w:rsidRDefault="00B94563" w:rsidP="005070A2">
            <w:pPr>
              <w:rPr>
                <w:color w:val="000000" w:themeColor="text1"/>
              </w:rPr>
            </w:pPr>
            <w:r w:rsidRPr="00C37CFC">
              <w:rPr>
                <w:rStyle w:val="Strong"/>
                <w:color w:val="000000" w:themeColor="text1"/>
              </w:rPr>
              <w:t>Nothing</w:t>
            </w:r>
          </w:p>
        </w:tc>
        <w:tc>
          <w:tcPr>
            <w:tcW w:w="0" w:type="auto"/>
            <w:hideMark/>
          </w:tcPr>
          <w:p w14:paraId="4D3CA52E"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Design &amp; community</w:t>
            </w:r>
          </w:p>
        </w:tc>
        <w:tc>
          <w:tcPr>
            <w:tcW w:w="0" w:type="auto"/>
            <w:hideMark/>
          </w:tcPr>
          <w:p w14:paraId="2A99C38F"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Premium-mid</w:t>
            </w:r>
          </w:p>
        </w:tc>
        <w:tc>
          <w:tcPr>
            <w:tcW w:w="0" w:type="auto"/>
            <w:hideMark/>
          </w:tcPr>
          <w:p w14:paraId="67F0035D" w14:textId="77777777" w:rsidR="00B94563" w:rsidRPr="00C37CFC" w:rsidRDefault="00B94563" w:rsidP="005070A2">
            <w:pPr>
              <w:cnfStyle w:val="000000000000" w:firstRow="0" w:lastRow="0" w:firstColumn="0" w:lastColumn="0" w:oddVBand="0" w:evenVBand="0" w:oddHBand="0" w:evenHBand="0" w:firstRowFirstColumn="0" w:firstRowLastColumn="0" w:lastRowFirstColumn="0" w:lastRowLastColumn="0"/>
              <w:rPr>
                <w:color w:val="000000" w:themeColor="text1"/>
              </w:rPr>
            </w:pPr>
            <w:r w:rsidRPr="00C37CFC">
              <w:rPr>
                <w:color w:val="000000" w:themeColor="text1"/>
              </w:rPr>
              <w:t>Transparent design, co-creation</w:t>
            </w:r>
          </w:p>
        </w:tc>
      </w:tr>
    </w:tbl>
    <w:p w14:paraId="584A4046" w14:textId="4E270105" w:rsidR="00B94563" w:rsidRPr="00684832" w:rsidRDefault="008A31B5" w:rsidP="008A31B5">
      <w:pPr>
        <w:pStyle w:val="Caption"/>
      </w:pPr>
      <w:bookmarkStart w:id="14" w:name="_Toc217290389"/>
      <w:r w:rsidRPr="00684832">
        <w:t xml:space="preserve">Table </w:t>
      </w:r>
      <w:r w:rsidRPr="00684832">
        <w:fldChar w:fldCharType="begin"/>
      </w:r>
      <w:r w:rsidRPr="00684832">
        <w:instrText xml:space="preserve"> SEQ Table \* ARABIC </w:instrText>
      </w:r>
      <w:r w:rsidRPr="00684832">
        <w:fldChar w:fldCharType="separate"/>
      </w:r>
      <w:r w:rsidR="0027512E">
        <w:rPr>
          <w:noProof/>
        </w:rPr>
        <w:t>1</w:t>
      </w:r>
      <w:r w:rsidRPr="00684832">
        <w:fldChar w:fldCharType="end"/>
      </w:r>
      <w:r w:rsidRPr="00684832">
        <w:t>:Competitive Positioning in the US Smartphone Market</w:t>
      </w:r>
      <w:bookmarkEnd w:id="14"/>
    </w:p>
    <w:p w14:paraId="0E6CBF28" w14:textId="13013569" w:rsidR="008A31B5" w:rsidRPr="00684832" w:rsidRDefault="00830850" w:rsidP="008A31B5">
      <w:r>
        <w:t>(Source: Student)</w:t>
      </w:r>
    </w:p>
    <w:p w14:paraId="13A1A064" w14:textId="77777777" w:rsidR="00D3493F" w:rsidRPr="00684832" w:rsidRDefault="00D3493F" w:rsidP="0032051B">
      <w:pPr>
        <w:pStyle w:val="Heading1"/>
        <w:rPr>
          <w:rFonts w:ascii="Times New Roman" w:hAnsi="Times New Roman"/>
        </w:rPr>
      </w:pPr>
      <w:bookmarkStart w:id="15" w:name="_Toc217290349"/>
      <w:r w:rsidRPr="00684832">
        <w:t>3. Comprehensive Strategic Analysis</w:t>
      </w:r>
      <w:bookmarkEnd w:id="15"/>
    </w:p>
    <w:p w14:paraId="38155D77" w14:textId="7C7F1A72" w:rsidR="00666D27" w:rsidRPr="00684832" w:rsidRDefault="00D3493F" w:rsidP="00C60750">
      <w:pPr>
        <w:pStyle w:val="Heading2"/>
      </w:pPr>
      <w:bookmarkStart w:id="16" w:name="_Toc217290350"/>
      <w:r w:rsidRPr="00684832">
        <w:t>3.1 Macro-Environmental Analysis (PESTLE)</w:t>
      </w:r>
      <w:bookmarkEnd w:id="16"/>
    </w:p>
    <w:tbl>
      <w:tblPr>
        <w:tblStyle w:val="TableGrid"/>
        <w:tblW w:w="0" w:type="auto"/>
        <w:tblLook w:val="04A0" w:firstRow="1" w:lastRow="0" w:firstColumn="1" w:lastColumn="0" w:noHBand="0" w:noVBand="1"/>
      </w:tblPr>
      <w:tblGrid>
        <w:gridCol w:w="1925"/>
        <w:gridCol w:w="3565"/>
        <w:gridCol w:w="3860"/>
      </w:tblGrid>
      <w:tr w:rsidR="00666D27" w:rsidRPr="00666D27" w14:paraId="23D26663" w14:textId="77777777" w:rsidTr="00666D27">
        <w:tc>
          <w:tcPr>
            <w:tcW w:w="0" w:type="auto"/>
            <w:hideMark/>
          </w:tcPr>
          <w:p w14:paraId="26AF78F8" w14:textId="77777777" w:rsidR="00666D27" w:rsidRPr="00666D27" w:rsidRDefault="00666D27" w:rsidP="00C60750">
            <w:pPr>
              <w:spacing w:after="160" w:line="276" w:lineRule="auto"/>
              <w:rPr>
                <w:b/>
                <w:bCs/>
              </w:rPr>
            </w:pPr>
            <w:r w:rsidRPr="00666D27">
              <w:rPr>
                <w:b/>
                <w:bCs/>
              </w:rPr>
              <w:t>Factor</w:t>
            </w:r>
          </w:p>
        </w:tc>
        <w:tc>
          <w:tcPr>
            <w:tcW w:w="0" w:type="auto"/>
            <w:hideMark/>
          </w:tcPr>
          <w:p w14:paraId="34C09AA9" w14:textId="77777777" w:rsidR="00666D27" w:rsidRPr="00666D27" w:rsidRDefault="00666D27" w:rsidP="00C60750">
            <w:pPr>
              <w:spacing w:after="160" w:line="276" w:lineRule="auto"/>
              <w:rPr>
                <w:b/>
                <w:bCs/>
              </w:rPr>
            </w:pPr>
            <w:r w:rsidRPr="00666D27">
              <w:rPr>
                <w:b/>
                <w:bCs/>
              </w:rPr>
              <w:t>Key Issues</w:t>
            </w:r>
          </w:p>
        </w:tc>
        <w:tc>
          <w:tcPr>
            <w:tcW w:w="0" w:type="auto"/>
            <w:hideMark/>
          </w:tcPr>
          <w:p w14:paraId="5BFA13B1" w14:textId="77777777" w:rsidR="00666D27" w:rsidRPr="00666D27" w:rsidRDefault="00666D27" w:rsidP="00C60750">
            <w:pPr>
              <w:spacing w:after="160" w:line="276" w:lineRule="auto"/>
              <w:rPr>
                <w:b/>
                <w:bCs/>
              </w:rPr>
            </w:pPr>
            <w:r w:rsidRPr="00666D27">
              <w:rPr>
                <w:b/>
                <w:bCs/>
              </w:rPr>
              <w:t>Strategic Implications</w:t>
            </w:r>
          </w:p>
        </w:tc>
      </w:tr>
      <w:tr w:rsidR="00666D27" w:rsidRPr="00666D27" w14:paraId="1C1EAFF6" w14:textId="77777777" w:rsidTr="00666D27">
        <w:tc>
          <w:tcPr>
            <w:tcW w:w="0" w:type="auto"/>
            <w:hideMark/>
          </w:tcPr>
          <w:p w14:paraId="59AEABD2" w14:textId="77777777" w:rsidR="00666D27" w:rsidRPr="00666D27" w:rsidRDefault="00666D27" w:rsidP="00C60750">
            <w:pPr>
              <w:spacing w:after="160" w:line="276" w:lineRule="auto"/>
            </w:pPr>
            <w:r w:rsidRPr="00666D27">
              <w:rPr>
                <w:b/>
                <w:bCs/>
              </w:rPr>
              <w:t>Political (P)</w:t>
            </w:r>
          </w:p>
        </w:tc>
        <w:tc>
          <w:tcPr>
            <w:tcW w:w="0" w:type="auto"/>
            <w:hideMark/>
          </w:tcPr>
          <w:p w14:paraId="1D02788C" w14:textId="77777777" w:rsidR="00666D27" w:rsidRPr="00666D27" w:rsidRDefault="00666D27" w:rsidP="00C60750">
            <w:pPr>
              <w:spacing w:after="160" w:line="276" w:lineRule="auto"/>
            </w:pPr>
            <w:r w:rsidRPr="00666D27">
              <w:t xml:space="preserve">• Trade policies and tariffs, particularly US–China trade tensions, affect component sourcing and final device pricing. </w:t>
            </w:r>
            <w:r w:rsidRPr="00666D27">
              <w:br/>
              <w:t xml:space="preserve">• Data regulation frameworks such as the California Consumer Privacy Act (CCPA) influence software architecture and data governance. </w:t>
            </w:r>
            <w:r w:rsidRPr="00666D27">
              <w:br/>
              <w:t>• Smartphones are increasingly used for political campaigning and digital outreach, intensifying scrutiny on platforms and devices.</w:t>
            </w:r>
          </w:p>
        </w:tc>
        <w:tc>
          <w:tcPr>
            <w:tcW w:w="0" w:type="auto"/>
            <w:hideMark/>
          </w:tcPr>
          <w:p w14:paraId="02D763DC" w14:textId="77777777" w:rsidR="00666D27" w:rsidRPr="00666D27" w:rsidRDefault="00666D27" w:rsidP="00C60750">
            <w:pPr>
              <w:spacing w:after="160" w:line="276" w:lineRule="auto"/>
            </w:pPr>
            <w:r w:rsidRPr="00666D27">
              <w:t>Firms must diversify supply chains, adopt compliance-by-design approaches for data handling, and ensure neutrality and security in political communication tools (UNCTAD, 2025; FCC, 2024).</w:t>
            </w:r>
          </w:p>
        </w:tc>
      </w:tr>
      <w:tr w:rsidR="00666D27" w:rsidRPr="00666D27" w14:paraId="66973031" w14:textId="77777777" w:rsidTr="00666D27">
        <w:tc>
          <w:tcPr>
            <w:tcW w:w="0" w:type="auto"/>
            <w:hideMark/>
          </w:tcPr>
          <w:p w14:paraId="60513D52" w14:textId="77777777" w:rsidR="00666D27" w:rsidRPr="00666D27" w:rsidRDefault="00666D27" w:rsidP="00C60750">
            <w:pPr>
              <w:spacing w:after="160" w:line="276" w:lineRule="auto"/>
            </w:pPr>
            <w:r w:rsidRPr="00666D27">
              <w:rPr>
                <w:b/>
                <w:bCs/>
              </w:rPr>
              <w:t>Economic (E)</w:t>
            </w:r>
          </w:p>
        </w:tc>
        <w:tc>
          <w:tcPr>
            <w:tcW w:w="0" w:type="auto"/>
            <w:hideMark/>
          </w:tcPr>
          <w:p w14:paraId="27AA522D" w14:textId="77777777" w:rsidR="00666D27" w:rsidRPr="00666D27" w:rsidRDefault="00666D27" w:rsidP="00C60750">
            <w:pPr>
              <w:spacing w:after="160" w:line="276" w:lineRule="auto"/>
            </w:pPr>
            <w:r w:rsidRPr="00666D27">
              <w:t xml:space="preserve">• Strong GDP levels and consumer purchasing power support demand for premium smartphones, though inflation </w:t>
            </w:r>
            <w:r w:rsidRPr="00666D27">
              <w:lastRenderedPageBreak/>
              <w:t xml:space="preserve">increases price sensitivity in budget segments. </w:t>
            </w:r>
            <w:r w:rsidRPr="00666D27">
              <w:br/>
              <w:t xml:space="preserve">• Heavy carrier investment in 5G infrastructure stimulates replacement demand. </w:t>
            </w:r>
            <w:r w:rsidRPr="00666D27">
              <w:br/>
              <w:t>• Clear market segmentation exists across premium (USD 800+), mid-range (USD 400–799), and budget (below USD 400) tiers.</w:t>
            </w:r>
          </w:p>
        </w:tc>
        <w:tc>
          <w:tcPr>
            <w:tcW w:w="0" w:type="auto"/>
            <w:hideMark/>
          </w:tcPr>
          <w:p w14:paraId="4C1F4497" w14:textId="77777777" w:rsidR="00666D27" w:rsidRPr="00666D27" w:rsidRDefault="00666D27" w:rsidP="00C60750">
            <w:pPr>
              <w:spacing w:after="160" w:line="276" w:lineRule="auto"/>
            </w:pPr>
            <w:r w:rsidRPr="00666D27">
              <w:lastRenderedPageBreak/>
              <w:t xml:space="preserve">Brands must align pricing strategies to segment-specific demand and leverage 5G-driven upgrade cycles to sustain revenue </w:t>
            </w:r>
            <w:r w:rsidRPr="00666D27">
              <w:lastRenderedPageBreak/>
              <w:t>growth (Statista, 2024; Research and Markets, 2024).</w:t>
            </w:r>
          </w:p>
        </w:tc>
      </w:tr>
      <w:tr w:rsidR="00666D27" w:rsidRPr="00666D27" w14:paraId="195BDF67" w14:textId="77777777" w:rsidTr="00666D27">
        <w:tc>
          <w:tcPr>
            <w:tcW w:w="0" w:type="auto"/>
            <w:hideMark/>
          </w:tcPr>
          <w:p w14:paraId="5120B1C0" w14:textId="77777777" w:rsidR="00666D27" w:rsidRPr="00666D27" w:rsidRDefault="00666D27" w:rsidP="00C60750">
            <w:pPr>
              <w:spacing w:after="160" w:line="276" w:lineRule="auto"/>
            </w:pPr>
            <w:r w:rsidRPr="00666D27">
              <w:rPr>
                <w:b/>
                <w:bCs/>
              </w:rPr>
              <w:lastRenderedPageBreak/>
              <w:t>Social (S)</w:t>
            </w:r>
          </w:p>
        </w:tc>
        <w:tc>
          <w:tcPr>
            <w:tcW w:w="0" w:type="auto"/>
            <w:hideMark/>
          </w:tcPr>
          <w:p w14:paraId="6E4FE671" w14:textId="77777777" w:rsidR="00666D27" w:rsidRPr="00666D27" w:rsidRDefault="00666D27" w:rsidP="00C60750">
            <w:pPr>
              <w:spacing w:after="160" w:line="276" w:lineRule="auto"/>
            </w:pPr>
            <w:r w:rsidRPr="00666D27">
              <w:t xml:space="preserve">• Smartphones are embedded in digital lifestyles, driving frequent upgrades and high dependency. </w:t>
            </w:r>
            <w:r w:rsidRPr="00666D27">
              <w:br/>
              <w:t xml:space="preserve">• Consumers increasingly expect AI-enabled features such as camera optimisation, voice assistants, and personalisation. </w:t>
            </w:r>
            <w:r w:rsidRPr="00666D27">
              <w:br/>
              <w:t>• Online purchasing and support channels are preferred, particularly among younger consumers.</w:t>
            </w:r>
          </w:p>
        </w:tc>
        <w:tc>
          <w:tcPr>
            <w:tcW w:w="0" w:type="auto"/>
            <w:hideMark/>
          </w:tcPr>
          <w:p w14:paraId="0A487923" w14:textId="77777777" w:rsidR="00666D27" w:rsidRPr="00666D27" w:rsidRDefault="00666D27" w:rsidP="00C60750">
            <w:pPr>
              <w:spacing w:after="160" w:line="276" w:lineRule="auto"/>
            </w:pPr>
            <w:r w:rsidRPr="00666D27">
              <w:t>Social trends favour design-led, AI-enabled, and digitally native brands that emphasise user experience and online engagement (Aubhi et al., 2025; Luceri et al., 2022).</w:t>
            </w:r>
          </w:p>
        </w:tc>
      </w:tr>
      <w:tr w:rsidR="00666D27" w:rsidRPr="00666D27" w14:paraId="33AC2633" w14:textId="77777777" w:rsidTr="00666D27">
        <w:tc>
          <w:tcPr>
            <w:tcW w:w="0" w:type="auto"/>
            <w:hideMark/>
          </w:tcPr>
          <w:p w14:paraId="749621EB" w14:textId="77777777" w:rsidR="00666D27" w:rsidRPr="00666D27" w:rsidRDefault="00666D27" w:rsidP="00C60750">
            <w:pPr>
              <w:spacing w:after="160" w:line="276" w:lineRule="auto"/>
            </w:pPr>
            <w:r w:rsidRPr="00666D27">
              <w:rPr>
                <w:b/>
                <w:bCs/>
              </w:rPr>
              <w:t>Technological (T)</w:t>
            </w:r>
          </w:p>
        </w:tc>
        <w:tc>
          <w:tcPr>
            <w:tcW w:w="0" w:type="auto"/>
            <w:hideMark/>
          </w:tcPr>
          <w:p w14:paraId="3EA03AB8" w14:textId="77777777" w:rsidR="00666D27" w:rsidRPr="00666D27" w:rsidRDefault="00666D27" w:rsidP="00C60750">
            <w:pPr>
              <w:spacing w:after="160" w:line="276" w:lineRule="auto"/>
            </w:pPr>
            <w:r w:rsidRPr="00666D27">
              <w:t xml:space="preserve">• AI integration is a key innovation driver, supporting adaptive battery usage, computational photography, and personalisation. </w:t>
            </w:r>
            <w:r w:rsidRPr="00666D27">
              <w:br/>
              <w:t xml:space="preserve">• Rapid 5G adoption accelerates demand for compatible devices and new applications. </w:t>
            </w:r>
            <w:r w:rsidRPr="00666D27">
              <w:br/>
              <w:t>• Innovation in form factors (e.g., foldables) and IoT growth expands functional expectations beyond phones.</w:t>
            </w:r>
          </w:p>
        </w:tc>
        <w:tc>
          <w:tcPr>
            <w:tcW w:w="0" w:type="auto"/>
            <w:hideMark/>
          </w:tcPr>
          <w:p w14:paraId="23F9728C" w14:textId="77777777" w:rsidR="00666D27" w:rsidRPr="00666D27" w:rsidRDefault="00666D27" w:rsidP="00C60750">
            <w:pPr>
              <w:spacing w:after="160" w:line="276" w:lineRule="auto"/>
            </w:pPr>
            <w:r w:rsidRPr="00666D27">
              <w:t>Continuous R&amp;D investment is required to remain competitive in AI, connectivity, and ecosystem integration (Lee, Ahn and Myeong, 2025; Mahboub et al., 2023).</w:t>
            </w:r>
          </w:p>
        </w:tc>
      </w:tr>
      <w:tr w:rsidR="00666D27" w:rsidRPr="00666D27" w14:paraId="1DA029FE" w14:textId="77777777" w:rsidTr="00666D27">
        <w:tc>
          <w:tcPr>
            <w:tcW w:w="0" w:type="auto"/>
            <w:hideMark/>
          </w:tcPr>
          <w:p w14:paraId="6E4234FC" w14:textId="77777777" w:rsidR="00666D27" w:rsidRPr="00666D27" w:rsidRDefault="00666D27" w:rsidP="00C60750">
            <w:pPr>
              <w:spacing w:after="160" w:line="276" w:lineRule="auto"/>
            </w:pPr>
            <w:r w:rsidRPr="00666D27">
              <w:rPr>
                <w:b/>
                <w:bCs/>
              </w:rPr>
              <w:t>Legal (L)</w:t>
            </w:r>
          </w:p>
        </w:tc>
        <w:tc>
          <w:tcPr>
            <w:tcW w:w="0" w:type="auto"/>
            <w:hideMark/>
          </w:tcPr>
          <w:p w14:paraId="7CF7AC2B" w14:textId="77777777" w:rsidR="00666D27" w:rsidRPr="00666D27" w:rsidRDefault="00666D27" w:rsidP="00C60750">
            <w:pPr>
              <w:spacing w:after="160" w:line="276" w:lineRule="auto"/>
            </w:pPr>
            <w:r w:rsidRPr="00666D27">
              <w:t xml:space="preserve">• Antitrust and monopoly laws restrict anti-competitive practices in platform </w:t>
            </w:r>
            <w:r w:rsidRPr="00666D27">
              <w:lastRenderedPageBreak/>
              <w:t xml:space="preserve">ecosystems. </w:t>
            </w:r>
            <w:r w:rsidRPr="00666D27">
              <w:br/>
              <w:t xml:space="preserve">• Consumer protection laws regulate mobile contracts and device financing transparency. </w:t>
            </w:r>
            <w:r w:rsidRPr="00666D27">
              <w:br/>
              <w:t>• Data privacy regulations require strict compliance in data storage and processing.</w:t>
            </w:r>
          </w:p>
        </w:tc>
        <w:tc>
          <w:tcPr>
            <w:tcW w:w="0" w:type="auto"/>
            <w:hideMark/>
          </w:tcPr>
          <w:p w14:paraId="4494DAF1" w14:textId="77777777" w:rsidR="00666D27" w:rsidRPr="00666D27" w:rsidRDefault="00666D27" w:rsidP="00C60750">
            <w:pPr>
              <w:spacing w:after="160" w:line="276" w:lineRule="auto"/>
            </w:pPr>
            <w:r w:rsidRPr="00666D27">
              <w:lastRenderedPageBreak/>
              <w:t xml:space="preserve">Legal compliance increases operational costs but also protects innovators through strong IP </w:t>
            </w:r>
            <w:r w:rsidRPr="00666D27">
              <w:lastRenderedPageBreak/>
              <w:t>enforcement (FCC, 2024; Kabeyi, 2018).</w:t>
            </w:r>
          </w:p>
        </w:tc>
      </w:tr>
      <w:tr w:rsidR="00666D27" w:rsidRPr="00666D27" w14:paraId="3444104B" w14:textId="77777777" w:rsidTr="00666D27">
        <w:tc>
          <w:tcPr>
            <w:tcW w:w="0" w:type="auto"/>
            <w:hideMark/>
          </w:tcPr>
          <w:p w14:paraId="2477B1F8" w14:textId="77777777" w:rsidR="00666D27" w:rsidRPr="00666D27" w:rsidRDefault="00666D27" w:rsidP="00C60750">
            <w:pPr>
              <w:spacing w:after="160" w:line="276" w:lineRule="auto"/>
            </w:pPr>
            <w:r w:rsidRPr="00666D27">
              <w:rPr>
                <w:b/>
                <w:bCs/>
              </w:rPr>
              <w:lastRenderedPageBreak/>
              <w:t>Environmental (E)</w:t>
            </w:r>
          </w:p>
        </w:tc>
        <w:tc>
          <w:tcPr>
            <w:tcW w:w="0" w:type="auto"/>
            <w:hideMark/>
          </w:tcPr>
          <w:p w14:paraId="1EF32F84" w14:textId="77777777" w:rsidR="00666D27" w:rsidRPr="00666D27" w:rsidRDefault="00666D27" w:rsidP="00C60750">
            <w:pPr>
              <w:spacing w:after="160" w:line="276" w:lineRule="auto"/>
            </w:pPr>
            <w:r w:rsidRPr="00666D27">
              <w:t xml:space="preserve">• Rising concern over e-waste places pressure on manufacturers to improve recycling and device longevity. </w:t>
            </w:r>
            <w:r w:rsidRPr="00666D27">
              <w:br/>
              <w:t xml:space="preserve">• Scarcity of rare earth minerals increases supply-chain risk and costs. </w:t>
            </w:r>
            <w:r w:rsidRPr="00666D27">
              <w:br/>
              <w:t>• Extreme weather events can damage network infrastructure, disrupting services.</w:t>
            </w:r>
          </w:p>
        </w:tc>
        <w:tc>
          <w:tcPr>
            <w:tcW w:w="0" w:type="auto"/>
            <w:hideMark/>
          </w:tcPr>
          <w:p w14:paraId="7272AC2C" w14:textId="77777777" w:rsidR="00666D27" w:rsidRPr="00666D27" w:rsidRDefault="00666D27" w:rsidP="00C60750">
            <w:pPr>
              <w:spacing w:after="160" w:line="276" w:lineRule="auto"/>
            </w:pPr>
            <w:r w:rsidRPr="00666D27">
              <w:t>Sustainability initiatives and circular economy practices can enhance brand reputation and regulatory alignment (Agarwal and Agarwal, 2025; Toniolo et al., 2025).</w:t>
            </w:r>
          </w:p>
        </w:tc>
      </w:tr>
    </w:tbl>
    <w:p w14:paraId="77F3D9AE" w14:textId="08E6026A" w:rsidR="00D3493F" w:rsidRDefault="00C60750" w:rsidP="00C60750">
      <w:pPr>
        <w:pStyle w:val="Caption"/>
        <w:rPr>
          <w:lang w:val="en-US"/>
        </w:rPr>
      </w:pPr>
      <w:bookmarkStart w:id="17" w:name="_Toc217290390"/>
      <w:r>
        <w:t xml:space="preserve">Table </w:t>
      </w:r>
      <w:r>
        <w:fldChar w:fldCharType="begin"/>
      </w:r>
      <w:r>
        <w:instrText xml:space="preserve"> SEQ Table \* ARABIC </w:instrText>
      </w:r>
      <w:r>
        <w:fldChar w:fldCharType="separate"/>
      </w:r>
      <w:r w:rsidR="0027512E">
        <w:rPr>
          <w:noProof/>
        </w:rPr>
        <w:t>2</w:t>
      </w:r>
      <w:r>
        <w:fldChar w:fldCharType="end"/>
      </w:r>
      <w:r>
        <w:rPr>
          <w:lang w:val="en-US"/>
        </w:rPr>
        <w:t xml:space="preserve">: </w:t>
      </w:r>
      <w:r w:rsidRPr="00DE2ADF">
        <w:rPr>
          <w:lang w:val="en-US"/>
        </w:rPr>
        <w:t>PESTLE Analysis of the US Smartphone Market</w:t>
      </w:r>
      <w:bookmarkEnd w:id="17"/>
    </w:p>
    <w:p w14:paraId="38FD1F43" w14:textId="77223EC9" w:rsidR="00C60750" w:rsidRDefault="00C60750" w:rsidP="00C60750">
      <w:pPr>
        <w:rPr>
          <w:lang w:val="en-US"/>
        </w:rPr>
      </w:pPr>
      <w:r>
        <w:rPr>
          <w:lang w:val="en-US"/>
        </w:rPr>
        <w:t>(Source: Student)</w:t>
      </w:r>
    </w:p>
    <w:p w14:paraId="67011AE0" w14:textId="77777777" w:rsidR="00C60750" w:rsidRPr="00C60750" w:rsidRDefault="00C60750" w:rsidP="00C60750">
      <w:pPr>
        <w:rPr>
          <w:lang w:val="en-US"/>
        </w:rPr>
      </w:pPr>
    </w:p>
    <w:p w14:paraId="60D9E382" w14:textId="3426E749" w:rsidR="0032051B" w:rsidRPr="0026420A" w:rsidRDefault="0026420A" w:rsidP="0026420A">
      <w:pPr>
        <w:pStyle w:val="Heading3"/>
      </w:pPr>
      <w:bookmarkStart w:id="18" w:name="_Toc217290351"/>
      <w:r w:rsidRPr="0026420A">
        <w:rPr>
          <w:rStyle w:val="Strong"/>
          <w:b/>
          <w:bCs w:val="0"/>
        </w:rPr>
        <w:t xml:space="preserve">3.1.1. </w:t>
      </w:r>
      <w:r w:rsidR="00925011" w:rsidRPr="0026420A">
        <w:rPr>
          <w:rStyle w:val="Strong"/>
          <w:b/>
          <w:bCs w:val="0"/>
        </w:rPr>
        <w:t>Political Factors</w:t>
      </w:r>
      <w:bookmarkEnd w:id="18"/>
    </w:p>
    <w:p w14:paraId="5D94329A" w14:textId="3801A70F" w:rsidR="00415411" w:rsidRPr="00684832" w:rsidRDefault="00415411" w:rsidP="00415411">
      <w:r w:rsidRPr="00684832">
        <w:t>The United States political environment is continuously characterised by intensified trade and technological enmity against China, whose direct implication is impact on global smartphone supply chains. Export bans and localisation subsidies increase the risks that the companies which countries are dependent on Asian manufacturing centres may face (USTR, 2025; Zhang, 2024). According to UNCTAD (2025), geopolitical fragmentation increased costs of trade in technology and accelerated diversification process within the supply-chain. These forces are both risks and opportunities to the Nothing mobile. the presence of tariffs will increase the unit costs, but its foundation on asset light sourcing and flexible architecture will allow it to diversify faster than its vertically integrated competitors.</w:t>
      </w:r>
    </w:p>
    <w:p w14:paraId="4128CBBB" w14:textId="77777777" w:rsidR="00415411" w:rsidRPr="00684832" w:rsidRDefault="00415411" w:rsidP="00415411"/>
    <w:p w14:paraId="6A1E611B" w14:textId="3BD1AC00" w:rsidR="0032051B" w:rsidRPr="0026420A" w:rsidRDefault="0026420A" w:rsidP="0026420A">
      <w:pPr>
        <w:pStyle w:val="Heading3"/>
      </w:pPr>
      <w:bookmarkStart w:id="19" w:name="_Toc217290352"/>
      <w:r w:rsidRPr="0026420A">
        <w:rPr>
          <w:rStyle w:val="Strong"/>
          <w:b/>
          <w:bCs w:val="0"/>
        </w:rPr>
        <w:lastRenderedPageBreak/>
        <w:t xml:space="preserve">3.1.2. </w:t>
      </w:r>
      <w:r w:rsidR="00925011" w:rsidRPr="0026420A">
        <w:rPr>
          <w:rStyle w:val="Strong"/>
          <w:b/>
          <w:bCs w:val="0"/>
        </w:rPr>
        <w:t>Economic Factors</w:t>
      </w:r>
      <w:bookmarkEnd w:id="19"/>
    </w:p>
    <w:p w14:paraId="0CBFB940" w14:textId="4B75C32E" w:rsidR="00C60750" w:rsidRDefault="00C60750" w:rsidP="00925011">
      <w:r>
        <w:rPr>
          <w:noProof/>
        </w:rPr>
        <w:drawing>
          <wp:inline distT="0" distB="0" distL="0" distR="0" wp14:anchorId="1B03A460" wp14:editId="5788375F">
            <wp:extent cx="6082665" cy="2971800"/>
            <wp:effectExtent l="0" t="0" r="0" b="0"/>
            <wp:docPr id="6128482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82665" cy="2971800"/>
                    </a:xfrm>
                    <a:prstGeom prst="rect">
                      <a:avLst/>
                    </a:prstGeom>
                    <a:noFill/>
                  </pic:spPr>
                </pic:pic>
              </a:graphicData>
            </a:graphic>
          </wp:inline>
        </w:drawing>
      </w:r>
    </w:p>
    <w:p w14:paraId="4FE2976A" w14:textId="5F4EFA66" w:rsidR="00C60750" w:rsidRDefault="00C60750" w:rsidP="00C60750">
      <w:pPr>
        <w:pStyle w:val="Caption"/>
        <w:rPr>
          <w:lang w:val="en-US"/>
        </w:rPr>
      </w:pPr>
      <w:bookmarkStart w:id="20" w:name="_Toc217290381"/>
      <w:r>
        <w:t xml:space="preserve">Figure </w:t>
      </w:r>
      <w:r>
        <w:fldChar w:fldCharType="begin"/>
      </w:r>
      <w:r>
        <w:instrText xml:space="preserve"> SEQ Figure \* ARABIC </w:instrText>
      </w:r>
      <w:r>
        <w:fldChar w:fldCharType="separate"/>
      </w:r>
      <w:r w:rsidR="0027512E">
        <w:rPr>
          <w:noProof/>
        </w:rPr>
        <w:t>6</w:t>
      </w:r>
      <w:r>
        <w:fldChar w:fldCharType="end"/>
      </w:r>
      <w:r>
        <w:rPr>
          <w:lang w:val="en-US"/>
        </w:rPr>
        <w:t>:</w:t>
      </w:r>
      <w:r w:rsidRPr="009D6D61">
        <w:rPr>
          <w:lang w:val="en-US"/>
        </w:rPr>
        <w:t>Gross Domestic Product, 1st Quarter 2025</w:t>
      </w:r>
      <w:bookmarkEnd w:id="20"/>
    </w:p>
    <w:p w14:paraId="344BE5D7" w14:textId="34611489" w:rsidR="00C60750" w:rsidRPr="00C60750" w:rsidRDefault="002A5A2E" w:rsidP="00C60750">
      <w:pPr>
        <w:rPr>
          <w:lang w:val="en-US"/>
        </w:rPr>
      </w:pPr>
      <w:r w:rsidRPr="002A5A2E">
        <w:rPr>
          <w:lang w:val="en-US"/>
        </w:rPr>
        <w:t>(Source: Student)</w:t>
      </w:r>
    </w:p>
    <w:p w14:paraId="2BA8960E" w14:textId="44AF1B86" w:rsidR="00925011" w:rsidRPr="00684832" w:rsidRDefault="00415411" w:rsidP="00925011">
      <w:r w:rsidRPr="00684832">
        <w:t xml:space="preserve">The United States remains the most valuable tablet market in the world, backed by steady consumer spending regardless of existing inflationary pressures (Research and Markets, 2024). Nevertheless, increasing price sensitivity, particularly in the mid-range sector, has meant that there has been little pricing leeway other than for flagship models. This context is favourable for firms that could substantiate value propositions by means of design excellence, perceived quality and experiential differentiation. In the case of Nothing, the key to success in the premium </w:t>
      </w:r>
      <w:r w:rsidR="004907C0" w:rsidRPr="00684832">
        <w:t>mid-range</w:t>
      </w:r>
      <w:r w:rsidRPr="00684832">
        <w:t xml:space="preserve"> is careful price calibration that balances affordability and an aspirational brand posture.</w:t>
      </w:r>
    </w:p>
    <w:p w14:paraId="67B6CF9B" w14:textId="77777777" w:rsidR="00415411" w:rsidRPr="00684832" w:rsidRDefault="00415411" w:rsidP="00925011"/>
    <w:p w14:paraId="04A9E78E" w14:textId="18940DFB" w:rsidR="0032051B" w:rsidRPr="0026420A" w:rsidRDefault="0026420A" w:rsidP="0026420A">
      <w:pPr>
        <w:pStyle w:val="Heading3"/>
      </w:pPr>
      <w:bookmarkStart w:id="21" w:name="_Toc217290353"/>
      <w:r w:rsidRPr="0026420A">
        <w:rPr>
          <w:rStyle w:val="Strong"/>
          <w:b/>
          <w:bCs w:val="0"/>
        </w:rPr>
        <w:t xml:space="preserve">3.1.3. </w:t>
      </w:r>
      <w:r w:rsidR="00925011" w:rsidRPr="0026420A">
        <w:rPr>
          <w:rStyle w:val="Strong"/>
          <w:b/>
          <w:bCs w:val="0"/>
        </w:rPr>
        <w:t>Social Factors</w:t>
      </w:r>
      <w:bookmarkEnd w:id="21"/>
    </w:p>
    <w:p w14:paraId="649E2223" w14:textId="463707EE" w:rsidR="00415411" w:rsidRPr="00684832" w:rsidRDefault="00415411" w:rsidP="00415411">
      <w:r w:rsidRPr="00684832">
        <w:t xml:space="preserve">Current social trends help to support the market offer of the Nothing brand. In the United States, especially with Generation </w:t>
      </w:r>
      <w:r w:rsidR="00645C92">
        <w:t>X</w:t>
      </w:r>
      <w:r w:rsidRPr="00684832">
        <w:t xml:space="preserve"> consumers, there is a strong sensitivity to design aesthetics, brands that are genuine, and community engagement (Aubhi et al., 2025).</w:t>
      </w:r>
    </w:p>
    <w:p w14:paraId="219080F1" w14:textId="77777777" w:rsidR="00415411" w:rsidRPr="00684832" w:rsidRDefault="00415411" w:rsidP="00415411">
      <w:r w:rsidRPr="00684832">
        <w:lastRenderedPageBreak/>
        <w:t>Empirical research has shown that the influence of peers and symbolic value have significant impact of smartphone satisfaction and customer loyalty (Kim et al., 2020).</w:t>
      </w:r>
    </w:p>
    <w:p w14:paraId="29A96128" w14:textId="4792BF60" w:rsidR="00415411" w:rsidRDefault="00415411" w:rsidP="00415411">
      <w:r w:rsidRPr="00684832">
        <w:t>Moreover, a growing awareness of sustainability is changing purchasing choices; ethical sourcing and repairability have become important issues (Zwicker et al., 2023). The transparent approach to design of Nothing, and its sustainability commitments, is a close match to these changing consumer values.</w:t>
      </w:r>
    </w:p>
    <w:p w14:paraId="29315456" w14:textId="25959A24" w:rsidR="00645C92" w:rsidRPr="00684832" w:rsidRDefault="00645C92" w:rsidP="00415411">
      <w:r>
        <w:rPr>
          <w:noProof/>
        </w:rPr>
        <w:drawing>
          <wp:inline distT="0" distB="0" distL="0" distR="0" wp14:anchorId="774726A6" wp14:editId="749A2C35">
            <wp:extent cx="5943600" cy="3576234"/>
            <wp:effectExtent l="0" t="0" r="0" b="5715"/>
            <wp:docPr id="1623306682" name="Picture 1623306682" descr="Factors Affecting Mobile Phone Change and Choice Behavi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ctors Affecting Mobile Phone Change and Choice Behavior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576234"/>
                    </a:xfrm>
                    <a:prstGeom prst="rect">
                      <a:avLst/>
                    </a:prstGeom>
                    <a:noFill/>
                    <a:ln>
                      <a:noFill/>
                    </a:ln>
                  </pic:spPr>
                </pic:pic>
              </a:graphicData>
            </a:graphic>
          </wp:inline>
        </w:drawing>
      </w:r>
    </w:p>
    <w:p w14:paraId="06BA7D7A" w14:textId="72BAEEDF" w:rsidR="00415411" w:rsidRDefault="00645C92" w:rsidP="00645C92">
      <w:pPr>
        <w:pStyle w:val="Caption"/>
        <w:rPr>
          <w:lang w:val="en-US"/>
        </w:rPr>
      </w:pPr>
      <w:bookmarkStart w:id="22" w:name="_Toc217290382"/>
      <w:r>
        <w:t xml:space="preserve">Figure </w:t>
      </w:r>
      <w:r>
        <w:fldChar w:fldCharType="begin"/>
      </w:r>
      <w:r>
        <w:instrText xml:space="preserve"> SEQ Figure \* ARABIC </w:instrText>
      </w:r>
      <w:r>
        <w:fldChar w:fldCharType="separate"/>
      </w:r>
      <w:r w:rsidR="0027512E">
        <w:rPr>
          <w:noProof/>
        </w:rPr>
        <w:t>7</w:t>
      </w:r>
      <w:r>
        <w:fldChar w:fldCharType="end"/>
      </w:r>
      <w:r>
        <w:rPr>
          <w:lang w:val="en-US"/>
        </w:rPr>
        <w:t xml:space="preserve">: </w:t>
      </w:r>
      <w:r w:rsidRPr="00AE4373">
        <w:rPr>
          <w:lang w:val="en-US"/>
        </w:rPr>
        <w:t>Factors Affecting Mobile Phone Change and Choice Behavior</w:t>
      </w:r>
      <w:bookmarkEnd w:id="22"/>
    </w:p>
    <w:p w14:paraId="453F9EB0" w14:textId="7E188F12" w:rsidR="00645C92" w:rsidRDefault="00645C92" w:rsidP="00645C92">
      <w:pPr>
        <w:rPr>
          <w:lang w:val="en-US"/>
        </w:rPr>
      </w:pPr>
      <w:r>
        <w:rPr>
          <w:lang w:val="en-US"/>
        </w:rPr>
        <w:t xml:space="preserve">(Source: </w:t>
      </w:r>
      <w:r w:rsidRPr="00645C92">
        <w:rPr>
          <w:lang w:val="en-US"/>
        </w:rPr>
        <w:t>Zwicker et al., 2023</w:t>
      </w:r>
      <w:r>
        <w:rPr>
          <w:lang w:val="en-US"/>
        </w:rPr>
        <w:t>)</w:t>
      </w:r>
    </w:p>
    <w:p w14:paraId="17C5601E" w14:textId="77777777" w:rsidR="00645C92" w:rsidRPr="00645C92" w:rsidRDefault="00645C92" w:rsidP="00645C92">
      <w:pPr>
        <w:rPr>
          <w:lang w:val="en-US"/>
        </w:rPr>
      </w:pPr>
    </w:p>
    <w:p w14:paraId="4273840A" w14:textId="4C67B058" w:rsidR="0032051B" w:rsidRPr="0026420A" w:rsidRDefault="0026420A" w:rsidP="0026420A">
      <w:pPr>
        <w:pStyle w:val="Heading3"/>
      </w:pPr>
      <w:bookmarkStart w:id="23" w:name="_Toc217290354"/>
      <w:r w:rsidRPr="0026420A">
        <w:rPr>
          <w:rStyle w:val="Strong"/>
          <w:b/>
          <w:bCs w:val="0"/>
        </w:rPr>
        <w:t xml:space="preserve">3.1.4. </w:t>
      </w:r>
      <w:r w:rsidR="00925011" w:rsidRPr="0026420A">
        <w:rPr>
          <w:rStyle w:val="Strong"/>
          <w:b/>
          <w:bCs w:val="0"/>
        </w:rPr>
        <w:t>Technological Factors</w:t>
      </w:r>
      <w:bookmarkEnd w:id="23"/>
    </w:p>
    <w:p w14:paraId="5E307419" w14:textId="75D5E384" w:rsidR="00415411" w:rsidRPr="00684832" w:rsidRDefault="00415411" w:rsidP="00925011">
      <w:r w:rsidRPr="00684832">
        <w:t xml:space="preserve">Technologically, the market of the United States can be seen as having very fast adoption of 5G infrastructure that has already been empirically associated with higher user interaction and frequency of digital transactions (Lee et al., 2025). At the same time, the competitive process is shifting to the integration of AI-driven features, algorithmic optimisation and holistic ecosystem and intensifying strategic competition between major </w:t>
      </w:r>
      <w:r w:rsidRPr="00684832">
        <w:lastRenderedPageBreak/>
        <w:t>smartphone park producers, including Apple, Samsung, Google, etc. In that regard, to maintain a competitive edge, Nothing Mobile will have to ensure full compliance with standards of the domestic network and continuously update its operating system in the latter environment dominated with ecosystems.</w:t>
      </w:r>
    </w:p>
    <w:p w14:paraId="27D2CEB4" w14:textId="47784A79" w:rsidR="00415411" w:rsidRDefault="00B87FBF" w:rsidP="00925011">
      <w:r>
        <w:rPr>
          <w:noProof/>
        </w:rPr>
        <w:drawing>
          <wp:inline distT="0" distB="0" distL="0" distR="0" wp14:anchorId="6CCDD8D9" wp14:editId="46045797">
            <wp:extent cx="5943600" cy="2395349"/>
            <wp:effectExtent l="0" t="0" r="0" b="5080"/>
            <wp:docPr id="466901601" name="Picture 466901601" descr="Smartphone Sensors for Health and Wellness Mobile Apps: An Explainer -  Mind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phone Sensors for Health and Wellness Mobile Apps: An Explainer -  MindSe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395349"/>
                    </a:xfrm>
                    <a:prstGeom prst="rect">
                      <a:avLst/>
                    </a:prstGeom>
                    <a:noFill/>
                    <a:ln>
                      <a:noFill/>
                    </a:ln>
                  </pic:spPr>
                </pic:pic>
              </a:graphicData>
            </a:graphic>
          </wp:inline>
        </w:drawing>
      </w:r>
    </w:p>
    <w:p w14:paraId="53B2C95A" w14:textId="01D6E18B" w:rsidR="00B87FBF" w:rsidRDefault="00B87FBF" w:rsidP="00B87FBF">
      <w:pPr>
        <w:pStyle w:val="Caption"/>
        <w:rPr>
          <w:lang w:val="en-US"/>
        </w:rPr>
      </w:pPr>
      <w:bookmarkStart w:id="24" w:name="_Toc217290383"/>
      <w:r>
        <w:t xml:space="preserve">Figure </w:t>
      </w:r>
      <w:r>
        <w:fldChar w:fldCharType="begin"/>
      </w:r>
      <w:r>
        <w:instrText xml:space="preserve"> SEQ Figure \* ARABIC </w:instrText>
      </w:r>
      <w:r>
        <w:fldChar w:fldCharType="separate"/>
      </w:r>
      <w:r w:rsidR="0027512E">
        <w:rPr>
          <w:noProof/>
        </w:rPr>
        <w:t>8</w:t>
      </w:r>
      <w:r>
        <w:fldChar w:fldCharType="end"/>
      </w:r>
      <w:r>
        <w:rPr>
          <w:lang w:val="en-US"/>
        </w:rPr>
        <w:t>:</w:t>
      </w:r>
      <w:r w:rsidRPr="00A8327B">
        <w:rPr>
          <w:lang w:val="en-US"/>
        </w:rPr>
        <w:t>Technological Factors</w:t>
      </w:r>
      <w:bookmarkEnd w:id="24"/>
    </w:p>
    <w:p w14:paraId="3B6DF67B" w14:textId="77777777" w:rsidR="00B87FBF" w:rsidRPr="00B87FBF" w:rsidRDefault="00B87FBF" w:rsidP="00B87FBF">
      <w:pPr>
        <w:rPr>
          <w:lang w:val="en-US"/>
        </w:rPr>
      </w:pPr>
    </w:p>
    <w:p w14:paraId="1C1B09B0" w14:textId="312EEEBD" w:rsidR="0032051B" w:rsidRPr="0026420A" w:rsidRDefault="0026420A" w:rsidP="0026420A">
      <w:pPr>
        <w:pStyle w:val="Heading3"/>
      </w:pPr>
      <w:bookmarkStart w:id="25" w:name="_Toc217290355"/>
      <w:r w:rsidRPr="0026420A">
        <w:rPr>
          <w:rStyle w:val="Strong"/>
          <w:b/>
          <w:bCs w:val="0"/>
        </w:rPr>
        <w:t xml:space="preserve">3.1.5. </w:t>
      </w:r>
      <w:r w:rsidR="00925011" w:rsidRPr="0026420A">
        <w:rPr>
          <w:rStyle w:val="Strong"/>
          <w:b/>
          <w:bCs w:val="0"/>
        </w:rPr>
        <w:t>Legal Factors</w:t>
      </w:r>
      <w:bookmarkEnd w:id="25"/>
    </w:p>
    <w:p w14:paraId="2CDDF6C1" w14:textId="15623AC6" w:rsidR="00415411" w:rsidRPr="00684832" w:rsidRDefault="00415411" w:rsidP="00415411">
      <w:r w:rsidRPr="00684832">
        <w:t>The US legal system places severe compliance requirements. Smart phones must meet the requirements of the Federal communications Commission (FCC) certification in terms of spectrum use and safety, which adds to costs of compliance and increases time-to-market. Improved data privacy and cybersecurity require companies to adopt effective systems of governance (FCC, 2024). Even though a strong intellectual property is beneficial to the innovators, it at the same time increases litigation risk to the new entrants.</w:t>
      </w:r>
    </w:p>
    <w:p w14:paraId="1B108017" w14:textId="77777777" w:rsidR="00415411" w:rsidRPr="00684832" w:rsidRDefault="00415411" w:rsidP="00415411"/>
    <w:p w14:paraId="5FB48C50" w14:textId="33E91FD8" w:rsidR="0032051B" w:rsidRPr="0026420A" w:rsidRDefault="0026420A" w:rsidP="0026420A">
      <w:pPr>
        <w:pStyle w:val="Heading3"/>
      </w:pPr>
      <w:bookmarkStart w:id="26" w:name="_Toc217290356"/>
      <w:r w:rsidRPr="0026420A">
        <w:rPr>
          <w:rStyle w:val="Strong"/>
          <w:b/>
          <w:bCs w:val="0"/>
        </w:rPr>
        <w:t xml:space="preserve">3.1.6. </w:t>
      </w:r>
      <w:r w:rsidR="00925011" w:rsidRPr="0026420A">
        <w:rPr>
          <w:rStyle w:val="Strong"/>
          <w:b/>
          <w:bCs w:val="0"/>
        </w:rPr>
        <w:t>Environmental Factors</w:t>
      </w:r>
      <w:bookmarkEnd w:id="26"/>
    </w:p>
    <w:p w14:paraId="41B46FBC" w14:textId="4745D834" w:rsidR="00D3493F" w:rsidRPr="00684832" w:rsidRDefault="0009642C" w:rsidP="0009642C">
      <w:r w:rsidRPr="00684832">
        <w:t xml:space="preserve">The environmental factor may be viewed as gaining even greater prominence, considering that smartphone manufacturing and recycling are the major sources of e-wastes and carbon footprints. The regulatory systems and demands of consumers have shifted to support companies that are lifecycle responsible, use recycled products, and </w:t>
      </w:r>
      <w:r w:rsidRPr="00684832">
        <w:lastRenderedPageBreak/>
        <w:t>are transparent in their emissions (Agarwal et al., 2025; Khalufi et al., 2025). In the given context, Nothing mobile will be given a chance to use sustainability initiatives as a reputation- and competition-based scope in the United States market.</w:t>
      </w:r>
    </w:p>
    <w:p w14:paraId="03F86488" w14:textId="77777777" w:rsidR="0009642C" w:rsidRPr="00684832" w:rsidRDefault="0009642C" w:rsidP="0009642C"/>
    <w:p w14:paraId="422F65B9" w14:textId="4A0BC321" w:rsidR="00D3493F" w:rsidRPr="00684832" w:rsidRDefault="000216BB" w:rsidP="000216BB">
      <w:pPr>
        <w:pStyle w:val="Heading3"/>
      </w:pPr>
      <w:bookmarkStart w:id="27" w:name="_Toc217290357"/>
      <w:r>
        <w:t xml:space="preserve">3.1.7. </w:t>
      </w:r>
      <w:r w:rsidR="00D3493F" w:rsidRPr="00684832">
        <w:t>Critical Evaluation of PESTLE</w:t>
      </w:r>
      <w:bookmarkEnd w:id="27"/>
    </w:p>
    <w:p w14:paraId="55DF6B79" w14:textId="4132A021" w:rsidR="00F47299" w:rsidRPr="00684832" w:rsidRDefault="00F47299" w:rsidP="00F47299">
      <w:r w:rsidRPr="00684832">
        <w:t xml:space="preserve">The main advantage of PESTLE is its systematic ability to emphasise on macro-environmental risks and contextual forces which are mostly out of the control of the firm, making it a valuable tool for international market evaluation (Rastogi et al, 2022). Within this framework, PESTLE explains the dynamics of geopolitical, regulatory, and sustainability aspects that are especially relevant to smartphone manufacturers.  </w:t>
      </w:r>
    </w:p>
    <w:p w14:paraId="261FF8F5" w14:textId="772AD4CC" w:rsidR="00D3493F" w:rsidRPr="00684832" w:rsidRDefault="00F47299" w:rsidP="00F47299">
      <w:r w:rsidRPr="00684832">
        <w:t>Nonetheless, PESTLE has some remarkable limitations. It provides a static picture which fails to accurately reflect the dynamics of competitor competition and disruption with technology and strategic behaviours (Mostafa, 2025). Moreover, it does not have any industry-specific depth, hence laying pressure on complementary tools like Porter's Five Forces and strategic group analysis to get a feeling of intensity and positioning in a competitive space. Consequently, while PESTLE is useful in identifying macro level conditions, its usefulness is enhanced by using it in conjunction with meso and micro level analyses to inform the formation of sound strategies.</w:t>
      </w:r>
    </w:p>
    <w:p w14:paraId="06C04B69" w14:textId="77777777" w:rsidR="00F47299" w:rsidRPr="00684832" w:rsidRDefault="00F47299" w:rsidP="005070A2"/>
    <w:p w14:paraId="1E656F86" w14:textId="0EFEFAF5" w:rsidR="005070A2" w:rsidRPr="00684832" w:rsidRDefault="005070A2" w:rsidP="000216BB">
      <w:pPr>
        <w:pStyle w:val="Heading2"/>
        <w:rPr>
          <w:rFonts w:ascii="Times New Roman" w:hAnsi="Times New Roman"/>
        </w:rPr>
      </w:pPr>
      <w:bookmarkStart w:id="28" w:name="_Toc217290358"/>
      <w:r w:rsidRPr="00684832">
        <w:t>3.</w:t>
      </w:r>
      <w:r w:rsidR="000216BB">
        <w:t>2.</w:t>
      </w:r>
      <w:r w:rsidRPr="00684832">
        <w:t xml:space="preserve"> Industry &amp; Competitive Analysis</w:t>
      </w:r>
      <w:bookmarkEnd w:id="28"/>
    </w:p>
    <w:p w14:paraId="34741982" w14:textId="77777777" w:rsidR="005070A2" w:rsidRPr="00684832" w:rsidRDefault="005070A2" w:rsidP="000216BB">
      <w:pPr>
        <w:pStyle w:val="Heading3"/>
      </w:pPr>
      <w:bookmarkStart w:id="29" w:name="_Toc217290359"/>
      <w:r w:rsidRPr="00684832">
        <w:t>3.2.1 Porter’s Five Forces</w:t>
      </w:r>
      <w:bookmarkEnd w:id="29"/>
    </w:p>
    <w:p w14:paraId="2BC31497" w14:textId="69C8A8C6" w:rsidR="00F47299" w:rsidRPr="00684832" w:rsidRDefault="00F47299" w:rsidP="00F47299">
      <w:r w:rsidRPr="00684832">
        <w:t xml:space="preserve">The Smartphone market in the United States is deemed to be very competitive, which is a side effect of maturity in the market, slow unit growth and strong brand entrenchment. Apple, Samsung, and Google Pixel have dominations in terms of shipments and ecosystem lock-in (Research and Markets, 2024). The fierce competition is also enhanced by the fact that the technological convergence is going to be fast around 5G, AI-based capabilities, and integration of ecosystems, and thus, products are released too often, and the intensity of marketing is increased (Lee et al., 2025). In the case of Nothing, </w:t>
      </w:r>
      <w:r w:rsidRPr="00684832">
        <w:lastRenderedPageBreak/>
        <w:t>this competition restricts the possibility of price flexibility and requires an offer of company differentiation that is not cantered around the base hardware features.</w:t>
      </w:r>
    </w:p>
    <w:p w14:paraId="12020BC2" w14:textId="75F99F39" w:rsidR="00F47299" w:rsidRDefault="00F47299" w:rsidP="00F47299">
      <w:r w:rsidRPr="00684832">
        <w:t>There is a moderate or low threat of potential entrant. Barriers to entry are high capital requirements, heavy intellectual property protection, and distribution channels in the control of the carriers (FCC, 2024). However, a possible approach is supported by empirical studies showing that it is still feasible to have product proliferation in the smartphone market of the U.S. when new entrants have offerings that are differentiated and not direct substitutes to the existing competition (Kim et al., 2020). The design-based positioning of Nothing is a somewhat softening factor in the entry barriers of taking a niche market instead of displacing the mass-market.</w:t>
      </w:r>
    </w:p>
    <w:p w14:paraId="5329D2F0" w14:textId="4762CC4E" w:rsidR="00660F14" w:rsidRDefault="00660F14" w:rsidP="00660F14">
      <w:pPr>
        <w:jc w:val="center"/>
      </w:pPr>
      <w:r>
        <w:rPr>
          <w:noProof/>
        </w:rPr>
        <w:drawing>
          <wp:inline distT="0" distB="0" distL="0" distR="0" wp14:anchorId="34449C96" wp14:editId="24B16405">
            <wp:extent cx="6484620" cy="3832836"/>
            <wp:effectExtent l="0" t="0" r="0" b="0"/>
            <wp:docPr id="2100981431" name="Picture 2100981431"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with EXAMPLES | B2U"/>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96857" cy="3840069"/>
                    </a:xfrm>
                    <a:prstGeom prst="rect">
                      <a:avLst/>
                    </a:prstGeom>
                    <a:noFill/>
                    <a:ln>
                      <a:noFill/>
                    </a:ln>
                  </pic:spPr>
                </pic:pic>
              </a:graphicData>
            </a:graphic>
          </wp:inline>
        </w:drawing>
      </w:r>
    </w:p>
    <w:p w14:paraId="53B790EC" w14:textId="009F1724" w:rsidR="00660F14" w:rsidRDefault="00660F14" w:rsidP="00660F14">
      <w:pPr>
        <w:pStyle w:val="Caption"/>
        <w:rPr>
          <w:lang w:val="en-US"/>
        </w:rPr>
      </w:pPr>
      <w:bookmarkStart w:id="30" w:name="_Toc217290384"/>
      <w:r>
        <w:t xml:space="preserve">Figure </w:t>
      </w:r>
      <w:r>
        <w:fldChar w:fldCharType="begin"/>
      </w:r>
      <w:r>
        <w:instrText xml:space="preserve"> SEQ Figure \* ARABIC </w:instrText>
      </w:r>
      <w:r>
        <w:fldChar w:fldCharType="separate"/>
      </w:r>
      <w:r w:rsidR="0027512E">
        <w:rPr>
          <w:noProof/>
        </w:rPr>
        <w:t>9</w:t>
      </w:r>
      <w:r>
        <w:fldChar w:fldCharType="end"/>
      </w:r>
      <w:r>
        <w:rPr>
          <w:lang w:val="en-US"/>
        </w:rPr>
        <w:t xml:space="preserve">: </w:t>
      </w:r>
      <w:r w:rsidRPr="003D750F">
        <w:rPr>
          <w:lang w:val="en-US"/>
        </w:rPr>
        <w:t>Porter’s Five Forces</w:t>
      </w:r>
      <w:bookmarkEnd w:id="30"/>
    </w:p>
    <w:p w14:paraId="075519F3" w14:textId="563DCEB7" w:rsidR="00660F14" w:rsidRPr="00660F14" w:rsidRDefault="00660F14" w:rsidP="00660F14">
      <w:pPr>
        <w:rPr>
          <w:lang w:val="en-US"/>
        </w:rPr>
      </w:pPr>
      <w:r>
        <w:rPr>
          <w:lang w:val="en-US"/>
        </w:rPr>
        <w:t>(Source: Student)</w:t>
      </w:r>
    </w:p>
    <w:p w14:paraId="364F4B98" w14:textId="3E82EA23" w:rsidR="00191641" w:rsidRPr="00684832" w:rsidRDefault="00191641" w:rsidP="00191641">
      <w:r w:rsidRPr="00684832">
        <w:t xml:space="preserve">The threat of substitutes is rather low. While less modifiable secondary devices such as tablets, wearables, and refurbished smartphones provide some level of substitution, there are few functional alternatives for smartphones, and they remain a necessity good with </w:t>
      </w:r>
      <w:r w:rsidRPr="00684832">
        <w:lastRenderedPageBreak/>
        <w:t>scarce substitutes in the U.S. digital economy (Research and Markets, 2024). Nevertheless, longer replacement cycles of devices and the rising refurbished phone market put more pressure at an indirect level, strengthening the need for experiential differentiation.</w:t>
      </w:r>
    </w:p>
    <w:p w14:paraId="2DFCF6B4" w14:textId="6FD0E246" w:rsidR="00F47299" w:rsidRPr="00684832" w:rsidRDefault="00191641" w:rsidP="00191641">
      <w:r w:rsidRPr="00684832">
        <w:t>Buyer power is high in the United States market. Consumers are provided with much information about products, strong brand substitutes, and price transparency, especially via the Internet. Research on smartphone preferences show that buyers are quite responsive to peer influence, perceived brand value and reference points, which intensifies the competition on non-price attributes (Kim et al., 2020; Aubhi et al., 2025). Carrier subsidies moderate the power of buyers to some degree, but unlocked device sales are growing and this bolsters consumer choice.</w:t>
      </w:r>
    </w:p>
    <w:p w14:paraId="278A2E96" w14:textId="47C66079" w:rsidR="00191641" w:rsidRPr="00684832" w:rsidRDefault="00191641" w:rsidP="00191641">
      <w:r w:rsidRPr="00684832">
        <w:t>The power of suppliers is moderate. Some of its critical, typically world-supplied, factors, like chipsets, displays, and camera modules, put manufacturers under risks related to the supply chain interruptions and their geopolitical strains (UNCTAD, 2025; Zhang, 2024). However, it is the large-scale suppliers who enter competition with a range of original equipment manufacturers and therefore eliminates the possibility of too much bargaining control. With Nothing mobile, the comparatively low size of the company in comparison to the incumbent organizations increases its sensitivity to fluctuations in costs and makes the formation of strategic supplier unions urgent.</w:t>
      </w:r>
    </w:p>
    <w:p w14:paraId="0939ABC2" w14:textId="20793C25" w:rsidR="005070A2" w:rsidRPr="00684832" w:rsidRDefault="005070A2" w:rsidP="005070A2"/>
    <w:p w14:paraId="047EE362" w14:textId="77777777" w:rsidR="005070A2" w:rsidRPr="00684832" w:rsidRDefault="005070A2" w:rsidP="000216BB">
      <w:pPr>
        <w:pStyle w:val="Heading3"/>
      </w:pPr>
      <w:bookmarkStart w:id="31" w:name="_Toc217290360"/>
      <w:r w:rsidRPr="00684832">
        <w:t xml:space="preserve">3.2.2 </w:t>
      </w:r>
      <w:r w:rsidRPr="000216BB">
        <w:t>Strategic</w:t>
      </w:r>
      <w:r w:rsidRPr="00684832">
        <w:t xml:space="preserve"> Group Mapping</w:t>
      </w:r>
      <w:bookmarkEnd w:id="31"/>
    </w:p>
    <w:p w14:paraId="5EA8CF43" w14:textId="33DF7BB7" w:rsidR="005070A2" w:rsidRPr="00684832" w:rsidRDefault="008F246B" w:rsidP="005070A2">
      <w:r w:rsidRPr="00684832">
        <w:t xml:space="preserve">Strategic group analysis defines a distinct segmentation of the United States smart phones market as flagship premium, premium-mid tier, and budget. Apple and Samsung maintain their position as the bests in the flagship category due to ecosystem lock in and technology leadership, while Google Pixel retains an upper mid position due to its focus on software sophistication and integration of Artificial Intelligence. Nothing is placed in the premium - mid tier, competing on the design, brand story and the value of the experience, not on the raw processing power alone. This positioning reduces direct competition with </w:t>
      </w:r>
      <w:r w:rsidRPr="00684832">
        <w:lastRenderedPageBreak/>
        <w:t>the leaders and the flagship brands while at the same time exposing Nothing to competition from the value-oriented Android brands.</w:t>
      </w:r>
    </w:p>
    <w:p w14:paraId="6F626819" w14:textId="77777777" w:rsidR="008F246B" w:rsidRPr="00684832" w:rsidRDefault="008F246B" w:rsidP="005070A2"/>
    <w:p w14:paraId="6FF2A5D1" w14:textId="0ACE8FC2" w:rsidR="005070A2" w:rsidRPr="00684832" w:rsidRDefault="0036123A" w:rsidP="000216BB">
      <w:pPr>
        <w:pStyle w:val="Heading3"/>
        <w:rPr>
          <w:rFonts w:ascii="Times New Roman" w:hAnsi="Times New Roman"/>
        </w:rPr>
      </w:pPr>
      <w:bookmarkStart w:id="32" w:name="_Toc217290361"/>
      <w:r w:rsidRPr="00684832">
        <w:t xml:space="preserve">3.2.3 </w:t>
      </w:r>
      <w:r w:rsidR="005070A2" w:rsidRPr="000216BB">
        <w:t>Critical</w:t>
      </w:r>
      <w:r w:rsidR="005070A2" w:rsidRPr="00684832">
        <w:t xml:space="preserve"> Evaluation</w:t>
      </w:r>
      <w:r w:rsidRPr="00684832">
        <w:t xml:space="preserve"> of Porter’s Five Forces</w:t>
      </w:r>
      <w:bookmarkEnd w:id="32"/>
    </w:p>
    <w:p w14:paraId="1D8F4A0F" w14:textId="3680D256" w:rsidR="008F246B" w:rsidRPr="00684832" w:rsidRDefault="008F246B" w:rsidP="008F246B">
      <w:r w:rsidRPr="00684832">
        <w:t>Porters five forces is an effective model of systematically analysing the industry structural pressures and an understanding of the forces limiting profitability in the US smartphone industry, that is, interfirm rivalry, buyer power, and entry barriers (Kabeyi, 2018; Baird et al., 2024). When used together with strategic-group mapping, the model gives a more understandable picture on relative positioning and competitive distance in emerging entrants like Nothing and the existing heavy players.</w:t>
      </w:r>
    </w:p>
    <w:p w14:paraId="586D9E02" w14:textId="123D5ED1" w:rsidR="005070A2" w:rsidRPr="00684832" w:rsidRDefault="008F246B" w:rsidP="008F246B">
      <w:r w:rsidRPr="00684832">
        <w:t>The framework, however, has significant weaknesses in the fast-changing technology markets. It also assumes comparatively static competitors within the industry and overstates the section of nature like competition within ecosystems, speedy innovation cycles, and competitive benefits based on a platform (Rosario et al., 2024). Moreover, Five Forces is unable to adequately describe elements of demand-side dynamic, such as community-based brand relations and differentiation by sustainability, which matter more in smartphone buying today (Zwicker et al., 2023). Based on this, the model is still useful in the assessment of the competitive pressures though it should be combined with dynamic-capability and ecosystem-based analyses to make sound strategic decision making.</w:t>
      </w:r>
    </w:p>
    <w:p w14:paraId="1CB4DB7E" w14:textId="77777777" w:rsidR="008F246B" w:rsidRPr="00684832" w:rsidRDefault="008F246B" w:rsidP="008F246B"/>
    <w:p w14:paraId="7A28B3B5" w14:textId="77777777" w:rsidR="005070A2" w:rsidRPr="00684832" w:rsidRDefault="005070A2" w:rsidP="000216BB">
      <w:pPr>
        <w:pStyle w:val="Heading2"/>
        <w:rPr>
          <w:rFonts w:ascii="Times New Roman" w:hAnsi="Times New Roman"/>
        </w:rPr>
      </w:pPr>
      <w:bookmarkStart w:id="33" w:name="_Toc217290362"/>
      <w:r w:rsidRPr="00684832">
        <w:t>3.3 Internal Strategic Capability Analysis</w:t>
      </w:r>
      <w:bookmarkEnd w:id="33"/>
    </w:p>
    <w:p w14:paraId="217B9A76" w14:textId="2514267E" w:rsidR="006469AD" w:rsidRPr="00684832" w:rsidRDefault="006469AD" w:rsidP="005070A2">
      <w:r w:rsidRPr="00684832">
        <w:t>Nothing is internally strategic capabilities, so the Resource-Based View (RBV) can be used to assess the sustainable competitive advantage of the organisation resources and capabilities that are valuable, rare, and inimitable plus embedded in the organisation structure. Internal differentiation is of paramount importance in a dynamic and highly concentrated smartphone market where the challenger brands aim at eliminating structural disadvantages (Fan et al., 2020).</w:t>
      </w:r>
    </w:p>
    <w:p w14:paraId="3122EDEB" w14:textId="5C17885E" w:rsidR="006469AD" w:rsidRPr="00684832" w:rsidRDefault="006469AD" w:rsidP="005070A2">
      <w:r w:rsidRPr="00684832">
        <w:lastRenderedPageBreak/>
        <w:t>The most important strategic resources of the company are related to brand identity, capability of industrial design, and marketing through the community. Its transparent design language and minimalist aesthetics create a large amount of symbolic value, which is particularly attractive to younger generations of consumers who are more aware of design and value uniqueness and brand meaning in addition to functionality (Aubhi et al., 2025; Kim et al., 2020). This design capability is further reinforced by Nothing OS which integrates hardware and software into a cohesive user experience (Nothing, 2024a). Moreover, the mobile digital native community marketing model which is based on co-creation, beta testing, and online engagement reduces customer acquisition costs and boosts emotional bonding with the brand (Nothing, 2023a).</w:t>
      </w:r>
    </w:p>
    <w:p w14:paraId="68AD0486" w14:textId="28498B85" w:rsidR="005070A2" w:rsidRPr="00684832" w:rsidRDefault="005070A2" w:rsidP="005070A2">
      <w:r w:rsidRPr="00684832">
        <w:rPr>
          <w:rStyle w:val="Strong"/>
        </w:rPr>
        <w:t>VRIO Assessment of Nothing’s Core Capabilities</w:t>
      </w:r>
    </w:p>
    <w:p w14:paraId="4971A04B" w14:textId="692EB050" w:rsidR="00985465" w:rsidRDefault="00B7189D" w:rsidP="005070A2">
      <w:r w:rsidRPr="00B7189D">
        <w:rPr>
          <w:noProof/>
        </w:rPr>
        <w:drawing>
          <wp:inline distT="0" distB="0" distL="0" distR="0" wp14:anchorId="3F2ECC72" wp14:editId="7D04E025">
            <wp:extent cx="5943600" cy="2945130"/>
            <wp:effectExtent l="0" t="0" r="0" b="7620"/>
            <wp:docPr id="154447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7386" name=""/>
                    <pic:cNvPicPr/>
                  </pic:nvPicPr>
                  <pic:blipFill>
                    <a:blip r:embed="rId19"/>
                    <a:stretch>
                      <a:fillRect/>
                    </a:stretch>
                  </pic:blipFill>
                  <pic:spPr>
                    <a:xfrm>
                      <a:off x="0" y="0"/>
                      <a:ext cx="5943600" cy="2945130"/>
                    </a:xfrm>
                    <a:prstGeom prst="rect">
                      <a:avLst/>
                    </a:prstGeom>
                  </pic:spPr>
                </pic:pic>
              </a:graphicData>
            </a:graphic>
          </wp:inline>
        </w:drawing>
      </w:r>
    </w:p>
    <w:p w14:paraId="6CF4A112" w14:textId="510854B4" w:rsidR="00F86E7A" w:rsidRDefault="00F86E7A" w:rsidP="00F86E7A">
      <w:pPr>
        <w:pStyle w:val="Caption"/>
        <w:rPr>
          <w:lang w:val="en-US"/>
        </w:rPr>
      </w:pPr>
      <w:bookmarkStart w:id="34" w:name="_Toc217290391"/>
      <w:r>
        <w:t xml:space="preserve">Table </w:t>
      </w:r>
      <w:r>
        <w:fldChar w:fldCharType="begin"/>
      </w:r>
      <w:r>
        <w:instrText xml:space="preserve"> SEQ Table \* ARABIC </w:instrText>
      </w:r>
      <w:r>
        <w:fldChar w:fldCharType="separate"/>
      </w:r>
      <w:r w:rsidR="0027512E">
        <w:rPr>
          <w:noProof/>
        </w:rPr>
        <w:t>3</w:t>
      </w:r>
      <w:r>
        <w:fldChar w:fldCharType="end"/>
      </w:r>
      <w:r>
        <w:rPr>
          <w:lang w:val="en-US"/>
        </w:rPr>
        <w:t xml:space="preserve">: </w:t>
      </w:r>
      <w:r w:rsidRPr="0072546E">
        <w:rPr>
          <w:lang w:val="en-US"/>
        </w:rPr>
        <w:t>VRIO Assessment of Nothing’s Core Capabilities</w:t>
      </w:r>
      <w:bookmarkEnd w:id="34"/>
    </w:p>
    <w:p w14:paraId="65D71D80" w14:textId="0C426120" w:rsidR="00F86E7A" w:rsidRPr="00F86E7A" w:rsidRDefault="00F86E7A" w:rsidP="00F86E7A">
      <w:pPr>
        <w:rPr>
          <w:lang w:val="en-US"/>
        </w:rPr>
      </w:pPr>
      <w:r w:rsidRPr="00F86E7A">
        <w:rPr>
          <w:lang w:val="en-US"/>
        </w:rPr>
        <w:t>(Source: Student)</w:t>
      </w:r>
    </w:p>
    <w:p w14:paraId="6E6C0B83" w14:textId="518D510F" w:rsidR="005070A2" w:rsidRPr="00684832" w:rsidRDefault="006469AD" w:rsidP="005070A2">
      <w:r w:rsidRPr="00684832">
        <w:t xml:space="preserve">However, despite these above strengths, Nothing mobile faces the issue of strategic weaknesses that hinder scalability. It has a comparatively low scale of operations that impedes its bargaining power against suppliers and restricts the achievement of economies of scale in comparison to competitors (Research and Markets, 2024). In addition, limited scope of distribution by the company, especially in the markets </w:t>
      </w:r>
      <w:r w:rsidRPr="00684832">
        <w:lastRenderedPageBreak/>
        <w:t>dominated by carriers (e.g. the United States) reduces visibility in the market and slows down the adoption of the product (FCC, 2024). Such weaknesses highlight the need to focus on strategic, selective strategic partnerships and incremental expansion strategies to supplement unique internal capabilities of Nothing.</w:t>
      </w:r>
    </w:p>
    <w:p w14:paraId="2E8DECE6" w14:textId="4F4B7C6C" w:rsidR="0036123A" w:rsidRPr="00684832" w:rsidRDefault="0036123A" w:rsidP="00BA5486">
      <w:pPr>
        <w:pStyle w:val="Heading1"/>
      </w:pPr>
      <w:bookmarkStart w:id="35" w:name="_Toc217290363"/>
      <w:r w:rsidRPr="00684832">
        <w:t>4. Strategy Development and Formulation</w:t>
      </w:r>
      <w:bookmarkEnd w:id="35"/>
    </w:p>
    <w:p w14:paraId="2864E34A" w14:textId="18AE5DE7" w:rsidR="006469AD" w:rsidRPr="00576195" w:rsidRDefault="005070A2" w:rsidP="00BA5486">
      <w:pPr>
        <w:pStyle w:val="Heading2"/>
        <w:rPr>
          <w:rFonts w:ascii="Times New Roman" w:hAnsi="Times New Roman"/>
        </w:rPr>
      </w:pPr>
      <w:bookmarkStart w:id="36" w:name="_Toc217290364"/>
      <w:r w:rsidRPr="00684832">
        <w:t xml:space="preserve">4.1 Strategic </w:t>
      </w:r>
      <w:r w:rsidRPr="00BA5486">
        <w:t>Objectives</w:t>
      </w:r>
      <w:r w:rsidRPr="00684832">
        <w:t xml:space="preserve"> of US Expansion</w:t>
      </w:r>
      <w:bookmarkEnd w:id="36"/>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8"/>
        <w:gridCol w:w="1526"/>
        <w:gridCol w:w="1526"/>
        <w:gridCol w:w="1641"/>
        <w:gridCol w:w="1923"/>
        <w:gridCol w:w="1196"/>
      </w:tblGrid>
      <w:tr w:rsidR="00F86E7A" w:rsidRPr="00F86E7A" w14:paraId="4BAD3486" w14:textId="77777777" w:rsidTr="00F86E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shd w:val="clear" w:color="auto" w:fill="B6FCD1"/>
            <w:hideMark/>
          </w:tcPr>
          <w:p w14:paraId="41706566" w14:textId="77777777" w:rsidR="006469AD" w:rsidRPr="00F86E7A" w:rsidRDefault="006469AD" w:rsidP="00576195">
            <w:pPr>
              <w:spacing w:after="160" w:line="276" w:lineRule="auto"/>
              <w:rPr>
                <w:b w:val="0"/>
                <w:bCs w:val="0"/>
                <w:color w:val="000000" w:themeColor="text1"/>
              </w:rPr>
            </w:pPr>
            <w:r w:rsidRPr="00F86E7A">
              <w:rPr>
                <w:color w:val="000000" w:themeColor="text1"/>
              </w:rPr>
              <w:t>Objective Area</w:t>
            </w:r>
          </w:p>
        </w:tc>
        <w:tc>
          <w:tcPr>
            <w:tcW w:w="0" w:type="auto"/>
            <w:tcBorders>
              <w:top w:val="none" w:sz="0" w:space="0" w:color="auto"/>
              <w:left w:val="none" w:sz="0" w:space="0" w:color="auto"/>
              <w:right w:val="none" w:sz="0" w:space="0" w:color="auto"/>
            </w:tcBorders>
            <w:shd w:val="clear" w:color="auto" w:fill="B6FCD1"/>
            <w:hideMark/>
          </w:tcPr>
          <w:p w14:paraId="0FEED9E4" w14:textId="77777777" w:rsidR="006469AD" w:rsidRPr="00F86E7A" w:rsidRDefault="006469AD" w:rsidP="00576195">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F86E7A">
              <w:rPr>
                <w:color w:val="000000" w:themeColor="text1"/>
              </w:rPr>
              <w:t>Specific (S)</w:t>
            </w:r>
          </w:p>
        </w:tc>
        <w:tc>
          <w:tcPr>
            <w:tcW w:w="0" w:type="auto"/>
            <w:tcBorders>
              <w:top w:val="none" w:sz="0" w:space="0" w:color="auto"/>
              <w:left w:val="none" w:sz="0" w:space="0" w:color="auto"/>
              <w:right w:val="none" w:sz="0" w:space="0" w:color="auto"/>
            </w:tcBorders>
            <w:shd w:val="clear" w:color="auto" w:fill="B6FCD1"/>
            <w:hideMark/>
          </w:tcPr>
          <w:p w14:paraId="5929BF84" w14:textId="77777777" w:rsidR="006469AD" w:rsidRPr="00F86E7A" w:rsidRDefault="006469AD" w:rsidP="00576195">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F86E7A">
              <w:rPr>
                <w:color w:val="000000" w:themeColor="text1"/>
              </w:rPr>
              <w:t>Measurable (M)</w:t>
            </w:r>
          </w:p>
        </w:tc>
        <w:tc>
          <w:tcPr>
            <w:tcW w:w="0" w:type="auto"/>
            <w:tcBorders>
              <w:top w:val="none" w:sz="0" w:space="0" w:color="auto"/>
              <w:left w:val="none" w:sz="0" w:space="0" w:color="auto"/>
              <w:right w:val="none" w:sz="0" w:space="0" w:color="auto"/>
            </w:tcBorders>
            <w:shd w:val="clear" w:color="auto" w:fill="B6FCD1"/>
            <w:hideMark/>
          </w:tcPr>
          <w:p w14:paraId="31A513EE" w14:textId="77777777" w:rsidR="006469AD" w:rsidRPr="00F86E7A" w:rsidRDefault="006469AD" w:rsidP="00576195">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F86E7A">
              <w:rPr>
                <w:color w:val="000000" w:themeColor="text1"/>
              </w:rPr>
              <w:t>Achievable (A)</w:t>
            </w:r>
          </w:p>
        </w:tc>
        <w:tc>
          <w:tcPr>
            <w:tcW w:w="0" w:type="auto"/>
            <w:tcBorders>
              <w:top w:val="none" w:sz="0" w:space="0" w:color="auto"/>
              <w:left w:val="none" w:sz="0" w:space="0" w:color="auto"/>
              <w:right w:val="none" w:sz="0" w:space="0" w:color="auto"/>
            </w:tcBorders>
            <w:shd w:val="clear" w:color="auto" w:fill="B6FCD1"/>
            <w:hideMark/>
          </w:tcPr>
          <w:p w14:paraId="24FA574C" w14:textId="77777777" w:rsidR="006469AD" w:rsidRPr="00F86E7A" w:rsidRDefault="006469AD" w:rsidP="00576195">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F86E7A">
              <w:rPr>
                <w:color w:val="000000" w:themeColor="text1"/>
              </w:rPr>
              <w:t>Relevant (R)</w:t>
            </w:r>
          </w:p>
        </w:tc>
        <w:tc>
          <w:tcPr>
            <w:tcW w:w="0" w:type="auto"/>
            <w:tcBorders>
              <w:top w:val="none" w:sz="0" w:space="0" w:color="auto"/>
              <w:left w:val="none" w:sz="0" w:space="0" w:color="auto"/>
              <w:right w:val="none" w:sz="0" w:space="0" w:color="auto"/>
            </w:tcBorders>
            <w:shd w:val="clear" w:color="auto" w:fill="B6FCD1"/>
            <w:hideMark/>
          </w:tcPr>
          <w:p w14:paraId="32F3BD2D" w14:textId="77777777" w:rsidR="006469AD" w:rsidRPr="00F86E7A" w:rsidRDefault="006469AD" w:rsidP="00576195">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F86E7A">
              <w:rPr>
                <w:color w:val="000000" w:themeColor="text1"/>
              </w:rPr>
              <w:t>Time-Bound (T)</w:t>
            </w:r>
          </w:p>
        </w:tc>
      </w:tr>
      <w:tr w:rsidR="00F86E7A" w:rsidRPr="00F86E7A" w14:paraId="3280C84E" w14:textId="77777777" w:rsidTr="00F8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EC4D5F7" w14:textId="77777777" w:rsidR="006469AD" w:rsidRPr="00F86E7A" w:rsidRDefault="006469AD" w:rsidP="00576195">
            <w:pPr>
              <w:spacing w:after="160" w:line="276" w:lineRule="auto"/>
              <w:rPr>
                <w:color w:val="000000" w:themeColor="text1"/>
              </w:rPr>
            </w:pPr>
            <w:r w:rsidRPr="00F86E7A">
              <w:rPr>
                <w:color w:val="000000" w:themeColor="text1"/>
              </w:rPr>
              <w:t>Market Entry &amp; Penetration</w:t>
            </w:r>
          </w:p>
        </w:tc>
        <w:tc>
          <w:tcPr>
            <w:tcW w:w="0" w:type="auto"/>
            <w:hideMark/>
          </w:tcPr>
          <w:p w14:paraId="70514409"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Enter the US premium–mid smartphone segment through DTC and selective MVNO partnerships</w:t>
            </w:r>
          </w:p>
        </w:tc>
        <w:tc>
          <w:tcPr>
            <w:tcW w:w="0" w:type="auto"/>
            <w:hideMark/>
          </w:tcPr>
          <w:p w14:paraId="78AC0F44"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Achieve 1% market share in the US premium–mid segment</w:t>
            </w:r>
          </w:p>
        </w:tc>
        <w:tc>
          <w:tcPr>
            <w:tcW w:w="0" w:type="auto"/>
            <w:hideMark/>
          </w:tcPr>
          <w:p w14:paraId="7BD2A999"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Feasible via phased rollout and niche targeting</w:t>
            </w:r>
          </w:p>
        </w:tc>
        <w:tc>
          <w:tcPr>
            <w:tcW w:w="0" w:type="auto"/>
            <w:hideMark/>
          </w:tcPr>
          <w:p w14:paraId="5BC14333"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Supports international growth and brand expansion</w:t>
            </w:r>
          </w:p>
        </w:tc>
        <w:tc>
          <w:tcPr>
            <w:tcW w:w="0" w:type="auto"/>
            <w:hideMark/>
          </w:tcPr>
          <w:p w14:paraId="203BD5AB"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Within 36 months of market entry</w:t>
            </w:r>
          </w:p>
        </w:tc>
      </w:tr>
      <w:tr w:rsidR="00F86E7A" w:rsidRPr="00F86E7A" w14:paraId="20D4DBBC" w14:textId="77777777" w:rsidTr="00F86E7A">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191213F" w14:textId="77777777" w:rsidR="006469AD" w:rsidRPr="00F86E7A" w:rsidRDefault="006469AD" w:rsidP="00576195">
            <w:pPr>
              <w:spacing w:after="160" w:line="276" w:lineRule="auto"/>
              <w:rPr>
                <w:color w:val="000000" w:themeColor="text1"/>
              </w:rPr>
            </w:pPr>
            <w:r w:rsidRPr="00F86E7A">
              <w:rPr>
                <w:color w:val="000000" w:themeColor="text1"/>
              </w:rPr>
              <w:t>Brand Awareness</w:t>
            </w:r>
          </w:p>
        </w:tc>
        <w:tc>
          <w:tcPr>
            <w:tcW w:w="0" w:type="auto"/>
            <w:hideMark/>
          </w:tcPr>
          <w:p w14:paraId="07B51740"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Establish Nothing as a recognised design-led smartphone brand among US consumers</w:t>
            </w:r>
          </w:p>
        </w:tc>
        <w:tc>
          <w:tcPr>
            <w:tcW w:w="0" w:type="auto"/>
            <w:hideMark/>
          </w:tcPr>
          <w:p w14:paraId="4949AFEA"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Reach 25% unaided brand awareness among Gen Z and millennials in key metro areas</w:t>
            </w:r>
          </w:p>
        </w:tc>
        <w:tc>
          <w:tcPr>
            <w:tcW w:w="0" w:type="auto"/>
            <w:hideMark/>
          </w:tcPr>
          <w:p w14:paraId="2AEE90A8"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Supported by influencer and community marketing</w:t>
            </w:r>
          </w:p>
        </w:tc>
        <w:tc>
          <w:tcPr>
            <w:tcW w:w="0" w:type="auto"/>
            <w:hideMark/>
          </w:tcPr>
          <w:p w14:paraId="1D303F0C"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Essential for competing in a brand-driven market</w:t>
            </w:r>
          </w:p>
        </w:tc>
        <w:tc>
          <w:tcPr>
            <w:tcW w:w="0" w:type="auto"/>
            <w:hideMark/>
          </w:tcPr>
          <w:p w14:paraId="5EEF63CF"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Within 24 months</w:t>
            </w:r>
          </w:p>
        </w:tc>
      </w:tr>
      <w:tr w:rsidR="00F86E7A" w:rsidRPr="00F86E7A" w14:paraId="211A2862" w14:textId="77777777" w:rsidTr="00F8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0FE857A" w14:textId="77777777" w:rsidR="006469AD" w:rsidRPr="00F86E7A" w:rsidRDefault="006469AD" w:rsidP="00576195">
            <w:pPr>
              <w:spacing w:after="160" w:line="276" w:lineRule="auto"/>
              <w:rPr>
                <w:color w:val="000000" w:themeColor="text1"/>
              </w:rPr>
            </w:pPr>
            <w:r w:rsidRPr="00F86E7A">
              <w:rPr>
                <w:color w:val="000000" w:themeColor="text1"/>
              </w:rPr>
              <w:t>Revenue Growth</w:t>
            </w:r>
          </w:p>
        </w:tc>
        <w:tc>
          <w:tcPr>
            <w:tcW w:w="0" w:type="auto"/>
            <w:hideMark/>
          </w:tcPr>
          <w:p w14:paraId="5F536C6A"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 xml:space="preserve">Generate sustainable revenues </w:t>
            </w:r>
            <w:r w:rsidRPr="00F86E7A">
              <w:rPr>
                <w:color w:val="000000" w:themeColor="text1"/>
              </w:rPr>
              <w:lastRenderedPageBreak/>
              <w:t>from the US market</w:t>
            </w:r>
          </w:p>
        </w:tc>
        <w:tc>
          <w:tcPr>
            <w:tcW w:w="0" w:type="auto"/>
            <w:hideMark/>
          </w:tcPr>
          <w:p w14:paraId="1E730935"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lastRenderedPageBreak/>
              <w:t xml:space="preserve">Achieve USD 300–400 million in </w:t>
            </w:r>
            <w:r w:rsidRPr="00F86E7A">
              <w:rPr>
                <w:color w:val="000000" w:themeColor="text1"/>
              </w:rPr>
              <w:lastRenderedPageBreak/>
              <w:t>cumulative US revenue</w:t>
            </w:r>
          </w:p>
        </w:tc>
        <w:tc>
          <w:tcPr>
            <w:tcW w:w="0" w:type="auto"/>
            <w:hideMark/>
          </w:tcPr>
          <w:p w14:paraId="3E3502E8"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lastRenderedPageBreak/>
              <w:t xml:space="preserve">Realistic given mid-range pricing </w:t>
            </w:r>
            <w:r w:rsidRPr="00F86E7A">
              <w:rPr>
                <w:color w:val="000000" w:themeColor="text1"/>
              </w:rPr>
              <w:lastRenderedPageBreak/>
              <w:t>and growing demand</w:t>
            </w:r>
          </w:p>
        </w:tc>
        <w:tc>
          <w:tcPr>
            <w:tcW w:w="0" w:type="auto"/>
            <w:hideMark/>
          </w:tcPr>
          <w:p w14:paraId="12BD5128"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lastRenderedPageBreak/>
              <w:t>Directly contributes to financial performance</w:t>
            </w:r>
          </w:p>
        </w:tc>
        <w:tc>
          <w:tcPr>
            <w:tcW w:w="0" w:type="auto"/>
            <w:hideMark/>
          </w:tcPr>
          <w:p w14:paraId="03DF1AF7"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Within 3 financial years</w:t>
            </w:r>
          </w:p>
        </w:tc>
      </w:tr>
      <w:tr w:rsidR="00F86E7A" w:rsidRPr="00F86E7A" w14:paraId="01A07B9A" w14:textId="77777777" w:rsidTr="00F86E7A">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38C095A" w14:textId="77777777" w:rsidR="006469AD" w:rsidRPr="00F86E7A" w:rsidRDefault="006469AD" w:rsidP="00576195">
            <w:pPr>
              <w:spacing w:after="160" w:line="276" w:lineRule="auto"/>
              <w:rPr>
                <w:color w:val="000000" w:themeColor="text1"/>
              </w:rPr>
            </w:pPr>
            <w:r w:rsidRPr="00F86E7A">
              <w:rPr>
                <w:color w:val="000000" w:themeColor="text1"/>
              </w:rPr>
              <w:t>Ecosystem Adoption</w:t>
            </w:r>
          </w:p>
        </w:tc>
        <w:tc>
          <w:tcPr>
            <w:tcW w:w="0" w:type="auto"/>
            <w:hideMark/>
          </w:tcPr>
          <w:p w14:paraId="2E4F7BB1"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Increase cross-selling of Nothing ecosystem products</w:t>
            </w:r>
          </w:p>
        </w:tc>
        <w:tc>
          <w:tcPr>
            <w:tcW w:w="0" w:type="auto"/>
            <w:hideMark/>
          </w:tcPr>
          <w:p w14:paraId="3A48FF68"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At least 40% of smartphone buyers purchase one additional device</w:t>
            </w:r>
          </w:p>
        </w:tc>
        <w:tc>
          <w:tcPr>
            <w:tcW w:w="0" w:type="auto"/>
            <w:hideMark/>
          </w:tcPr>
          <w:p w14:paraId="1D7B04E9"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Enabled by integrated ecosystem strategy</w:t>
            </w:r>
          </w:p>
        </w:tc>
        <w:tc>
          <w:tcPr>
            <w:tcW w:w="0" w:type="auto"/>
            <w:hideMark/>
          </w:tcPr>
          <w:p w14:paraId="1378271A"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Enhances customer lifetime value</w:t>
            </w:r>
          </w:p>
        </w:tc>
        <w:tc>
          <w:tcPr>
            <w:tcW w:w="0" w:type="auto"/>
            <w:hideMark/>
          </w:tcPr>
          <w:p w14:paraId="0380DCBA"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Within 12 months of initial purchase</w:t>
            </w:r>
          </w:p>
        </w:tc>
      </w:tr>
      <w:tr w:rsidR="00F86E7A" w:rsidRPr="00F86E7A" w14:paraId="38D39390" w14:textId="77777777" w:rsidTr="00F8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4B286FC" w14:textId="77777777" w:rsidR="006469AD" w:rsidRPr="00F86E7A" w:rsidRDefault="006469AD" w:rsidP="00576195">
            <w:pPr>
              <w:spacing w:after="160" w:line="276" w:lineRule="auto"/>
              <w:rPr>
                <w:color w:val="000000" w:themeColor="text1"/>
              </w:rPr>
            </w:pPr>
            <w:r w:rsidRPr="00F86E7A">
              <w:rPr>
                <w:color w:val="000000" w:themeColor="text1"/>
              </w:rPr>
              <w:t>Customer Loyalty &amp; Retention</w:t>
            </w:r>
          </w:p>
        </w:tc>
        <w:tc>
          <w:tcPr>
            <w:tcW w:w="0" w:type="auto"/>
            <w:hideMark/>
          </w:tcPr>
          <w:p w14:paraId="4FF12253"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Build strong customer advocacy and repeat purchase behaviour</w:t>
            </w:r>
          </w:p>
        </w:tc>
        <w:tc>
          <w:tcPr>
            <w:tcW w:w="0" w:type="auto"/>
            <w:hideMark/>
          </w:tcPr>
          <w:p w14:paraId="70BEB900"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Achieve NPS ≥ 50 and 30% repeat purchase intention</w:t>
            </w:r>
          </w:p>
        </w:tc>
        <w:tc>
          <w:tcPr>
            <w:tcW w:w="0" w:type="auto"/>
            <w:hideMark/>
          </w:tcPr>
          <w:p w14:paraId="5FCC36B3"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Achievable through design differentiation and UX focus</w:t>
            </w:r>
          </w:p>
        </w:tc>
        <w:tc>
          <w:tcPr>
            <w:tcW w:w="0" w:type="auto"/>
            <w:hideMark/>
          </w:tcPr>
          <w:p w14:paraId="385B5B0D"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Supports long-term competitiveness</w:t>
            </w:r>
          </w:p>
        </w:tc>
        <w:tc>
          <w:tcPr>
            <w:tcW w:w="0" w:type="auto"/>
            <w:hideMark/>
          </w:tcPr>
          <w:p w14:paraId="23C0DC63" w14:textId="77777777" w:rsidR="006469AD" w:rsidRPr="00F86E7A" w:rsidRDefault="006469AD" w:rsidP="00576195">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F86E7A">
              <w:rPr>
                <w:color w:val="000000" w:themeColor="text1"/>
              </w:rPr>
              <w:t>Within 36 months</w:t>
            </w:r>
          </w:p>
        </w:tc>
      </w:tr>
      <w:tr w:rsidR="00F86E7A" w:rsidRPr="00F86E7A" w14:paraId="62EAB20A" w14:textId="77777777" w:rsidTr="00F86E7A">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7D0CDBC" w14:textId="77777777" w:rsidR="006469AD" w:rsidRPr="00F86E7A" w:rsidRDefault="006469AD" w:rsidP="00576195">
            <w:pPr>
              <w:spacing w:after="160" w:line="276" w:lineRule="auto"/>
              <w:rPr>
                <w:color w:val="000000" w:themeColor="text1"/>
              </w:rPr>
            </w:pPr>
            <w:r w:rsidRPr="00F86E7A">
              <w:rPr>
                <w:color w:val="000000" w:themeColor="text1"/>
              </w:rPr>
              <w:t>Operational Readiness</w:t>
            </w:r>
          </w:p>
        </w:tc>
        <w:tc>
          <w:tcPr>
            <w:tcW w:w="0" w:type="auto"/>
            <w:hideMark/>
          </w:tcPr>
          <w:p w14:paraId="107177A5"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Ensure efficient US market execution and compliance</w:t>
            </w:r>
          </w:p>
        </w:tc>
        <w:tc>
          <w:tcPr>
            <w:tcW w:w="0" w:type="auto"/>
            <w:hideMark/>
          </w:tcPr>
          <w:p w14:paraId="6C07C051"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Achieve FCC certification and on-time launch milestones</w:t>
            </w:r>
          </w:p>
        </w:tc>
        <w:tc>
          <w:tcPr>
            <w:tcW w:w="0" w:type="auto"/>
            <w:hideMark/>
          </w:tcPr>
          <w:p w14:paraId="0069D94B"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Supported by early regulatory engagement</w:t>
            </w:r>
          </w:p>
        </w:tc>
        <w:tc>
          <w:tcPr>
            <w:tcW w:w="0" w:type="auto"/>
            <w:hideMark/>
          </w:tcPr>
          <w:p w14:paraId="77C1BB14"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Critical for legal market entry</w:t>
            </w:r>
          </w:p>
        </w:tc>
        <w:tc>
          <w:tcPr>
            <w:tcW w:w="0" w:type="auto"/>
            <w:hideMark/>
          </w:tcPr>
          <w:p w14:paraId="5E32EE3E" w14:textId="77777777" w:rsidR="006469AD" w:rsidRPr="00F86E7A" w:rsidRDefault="006469AD" w:rsidP="00576195">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F86E7A">
              <w:rPr>
                <w:color w:val="000000" w:themeColor="text1"/>
              </w:rPr>
              <w:t>Prior to market launch</w:t>
            </w:r>
          </w:p>
        </w:tc>
      </w:tr>
    </w:tbl>
    <w:p w14:paraId="14BCE9F7" w14:textId="071FFAC7" w:rsidR="005070A2" w:rsidRDefault="00576195" w:rsidP="00576195">
      <w:pPr>
        <w:pStyle w:val="Caption"/>
        <w:rPr>
          <w:lang w:val="en-US"/>
        </w:rPr>
      </w:pPr>
      <w:bookmarkStart w:id="37" w:name="_Toc217290392"/>
      <w:r>
        <w:t xml:space="preserve">Table </w:t>
      </w:r>
      <w:r>
        <w:fldChar w:fldCharType="begin"/>
      </w:r>
      <w:r>
        <w:instrText xml:space="preserve"> SEQ Table \* ARABIC </w:instrText>
      </w:r>
      <w:r>
        <w:fldChar w:fldCharType="separate"/>
      </w:r>
      <w:r w:rsidR="0027512E">
        <w:rPr>
          <w:noProof/>
        </w:rPr>
        <w:t>4</w:t>
      </w:r>
      <w:r>
        <w:fldChar w:fldCharType="end"/>
      </w:r>
      <w:r>
        <w:rPr>
          <w:lang w:val="en-US"/>
        </w:rPr>
        <w:t>:</w:t>
      </w:r>
      <w:r w:rsidRPr="00706634">
        <w:rPr>
          <w:lang w:val="en-US"/>
        </w:rPr>
        <w:t>SMART Strategic Objectives for Nothing Mobile’s US Expansion</w:t>
      </w:r>
      <w:bookmarkEnd w:id="37"/>
    </w:p>
    <w:p w14:paraId="1DFBAECF" w14:textId="599A7A36" w:rsidR="00576195" w:rsidRPr="00576195" w:rsidRDefault="00F86E7A" w:rsidP="00576195">
      <w:pPr>
        <w:rPr>
          <w:lang w:val="en-US"/>
        </w:rPr>
      </w:pPr>
      <w:r w:rsidRPr="00F86E7A">
        <w:rPr>
          <w:lang w:val="en-US"/>
        </w:rPr>
        <w:t>(Source: Student)</w:t>
      </w:r>
    </w:p>
    <w:p w14:paraId="2B104517" w14:textId="26199633" w:rsidR="006469AD" w:rsidRDefault="0010149D" w:rsidP="006469AD">
      <w:r w:rsidRPr="0010149D">
        <w:t>Nothing Mobile strategic objectives of expanding into the United States are also organized with the help of the SMART framework because it is necessary to make the goals clear, measurable, and strategic. The market entry strategies aim to attain a 1 per cent market share in the premium middle-end smartphone market using direct-to-consumer and selective MVNO market share in 36 months which is a realistic but measured market penetration in a highly competitive market (Statista, 2024; Knapp et al., 2025). The brand awareness objectives will see the introduction to 25 percent unaided recognition of Gen Z and millennials in two years with community-driven and influencer-led marketing, which has already been successful with new technology brands (Etim et al., 2024; Aubhi et al., 2025). Financial goals aim at the achievement of the cumulative revenues in USD 300-</w:t>
      </w:r>
      <w:r w:rsidRPr="0010149D">
        <w:lastRenderedPageBreak/>
        <w:t>400 million within three years in line with growth ambitions and the dynamics of price growth in the US market (Research and Markets, 2024). Other goals focus on ecosystem adoption, customer loyalty, and operational preparedness, such as FCC compliance, making the company competitive in the long term, aligning its operations with regulations, and generating sustainable values (FCC, 2024; Baird et al., 2024).</w:t>
      </w:r>
    </w:p>
    <w:p w14:paraId="192F7EDE" w14:textId="77777777" w:rsidR="0010149D" w:rsidRPr="00684832" w:rsidRDefault="0010149D" w:rsidP="006469AD"/>
    <w:p w14:paraId="7D756685" w14:textId="77777777" w:rsidR="005070A2" w:rsidRPr="00684832" w:rsidRDefault="005070A2" w:rsidP="00BA5486">
      <w:pPr>
        <w:pStyle w:val="Heading2"/>
        <w:rPr>
          <w:rFonts w:ascii="Times New Roman" w:hAnsi="Times New Roman"/>
        </w:rPr>
      </w:pPr>
      <w:bookmarkStart w:id="38" w:name="_Toc217290365"/>
      <w:r w:rsidRPr="00684832">
        <w:t xml:space="preserve">4.2 Market </w:t>
      </w:r>
      <w:r w:rsidRPr="00BA5486">
        <w:t>Entry</w:t>
      </w:r>
      <w:r w:rsidRPr="00684832">
        <w:t xml:space="preserve"> Strategy</w:t>
      </w:r>
      <w:bookmarkEnd w:id="38"/>
    </w:p>
    <w:p w14:paraId="04D44E7D" w14:textId="77777777" w:rsidR="00703D83" w:rsidRDefault="005070A2" w:rsidP="005070A2">
      <w:pPr>
        <w:rPr>
          <w:b/>
          <w:bCs/>
        </w:rPr>
      </w:pPr>
      <w:r w:rsidRPr="00684832">
        <w:t>The recommended market entry strategy for Nothing</w:t>
      </w:r>
      <w:r w:rsidR="00703D83" w:rsidRPr="00684832">
        <w:t xml:space="preserve"> mobile</w:t>
      </w:r>
      <w:r w:rsidRPr="00684832">
        <w:t xml:space="preserve"> into the United States is a </w:t>
      </w:r>
      <w:r w:rsidRPr="00684832">
        <w:rPr>
          <w:b/>
          <w:bCs/>
        </w:rPr>
        <w:t xml:space="preserve">hybrid entry mode, combining direct-to-consumer (DTC) online channels with selective carrier partnerships, particularly with mobile virtual network operators (MVNOs). </w:t>
      </w:r>
    </w:p>
    <w:p w14:paraId="63D3CA2A" w14:textId="127E0787" w:rsidR="00D73F91" w:rsidRDefault="00D73F91" w:rsidP="00D73F91">
      <w:pPr>
        <w:jc w:val="center"/>
        <w:rPr>
          <w:b/>
          <w:bCs/>
        </w:rPr>
      </w:pPr>
      <w:r>
        <w:rPr>
          <w:b/>
          <w:bCs/>
          <w:noProof/>
        </w:rPr>
        <w:drawing>
          <wp:inline distT="0" distB="0" distL="0" distR="0" wp14:anchorId="5D558751" wp14:editId="77049E72">
            <wp:extent cx="5867400" cy="3802380"/>
            <wp:effectExtent l="0" t="0" r="0" b="7620"/>
            <wp:docPr id="21252775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7400" cy="3802380"/>
                    </a:xfrm>
                    <a:prstGeom prst="rect">
                      <a:avLst/>
                    </a:prstGeom>
                    <a:noFill/>
                  </pic:spPr>
                </pic:pic>
              </a:graphicData>
            </a:graphic>
          </wp:inline>
        </w:drawing>
      </w:r>
    </w:p>
    <w:p w14:paraId="65D034C4" w14:textId="54B7997E" w:rsidR="00D73F91" w:rsidRDefault="00D73F91" w:rsidP="00D73F91">
      <w:pPr>
        <w:pStyle w:val="Caption"/>
        <w:rPr>
          <w:lang w:val="en-US"/>
        </w:rPr>
      </w:pPr>
      <w:bookmarkStart w:id="39" w:name="_Toc217290385"/>
      <w:r>
        <w:t xml:space="preserve">Figure </w:t>
      </w:r>
      <w:r>
        <w:fldChar w:fldCharType="begin"/>
      </w:r>
      <w:r>
        <w:instrText xml:space="preserve"> SEQ Figure \* ARABIC </w:instrText>
      </w:r>
      <w:r>
        <w:fldChar w:fldCharType="separate"/>
      </w:r>
      <w:r w:rsidR="0027512E">
        <w:rPr>
          <w:noProof/>
        </w:rPr>
        <w:t>10</w:t>
      </w:r>
      <w:r>
        <w:fldChar w:fldCharType="end"/>
      </w:r>
      <w:r>
        <w:rPr>
          <w:lang w:val="en-US"/>
        </w:rPr>
        <w:t>: H</w:t>
      </w:r>
      <w:r w:rsidRPr="002E7298">
        <w:rPr>
          <w:lang w:val="en-US"/>
        </w:rPr>
        <w:t>ybrid entry mode</w:t>
      </w:r>
      <w:bookmarkEnd w:id="39"/>
    </w:p>
    <w:p w14:paraId="0D889323" w14:textId="763DB8FF" w:rsidR="00D73F91" w:rsidRPr="00D73F91" w:rsidRDefault="00D73F91" w:rsidP="00D73F91">
      <w:pPr>
        <w:rPr>
          <w:lang w:val="en-US"/>
        </w:rPr>
      </w:pPr>
      <w:r>
        <w:rPr>
          <w:lang w:val="en-US"/>
        </w:rPr>
        <w:t>(Source: Student)</w:t>
      </w:r>
    </w:p>
    <w:p w14:paraId="3E13F790" w14:textId="147D2F97" w:rsidR="005832BE" w:rsidRPr="00684832" w:rsidRDefault="005832BE" w:rsidP="005070A2">
      <w:r w:rsidRPr="00684832">
        <w:lastRenderedPageBreak/>
        <w:t>The proposed entry method aims to balance strategic control, cost efficiency and market access in the intensely competitive, carrier-dominated smartphone business. Direct-to-consumer (DTC) distribution should be the basic mode of market entry. Academic evidence has shown that DTC strategies allow firms to keep ownership of customer data, strengthen brand-customer relationships and better margin control, especially for digitally native brands (Knapp et al., 2025). For Nothing mobile, an online-first distribution strategy is in line with its current global model and allows the brand to communicate the values of its design philosophy, sustainability credentials and ecosystem narrative without dilution from intermediaries. Mobile commerce more clearly shows that personalization and interface design have significant effects on engagement and conversion rates, thereby enhancing the viability of DTC smartphone sales in advanced markets (Siyal et al. 2024).</w:t>
      </w:r>
    </w:p>
    <w:p w14:paraId="7BD6C62B" w14:textId="77777777" w:rsidR="000D7650" w:rsidRDefault="00A71CFC" w:rsidP="005070A2">
      <w:r w:rsidRPr="00684832">
        <w:t xml:space="preserve">Having no more than direct-to-consumer (DTC) in place would limit scalability in the US, as carrier ecosystems still have a significant impact on the discovery and financing of devices. In this regard, it is recommended to follow the denser approach of involving partnerships with mobile virtual network operators (MVNOs), including Google Fi or Mint Mobile. In comparison to Tier-1 carriers, those of the MVNOs feature general drop in transaction cost, fewer exclusivity barriers and increased propensity to admit the various differentiated Android devices. </w:t>
      </w:r>
    </w:p>
    <w:p w14:paraId="570353BB" w14:textId="43451578" w:rsidR="000D7650" w:rsidRDefault="000D7650" w:rsidP="000D7650">
      <w:pPr>
        <w:jc w:val="center"/>
      </w:pPr>
      <w:r>
        <w:rPr>
          <w:noProof/>
        </w:rPr>
        <w:drawing>
          <wp:inline distT="0" distB="0" distL="0" distR="0" wp14:anchorId="4C5587D1" wp14:editId="713AC673">
            <wp:extent cx="4822190" cy="2567940"/>
            <wp:effectExtent l="0" t="0" r="0" b="3810"/>
            <wp:docPr id="184192613" name="Picture 184192613" descr="The Application of Transaction Cost Theory in Supply Chai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pplication of Transaction Cost Theory in Supply Chain Managemen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25730" cy="2569825"/>
                    </a:xfrm>
                    <a:prstGeom prst="rect">
                      <a:avLst/>
                    </a:prstGeom>
                    <a:noFill/>
                    <a:ln>
                      <a:noFill/>
                    </a:ln>
                  </pic:spPr>
                </pic:pic>
              </a:graphicData>
            </a:graphic>
          </wp:inline>
        </w:drawing>
      </w:r>
    </w:p>
    <w:p w14:paraId="06EA503B" w14:textId="2CA6737F" w:rsidR="000D7650" w:rsidRDefault="000D7650" w:rsidP="000D7650">
      <w:pPr>
        <w:pStyle w:val="Caption"/>
        <w:rPr>
          <w:lang w:val="en-US"/>
        </w:rPr>
      </w:pPr>
      <w:bookmarkStart w:id="40" w:name="_Toc217290386"/>
      <w:r>
        <w:t xml:space="preserve">Figure </w:t>
      </w:r>
      <w:r>
        <w:fldChar w:fldCharType="begin"/>
      </w:r>
      <w:r>
        <w:instrText xml:space="preserve"> SEQ Figure \* ARABIC </w:instrText>
      </w:r>
      <w:r>
        <w:fldChar w:fldCharType="separate"/>
      </w:r>
      <w:r w:rsidR="0027512E">
        <w:rPr>
          <w:noProof/>
        </w:rPr>
        <w:t>11</w:t>
      </w:r>
      <w:r>
        <w:fldChar w:fldCharType="end"/>
      </w:r>
      <w:r>
        <w:rPr>
          <w:lang w:val="en-US"/>
        </w:rPr>
        <w:t>:</w:t>
      </w:r>
      <w:r w:rsidRPr="00E93174">
        <w:rPr>
          <w:lang w:val="en-US"/>
        </w:rPr>
        <w:t>Transaction Cost Theory (TCT)</w:t>
      </w:r>
      <w:bookmarkEnd w:id="40"/>
    </w:p>
    <w:p w14:paraId="5D186D17" w14:textId="769946B7" w:rsidR="000D7650" w:rsidRPr="000D7650" w:rsidRDefault="000D7650" w:rsidP="000D7650">
      <w:pPr>
        <w:rPr>
          <w:lang w:val="en-US"/>
        </w:rPr>
      </w:pPr>
      <w:r w:rsidRPr="000D7650">
        <w:rPr>
          <w:lang w:val="en-US"/>
        </w:rPr>
        <w:t>(Source: Student)</w:t>
      </w:r>
    </w:p>
    <w:p w14:paraId="4869B94B" w14:textId="797D4D17" w:rsidR="005832BE" w:rsidRPr="00684832" w:rsidRDefault="00A71CFC" w:rsidP="005070A2">
      <w:r w:rsidRPr="00684832">
        <w:lastRenderedPageBreak/>
        <w:t>In the view of the Transaction Cost Theory (TCT), this is a hybrid model that solves the market-entry uncertainty and coordination costs, which are associated with full-scale reliance on carriers, and avoids the high asset specificity and bargaining asymmetry (Zhu, 2024; Jain, 2025).</w:t>
      </w:r>
    </w:p>
    <w:p w14:paraId="7C94AF0F" w14:textId="0561D545" w:rsidR="00A71CFC" w:rsidRPr="00684832" w:rsidRDefault="00A71CFC" w:rsidP="005070A2">
      <w:r w:rsidRPr="00684832">
        <w:t>Using the OLI paradigm, Nothing mobile strategy is also explained. Ownership advantages are gained through its proprietary design capability, brand identity and community-based marketing model. Location advantages in the United States include high purchasing power, advanced digital infrastructure and open to product variety in premium - mid tier. Internalisation advantages in direct-to-consumer control over branding, pricing, and customer experience and partial externalisation through mobile virtual network operators accelerate market reach without having to fully internalise it (Yu et al., 2022). Comparable strategies have been successfully carried out by challenger brands in the likes of Xiaomi in India, where phased entry using an online strategy and selective partnerships were used to enable a quick scale while maintaining cost efficiency (Lin et al., 2025).</w:t>
      </w:r>
    </w:p>
    <w:p w14:paraId="62DE0324" w14:textId="1D4420D2" w:rsidR="005070A2" w:rsidRPr="00684832" w:rsidRDefault="005070A2" w:rsidP="005070A2"/>
    <w:p w14:paraId="250E772F" w14:textId="77777777" w:rsidR="00644DEF" w:rsidRPr="00684832" w:rsidRDefault="00644DEF" w:rsidP="00BA5486">
      <w:pPr>
        <w:pStyle w:val="Heading2"/>
        <w:rPr>
          <w:bCs/>
        </w:rPr>
      </w:pPr>
      <w:bookmarkStart w:id="41" w:name="_Toc217290366"/>
      <w:r w:rsidRPr="00684832">
        <w:rPr>
          <w:rStyle w:val="Strong"/>
          <w:b/>
          <w:bCs w:val="0"/>
        </w:rPr>
        <w:t xml:space="preserve">4.3 </w:t>
      </w:r>
      <w:r w:rsidRPr="00BA5486">
        <w:rPr>
          <w:rStyle w:val="Strong"/>
          <w:b/>
          <w:bCs w:val="0"/>
        </w:rPr>
        <w:t>Competitive</w:t>
      </w:r>
      <w:r w:rsidRPr="00684832">
        <w:rPr>
          <w:rStyle w:val="Strong"/>
          <w:b/>
          <w:bCs w:val="0"/>
        </w:rPr>
        <w:t xml:space="preserve"> Strategy</w:t>
      </w:r>
      <w:bookmarkEnd w:id="41"/>
    </w:p>
    <w:p w14:paraId="35448239" w14:textId="6ED8DFC2" w:rsidR="009F0BBE" w:rsidRPr="00684832" w:rsidRDefault="009F0BBE" w:rsidP="009F0BBE">
      <w:r w:rsidRPr="00684832">
        <w:t>In the United States, the competitive strategy of Nothing must be based on the differentiation focus of Porter, whereby the company focuses on the higher end of the smartphone market, where the company is measured not against the flagship competitors in terms of sheer scale and technological advantage. Symbolic, aesthetic, and experience features are already influencing consumer decision-making in a market where hardware characteristics have become mostly homogenized, differentiation of challenger brands is of utmost importance (Zhang et al., 2022).</w:t>
      </w:r>
    </w:p>
    <w:p w14:paraId="04BCF9EA" w14:textId="77777777" w:rsidR="009F0BBE" w:rsidRPr="009F0BBE" w:rsidRDefault="009F0BBE" w:rsidP="009F0BBE">
      <w:pPr>
        <w:rPr>
          <w:b/>
          <w:bCs/>
        </w:rPr>
      </w:pPr>
      <w:r w:rsidRPr="009F0BBE">
        <w:rPr>
          <w:b/>
          <w:bCs/>
        </w:rPr>
        <w:t>Competitive Strategy of Nothing Mobile (Based on Porter’s Generic Strategies)</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4"/>
        <w:gridCol w:w="1611"/>
        <w:gridCol w:w="1625"/>
        <w:gridCol w:w="1615"/>
        <w:gridCol w:w="2635"/>
      </w:tblGrid>
      <w:tr w:rsidR="00697891" w:rsidRPr="00697891" w14:paraId="65A1FC2D" w14:textId="77777777" w:rsidTr="006978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shd w:val="clear" w:color="auto" w:fill="B6FCD1"/>
            <w:hideMark/>
          </w:tcPr>
          <w:p w14:paraId="60CC477E" w14:textId="77777777" w:rsidR="009F0BBE" w:rsidRPr="00697891" w:rsidRDefault="009F0BBE" w:rsidP="00697891">
            <w:pPr>
              <w:spacing w:after="160" w:line="276" w:lineRule="auto"/>
              <w:rPr>
                <w:b w:val="0"/>
                <w:bCs w:val="0"/>
                <w:color w:val="000000" w:themeColor="text1"/>
              </w:rPr>
            </w:pPr>
            <w:r w:rsidRPr="00697891">
              <w:rPr>
                <w:color w:val="000000" w:themeColor="text1"/>
              </w:rPr>
              <w:t>Porter Strategy Type</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17DFA38A" w14:textId="77777777" w:rsidR="009F0BBE" w:rsidRPr="00697891" w:rsidRDefault="009F0BBE" w:rsidP="00697891">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697891">
              <w:rPr>
                <w:color w:val="000000" w:themeColor="text1"/>
              </w:rPr>
              <w:t>Competitive Scope</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799194C9" w14:textId="77777777" w:rsidR="009F0BBE" w:rsidRPr="00697891" w:rsidRDefault="009F0BBE" w:rsidP="00697891">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697891">
              <w:rPr>
                <w:color w:val="000000" w:themeColor="text1"/>
              </w:rPr>
              <w:t>Competitive Advantage</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6105D0F0" w14:textId="77777777" w:rsidR="009F0BBE" w:rsidRPr="00697891" w:rsidRDefault="009F0BBE" w:rsidP="00697891">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697891">
              <w:rPr>
                <w:color w:val="000000" w:themeColor="text1"/>
              </w:rPr>
              <w:t>Application to Nothing Mobile</w:t>
            </w:r>
          </w:p>
        </w:tc>
        <w:tc>
          <w:tcPr>
            <w:tcW w:w="0" w:type="auto"/>
            <w:tcBorders>
              <w:top w:val="none" w:sz="0" w:space="0" w:color="auto"/>
              <w:left w:val="none" w:sz="0" w:space="0" w:color="auto"/>
              <w:bottom w:val="none" w:sz="0" w:space="0" w:color="auto"/>
              <w:right w:val="none" w:sz="0" w:space="0" w:color="auto"/>
            </w:tcBorders>
            <w:shd w:val="clear" w:color="auto" w:fill="B6FCD1"/>
            <w:hideMark/>
          </w:tcPr>
          <w:p w14:paraId="372D7303" w14:textId="7C9CB358" w:rsidR="009F0BBE" w:rsidRPr="00697891" w:rsidRDefault="009F0BBE" w:rsidP="00697891">
            <w:pPr>
              <w:spacing w:after="160" w:line="276" w:lineRule="auto"/>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697891">
              <w:rPr>
                <w:color w:val="000000" w:themeColor="text1"/>
              </w:rPr>
              <w:t xml:space="preserve">Justification </w:t>
            </w:r>
          </w:p>
        </w:tc>
      </w:tr>
      <w:tr w:rsidR="00697891" w:rsidRPr="00697891" w14:paraId="62D22944" w14:textId="77777777" w:rsidTr="00697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542C22" w14:textId="77777777" w:rsidR="009F0BBE" w:rsidRPr="00697891" w:rsidRDefault="009F0BBE" w:rsidP="00697891">
            <w:pPr>
              <w:spacing w:after="160" w:line="276" w:lineRule="auto"/>
              <w:rPr>
                <w:color w:val="000000" w:themeColor="text1"/>
              </w:rPr>
            </w:pPr>
            <w:r w:rsidRPr="00697891">
              <w:rPr>
                <w:color w:val="000000" w:themeColor="text1"/>
              </w:rPr>
              <w:lastRenderedPageBreak/>
              <w:t>Cost Leadership</w:t>
            </w:r>
          </w:p>
        </w:tc>
        <w:tc>
          <w:tcPr>
            <w:tcW w:w="0" w:type="auto"/>
            <w:hideMark/>
          </w:tcPr>
          <w:p w14:paraId="422DC967"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Broad Target</w:t>
            </w:r>
          </w:p>
        </w:tc>
        <w:tc>
          <w:tcPr>
            <w:tcW w:w="0" w:type="auto"/>
            <w:hideMark/>
          </w:tcPr>
          <w:p w14:paraId="71943EF8"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Lower Cost</w:t>
            </w:r>
          </w:p>
        </w:tc>
        <w:tc>
          <w:tcPr>
            <w:tcW w:w="0" w:type="auto"/>
            <w:hideMark/>
          </w:tcPr>
          <w:p w14:paraId="5F40A608"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Not adopted</w:t>
            </w:r>
          </w:p>
        </w:tc>
        <w:tc>
          <w:tcPr>
            <w:tcW w:w="0" w:type="auto"/>
            <w:hideMark/>
          </w:tcPr>
          <w:p w14:paraId="4E2E5726"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Cost leadership requires large-scale manufacturing, supply-chain dominance, and price competition, which favours incumbents such as Samsung and Chinese OEMs rather than challenger brands like Nothing (Kabeyi, 2018; Baird, Nuhu and Jiao, 2024).</w:t>
            </w:r>
          </w:p>
        </w:tc>
      </w:tr>
      <w:tr w:rsidR="00697891" w:rsidRPr="00697891" w14:paraId="7553E381" w14:textId="77777777" w:rsidTr="00697891">
        <w:tc>
          <w:tcPr>
            <w:cnfStyle w:val="001000000000" w:firstRow="0" w:lastRow="0" w:firstColumn="1" w:lastColumn="0" w:oddVBand="0" w:evenVBand="0" w:oddHBand="0" w:evenHBand="0" w:firstRowFirstColumn="0" w:firstRowLastColumn="0" w:lastRowFirstColumn="0" w:lastRowLastColumn="0"/>
            <w:tcW w:w="0" w:type="auto"/>
            <w:hideMark/>
          </w:tcPr>
          <w:p w14:paraId="3385F517" w14:textId="77777777" w:rsidR="009F0BBE" w:rsidRPr="00697891" w:rsidRDefault="009F0BBE" w:rsidP="00697891">
            <w:pPr>
              <w:spacing w:after="160" w:line="276" w:lineRule="auto"/>
              <w:rPr>
                <w:color w:val="000000" w:themeColor="text1"/>
              </w:rPr>
            </w:pPr>
            <w:r w:rsidRPr="00697891">
              <w:rPr>
                <w:color w:val="000000" w:themeColor="text1"/>
              </w:rPr>
              <w:t>Differentiation</w:t>
            </w:r>
          </w:p>
        </w:tc>
        <w:tc>
          <w:tcPr>
            <w:tcW w:w="0" w:type="auto"/>
            <w:hideMark/>
          </w:tcPr>
          <w:p w14:paraId="35182F99"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Broad Target</w:t>
            </w:r>
          </w:p>
        </w:tc>
        <w:tc>
          <w:tcPr>
            <w:tcW w:w="0" w:type="auto"/>
            <w:hideMark/>
          </w:tcPr>
          <w:p w14:paraId="7BE6DBEB"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Uniqueness</w:t>
            </w:r>
          </w:p>
        </w:tc>
        <w:tc>
          <w:tcPr>
            <w:tcW w:w="0" w:type="auto"/>
            <w:hideMark/>
          </w:tcPr>
          <w:p w14:paraId="628FB051"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Partially relevant but not primary</w:t>
            </w:r>
          </w:p>
        </w:tc>
        <w:tc>
          <w:tcPr>
            <w:tcW w:w="0" w:type="auto"/>
            <w:hideMark/>
          </w:tcPr>
          <w:p w14:paraId="3D6C0DA2"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Broad differentiation is difficult in the US smartphone market due to intense rivalry and strong ecosystem lock-in by Apple and Samsung (Fan and Yang, 2020; Rosário and Raimundo, 2024).</w:t>
            </w:r>
          </w:p>
        </w:tc>
      </w:tr>
      <w:tr w:rsidR="00697891" w:rsidRPr="00697891" w14:paraId="69174622" w14:textId="77777777" w:rsidTr="006978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BBC08" w14:textId="77777777" w:rsidR="009F0BBE" w:rsidRPr="00697891" w:rsidRDefault="009F0BBE" w:rsidP="00697891">
            <w:pPr>
              <w:spacing w:after="160" w:line="276" w:lineRule="auto"/>
              <w:rPr>
                <w:color w:val="000000" w:themeColor="text1"/>
              </w:rPr>
            </w:pPr>
            <w:r w:rsidRPr="00697891">
              <w:rPr>
                <w:color w:val="000000" w:themeColor="text1"/>
              </w:rPr>
              <w:t>Cost Focus</w:t>
            </w:r>
          </w:p>
        </w:tc>
        <w:tc>
          <w:tcPr>
            <w:tcW w:w="0" w:type="auto"/>
            <w:hideMark/>
          </w:tcPr>
          <w:p w14:paraId="2A79559A"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Narrow Target</w:t>
            </w:r>
          </w:p>
        </w:tc>
        <w:tc>
          <w:tcPr>
            <w:tcW w:w="0" w:type="auto"/>
            <w:hideMark/>
          </w:tcPr>
          <w:p w14:paraId="0BD5AE7E"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Lower Cost</w:t>
            </w:r>
          </w:p>
        </w:tc>
        <w:tc>
          <w:tcPr>
            <w:tcW w:w="0" w:type="auto"/>
            <w:hideMark/>
          </w:tcPr>
          <w:p w14:paraId="1F93DE6F"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Not suitable</w:t>
            </w:r>
          </w:p>
        </w:tc>
        <w:tc>
          <w:tcPr>
            <w:tcW w:w="0" w:type="auto"/>
            <w:hideMark/>
          </w:tcPr>
          <w:p w14:paraId="06C906D1" w14:textId="77777777" w:rsidR="009F0BBE" w:rsidRPr="00697891" w:rsidRDefault="009F0BBE" w:rsidP="00697891">
            <w:pPr>
              <w:spacing w:after="160" w:line="276"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697891">
              <w:rPr>
                <w:color w:val="000000" w:themeColor="text1"/>
              </w:rPr>
              <w:t>Competing on low price in a narrow segment risks commoditisation and margin erosion, particularly in a mature and technology-intensive market (Statista, 2024).</w:t>
            </w:r>
          </w:p>
        </w:tc>
      </w:tr>
      <w:tr w:rsidR="00697891" w:rsidRPr="00697891" w14:paraId="43A443CA" w14:textId="77777777" w:rsidTr="00697891">
        <w:tc>
          <w:tcPr>
            <w:cnfStyle w:val="001000000000" w:firstRow="0" w:lastRow="0" w:firstColumn="1" w:lastColumn="0" w:oddVBand="0" w:evenVBand="0" w:oddHBand="0" w:evenHBand="0" w:firstRowFirstColumn="0" w:firstRowLastColumn="0" w:lastRowFirstColumn="0" w:lastRowLastColumn="0"/>
            <w:tcW w:w="0" w:type="auto"/>
            <w:hideMark/>
          </w:tcPr>
          <w:p w14:paraId="3CEA67C2" w14:textId="77777777" w:rsidR="009F0BBE" w:rsidRPr="00697891" w:rsidRDefault="009F0BBE" w:rsidP="00697891">
            <w:pPr>
              <w:spacing w:after="160" w:line="276" w:lineRule="auto"/>
              <w:rPr>
                <w:color w:val="000000" w:themeColor="text1"/>
              </w:rPr>
            </w:pPr>
            <w:r w:rsidRPr="00697891">
              <w:rPr>
                <w:color w:val="000000" w:themeColor="text1"/>
              </w:rPr>
              <w:t>Differentiation Focus</w:t>
            </w:r>
          </w:p>
        </w:tc>
        <w:tc>
          <w:tcPr>
            <w:tcW w:w="0" w:type="auto"/>
            <w:hideMark/>
          </w:tcPr>
          <w:p w14:paraId="079B5C6A"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Narrow Target</w:t>
            </w:r>
          </w:p>
        </w:tc>
        <w:tc>
          <w:tcPr>
            <w:tcW w:w="0" w:type="auto"/>
            <w:hideMark/>
          </w:tcPr>
          <w:p w14:paraId="6E35074D"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Uniqueness</w:t>
            </w:r>
          </w:p>
        </w:tc>
        <w:tc>
          <w:tcPr>
            <w:tcW w:w="0" w:type="auto"/>
            <w:hideMark/>
          </w:tcPr>
          <w:p w14:paraId="0366090A"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Primary strategy adopted by Nothing Mobile</w:t>
            </w:r>
          </w:p>
        </w:tc>
        <w:tc>
          <w:tcPr>
            <w:tcW w:w="0" w:type="auto"/>
            <w:hideMark/>
          </w:tcPr>
          <w:p w14:paraId="7C75860B" w14:textId="77777777" w:rsidR="009F0BBE" w:rsidRPr="00697891" w:rsidRDefault="009F0BBE" w:rsidP="00697891">
            <w:pPr>
              <w:spacing w:after="160" w:line="276"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697891">
              <w:rPr>
                <w:color w:val="000000" w:themeColor="text1"/>
              </w:rPr>
              <w:t xml:space="preserve">Nothing targets a specific premium–mid segment with design-led innovation, community-driven branding, and symbolic value rather than price competition, </w:t>
            </w:r>
            <w:r w:rsidRPr="00697891">
              <w:rPr>
                <w:color w:val="000000" w:themeColor="text1"/>
              </w:rPr>
              <w:lastRenderedPageBreak/>
              <w:t>aligning with Porter’s differentiation focus strategy (Kabeyi, 2018; Ward and Osiyevskyy, 2025).</w:t>
            </w:r>
          </w:p>
        </w:tc>
      </w:tr>
    </w:tbl>
    <w:p w14:paraId="0360B416" w14:textId="5C1B0EE8" w:rsidR="009F0BBE" w:rsidRDefault="00697891" w:rsidP="00697891">
      <w:pPr>
        <w:pStyle w:val="Caption"/>
        <w:rPr>
          <w:lang w:val="en-US"/>
        </w:rPr>
      </w:pPr>
      <w:bookmarkStart w:id="42" w:name="_Toc217290393"/>
      <w:r>
        <w:lastRenderedPageBreak/>
        <w:t xml:space="preserve">Table </w:t>
      </w:r>
      <w:r>
        <w:fldChar w:fldCharType="begin"/>
      </w:r>
      <w:r>
        <w:instrText xml:space="preserve"> SEQ Table \* ARABIC </w:instrText>
      </w:r>
      <w:r>
        <w:fldChar w:fldCharType="separate"/>
      </w:r>
      <w:r w:rsidR="0027512E">
        <w:rPr>
          <w:noProof/>
        </w:rPr>
        <w:t>5</w:t>
      </w:r>
      <w:r>
        <w:fldChar w:fldCharType="end"/>
      </w:r>
      <w:r>
        <w:rPr>
          <w:lang w:val="en-US"/>
        </w:rPr>
        <w:t>:</w:t>
      </w:r>
      <w:r w:rsidRPr="00FE72A4">
        <w:rPr>
          <w:lang w:val="en-US"/>
        </w:rPr>
        <w:t>Competitive Strategy of Nothing Mobile (Based on Porter’s Generic Strategies)</w:t>
      </w:r>
      <w:bookmarkEnd w:id="42"/>
    </w:p>
    <w:p w14:paraId="28C7269D" w14:textId="4294E52F" w:rsidR="00697891" w:rsidRPr="00697891" w:rsidRDefault="0041727F" w:rsidP="00697891">
      <w:pPr>
        <w:rPr>
          <w:lang w:val="en-US"/>
        </w:rPr>
      </w:pPr>
      <w:r>
        <w:rPr>
          <w:lang w:val="en-US"/>
        </w:rPr>
        <w:t>(Source: Student)</w:t>
      </w:r>
    </w:p>
    <w:p w14:paraId="10F661EE" w14:textId="3EBB7E4F" w:rsidR="009F0BBE" w:rsidRPr="00684832" w:rsidRDefault="009F0BBE" w:rsidP="009F0BBE">
      <w:r w:rsidRPr="00684832">
        <w:t>The key location of differentiation is design-led innovation. According to academic studies, design-oriented companies may attain temporal competitive edge by developing emotional intimacy and aesthetic uniqueness that is hard to replicate (Ward et al., 2025). The clear hardware, the logo without logos, and the unified interface of its devices put future devices in the category of lifestyle products as opposed to functional technologies. This strategy is consistent with empirical data according to which younger consumers relate the uniqueness of the design with greater satisfaction, better brand affinity, and increased readiness to test the novice brands of technology (Aubhi et al., 2025).</w:t>
      </w:r>
    </w:p>
    <w:p w14:paraId="0CBECDFC" w14:textId="495C0180" w:rsidR="009F0BBE" w:rsidRPr="00684832" w:rsidRDefault="009F0BBE" w:rsidP="009F0BBE">
      <w:r w:rsidRPr="00684832">
        <w:t>One more pillar is the community-based marketing. Rather than targeting mass advertising, Nothing Mobile is focusing on online communities, co-creation, and working with influencers to create authenticity and trust. Empirical data demonstrate that influencer appearance and perceived relatability in society are important determinants of making a purchase of newly introduced brands of smart phones (Etim et al., 2024). Synergistic partnership with influencers in the fields of technology and design will enable Nothing to widen its accessibility and at the same time ensure cost effectiveness and brand value</w:t>
      </w:r>
    </w:p>
    <w:p w14:paraId="6F3AD2F2" w14:textId="447A64C6" w:rsidR="009F0BBE" w:rsidRPr="00684832" w:rsidRDefault="009F0BBE" w:rsidP="009F0BBE">
      <w:r w:rsidRPr="00684832">
        <w:t>Pricing strategies should support the differentiated positioning through a value-based approach that is anchored in the premium mid-tier segment of the market below flagship devices, but above commoditized Android alternatives. Consumer price acceptance is improved if the differentiation is presented in a transparent and socially verified manner (Owenda et al., 2024). Linking price and the quality of the design, the connectedness to the ecosystem and sustainability credentials enables Nothing to walk the line of being aspirational yet reducing the risks of destructive price competition.</w:t>
      </w:r>
    </w:p>
    <w:p w14:paraId="7B9A24A3" w14:textId="77777777" w:rsidR="00644DEF" w:rsidRPr="00684832" w:rsidRDefault="00644DEF" w:rsidP="005070A2"/>
    <w:p w14:paraId="62302C2E" w14:textId="3A7D7FBC" w:rsidR="005070A2" w:rsidRPr="00684832" w:rsidRDefault="005070A2" w:rsidP="0036123A">
      <w:pPr>
        <w:pStyle w:val="Heading2"/>
        <w:rPr>
          <w:rFonts w:ascii="Times New Roman" w:hAnsi="Times New Roman"/>
        </w:rPr>
      </w:pPr>
      <w:bookmarkStart w:id="43" w:name="_Toc217290367"/>
      <w:r w:rsidRPr="00684832">
        <w:t>4.4 Risk Analysis and Mitigation</w:t>
      </w:r>
      <w:bookmarkEnd w:id="43"/>
    </w:p>
    <w:p w14:paraId="058FC8B1" w14:textId="2222A61E" w:rsidR="003429F6" w:rsidRPr="003429F6" w:rsidRDefault="003429F6" w:rsidP="003429F6">
      <w:pPr>
        <w:rPr>
          <w:b/>
          <w:bCs/>
          <w:lang w:val="en-US"/>
        </w:rPr>
      </w:pPr>
      <w:r w:rsidRPr="003429F6">
        <w:rPr>
          <w:b/>
          <w:bCs/>
          <w:lang w:val="en-US"/>
        </w:rPr>
        <w:t>Risk Matrix for Nothing Mobile’s US Market Expansion</w:t>
      </w:r>
    </w:p>
    <w:tbl>
      <w:tblPr>
        <w:tblStyle w:val="TableGrid"/>
        <w:tblW w:w="0" w:type="auto"/>
        <w:tblLook w:val="04A0" w:firstRow="1" w:lastRow="0" w:firstColumn="1" w:lastColumn="0" w:noHBand="0" w:noVBand="1"/>
      </w:tblPr>
      <w:tblGrid>
        <w:gridCol w:w="1608"/>
        <w:gridCol w:w="1560"/>
        <w:gridCol w:w="1286"/>
        <w:gridCol w:w="977"/>
        <w:gridCol w:w="977"/>
        <w:gridCol w:w="1572"/>
        <w:gridCol w:w="1370"/>
      </w:tblGrid>
      <w:tr w:rsidR="003429F6" w:rsidRPr="003429F6" w14:paraId="4201D1C1" w14:textId="77777777" w:rsidTr="003429F6">
        <w:tc>
          <w:tcPr>
            <w:tcW w:w="0" w:type="auto"/>
            <w:hideMark/>
          </w:tcPr>
          <w:p w14:paraId="7812D3E9" w14:textId="77777777" w:rsidR="003429F6" w:rsidRPr="003429F6" w:rsidRDefault="003429F6" w:rsidP="00213608">
            <w:pPr>
              <w:spacing w:after="160" w:line="276" w:lineRule="auto"/>
              <w:rPr>
                <w:b/>
                <w:bCs/>
                <w:lang w:val="en-US"/>
              </w:rPr>
            </w:pPr>
            <w:r w:rsidRPr="003429F6">
              <w:rPr>
                <w:b/>
                <w:bCs/>
                <w:lang w:val="en-US"/>
              </w:rPr>
              <w:t>Risk Category</w:t>
            </w:r>
          </w:p>
        </w:tc>
        <w:tc>
          <w:tcPr>
            <w:tcW w:w="0" w:type="auto"/>
            <w:hideMark/>
          </w:tcPr>
          <w:p w14:paraId="055898E5" w14:textId="77777777" w:rsidR="003429F6" w:rsidRPr="003429F6" w:rsidRDefault="003429F6" w:rsidP="00213608">
            <w:pPr>
              <w:spacing w:after="160" w:line="276" w:lineRule="auto"/>
              <w:rPr>
                <w:b/>
                <w:bCs/>
                <w:lang w:val="en-US"/>
              </w:rPr>
            </w:pPr>
            <w:r w:rsidRPr="003429F6">
              <w:rPr>
                <w:b/>
                <w:bCs/>
                <w:lang w:val="en-US"/>
              </w:rPr>
              <w:t>Risk Description</w:t>
            </w:r>
          </w:p>
        </w:tc>
        <w:tc>
          <w:tcPr>
            <w:tcW w:w="0" w:type="auto"/>
            <w:hideMark/>
          </w:tcPr>
          <w:p w14:paraId="32EE376C" w14:textId="77777777" w:rsidR="003429F6" w:rsidRPr="003429F6" w:rsidRDefault="003429F6" w:rsidP="00213608">
            <w:pPr>
              <w:spacing w:after="160" w:line="276" w:lineRule="auto"/>
              <w:rPr>
                <w:b/>
                <w:bCs/>
                <w:lang w:val="en-US"/>
              </w:rPr>
            </w:pPr>
            <w:r w:rsidRPr="003429F6">
              <w:rPr>
                <w:b/>
                <w:bCs/>
                <w:lang w:val="en-US"/>
              </w:rPr>
              <w:t>Likelihood</w:t>
            </w:r>
          </w:p>
        </w:tc>
        <w:tc>
          <w:tcPr>
            <w:tcW w:w="0" w:type="auto"/>
            <w:hideMark/>
          </w:tcPr>
          <w:p w14:paraId="77D106D8" w14:textId="77777777" w:rsidR="003429F6" w:rsidRPr="003429F6" w:rsidRDefault="003429F6" w:rsidP="00213608">
            <w:pPr>
              <w:spacing w:after="160" w:line="276" w:lineRule="auto"/>
              <w:rPr>
                <w:b/>
                <w:bCs/>
                <w:lang w:val="en-US"/>
              </w:rPr>
            </w:pPr>
            <w:r w:rsidRPr="003429F6">
              <w:rPr>
                <w:b/>
                <w:bCs/>
                <w:lang w:val="en-US"/>
              </w:rPr>
              <w:t>Impact</w:t>
            </w:r>
          </w:p>
        </w:tc>
        <w:tc>
          <w:tcPr>
            <w:tcW w:w="0" w:type="auto"/>
            <w:hideMark/>
          </w:tcPr>
          <w:p w14:paraId="290079CA" w14:textId="77777777" w:rsidR="003429F6" w:rsidRPr="003429F6" w:rsidRDefault="003429F6" w:rsidP="00213608">
            <w:pPr>
              <w:spacing w:after="160" w:line="276" w:lineRule="auto"/>
              <w:rPr>
                <w:b/>
                <w:bCs/>
                <w:lang w:val="en-US"/>
              </w:rPr>
            </w:pPr>
            <w:r w:rsidRPr="003429F6">
              <w:rPr>
                <w:b/>
                <w:bCs/>
                <w:lang w:val="en-US"/>
              </w:rPr>
              <w:t>Risk Level</w:t>
            </w:r>
          </w:p>
        </w:tc>
        <w:tc>
          <w:tcPr>
            <w:tcW w:w="0" w:type="auto"/>
            <w:hideMark/>
          </w:tcPr>
          <w:p w14:paraId="124D14D3" w14:textId="77777777" w:rsidR="003429F6" w:rsidRPr="003429F6" w:rsidRDefault="003429F6" w:rsidP="00213608">
            <w:pPr>
              <w:spacing w:after="160" w:line="276" w:lineRule="auto"/>
              <w:rPr>
                <w:b/>
                <w:bCs/>
                <w:lang w:val="en-US"/>
              </w:rPr>
            </w:pPr>
            <w:r w:rsidRPr="003429F6">
              <w:rPr>
                <w:b/>
                <w:bCs/>
                <w:lang w:val="en-US"/>
              </w:rPr>
              <w:t>Mitigation Strategy</w:t>
            </w:r>
          </w:p>
        </w:tc>
        <w:tc>
          <w:tcPr>
            <w:tcW w:w="0" w:type="auto"/>
            <w:hideMark/>
          </w:tcPr>
          <w:p w14:paraId="32249F58" w14:textId="77777777" w:rsidR="003429F6" w:rsidRPr="003429F6" w:rsidRDefault="003429F6" w:rsidP="00213608">
            <w:pPr>
              <w:spacing w:after="160" w:line="276" w:lineRule="auto"/>
              <w:rPr>
                <w:b/>
                <w:bCs/>
                <w:lang w:val="en-US"/>
              </w:rPr>
            </w:pPr>
            <w:r w:rsidRPr="003429F6">
              <w:rPr>
                <w:b/>
                <w:bCs/>
                <w:lang w:val="en-US"/>
              </w:rPr>
              <w:t>Supporting References</w:t>
            </w:r>
          </w:p>
        </w:tc>
      </w:tr>
      <w:tr w:rsidR="003429F6" w:rsidRPr="003429F6" w14:paraId="02E57945" w14:textId="77777777" w:rsidTr="00213608">
        <w:tc>
          <w:tcPr>
            <w:tcW w:w="0" w:type="auto"/>
            <w:hideMark/>
          </w:tcPr>
          <w:p w14:paraId="5AD8AA56" w14:textId="77777777" w:rsidR="003429F6" w:rsidRPr="003429F6" w:rsidRDefault="003429F6" w:rsidP="00213608">
            <w:pPr>
              <w:spacing w:after="160" w:line="276" w:lineRule="auto"/>
              <w:rPr>
                <w:lang w:val="en-US"/>
              </w:rPr>
            </w:pPr>
            <w:r w:rsidRPr="003429F6">
              <w:rPr>
                <w:b/>
                <w:bCs/>
                <w:lang w:val="en-US"/>
              </w:rPr>
              <w:t>Market Risk</w:t>
            </w:r>
          </w:p>
        </w:tc>
        <w:tc>
          <w:tcPr>
            <w:tcW w:w="0" w:type="auto"/>
            <w:hideMark/>
          </w:tcPr>
          <w:p w14:paraId="450B7B2F" w14:textId="77777777" w:rsidR="003429F6" w:rsidRPr="003429F6" w:rsidRDefault="003429F6" w:rsidP="00213608">
            <w:pPr>
              <w:spacing w:after="160" w:line="276" w:lineRule="auto"/>
              <w:rPr>
                <w:lang w:val="en-US"/>
              </w:rPr>
            </w:pPr>
            <w:r w:rsidRPr="003429F6">
              <w:rPr>
                <w:lang w:val="en-US"/>
              </w:rPr>
              <w:t>Low brand awareness compared to Apple, Samsung, and Google may slow customer adoption</w:t>
            </w:r>
          </w:p>
        </w:tc>
        <w:tc>
          <w:tcPr>
            <w:tcW w:w="0" w:type="auto"/>
            <w:shd w:val="clear" w:color="auto" w:fill="FFFF00"/>
            <w:hideMark/>
          </w:tcPr>
          <w:p w14:paraId="6481A106"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8181"/>
            <w:hideMark/>
          </w:tcPr>
          <w:p w14:paraId="5C0B530C" w14:textId="77777777" w:rsidR="003429F6" w:rsidRPr="003429F6" w:rsidRDefault="003429F6" w:rsidP="00213608">
            <w:pPr>
              <w:spacing w:after="160" w:line="276" w:lineRule="auto"/>
              <w:rPr>
                <w:lang w:val="en-US"/>
              </w:rPr>
            </w:pPr>
            <w:r w:rsidRPr="003429F6">
              <w:rPr>
                <w:lang w:val="en-US"/>
              </w:rPr>
              <w:t>High</w:t>
            </w:r>
          </w:p>
        </w:tc>
        <w:tc>
          <w:tcPr>
            <w:tcW w:w="0" w:type="auto"/>
            <w:shd w:val="clear" w:color="auto" w:fill="FF8181"/>
            <w:hideMark/>
          </w:tcPr>
          <w:p w14:paraId="397DD478" w14:textId="77777777" w:rsidR="003429F6" w:rsidRPr="003429F6" w:rsidRDefault="003429F6" w:rsidP="00213608">
            <w:pPr>
              <w:spacing w:after="160" w:line="276" w:lineRule="auto"/>
              <w:rPr>
                <w:lang w:val="en-US"/>
              </w:rPr>
            </w:pPr>
            <w:r w:rsidRPr="003429F6">
              <w:rPr>
                <w:lang w:val="en-US"/>
              </w:rPr>
              <w:t>High</w:t>
            </w:r>
          </w:p>
        </w:tc>
        <w:tc>
          <w:tcPr>
            <w:tcW w:w="0" w:type="auto"/>
            <w:hideMark/>
          </w:tcPr>
          <w:p w14:paraId="2B4CC2A8" w14:textId="77777777" w:rsidR="003429F6" w:rsidRPr="003429F6" w:rsidRDefault="003429F6" w:rsidP="00213608">
            <w:pPr>
              <w:spacing w:after="160" w:line="276" w:lineRule="auto"/>
              <w:rPr>
                <w:lang w:val="en-US"/>
              </w:rPr>
            </w:pPr>
            <w:r w:rsidRPr="003429F6">
              <w:rPr>
                <w:lang w:val="en-US"/>
              </w:rPr>
              <w:t>Phased market entry targeting tech-savvy urban regions; influencer and community-led marketing; early-adopter incentives</w:t>
            </w:r>
          </w:p>
        </w:tc>
        <w:tc>
          <w:tcPr>
            <w:tcW w:w="0" w:type="auto"/>
            <w:hideMark/>
          </w:tcPr>
          <w:p w14:paraId="3AD47050" w14:textId="77777777" w:rsidR="003429F6" w:rsidRPr="003429F6" w:rsidRDefault="003429F6" w:rsidP="00213608">
            <w:pPr>
              <w:spacing w:after="160" w:line="276" w:lineRule="auto"/>
              <w:rPr>
                <w:lang w:val="en-US"/>
              </w:rPr>
            </w:pPr>
            <w:r w:rsidRPr="003429F6">
              <w:rPr>
                <w:lang w:val="en-US"/>
              </w:rPr>
              <w:t>Etim et al. (2024); Aubhi et al. (2025)</w:t>
            </w:r>
          </w:p>
        </w:tc>
      </w:tr>
      <w:tr w:rsidR="003429F6" w:rsidRPr="003429F6" w14:paraId="4A1D60C6" w14:textId="77777777" w:rsidTr="00213608">
        <w:tc>
          <w:tcPr>
            <w:tcW w:w="0" w:type="auto"/>
            <w:hideMark/>
          </w:tcPr>
          <w:p w14:paraId="3869F521" w14:textId="77777777" w:rsidR="003429F6" w:rsidRPr="003429F6" w:rsidRDefault="003429F6" w:rsidP="00213608">
            <w:pPr>
              <w:spacing w:after="160" w:line="276" w:lineRule="auto"/>
              <w:rPr>
                <w:lang w:val="en-US"/>
              </w:rPr>
            </w:pPr>
            <w:r w:rsidRPr="003429F6">
              <w:rPr>
                <w:b/>
                <w:bCs/>
                <w:lang w:val="en-US"/>
              </w:rPr>
              <w:t>Competitive Risk</w:t>
            </w:r>
          </w:p>
        </w:tc>
        <w:tc>
          <w:tcPr>
            <w:tcW w:w="0" w:type="auto"/>
            <w:hideMark/>
          </w:tcPr>
          <w:p w14:paraId="53EDBB25" w14:textId="77777777" w:rsidR="003429F6" w:rsidRPr="003429F6" w:rsidRDefault="003429F6" w:rsidP="00213608">
            <w:pPr>
              <w:spacing w:after="160" w:line="276" w:lineRule="auto"/>
              <w:rPr>
                <w:lang w:val="en-US"/>
              </w:rPr>
            </w:pPr>
            <w:r w:rsidRPr="003429F6">
              <w:rPr>
                <w:lang w:val="en-US"/>
              </w:rPr>
              <w:t>Intense rivalry and high buyer power may pressure pricing and margins</w:t>
            </w:r>
          </w:p>
        </w:tc>
        <w:tc>
          <w:tcPr>
            <w:tcW w:w="0" w:type="auto"/>
            <w:shd w:val="clear" w:color="auto" w:fill="FF8181"/>
            <w:hideMark/>
          </w:tcPr>
          <w:p w14:paraId="62316836" w14:textId="77777777" w:rsidR="003429F6" w:rsidRPr="003429F6" w:rsidRDefault="003429F6" w:rsidP="00213608">
            <w:pPr>
              <w:spacing w:after="160" w:line="276" w:lineRule="auto"/>
              <w:rPr>
                <w:lang w:val="en-US"/>
              </w:rPr>
            </w:pPr>
            <w:r w:rsidRPr="003429F6">
              <w:rPr>
                <w:lang w:val="en-US"/>
              </w:rPr>
              <w:t>High</w:t>
            </w:r>
          </w:p>
        </w:tc>
        <w:tc>
          <w:tcPr>
            <w:tcW w:w="0" w:type="auto"/>
            <w:shd w:val="clear" w:color="auto" w:fill="FF8181"/>
            <w:hideMark/>
          </w:tcPr>
          <w:p w14:paraId="1C77BD6E" w14:textId="77777777" w:rsidR="003429F6" w:rsidRPr="003429F6" w:rsidRDefault="003429F6" w:rsidP="00213608">
            <w:pPr>
              <w:spacing w:after="160" w:line="276" w:lineRule="auto"/>
              <w:rPr>
                <w:lang w:val="en-US"/>
              </w:rPr>
            </w:pPr>
            <w:r w:rsidRPr="003429F6">
              <w:rPr>
                <w:lang w:val="en-US"/>
              </w:rPr>
              <w:t>High</w:t>
            </w:r>
          </w:p>
        </w:tc>
        <w:tc>
          <w:tcPr>
            <w:tcW w:w="0" w:type="auto"/>
            <w:shd w:val="clear" w:color="auto" w:fill="FF8181"/>
            <w:hideMark/>
          </w:tcPr>
          <w:p w14:paraId="38AAE852" w14:textId="3C0E0A30" w:rsidR="003429F6" w:rsidRPr="003429F6" w:rsidRDefault="003429F6" w:rsidP="00213608">
            <w:pPr>
              <w:spacing w:after="160" w:line="276" w:lineRule="auto"/>
              <w:rPr>
                <w:lang w:val="en-US"/>
              </w:rPr>
            </w:pPr>
            <w:r w:rsidRPr="003429F6">
              <w:rPr>
                <w:lang w:val="en-US"/>
              </w:rPr>
              <w:t>High</w:t>
            </w:r>
          </w:p>
        </w:tc>
        <w:tc>
          <w:tcPr>
            <w:tcW w:w="0" w:type="auto"/>
            <w:hideMark/>
          </w:tcPr>
          <w:p w14:paraId="0F9F76F2" w14:textId="77777777" w:rsidR="003429F6" w:rsidRPr="003429F6" w:rsidRDefault="003429F6" w:rsidP="00213608">
            <w:pPr>
              <w:spacing w:after="160" w:line="276" w:lineRule="auto"/>
              <w:rPr>
                <w:lang w:val="en-US"/>
              </w:rPr>
            </w:pPr>
            <w:r w:rsidRPr="003429F6">
              <w:rPr>
                <w:lang w:val="en-US"/>
              </w:rPr>
              <w:t>Focused differentiation strategy based on design, brand storytelling, and user experience rather than price competition</w:t>
            </w:r>
          </w:p>
        </w:tc>
        <w:tc>
          <w:tcPr>
            <w:tcW w:w="0" w:type="auto"/>
            <w:hideMark/>
          </w:tcPr>
          <w:p w14:paraId="73A2DDA1" w14:textId="77777777" w:rsidR="003429F6" w:rsidRPr="003429F6" w:rsidRDefault="003429F6" w:rsidP="00213608">
            <w:pPr>
              <w:spacing w:after="160" w:line="276" w:lineRule="auto"/>
              <w:rPr>
                <w:lang w:val="en-US"/>
              </w:rPr>
            </w:pPr>
            <w:r w:rsidRPr="003429F6">
              <w:rPr>
                <w:lang w:val="en-US"/>
              </w:rPr>
              <w:t>Baird et al. (2024); Ward and Osiyevskyy (2025)</w:t>
            </w:r>
          </w:p>
        </w:tc>
      </w:tr>
      <w:tr w:rsidR="003429F6" w:rsidRPr="003429F6" w14:paraId="3611C2CD" w14:textId="77777777" w:rsidTr="00213608">
        <w:tc>
          <w:tcPr>
            <w:tcW w:w="0" w:type="auto"/>
            <w:hideMark/>
          </w:tcPr>
          <w:p w14:paraId="64166C5C" w14:textId="77777777" w:rsidR="003429F6" w:rsidRPr="003429F6" w:rsidRDefault="003429F6" w:rsidP="00213608">
            <w:pPr>
              <w:spacing w:after="160" w:line="276" w:lineRule="auto"/>
              <w:rPr>
                <w:lang w:val="en-US"/>
              </w:rPr>
            </w:pPr>
            <w:r w:rsidRPr="003429F6">
              <w:rPr>
                <w:b/>
                <w:bCs/>
                <w:lang w:val="en-US"/>
              </w:rPr>
              <w:t>Distribution Risk</w:t>
            </w:r>
          </w:p>
        </w:tc>
        <w:tc>
          <w:tcPr>
            <w:tcW w:w="0" w:type="auto"/>
            <w:hideMark/>
          </w:tcPr>
          <w:p w14:paraId="4B47FCDB" w14:textId="77777777" w:rsidR="003429F6" w:rsidRPr="003429F6" w:rsidRDefault="003429F6" w:rsidP="00213608">
            <w:pPr>
              <w:spacing w:after="160" w:line="276" w:lineRule="auto"/>
              <w:rPr>
                <w:lang w:val="en-US"/>
              </w:rPr>
            </w:pPr>
            <w:r w:rsidRPr="003429F6">
              <w:rPr>
                <w:lang w:val="en-US"/>
              </w:rPr>
              <w:t xml:space="preserve">Over-reliance on limited </w:t>
            </w:r>
            <w:r w:rsidRPr="003429F6">
              <w:rPr>
                <w:lang w:val="en-US"/>
              </w:rPr>
              <w:lastRenderedPageBreak/>
              <w:t>MVNO or online channels may restrict market reach</w:t>
            </w:r>
          </w:p>
        </w:tc>
        <w:tc>
          <w:tcPr>
            <w:tcW w:w="0" w:type="auto"/>
            <w:shd w:val="clear" w:color="auto" w:fill="FFFF00"/>
            <w:hideMark/>
          </w:tcPr>
          <w:p w14:paraId="23BC4BEE" w14:textId="77777777" w:rsidR="003429F6" w:rsidRPr="003429F6" w:rsidRDefault="003429F6" w:rsidP="00213608">
            <w:pPr>
              <w:spacing w:after="160" w:line="276" w:lineRule="auto"/>
              <w:rPr>
                <w:lang w:val="en-US"/>
              </w:rPr>
            </w:pPr>
            <w:r w:rsidRPr="003429F6">
              <w:rPr>
                <w:lang w:val="en-US"/>
              </w:rPr>
              <w:lastRenderedPageBreak/>
              <w:t>Medium</w:t>
            </w:r>
          </w:p>
        </w:tc>
        <w:tc>
          <w:tcPr>
            <w:tcW w:w="0" w:type="auto"/>
            <w:shd w:val="clear" w:color="auto" w:fill="FFFF00"/>
            <w:hideMark/>
          </w:tcPr>
          <w:p w14:paraId="09B9B24B"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FF00"/>
            <w:hideMark/>
          </w:tcPr>
          <w:p w14:paraId="33F9B001" w14:textId="77777777" w:rsidR="003429F6" w:rsidRPr="003429F6" w:rsidRDefault="003429F6" w:rsidP="00213608">
            <w:pPr>
              <w:spacing w:after="160" w:line="276" w:lineRule="auto"/>
              <w:rPr>
                <w:lang w:val="en-US"/>
              </w:rPr>
            </w:pPr>
            <w:r w:rsidRPr="003429F6">
              <w:rPr>
                <w:lang w:val="en-US"/>
              </w:rPr>
              <w:t>Medium</w:t>
            </w:r>
          </w:p>
        </w:tc>
        <w:tc>
          <w:tcPr>
            <w:tcW w:w="0" w:type="auto"/>
            <w:hideMark/>
          </w:tcPr>
          <w:p w14:paraId="0CE1D827" w14:textId="77777777" w:rsidR="003429F6" w:rsidRPr="003429F6" w:rsidRDefault="003429F6" w:rsidP="00213608">
            <w:pPr>
              <w:spacing w:after="160" w:line="276" w:lineRule="auto"/>
              <w:rPr>
                <w:lang w:val="en-US"/>
              </w:rPr>
            </w:pPr>
            <w:r w:rsidRPr="003429F6">
              <w:rPr>
                <w:lang w:val="en-US"/>
              </w:rPr>
              <w:t xml:space="preserve">Hybrid distribution model </w:t>
            </w:r>
            <w:r w:rsidRPr="003429F6">
              <w:rPr>
                <w:lang w:val="en-US"/>
              </w:rPr>
              <w:lastRenderedPageBreak/>
              <w:t>combining DTC with non-exclusive MVNO partnerships to diversify access</w:t>
            </w:r>
          </w:p>
        </w:tc>
        <w:tc>
          <w:tcPr>
            <w:tcW w:w="0" w:type="auto"/>
            <w:hideMark/>
          </w:tcPr>
          <w:p w14:paraId="4F2E1613" w14:textId="77777777" w:rsidR="003429F6" w:rsidRPr="003429F6" w:rsidRDefault="003429F6" w:rsidP="00213608">
            <w:pPr>
              <w:spacing w:after="160" w:line="276" w:lineRule="auto"/>
              <w:rPr>
                <w:lang w:val="en-US"/>
              </w:rPr>
            </w:pPr>
            <w:r w:rsidRPr="003429F6">
              <w:rPr>
                <w:lang w:val="en-US"/>
              </w:rPr>
              <w:lastRenderedPageBreak/>
              <w:t xml:space="preserve">Knapp et al. (2025); </w:t>
            </w:r>
            <w:r w:rsidRPr="003429F6">
              <w:rPr>
                <w:lang w:val="en-US"/>
              </w:rPr>
              <w:lastRenderedPageBreak/>
              <w:t>Jain (2025)</w:t>
            </w:r>
          </w:p>
        </w:tc>
      </w:tr>
      <w:tr w:rsidR="003429F6" w:rsidRPr="003429F6" w14:paraId="3FD35103" w14:textId="77777777" w:rsidTr="00213608">
        <w:tc>
          <w:tcPr>
            <w:tcW w:w="0" w:type="auto"/>
            <w:hideMark/>
          </w:tcPr>
          <w:p w14:paraId="626AFB87" w14:textId="77777777" w:rsidR="003429F6" w:rsidRPr="003429F6" w:rsidRDefault="003429F6" w:rsidP="00213608">
            <w:pPr>
              <w:spacing w:after="160" w:line="276" w:lineRule="auto"/>
              <w:rPr>
                <w:lang w:val="en-US"/>
              </w:rPr>
            </w:pPr>
            <w:r w:rsidRPr="003429F6">
              <w:rPr>
                <w:b/>
                <w:bCs/>
                <w:lang w:val="en-US"/>
              </w:rPr>
              <w:lastRenderedPageBreak/>
              <w:t>Regulatory &amp; Legal Risk</w:t>
            </w:r>
          </w:p>
        </w:tc>
        <w:tc>
          <w:tcPr>
            <w:tcW w:w="0" w:type="auto"/>
            <w:hideMark/>
          </w:tcPr>
          <w:p w14:paraId="3D4047B4" w14:textId="77777777" w:rsidR="003429F6" w:rsidRPr="003429F6" w:rsidRDefault="003429F6" w:rsidP="00213608">
            <w:pPr>
              <w:spacing w:after="160" w:line="276" w:lineRule="auto"/>
              <w:rPr>
                <w:lang w:val="en-US"/>
              </w:rPr>
            </w:pPr>
            <w:r w:rsidRPr="003429F6">
              <w:rPr>
                <w:lang w:val="en-US"/>
              </w:rPr>
              <w:t>Delays or non-compliance with FCC certification and data privacy laws</w:t>
            </w:r>
          </w:p>
        </w:tc>
        <w:tc>
          <w:tcPr>
            <w:tcW w:w="0" w:type="auto"/>
            <w:shd w:val="clear" w:color="auto" w:fill="00B050"/>
            <w:hideMark/>
          </w:tcPr>
          <w:p w14:paraId="660BA02D" w14:textId="1627FF0F" w:rsidR="003429F6" w:rsidRPr="003429F6" w:rsidRDefault="003429F6" w:rsidP="00213608">
            <w:pPr>
              <w:spacing w:after="160" w:line="276" w:lineRule="auto"/>
              <w:rPr>
                <w:lang w:val="en-US"/>
              </w:rPr>
            </w:pPr>
            <w:r w:rsidRPr="003429F6">
              <w:rPr>
                <w:lang w:val="en-US"/>
              </w:rPr>
              <w:t>Low</w:t>
            </w:r>
          </w:p>
        </w:tc>
        <w:tc>
          <w:tcPr>
            <w:tcW w:w="0" w:type="auto"/>
            <w:shd w:val="clear" w:color="auto" w:fill="FF8181"/>
            <w:hideMark/>
          </w:tcPr>
          <w:p w14:paraId="670CCBBE" w14:textId="77777777" w:rsidR="003429F6" w:rsidRPr="003429F6" w:rsidRDefault="003429F6" w:rsidP="00213608">
            <w:pPr>
              <w:spacing w:after="160" w:line="276" w:lineRule="auto"/>
              <w:rPr>
                <w:lang w:val="en-US"/>
              </w:rPr>
            </w:pPr>
            <w:r w:rsidRPr="003429F6">
              <w:rPr>
                <w:lang w:val="en-US"/>
              </w:rPr>
              <w:t>High</w:t>
            </w:r>
          </w:p>
        </w:tc>
        <w:tc>
          <w:tcPr>
            <w:tcW w:w="0" w:type="auto"/>
            <w:shd w:val="clear" w:color="auto" w:fill="FFFF00"/>
            <w:hideMark/>
          </w:tcPr>
          <w:p w14:paraId="70F1195A" w14:textId="77777777" w:rsidR="003429F6" w:rsidRPr="003429F6" w:rsidRDefault="003429F6" w:rsidP="00213608">
            <w:pPr>
              <w:spacing w:after="160" w:line="276" w:lineRule="auto"/>
              <w:rPr>
                <w:lang w:val="en-US"/>
              </w:rPr>
            </w:pPr>
            <w:r w:rsidRPr="003429F6">
              <w:rPr>
                <w:lang w:val="en-US"/>
              </w:rPr>
              <w:t>Medium</w:t>
            </w:r>
          </w:p>
        </w:tc>
        <w:tc>
          <w:tcPr>
            <w:tcW w:w="0" w:type="auto"/>
            <w:hideMark/>
          </w:tcPr>
          <w:p w14:paraId="6C669006" w14:textId="77777777" w:rsidR="003429F6" w:rsidRPr="003429F6" w:rsidRDefault="003429F6" w:rsidP="00213608">
            <w:pPr>
              <w:spacing w:after="160" w:line="276" w:lineRule="auto"/>
              <w:rPr>
                <w:lang w:val="en-US"/>
              </w:rPr>
            </w:pPr>
            <w:r w:rsidRPr="003429F6">
              <w:rPr>
                <w:lang w:val="en-US"/>
              </w:rPr>
              <w:t>Early regulatory engagement; compliance-by-design in product development; robust data governance systems</w:t>
            </w:r>
          </w:p>
        </w:tc>
        <w:tc>
          <w:tcPr>
            <w:tcW w:w="0" w:type="auto"/>
            <w:hideMark/>
          </w:tcPr>
          <w:p w14:paraId="35B0199C" w14:textId="77777777" w:rsidR="003429F6" w:rsidRPr="003429F6" w:rsidRDefault="003429F6" w:rsidP="00213608">
            <w:pPr>
              <w:spacing w:after="160" w:line="276" w:lineRule="auto"/>
              <w:rPr>
                <w:lang w:val="en-US"/>
              </w:rPr>
            </w:pPr>
            <w:r w:rsidRPr="003429F6">
              <w:rPr>
                <w:lang w:val="en-US"/>
              </w:rPr>
              <w:t>FCC (2024); Kabeyi (2018)</w:t>
            </w:r>
          </w:p>
        </w:tc>
      </w:tr>
      <w:tr w:rsidR="003429F6" w:rsidRPr="003429F6" w14:paraId="45D341C4" w14:textId="77777777" w:rsidTr="00213608">
        <w:tc>
          <w:tcPr>
            <w:tcW w:w="0" w:type="auto"/>
            <w:hideMark/>
          </w:tcPr>
          <w:p w14:paraId="28D7A3AD" w14:textId="77777777" w:rsidR="003429F6" w:rsidRPr="003429F6" w:rsidRDefault="003429F6" w:rsidP="00213608">
            <w:pPr>
              <w:spacing w:after="160" w:line="276" w:lineRule="auto"/>
              <w:rPr>
                <w:lang w:val="en-US"/>
              </w:rPr>
            </w:pPr>
            <w:r w:rsidRPr="003429F6">
              <w:rPr>
                <w:b/>
                <w:bCs/>
                <w:lang w:val="en-US"/>
              </w:rPr>
              <w:t>Supply Chain &amp; Geopolitical Risk</w:t>
            </w:r>
          </w:p>
        </w:tc>
        <w:tc>
          <w:tcPr>
            <w:tcW w:w="0" w:type="auto"/>
            <w:hideMark/>
          </w:tcPr>
          <w:p w14:paraId="73AEF78A" w14:textId="77777777" w:rsidR="003429F6" w:rsidRPr="003429F6" w:rsidRDefault="003429F6" w:rsidP="00213608">
            <w:pPr>
              <w:spacing w:after="160" w:line="276" w:lineRule="auto"/>
              <w:rPr>
                <w:lang w:val="en-US"/>
              </w:rPr>
            </w:pPr>
            <w:r w:rsidRPr="003429F6">
              <w:rPr>
                <w:lang w:val="en-US"/>
              </w:rPr>
              <w:t>Exposure to US–China trade tensions and component supply disruptions</w:t>
            </w:r>
          </w:p>
        </w:tc>
        <w:tc>
          <w:tcPr>
            <w:tcW w:w="0" w:type="auto"/>
            <w:shd w:val="clear" w:color="auto" w:fill="FFFF00"/>
            <w:hideMark/>
          </w:tcPr>
          <w:p w14:paraId="1A5B6537"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8181"/>
            <w:hideMark/>
          </w:tcPr>
          <w:p w14:paraId="3F46C107" w14:textId="77777777" w:rsidR="003429F6" w:rsidRPr="003429F6" w:rsidRDefault="003429F6" w:rsidP="00213608">
            <w:pPr>
              <w:spacing w:after="160" w:line="276" w:lineRule="auto"/>
              <w:rPr>
                <w:lang w:val="en-US"/>
              </w:rPr>
            </w:pPr>
            <w:r w:rsidRPr="003429F6">
              <w:rPr>
                <w:lang w:val="en-US"/>
              </w:rPr>
              <w:t>High</w:t>
            </w:r>
          </w:p>
        </w:tc>
        <w:tc>
          <w:tcPr>
            <w:tcW w:w="0" w:type="auto"/>
            <w:shd w:val="clear" w:color="auto" w:fill="FF8181"/>
            <w:hideMark/>
          </w:tcPr>
          <w:p w14:paraId="1867FF6A" w14:textId="77777777" w:rsidR="003429F6" w:rsidRPr="003429F6" w:rsidRDefault="003429F6" w:rsidP="00213608">
            <w:pPr>
              <w:spacing w:after="160" w:line="276" w:lineRule="auto"/>
              <w:rPr>
                <w:lang w:val="en-US"/>
              </w:rPr>
            </w:pPr>
            <w:r w:rsidRPr="003429F6">
              <w:rPr>
                <w:lang w:val="en-US"/>
              </w:rPr>
              <w:t>High</w:t>
            </w:r>
          </w:p>
        </w:tc>
        <w:tc>
          <w:tcPr>
            <w:tcW w:w="0" w:type="auto"/>
            <w:hideMark/>
          </w:tcPr>
          <w:p w14:paraId="68BE3F20" w14:textId="77777777" w:rsidR="003429F6" w:rsidRPr="003429F6" w:rsidRDefault="003429F6" w:rsidP="00213608">
            <w:pPr>
              <w:spacing w:after="160" w:line="276" w:lineRule="auto"/>
              <w:rPr>
                <w:lang w:val="en-US"/>
              </w:rPr>
            </w:pPr>
            <w:r w:rsidRPr="003429F6">
              <w:rPr>
                <w:lang w:val="en-US"/>
              </w:rPr>
              <w:t>Supplier diversification; multi-country sourcing; inventory buffering</w:t>
            </w:r>
          </w:p>
        </w:tc>
        <w:tc>
          <w:tcPr>
            <w:tcW w:w="0" w:type="auto"/>
            <w:hideMark/>
          </w:tcPr>
          <w:p w14:paraId="6588A29D" w14:textId="77777777" w:rsidR="003429F6" w:rsidRPr="003429F6" w:rsidRDefault="003429F6" w:rsidP="00213608">
            <w:pPr>
              <w:spacing w:after="160" w:line="276" w:lineRule="auto"/>
              <w:rPr>
                <w:lang w:val="en-US"/>
              </w:rPr>
            </w:pPr>
            <w:r w:rsidRPr="003429F6">
              <w:rPr>
                <w:lang w:val="en-US"/>
              </w:rPr>
              <w:t>UNCTAD (2025); USTR (2025)</w:t>
            </w:r>
          </w:p>
        </w:tc>
      </w:tr>
      <w:tr w:rsidR="003429F6" w:rsidRPr="003429F6" w14:paraId="6E1EB0FA" w14:textId="77777777" w:rsidTr="00213608">
        <w:tc>
          <w:tcPr>
            <w:tcW w:w="0" w:type="auto"/>
            <w:hideMark/>
          </w:tcPr>
          <w:p w14:paraId="548EE926" w14:textId="77777777" w:rsidR="003429F6" w:rsidRPr="003429F6" w:rsidRDefault="003429F6" w:rsidP="00213608">
            <w:pPr>
              <w:spacing w:after="160" w:line="276" w:lineRule="auto"/>
              <w:rPr>
                <w:lang w:val="en-US"/>
              </w:rPr>
            </w:pPr>
            <w:r w:rsidRPr="003429F6">
              <w:rPr>
                <w:b/>
                <w:bCs/>
                <w:lang w:val="en-US"/>
              </w:rPr>
              <w:t>Financial Risk</w:t>
            </w:r>
          </w:p>
        </w:tc>
        <w:tc>
          <w:tcPr>
            <w:tcW w:w="0" w:type="auto"/>
            <w:hideMark/>
          </w:tcPr>
          <w:p w14:paraId="099334B2" w14:textId="77777777" w:rsidR="003429F6" w:rsidRPr="003429F6" w:rsidRDefault="003429F6" w:rsidP="00213608">
            <w:pPr>
              <w:spacing w:after="160" w:line="276" w:lineRule="auto"/>
              <w:rPr>
                <w:lang w:val="en-US"/>
              </w:rPr>
            </w:pPr>
            <w:r w:rsidRPr="003429F6">
              <w:rPr>
                <w:lang w:val="en-US"/>
              </w:rPr>
              <w:t>Higher-than-expected marketing and entry costs affecting short-term profitability</w:t>
            </w:r>
          </w:p>
        </w:tc>
        <w:tc>
          <w:tcPr>
            <w:tcW w:w="0" w:type="auto"/>
            <w:shd w:val="clear" w:color="auto" w:fill="FFFF00"/>
            <w:hideMark/>
          </w:tcPr>
          <w:p w14:paraId="6F5934A1"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FF00"/>
            <w:hideMark/>
          </w:tcPr>
          <w:p w14:paraId="4C44E585"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FF00"/>
            <w:hideMark/>
          </w:tcPr>
          <w:p w14:paraId="0A2601DA" w14:textId="77777777" w:rsidR="003429F6" w:rsidRPr="003429F6" w:rsidRDefault="003429F6" w:rsidP="00213608">
            <w:pPr>
              <w:spacing w:after="160" w:line="276" w:lineRule="auto"/>
              <w:rPr>
                <w:lang w:val="en-US"/>
              </w:rPr>
            </w:pPr>
            <w:r w:rsidRPr="003429F6">
              <w:rPr>
                <w:lang w:val="en-US"/>
              </w:rPr>
              <w:t>Medium</w:t>
            </w:r>
          </w:p>
        </w:tc>
        <w:tc>
          <w:tcPr>
            <w:tcW w:w="0" w:type="auto"/>
            <w:hideMark/>
          </w:tcPr>
          <w:p w14:paraId="6F21B633" w14:textId="77777777" w:rsidR="003429F6" w:rsidRPr="003429F6" w:rsidRDefault="003429F6" w:rsidP="00213608">
            <w:pPr>
              <w:spacing w:after="160" w:line="276" w:lineRule="auto"/>
              <w:rPr>
                <w:lang w:val="en-US"/>
              </w:rPr>
            </w:pPr>
            <w:r w:rsidRPr="003429F6">
              <w:rPr>
                <w:lang w:val="en-US"/>
              </w:rPr>
              <w:t xml:space="preserve">Strict budget controls; performance-based marketing spend; use of DTC channels to reduce </w:t>
            </w:r>
            <w:r w:rsidRPr="003429F6">
              <w:rPr>
                <w:lang w:val="en-US"/>
              </w:rPr>
              <w:lastRenderedPageBreak/>
              <w:t>intermediary costs</w:t>
            </w:r>
          </w:p>
        </w:tc>
        <w:tc>
          <w:tcPr>
            <w:tcW w:w="0" w:type="auto"/>
            <w:hideMark/>
          </w:tcPr>
          <w:p w14:paraId="7B57B098" w14:textId="77777777" w:rsidR="003429F6" w:rsidRPr="003429F6" w:rsidRDefault="003429F6" w:rsidP="00213608">
            <w:pPr>
              <w:spacing w:after="160" w:line="276" w:lineRule="auto"/>
              <w:rPr>
                <w:lang w:val="en-US"/>
              </w:rPr>
            </w:pPr>
            <w:r w:rsidRPr="003429F6">
              <w:rPr>
                <w:lang w:val="en-US"/>
              </w:rPr>
              <w:lastRenderedPageBreak/>
              <w:t>Research and Markets (2024)</w:t>
            </w:r>
          </w:p>
        </w:tc>
      </w:tr>
      <w:tr w:rsidR="003429F6" w:rsidRPr="003429F6" w14:paraId="099A79D0" w14:textId="77777777" w:rsidTr="00213608">
        <w:tc>
          <w:tcPr>
            <w:tcW w:w="0" w:type="auto"/>
            <w:hideMark/>
          </w:tcPr>
          <w:p w14:paraId="2A78471B" w14:textId="77777777" w:rsidR="003429F6" w:rsidRPr="003429F6" w:rsidRDefault="003429F6" w:rsidP="00213608">
            <w:pPr>
              <w:spacing w:after="160" w:line="276" w:lineRule="auto"/>
              <w:rPr>
                <w:lang w:val="en-US"/>
              </w:rPr>
            </w:pPr>
            <w:r w:rsidRPr="003429F6">
              <w:rPr>
                <w:b/>
                <w:bCs/>
                <w:lang w:val="en-US"/>
              </w:rPr>
              <w:t>Sustainability &amp; Reputational Risk</w:t>
            </w:r>
          </w:p>
        </w:tc>
        <w:tc>
          <w:tcPr>
            <w:tcW w:w="0" w:type="auto"/>
            <w:hideMark/>
          </w:tcPr>
          <w:p w14:paraId="634C9A04" w14:textId="77777777" w:rsidR="003429F6" w:rsidRPr="003429F6" w:rsidRDefault="003429F6" w:rsidP="00213608">
            <w:pPr>
              <w:spacing w:after="160" w:line="276" w:lineRule="auto"/>
              <w:rPr>
                <w:lang w:val="en-US"/>
              </w:rPr>
            </w:pPr>
            <w:r w:rsidRPr="003429F6">
              <w:rPr>
                <w:lang w:val="en-US"/>
              </w:rPr>
              <w:t>Rising scrutiny over e-waste, sourcing ethics, and environmental impact</w:t>
            </w:r>
          </w:p>
        </w:tc>
        <w:tc>
          <w:tcPr>
            <w:tcW w:w="0" w:type="auto"/>
            <w:shd w:val="clear" w:color="auto" w:fill="00B050"/>
            <w:hideMark/>
          </w:tcPr>
          <w:p w14:paraId="0CBD8909" w14:textId="2D4FA3D4" w:rsidR="003429F6" w:rsidRPr="003429F6" w:rsidRDefault="003429F6" w:rsidP="00213608">
            <w:pPr>
              <w:spacing w:after="160" w:line="276" w:lineRule="auto"/>
              <w:rPr>
                <w:lang w:val="en-US"/>
              </w:rPr>
            </w:pPr>
            <w:r w:rsidRPr="003429F6">
              <w:rPr>
                <w:lang w:val="en-US"/>
              </w:rPr>
              <w:t>Low</w:t>
            </w:r>
          </w:p>
        </w:tc>
        <w:tc>
          <w:tcPr>
            <w:tcW w:w="0" w:type="auto"/>
            <w:shd w:val="clear" w:color="auto" w:fill="FFFF00"/>
            <w:hideMark/>
          </w:tcPr>
          <w:p w14:paraId="5E3EE23A" w14:textId="77777777" w:rsidR="003429F6" w:rsidRPr="003429F6" w:rsidRDefault="003429F6" w:rsidP="00213608">
            <w:pPr>
              <w:spacing w:after="160" w:line="276" w:lineRule="auto"/>
              <w:rPr>
                <w:lang w:val="en-US"/>
              </w:rPr>
            </w:pPr>
            <w:r w:rsidRPr="003429F6">
              <w:rPr>
                <w:lang w:val="en-US"/>
              </w:rPr>
              <w:t>Medium</w:t>
            </w:r>
          </w:p>
        </w:tc>
        <w:tc>
          <w:tcPr>
            <w:tcW w:w="0" w:type="auto"/>
            <w:shd w:val="clear" w:color="auto" w:fill="FFFF00"/>
            <w:hideMark/>
          </w:tcPr>
          <w:p w14:paraId="2D79C19C" w14:textId="77777777" w:rsidR="003429F6" w:rsidRPr="003429F6" w:rsidRDefault="003429F6" w:rsidP="00213608">
            <w:pPr>
              <w:spacing w:after="160" w:line="276" w:lineRule="auto"/>
              <w:rPr>
                <w:lang w:val="en-US"/>
              </w:rPr>
            </w:pPr>
            <w:r w:rsidRPr="003429F6">
              <w:rPr>
                <w:lang w:val="en-US"/>
              </w:rPr>
              <w:t>Medium</w:t>
            </w:r>
          </w:p>
        </w:tc>
        <w:tc>
          <w:tcPr>
            <w:tcW w:w="0" w:type="auto"/>
            <w:hideMark/>
          </w:tcPr>
          <w:p w14:paraId="33053EC9" w14:textId="77777777" w:rsidR="003429F6" w:rsidRPr="003429F6" w:rsidRDefault="003429F6" w:rsidP="00213608">
            <w:pPr>
              <w:spacing w:after="160" w:line="276" w:lineRule="auto"/>
              <w:rPr>
                <w:lang w:val="en-US"/>
              </w:rPr>
            </w:pPr>
            <w:r w:rsidRPr="003429F6">
              <w:rPr>
                <w:lang w:val="en-US"/>
              </w:rPr>
              <w:t>Circular economy initiatives, repairability, recycled materials, and transparent sustainability reporting</w:t>
            </w:r>
          </w:p>
        </w:tc>
        <w:tc>
          <w:tcPr>
            <w:tcW w:w="0" w:type="auto"/>
            <w:hideMark/>
          </w:tcPr>
          <w:p w14:paraId="6B4678F0" w14:textId="77777777" w:rsidR="003429F6" w:rsidRPr="003429F6" w:rsidRDefault="003429F6" w:rsidP="00213608">
            <w:pPr>
              <w:spacing w:after="160" w:line="276" w:lineRule="auto"/>
              <w:rPr>
                <w:lang w:val="en-US"/>
              </w:rPr>
            </w:pPr>
            <w:r w:rsidRPr="003429F6">
              <w:rPr>
                <w:lang w:val="en-US"/>
              </w:rPr>
              <w:t>Zwicker et al. (2023); Toniolo et al. (2025)</w:t>
            </w:r>
          </w:p>
        </w:tc>
      </w:tr>
    </w:tbl>
    <w:p w14:paraId="2E9DE61C" w14:textId="77777777" w:rsidR="00564815" w:rsidRPr="00684832" w:rsidRDefault="00564815" w:rsidP="005070A2"/>
    <w:p w14:paraId="5AFFD4FB" w14:textId="76BA8FA8" w:rsidR="005070A2" w:rsidRDefault="009F0BBE" w:rsidP="005070A2">
      <w:r w:rsidRPr="00684832">
        <w:t>The mitigation measures will improve organisational resilience as they reduce the risks of dependency, strengthen regulatory compliance, and build brand legitimacy. Nothing could deliver its services competitively in the complex and highly regulated American smartphone market through a proactive diversified risk-management strategy that will keep the company in long-term strategic positioning (UNCTAD, 2025; Toniolo et al., 2025).</w:t>
      </w:r>
    </w:p>
    <w:p w14:paraId="4D3B0A64" w14:textId="7BA63B8D" w:rsidR="003429F6" w:rsidRDefault="00FC77AE" w:rsidP="005070A2">
      <w:r w:rsidRPr="00FC77AE">
        <w:t xml:space="preserve">The vertical expansion to the United States of Nothing Mobile involves a number of strategic risks for which action is required. One of the main concerns is the strong competitive competition and high buyer power that is characteristic of the mature market for smartphones in the US, where the main actors are Apple and Samsung. These incumbents place a lot of pressure on price and margins (Baird, Nuhu and Jiao, 2024; Statista, 2024). The identified risk is tackled by a concentrated differentiation strategy with a focus on design-led innovation, community engagement and brand storytelling, decreasing the dependence on direct price competition (Ward </w:t>
      </w:r>
      <w:r w:rsidR="006C7967">
        <w:t>et al.</w:t>
      </w:r>
      <w:r w:rsidRPr="00FC77AE">
        <w:t>, 2025).</w:t>
      </w:r>
    </w:p>
    <w:p w14:paraId="2B2B92BA" w14:textId="334791B3" w:rsidR="00FC77AE" w:rsidRPr="00684832" w:rsidRDefault="00FC77AE" w:rsidP="005070A2">
      <w:r w:rsidRPr="00FC77AE">
        <w:t>Regulatory and compliance risks are also quite challenging particularly verticals to circulars on certification imposed by the Federal Communications Commission (FCC) and data privacy</w:t>
      </w:r>
      <w:r>
        <w:t xml:space="preserve"> </w:t>
      </w:r>
      <w:r w:rsidR="006C7967">
        <w:t>(</w:t>
      </w:r>
      <w:r w:rsidRPr="00FC77AE">
        <w:t>Zwicker et al., 2023</w:t>
      </w:r>
      <w:r>
        <w:t>)</w:t>
      </w:r>
      <w:r w:rsidRPr="00FC77AE">
        <w:t xml:space="preserve">. Oppositive interaction with regulatory bodies and the implementation of compliance-by-design solutions can reduce the delays in the procedures and decrease the exposure to the law (FCC, 2024). In addition, vulnerabilities </w:t>
      </w:r>
      <w:r w:rsidRPr="00FC77AE">
        <w:lastRenderedPageBreak/>
        <w:t xml:space="preserve">of supply-chain and tensions between geopolitics caused by U.S. trade relations with China could lead to the unavailability of components and the cost of production crossing the line. These uncertainties are to be mitigated by diversification of suppliers and use of agile sourcing strategies (UNCTAD, 2025). </w:t>
      </w:r>
    </w:p>
    <w:p w14:paraId="3744715A" w14:textId="77777777" w:rsidR="005070A2" w:rsidRPr="00684832" w:rsidRDefault="005070A2" w:rsidP="0036123A">
      <w:pPr>
        <w:pStyle w:val="Heading1"/>
        <w:rPr>
          <w:rFonts w:ascii="Times New Roman" w:hAnsi="Times New Roman"/>
        </w:rPr>
      </w:pPr>
      <w:bookmarkStart w:id="44" w:name="_Toc217290368"/>
      <w:r w:rsidRPr="00684832">
        <w:t>5. Performance Evaluation Framework</w:t>
      </w:r>
      <w:bookmarkEnd w:id="44"/>
    </w:p>
    <w:p w14:paraId="57BD5A3E" w14:textId="77777777" w:rsidR="005070A2" w:rsidRPr="00684832" w:rsidRDefault="005070A2" w:rsidP="0036123A">
      <w:pPr>
        <w:pStyle w:val="Heading2"/>
      </w:pPr>
      <w:bookmarkStart w:id="45" w:name="_Toc217290369"/>
      <w:r w:rsidRPr="00684832">
        <w:t>5.1 Selection of Framework</w:t>
      </w:r>
      <w:bookmarkEnd w:id="45"/>
    </w:p>
    <w:p w14:paraId="1FBAE574" w14:textId="09199BBF" w:rsidR="00873841" w:rsidRPr="00684832" w:rsidRDefault="00873841" w:rsidP="00C00EAC">
      <w:pPr>
        <w:pStyle w:val="Heading3"/>
      </w:pPr>
      <w:bookmarkStart w:id="46" w:name="_Toc217290370"/>
      <w:r w:rsidRPr="00684832">
        <w:t>5.1.1. Balanced Scorecard (BSC)</w:t>
      </w:r>
      <w:bookmarkEnd w:id="46"/>
    </w:p>
    <w:p w14:paraId="46D7D92B" w14:textId="2CED8256" w:rsidR="009F0BBE" w:rsidRPr="00684832" w:rsidRDefault="005070A2" w:rsidP="005070A2">
      <w:r w:rsidRPr="00684832">
        <w:t xml:space="preserve">To assess the effectiveness of </w:t>
      </w:r>
      <w:r w:rsidRPr="00684832">
        <w:rPr>
          <w:rStyle w:val="whitespace-normal"/>
        </w:rPr>
        <w:t>Nothing</w:t>
      </w:r>
      <w:r w:rsidRPr="00684832">
        <w:rPr>
          <w:rStyle w:val="Strong"/>
        </w:rPr>
        <w:t>’s</w:t>
      </w:r>
      <w:r w:rsidRPr="00684832">
        <w:t xml:space="preserve"> expansion into the United States, the </w:t>
      </w:r>
      <w:r w:rsidRPr="00684832">
        <w:rPr>
          <w:rStyle w:val="Strong"/>
        </w:rPr>
        <w:t>Balanced Scorecard (BSC)</w:t>
      </w:r>
      <w:r w:rsidRPr="00684832">
        <w:t xml:space="preserve"> is selected as the primary performance evaluation framework. </w:t>
      </w:r>
    </w:p>
    <w:p w14:paraId="35D63F24" w14:textId="16E1DB84" w:rsidR="00873841" w:rsidRPr="00684832" w:rsidRDefault="00382770" w:rsidP="00382770">
      <w:r w:rsidRPr="00684832">
        <w:t xml:space="preserve">Balanced Scorecard (BSC) is also well known to bridge the strategy to a clear set of non-financial and financial performance measures, thus by doing so organisations </w:t>
      </w:r>
      <w:r w:rsidR="00873841" w:rsidRPr="00684832">
        <w:t>can</w:t>
      </w:r>
      <w:r w:rsidRPr="00684832">
        <w:t xml:space="preserve"> track their short-term outcomes whilst at the same time creating long term capability (Afshar et al., 2025). Since the company was strategically focused on brand building, ecosystem adoption, and innovation, the traditional financial indicators would be insufficient at the initial market penetration phases.</w:t>
      </w:r>
      <w:r w:rsidR="00873841" w:rsidRPr="00684832">
        <w:t xml:space="preserve"> </w:t>
      </w:r>
      <w:r w:rsidRPr="00684832">
        <w:t xml:space="preserve">BSC is especially applicable to technologically advanced and digitally native companies since it incorporates customer, internal process, and learning dimensions, which are extremely important in rapidly changing markets (Ayyasy et al., 2025). </w:t>
      </w:r>
    </w:p>
    <w:p w14:paraId="35F6FADC" w14:textId="77777777" w:rsidR="00873841" w:rsidRPr="00684832" w:rsidRDefault="00873841" w:rsidP="00873841">
      <w:r w:rsidRPr="00684832">
        <w:rPr>
          <w:rStyle w:val="Strong"/>
        </w:rPr>
        <w:t>Balanced Scorecard for Nothing’s US Market Expansion</w:t>
      </w:r>
    </w:p>
    <w:tbl>
      <w:tblPr>
        <w:tblStyle w:val="TableGrid"/>
        <w:tblW w:w="0" w:type="auto"/>
        <w:tblLook w:val="04A0" w:firstRow="1" w:lastRow="0" w:firstColumn="1" w:lastColumn="0" w:noHBand="0" w:noVBand="1"/>
      </w:tblPr>
      <w:tblGrid>
        <w:gridCol w:w="1877"/>
        <w:gridCol w:w="2447"/>
        <w:gridCol w:w="5026"/>
      </w:tblGrid>
      <w:tr w:rsidR="00873841" w:rsidRPr="00684832" w14:paraId="24C69294" w14:textId="77777777" w:rsidTr="00EF6D10">
        <w:tc>
          <w:tcPr>
            <w:tcW w:w="0" w:type="auto"/>
            <w:hideMark/>
          </w:tcPr>
          <w:p w14:paraId="5F02A841" w14:textId="77777777" w:rsidR="00873841" w:rsidRPr="00684832" w:rsidRDefault="00873841" w:rsidP="00EF6D10">
            <w:pPr>
              <w:rPr>
                <w:b/>
                <w:bCs/>
              </w:rPr>
            </w:pPr>
            <w:r w:rsidRPr="00684832">
              <w:rPr>
                <w:b/>
                <w:bCs/>
              </w:rPr>
              <w:t>Perspective</w:t>
            </w:r>
          </w:p>
        </w:tc>
        <w:tc>
          <w:tcPr>
            <w:tcW w:w="0" w:type="auto"/>
            <w:hideMark/>
          </w:tcPr>
          <w:p w14:paraId="03FDB9C2" w14:textId="77777777" w:rsidR="00873841" w:rsidRPr="00684832" w:rsidRDefault="00873841" w:rsidP="00EF6D10">
            <w:pPr>
              <w:rPr>
                <w:b/>
                <w:bCs/>
              </w:rPr>
            </w:pPr>
            <w:r w:rsidRPr="00684832">
              <w:rPr>
                <w:b/>
                <w:bCs/>
              </w:rPr>
              <w:t>Strategic Objective</w:t>
            </w:r>
          </w:p>
        </w:tc>
        <w:tc>
          <w:tcPr>
            <w:tcW w:w="0" w:type="auto"/>
            <w:hideMark/>
          </w:tcPr>
          <w:p w14:paraId="37CBE96B" w14:textId="77777777" w:rsidR="00873841" w:rsidRPr="00684832" w:rsidRDefault="00873841" w:rsidP="00EF6D10">
            <w:pPr>
              <w:rPr>
                <w:b/>
                <w:bCs/>
              </w:rPr>
            </w:pPr>
            <w:r w:rsidRPr="00684832">
              <w:rPr>
                <w:b/>
                <w:bCs/>
              </w:rPr>
              <w:t>Key Performance Indicators (KPIs)</w:t>
            </w:r>
          </w:p>
        </w:tc>
      </w:tr>
      <w:tr w:rsidR="00873841" w:rsidRPr="00684832" w14:paraId="29E31088" w14:textId="77777777" w:rsidTr="00EF6D10">
        <w:tc>
          <w:tcPr>
            <w:tcW w:w="0" w:type="auto"/>
            <w:hideMark/>
          </w:tcPr>
          <w:p w14:paraId="70F1F009" w14:textId="77777777" w:rsidR="00873841" w:rsidRPr="00684832" w:rsidRDefault="00873841" w:rsidP="00EF6D10">
            <w:r w:rsidRPr="00684832">
              <w:rPr>
                <w:rStyle w:val="Strong"/>
              </w:rPr>
              <w:t>Financial</w:t>
            </w:r>
          </w:p>
        </w:tc>
        <w:tc>
          <w:tcPr>
            <w:tcW w:w="0" w:type="auto"/>
            <w:hideMark/>
          </w:tcPr>
          <w:p w14:paraId="0C9272EC" w14:textId="77777777" w:rsidR="00873841" w:rsidRPr="00684832" w:rsidRDefault="00873841" w:rsidP="00EF6D10">
            <w:r w:rsidRPr="00684832">
              <w:t>Achieve sustainable revenue growth</w:t>
            </w:r>
          </w:p>
        </w:tc>
        <w:tc>
          <w:tcPr>
            <w:tcW w:w="0" w:type="auto"/>
            <w:hideMark/>
          </w:tcPr>
          <w:p w14:paraId="694F7FB4" w14:textId="77777777" w:rsidR="00873841" w:rsidRPr="00684832" w:rsidRDefault="00873841" w:rsidP="00EF6D10">
            <w:r w:rsidRPr="00684832">
              <w:t>Revenue growth rate; contribution margin per device; customer acquisition cost</w:t>
            </w:r>
          </w:p>
        </w:tc>
      </w:tr>
      <w:tr w:rsidR="00873841" w:rsidRPr="00684832" w14:paraId="27185C63" w14:textId="77777777" w:rsidTr="00EF6D10">
        <w:tc>
          <w:tcPr>
            <w:tcW w:w="0" w:type="auto"/>
            <w:hideMark/>
          </w:tcPr>
          <w:p w14:paraId="06FDF9B7" w14:textId="77777777" w:rsidR="00873841" w:rsidRPr="00684832" w:rsidRDefault="00873841" w:rsidP="00EF6D10">
            <w:r w:rsidRPr="00684832">
              <w:rPr>
                <w:rStyle w:val="Strong"/>
              </w:rPr>
              <w:t>Customer</w:t>
            </w:r>
          </w:p>
        </w:tc>
        <w:tc>
          <w:tcPr>
            <w:tcW w:w="0" w:type="auto"/>
            <w:hideMark/>
          </w:tcPr>
          <w:p w14:paraId="58619FD2" w14:textId="77777777" w:rsidR="00873841" w:rsidRPr="00684832" w:rsidRDefault="00873841" w:rsidP="00EF6D10">
            <w:r w:rsidRPr="00684832">
              <w:t>Build brand awareness and loyalty</w:t>
            </w:r>
          </w:p>
        </w:tc>
        <w:tc>
          <w:tcPr>
            <w:tcW w:w="0" w:type="auto"/>
            <w:hideMark/>
          </w:tcPr>
          <w:p w14:paraId="343D19ED" w14:textId="77777777" w:rsidR="00873841" w:rsidRPr="00684832" w:rsidRDefault="00873841" w:rsidP="00EF6D10">
            <w:r w:rsidRPr="00684832">
              <w:t>Brand awareness index; Net Promoter Score (NPS); repeat purchase rate</w:t>
            </w:r>
          </w:p>
        </w:tc>
      </w:tr>
      <w:tr w:rsidR="00873841" w:rsidRPr="00684832" w14:paraId="6C6B7A91" w14:textId="77777777" w:rsidTr="00EF6D10">
        <w:tc>
          <w:tcPr>
            <w:tcW w:w="0" w:type="auto"/>
            <w:hideMark/>
          </w:tcPr>
          <w:p w14:paraId="6C9CF9C9" w14:textId="77777777" w:rsidR="00873841" w:rsidRPr="00684832" w:rsidRDefault="00873841" w:rsidP="00EF6D10">
            <w:r w:rsidRPr="00684832">
              <w:rPr>
                <w:rStyle w:val="Strong"/>
              </w:rPr>
              <w:t>Internal Process</w:t>
            </w:r>
          </w:p>
        </w:tc>
        <w:tc>
          <w:tcPr>
            <w:tcW w:w="0" w:type="auto"/>
            <w:hideMark/>
          </w:tcPr>
          <w:p w14:paraId="5D277A38" w14:textId="77777777" w:rsidR="00873841" w:rsidRPr="00684832" w:rsidRDefault="00873841" w:rsidP="00EF6D10">
            <w:r w:rsidRPr="00684832">
              <w:t>Ensure efficient market execution</w:t>
            </w:r>
          </w:p>
        </w:tc>
        <w:tc>
          <w:tcPr>
            <w:tcW w:w="0" w:type="auto"/>
            <w:hideMark/>
          </w:tcPr>
          <w:p w14:paraId="4E88AD41" w14:textId="77777777" w:rsidR="00873841" w:rsidRPr="00684832" w:rsidRDefault="00873841" w:rsidP="00EF6D10">
            <w:r w:rsidRPr="00684832">
              <w:t>Time-to-market; supply chain reliability; carrier onboarding efficiency</w:t>
            </w:r>
          </w:p>
        </w:tc>
      </w:tr>
      <w:tr w:rsidR="00873841" w:rsidRPr="00684832" w14:paraId="73E4A5F9" w14:textId="77777777" w:rsidTr="00EF6D10">
        <w:tc>
          <w:tcPr>
            <w:tcW w:w="0" w:type="auto"/>
            <w:hideMark/>
          </w:tcPr>
          <w:p w14:paraId="7249F25A" w14:textId="77777777" w:rsidR="00873841" w:rsidRPr="00684832" w:rsidRDefault="00873841" w:rsidP="00EF6D10">
            <w:r w:rsidRPr="00684832">
              <w:rPr>
                <w:rStyle w:val="Strong"/>
              </w:rPr>
              <w:lastRenderedPageBreak/>
              <w:t>Learning &amp; Growth</w:t>
            </w:r>
          </w:p>
        </w:tc>
        <w:tc>
          <w:tcPr>
            <w:tcW w:w="0" w:type="auto"/>
            <w:hideMark/>
          </w:tcPr>
          <w:p w14:paraId="19E35345" w14:textId="77777777" w:rsidR="00873841" w:rsidRPr="00684832" w:rsidRDefault="00873841" w:rsidP="00EF6D10">
            <w:r w:rsidRPr="00684832">
              <w:t>Strengthen long-term capabilities</w:t>
            </w:r>
          </w:p>
        </w:tc>
        <w:tc>
          <w:tcPr>
            <w:tcW w:w="0" w:type="auto"/>
            <w:hideMark/>
          </w:tcPr>
          <w:p w14:paraId="40FE392F" w14:textId="77777777" w:rsidR="00873841" w:rsidRPr="00684832" w:rsidRDefault="00873841" w:rsidP="00EF6D10">
            <w:r w:rsidRPr="00684832">
              <w:t>Innovation pipeline strength; community engagement metrics; employee capability development</w:t>
            </w:r>
          </w:p>
        </w:tc>
      </w:tr>
    </w:tbl>
    <w:p w14:paraId="25C042DC" w14:textId="4FF95163" w:rsidR="00873841" w:rsidRDefault="0027512E" w:rsidP="0027512E">
      <w:pPr>
        <w:pStyle w:val="Caption"/>
      </w:pPr>
      <w:bookmarkStart w:id="47" w:name="_Toc217290394"/>
      <w:r>
        <w:t xml:space="preserve">Table </w:t>
      </w:r>
      <w:r>
        <w:fldChar w:fldCharType="begin"/>
      </w:r>
      <w:r>
        <w:instrText xml:space="preserve"> SEQ Table \* ARABIC </w:instrText>
      </w:r>
      <w:r>
        <w:fldChar w:fldCharType="separate"/>
      </w:r>
      <w:r>
        <w:rPr>
          <w:noProof/>
        </w:rPr>
        <w:t>6</w:t>
      </w:r>
      <w:r>
        <w:fldChar w:fldCharType="end"/>
      </w:r>
      <w:r>
        <w:rPr>
          <w:lang w:val="en-US"/>
        </w:rPr>
        <w:t xml:space="preserve">: </w:t>
      </w:r>
      <w:r w:rsidRPr="00A84737">
        <w:rPr>
          <w:lang w:val="en-US"/>
        </w:rPr>
        <w:t>Balanced Scorecard for Nothing’s US Market Expansion</w:t>
      </w:r>
      <w:bookmarkEnd w:id="47"/>
    </w:p>
    <w:p w14:paraId="24A195D2" w14:textId="2AB41311" w:rsidR="0027512E" w:rsidRPr="0027512E" w:rsidRDefault="0027512E" w:rsidP="00873841">
      <w:pPr>
        <w:rPr>
          <w:lang w:val="en-US"/>
        </w:rPr>
      </w:pPr>
      <w:r>
        <w:rPr>
          <w:lang w:val="en-US"/>
        </w:rPr>
        <w:t>(Source: student)</w:t>
      </w:r>
    </w:p>
    <w:p w14:paraId="5BD1C012" w14:textId="77777777" w:rsidR="00873841" w:rsidRPr="00684832" w:rsidRDefault="00873841" w:rsidP="00873841">
      <w:pPr>
        <w:jc w:val="center"/>
      </w:pPr>
      <w:r w:rsidRPr="00684832">
        <w:rPr>
          <w:noProof/>
        </w:rPr>
        <w:drawing>
          <wp:inline distT="0" distB="0" distL="0" distR="0" wp14:anchorId="7EF9B165" wp14:editId="4C176999">
            <wp:extent cx="5943600" cy="5577840"/>
            <wp:effectExtent l="0" t="0" r="0" b="3810"/>
            <wp:docPr id="1419391312" name="Picture 1419391312" descr="Helpful Balanced Scorecard Template for Strategy Execution | monday.co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pful Balanced Scorecard Template for Strategy Execution | monday.com Blog"/>
                    <pic:cNvPicPr>
                      <a:picLocks noChangeAspect="1" noChangeArrowheads="1"/>
                    </pic:cNvPicPr>
                  </pic:nvPicPr>
                  <pic:blipFill rotWithShape="1">
                    <a:blip r:embed="rId22">
                      <a:extLst>
                        <a:ext uri="{28A0092B-C50C-407E-A947-70E740481C1C}">
                          <a14:useLocalDpi xmlns:a14="http://schemas.microsoft.com/office/drawing/2010/main" val="0"/>
                        </a:ext>
                      </a:extLst>
                    </a:blip>
                    <a:srcRect b="6154"/>
                    <a:stretch>
                      <a:fillRect/>
                    </a:stretch>
                  </pic:blipFill>
                  <pic:spPr bwMode="auto">
                    <a:xfrm>
                      <a:off x="0" y="0"/>
                      <a:ext cx="5943600" cy="5577840"/>
                    </a:xfrm>
                    <a:prstGeom prst="rect">
                      <a:avLst/>
                    </a:prstGeom>
                    <a:noFill/>
                    <a:ln>
                      <a:noFill/>
                    </a:ln>
                    <a:extLst>
                      <a:ext uri="{53640926-AAD7-44D8-BBD7-CCE9431645EC}">
                        <a14:shadowObscured xmlns:a14="http://schemas.microsoft.com/office/drawing/2010/main"/>
                      </a:ext>
                    </a:extLst>
                  </pic:spPr>
                </pic:pic>
              </a:graphicData>
            </a:graphic>
          </wp:inline>
        </w:drawing>
      </w:r>
    </w:p>
    <w:p w14:paraId="18C25DB0" w14:textId="29DDE24B" w:rsidR="00873841" w:rsidRDefault="00873841" w:rsidP="00873841">
      <w:pPr>
        <w:pStyle w:val="Caption"/>
      </w:pPr>
      <w:bookmarkStart w:id="48" w:name="_Toc217290387"/>
      <w:r w:rsidRPr="00684832">
        <w:t xml:space="preserve">Figure </w:t>
      </w:r>
      <w:r w:rsidRPr="00684832">
        <w:fldChar w:fldCharType="begin"/>
      </w:r>
      <w:r w:rsidRPr="00684832">
        <w:instrText xml:space="preserve"> SEQ Figure \* ARABIC </w:instrText>
      </w:r>
      <w:r w:rsidRPr="00684832">
        <w:fldChar w:fldCharType="separate"/>
      </w:r>
      <w:r w:rsidR="0027512E">
        <w:rPr>
          <w:noProof/>
        </w:rPr>
        <w:t>12</w:t>
      </w:r>
      <w:r w:rsidRPr="00684832">
        <w:fldChar w:fldCharType="end"/>
      </w:r>
      <w:r w:rsidRPr="00684832">
        <w:t>:Balanced Scorecard (BSC)</w:t>
      </w:r>
      <w:bookmarkEnd w:id="48"/>
    </w:p>
    <w:p w14:paraId="123F12F4" w14:textId="1D2ECE76" w:rsidR="0027512E" w:rsidRPr="0027512E" w:rsidRDefault="0027512E" w:rsidP="0027512E">
      <w:pPr>
        <w:rPr>
          <w:lang w:val="en-US"/>
        </w:rPr>
      </w:pPr>
      <w:r>
        <w:rPr>
          <w:lang w:val="en-US"/>
        </w:rPr>
        <w:t>(Source: student)</w:t>
      </w:r>
    </w:p>
    <w:p w14:paraId="249FCA0C" w14:textId="1543D421" w:rsidR="00684832" w:rsidRPr="00684832" w:rsidRDefault="00684832" w:rsidP="00684832">
      <w:r w:rsidRPr="00684832">
        <w:lastRenderedPageBreak/>
        <w:t>Financially, the increase in revenue and the contribution margin per device are major indicators of commercial viability at the early stages, and the customer acquisition cost is an indicator of the effectiveness of the digital and influencer-oriented marketing concept at Nothing (Reyes</w:t>
      </w:r>
      <w:r w:rsidRPr="00684832">
        <w:rPr>
          <w:rFonts w:ascii="Cambria Math" w:hAnsi="Cambria Math" w:cs="Cambria Math"/>
        </w:rPr>
        <w:t>‑</w:t>
      </w:r>
      <w:r w:rsidRPr="00684832">
        <w:t xml:space="preserve">Menendez et al., 2020).  </w:t>
      </w:r>
    </w:p>
    <w:p w14:paraId="0A3DEE3D" w14:textId="5DD597D2" w:rsidR="00684832" w:rsidRPr="00684832" w:rsidRDefault="00684832" w:rsidP="00684832">
      <w:r w:rsidRPr="00684832">
        <w:t xml:space="preserve">This customer orientation is still central when entering the market. Brand awareness measurements and Net Promoter Score (NPS) are widely utilized to evaluate brand perception and brand advocacy in digital markets, specifically the mobile-based, app-based, and ecosystem-dominated ones (Mahboub et al., 2023). Moreover, repeat purchase rates are used as proxies of ecosystem adoption and customer long-term loyalty.  </w:t>
      </w:r>
    </w:p>
    <w:p w14:paraId="071A6375" w14:textId="662E3212" w:rsidR="00684832" w:rsidRPr="00684832" w:rsidRDefault="00684832" w:rsidP="00684832">
      <w:r w:rsidRPr="00684832">
        <w:t xml:space="preserve">In the internal process framework, the efficiency of time-to-market and carrier onboarding is the paramount parameter in the U.S. smartphone market because it may eliminate competition in terms of relevance. In addition, supply chain reliability also depicts the strength of operations under geopolitical and logistical uncertainty.  </w:t>
      </w:r>
    </w:p>
    <w:p w14:paraId="42904A7C" w14:textId="1A663395" w:rsidR="00873841" w:rsidRPr="00684832" w:rsidRDefault="00684832" w:rsidP="00684832">
      <w:r w:rsidRPr="00684832">
        <w:t>Lastly, there is the learning and growth perspective that focuses on innovation pipeline development, the level of community involvement, and community employee potential. The strategy recognises that long-term differentiation should rely on continuous innovation and organisational learning (Yawson et al., 2023).</w:t>
      </w:r>
    </w:p>
    <w:p w14:paraId="1E52F7BA" w14:textId="77777777" w:rsidR="00873841" w:rsidRPr="00684832" w:rsidRDefault="00873841" w:rsidP="00382770"/>
    <w:p w14:paraId="21311EF8" w14:textId="755416AE" w:rsidR="00873841" w:rsidRPr="00684832" w:rsidRDefault="00873841" w:rsidP="00C00EAC">
      <w:pPr>
        <w:pStyle w:val="Heading3"/>
      </w:pPr>
      <w:bookmarkStart w:id="49" w:name="_Toc217290371"/>
      <w:r w:rsidRPr="00684832">
        <w:t>5.1.2. Triple Bottom Line (TBL)</w:t>
      </w:r>
      <w:bookmarkEnd w:id="49"/>
    </w:p>
    <w:p w14:paraId="2246F3FF" w14:textId="37180F9F" w:rsidR="00684832" w:rsidRPr="00684832" w:rsidRDefault="00684832" w:rsidP="00684832">
      <w:r w:rsidRPr="00684832">
        <w:t xml:space="preserve">In addition, and </w:t>
      </w:r>
      <w:r w:rsidR="0027512E" w:rsidRPr="00684832">
        <w:t>to</w:t>
      </w:r>
      <w:r w:rsidRPr="00684832">
        <w:t xml:space="preserve"> improve the sustainability management framework, a series of predetermined indicators based on the Triple Bottom Line option (TBL) view superimposed on the environment's responsibilities, and social participation could be introduced into the customer and internal process areas instead of being considered a separate framework. This integrated approach maintains strategic coherence and eliminates the generation of unnecessary complications in measurement systems.</w:t>
      </w:r>
    </w:p>
    <w:p w14:paraId="3D2F4D87" w14:textId="690080DA" w:rsidR="009F0BBE" w:rsidRPr="00684832" w:rsidRDefault="004653CD" w:rsidP="005070A2">
      <w:r>
        <w:rPr>
          <w:noProof/>
        </w:rPr>
        <w:lastRenderedPageBreak/>
        <w:drawing>
          <wp:inline distT="0" distB="0" distL="0" distR="0" wp14:anchorId="3E23DF4A" wp14:editId="13365960">
            <wp:extent cx="6614160" cy="5980430"/>
            <wp:effectExtent l="0" t="0" r="0" b="1270"/>
            <wp:docPr id="12255517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614160" cy="5980430"/>
                    </a:xfrm>
                    <a:prstGeom prst="rect">
                      <a:avLst/>
                    </a:prstGeom>
                    <a:noFill/>
                  </pic:spPr>
                </pic:pic>
              </a:graphicData>
            </a:graphic>
          </wp:inline>
        </w:drawing>
      </w:r>
    </w:p>
    <w:p w14:paraId="7A149233" w14:textId="0B917398" w:rsidR="009F0BBE" w:rsidRDefault="0027512E" w:rsidP="0027512E">
      <w:pPr>
        <w:pStyle w:val="Caption"/>
        <w:rPr>
          <w:lang w:val="en-US"/>
        </w:rPr>
      </w:pPr>
      <w:bookmarkStart w:id="50" w:name="_Toc217290388"/>
      <w:r>
        <w:t xml:space="preserve">Figure </w:t>
      </w:r>
      <w:r>
        <w:fldChar w:fldCharType="begin"/>
      </w:r>
      <w:r>
        <w:instrText xml:space="preserve"> SEQ Figure \* ARABIC </w:instrText>
      </w:r>
      <w:r>
        <w:fldChar w:fldCharType="separate"/>
      </w:r>
      <w:r>
        <w:rPr>
          <w:noProof/>
        </w:rPr>
        <w:t>13</w:t>
      </w:r>
      <w:r>
        <w:fldChar w:fldCharType="end"/>
      </w:r>
      <w:r>
        <w:rPr>
          <w:lang w:val="en-US"/>
        </w:rPr>
        <w:t>:</w:t>
      </w:r>
      <w:r w:rsidRPr="00D62B57">
        <w:rPr>
          <w:lang w:val="en-US"/>
        </w:rPr>
        <w:t>Triple Bottom Line (TBL)</w:t>
      </w:r>
      <w:bookmarkEnd w:id="50"/>
    </w:p>
    <w:p w14:paraId="01D63D98" w14:textId="33187D08" w:rsidR="0027512E" w:rsidRPr="0027512E" w:rsidRDefault="0027512E" w:rsidP="0027512E">
      <w:pPr>
        <w:rPr>
          <w:lang w:val="en-US"/>
        </w:rPr>
      </w:pPr>
      <w:r>
        <w:rPr>
          <w:lang w:val="en-US"/>
        </w:rPr>
        <w:t>(Source: student)</w:t>
      </w:r>
    </w:p>
    <w:p w14:paraId="25ED7B5F" w14:textId="347ADE13" w:rsidR="005070A2" w:rsidRPr="00684832" w:rsidRDefault="005070A2" w:rsidP="005070A2"/>
    <w:p w14:paraId="22A2ACA0" w14:textId="77777777" w:rsidR="005070A2" w:rsidRPr="00684832" w:rsidRDefault="005070A2" w:rsidP="004653CD">
      <w:pPr>
        <w:pStyle w:val="Heading2"/>
      </w:pPr>
      <w:bookmarkStart w:id="51" w:name="_Toc217290372"/>
      <w:r w:rsidRPr="00684832">
        <w:t xml:space="preserve">5.3 </w:t>
      </w:r>
      <w:r w:rsidRPr="004653CD">
        <w:t>Evaluation</w:t>
      </w:r>
      <w:r w:rsidRPr="00684832">
        <w:t xml:space="preserve"> of Framework Effectiveness</w:t>
      </w:r>
      <w:bookmarkEnd w:id="51"/>
    </w:p>
    <w:p w14:paraId="66BD51B7" w14:textId="41E68AA3" w:rsidR="00684832" w:rsidRPr="00684832" w:rsidRDefault="00684832" w:rsidP="00684832">
      <w:r w:rsidRPr="00684832">
        <w:t xml:space="preserve">The Balanced Scorecard enables powerful strategic alignment in integrating market entry goals of Nothing and quantifiable measures in the domains of financial, customer, </w:t>
      </w:r>
      <w:r w:rsidRPr="00684832">
        <w:lastRenderedPageBreak/>
        <w:t>operational and capability metrics. Such holistic integration plays a key role in improving the quality of decision making and in the process of adaptive strategy execution (Mtau et al., 2024).</w:t>
      </w:r>
    </w:p>
    <w:p w14:paraId="3E5E7DAC" w14:textId="65CC097E" w:rsidR="005070A2" w:rsidRDefault="00684832" w:rsidP="00684832">
      <w:r w:rsidRPr="00684832">
        <w:t>Nevertheless, there are some limitations to the framework. Indicators like brand awareness and net promoter score are seen as lagging metrics, which measure the result instead of the source or driving force of performance. Moreover, the ability to obtain dependable data, especially concerning customer perception and engagement with the community, can prove resource intensive during the early stages of expansion. Despite these limitations, the Balanced Scorecard remains a powerful and flexible tool, when complemented with periodic strategic assessments and qualitative information.</w:t>
      </w:r>
    </w:p>
    <w:p w14:paraId="23A57399" w14:textId="77777777" w:rsidR="006C7967" w:rsidRDefault="006C7967" w:rsidP="00684832"/>
    <w:p w14:paraId="35AB5FF6" w14:textId="0564CB02" w:rsidR="006C7967" w:rsidRDefault="006C7967" w:rsidP="004653CD">
      <w:pPr>
        <w:pStyle w:val="Heading2"/>
      </w:pPr>
      <w:bookmarkStart w:id="52" w:name="_Toc217290373"/>
      <w:r>
        <w:t>5.4. Recommendations</w:t>
      </w:r>
      <w:bookmarkEnd w:id="52"/>
    </w:p>
    <w:p w14:paraId="297E5DD9" w14:textId="4CB953D4" w:rsidR="006C7967" w:rsidRPr="00DB0451" w:rsidRDefault="006C7967" w:rsidP="006C7967">
      <w:pPr>
        <w:pStyle w:val="ListParagraph"/>
        <w:numPr>
          <w:ilvl w:val="0"/>
          <w:numId w:val="4"/>
        </w:numPr>
        <w:rPr>
          <w:color w:val="000000" w:themeColor="text1"/>
        </w:rPr>
      </w:pPr>
      <w:r w:rsidRPr="00DB0451">
        <w:rPr>
          <w:color w:val="000000" w:themeColor="text1"/>
        </w:rPr>
        <w:t xml:space="preserve">Market entry ought to be done in phases, focusing first on the technologically savvy urban areas to develop early first mover effect and build brand loyalty.  </w:t>
      </w:r>
    </w:p>
    <w:p w14:paraId="7373BCD5" w14:textId="4DBC5297" w:rsidR="006C7967" w:rsidRPr="00DB0451" w:rsidRDefault="006C7967" w:rsidP="006C7967">
      <w:pPr>
        <w:pStyle w:val="ListParagraph"/>
        <w:numPr>
          <w:ilvl w:val="0"/>
          <w:numId w:val="4"/>
        </w:numPr>
        <w:rPr>
          <w:color w:val="000000" w:themeColor="text1"/>
        </w:rPr>
      </w:pPr>
      <w:r w:rsidRPr="00DB0451">
        <w:rPr>
          <w:color w:val="000000" w:themeColor="text1"/>
        </w:rPr>
        <w:t xml:space="preserve">The design-led differentiation and brand narratives should be more advanced to avoid head-to-head price rivalry with powerful industry players (Ward et al., 2025).  </w:t>
      </w:r>
    </w:p>
    <w:p w14:paraId="006BA79B" w14:textId="15E00213" w:rsidR="006C7967" w:rsidRPr="00DB0451" w:rsidRDefault="006C7967" w:rsidP="006C7967">
      <w:pPr>
        <w:pStyle w:val="ListParagraph"/>
        <w:numPr>
          <w:ilvl w:val="0"/>
          <w:numId w:val="4"/>
        </w:numPr>
        <w:rPr>
          <w:color w:val="000000" w:themeColor="text1"/>
        </w:rPr>
      </w:pPr>
      <w:r w:rsidRPr="00DB0451">
        <w:rPr>
          <w:color w:val="000000" w:themeColor="text1"/>
        </w:rPr>
        <w:t xml:space="preserve">The direct-to-consumer channels are to be prioritized, with selective and non-exclusive MVNO arrangements as supplements to balance between the control of the market and the outreach (Knapp et al., 2025).  </w:t>
      </w:r>
    </w:p>
    <w:p w14:paraId="32CFD8DC" w14:textId="2F3B6D62" w:rsidR="006C7967" w:rsidRPr="00DB0451" w:rsidRDefault="006C7967" w:rsidP="006C7967">
      <w:pPr>
        <w:pStyle w:val="ListParagraph"/>
        <w:numPr>
          <w:ilvl w:val="0"/>
          <w:numId w:val="4"/>
        </w:numPr>
        <w:rPr>
          <w:color w:val="000000" w:themeColor="text1"/>
        </w:rPr>
      </w:pPr>
      <w:r w:rsidRPr="00DB0451">
        <w:rPr>
          <w:color w:val="000000" w:themeColor="text1"/>
        </w:rPr>
        <w:t xml:space="preserve">Community work and content creator marketing should be increased to create more brand awareness among the Generation Z and millennial groups (Etim et al., 2024).  </w:t>
      </w:r>
    </w:p>
    <w:p w14:paraId="45D9E265" w14:textId="7CD1D835" w:rsidR="006C7967" w:rsidRPr="00DB0451" w:rsidRDefault="006C7967" w:rsidP="006C7967">
      <w:pPr>
        <w:pStyle w:val="ListParagraph"/>
        <w:numPr>
          <w:ilvl w:val="0"/>
          <w:numId w:val="4"/>
        </w:numPr>
        <w:rPr>
          <w:color w:val="000000" w:themeColor="text1"/>
        </w:rPr>
      </w:pPr>
      <w:r w:rsidRPr="00DB0451">
        <w:rPr>
          <w:color w:val="000000" w:themeColor="text1"/>
        </w:rPr>
        <w:t xml:space="preserve">To reduce regulatory delays and legal risks, it is essential to secure early registration in the FCC and high levels of compliance with data privacy (FCC, 2024).  </w:t>
      </w:r>
    </w:p>
    <w:p w14:paraId="2865D26D" w14:textId="77777777" w:rsidR="006C7967" w:rsidRPr="00DB0451" w:rsidRDefault="006C7967" w:rsidP="006C7967">
      <w:pPr>
        <w:pStyle w:val="ListParagraph"/>
        <w:numPr>
          <w:ilvl w:val="0"/>
          <w:numId w:val="4"/>
        </w:numPr>
        <w:rPr>
          <w:color w:val="000000" w:themeColor="text1"/>
        </w:rPr>
      </w:pPr>
      <w:r w:rsidRPr="00DB0451">
        <w:rPr>
          <w:color w:val="000000" w:themeColor="text1"/>
        </w:rPr>
        <w:t xml:space="preserve">To reduce the vulnerability to geopolitical and supply-chain shocks, diversification of supplier base and sites of production of goods and services is suggested (UNCTAD, 2025).  </w:t>
      </w:r>
    </w:p>
    <w:p w14:paraId="08EBF59D" w14:textId="2CDF7CF7" w:rsidR="006C7967" w:rsidRPr="00DB0451" w:rsidRDefault="006C7967" w:rsidP="006C7967">
      <w:pPr>
        <w:pStyle w:val="ListParagraph"/>
        <w:numPr>
          <w:ilvl w:val="0"/>
          <w:numId w:val="4"/>
        </w:numPr>
        <w:rPr>
          <w:color w:val="000000" w:themeColor="text1"/>
        </w:rPr>
      </w:pPr>
      <w:r w:rsidRPr="00DB0451">
        <w:rPr>
          <w:color w:val="000000" w:themeColor="text1"/>
        </w:rPr>
        <w:lastRenderedPageBreak/>
        <w:t>Implementing the principles of sustainability and a circle economy as core value propositions helps to improve the reputational stance and competitiveness in the long-term perspective (Zwicker et al., 2023).</w:t>
      </w:r>
    </w:p>
    <w:p w14:paraId="1E2CB914" w14:textId="77777777" w:rsidR="006C7967" w:rsidRPr="00684832" w:rsidRDefault="006C7967" w:rsidP="006C7967"/>
    <w:p w14:paraId="69A9EBB0" w14:textId="69810363" w:rsidR="005070A2" w:rsidRPr="00684832" w:rsidRDefault="00D2566E" w:rsidP="0036123A">
      <w:pPr>
        <w:pStyle w:val="Heading1"/>
        <w:rPr>
          <w:rFonts w:ascii="Times New Roman" w:hAnsi="Times New Roman"/>
        </w:rPr>
      </w:pPr>
      <w:bookmarkStart w:id="53" w:name="_Toc217290374"/>
      <w:r w:rsidRPr="00684832">
        <w:t xml:space="preserve">6. </w:t>
      </w:r>
      <w:r w:rsidR="005070A2" w:rsidRPr="00684832">
        <w:t>Conclusion</w:t>
      </w:r>
      <w:bookmarkEnd w:id="53"/>
    </w:p>
    <w:p w14:paraId="76D84AB2" w14:textId="4B7FBC9E" w:rsidR="00684832" w:rsidRPr="00684832" w:rsidRDefault="00684832" w:rsidP="00D2566E">
      <w:r w:rsidRPr="00684832">
        <w:t>In this report, strategic management was assessed by evaluating strategic feasibility of Nothing in developing into the market of the smartphone in the United States. The analysis shows that despite the maturity of market and the levels of competition; there are still opportunities that exist of differentiated challenger brands beyond competition in specification basis. The macro-environmental analysis revealed some of the main constraints such as uncertain geopolitical environment, regulatory burden and pressures on sustainability, as well as favourable forces such as strong consumer expenditure, the adoption of new technology, and the willingness to embrace product variety.</w:t>
      </w:r>
    </w:p>
    <w:p w14:paraId="0EB784DC" w14:textId="1DFC60DA" w:rsidR="00684832" w:rsidRPr="00684832" w:rsidRDefault="00684832" w:rsidP="00D2566E">
      <w:r w:rsidRPr="00684832">
        <w:t>The sectorial and within-firm analyses have shown that the design-oriented innovation, the community-based marketing and digitally native operating model used in Nothing are important strategic resources, but they are small and ineffective in terms of the scale and the distribution reach. These results from the empirical basis of a hybrid market-entry approach based on a combination of direct-to-consumer efforts with selective MVNO partnerships, which can be supported by the OLI theoretical lens and the literature of the Transaction Cost Economics. The differentiation strategy which is focused on the high to mid-price range helps in fostering the development of brand equity and helps in reducing direct rivalry with the current market players. The offered Balanced Scorecard model balances both financial and non-financial targets, thus contributing to successful execution. The expansion therefore seems to be strategically viable if it is carried out by means of stringent risk governance and on an enduring spirit of innovation.</w:t>
      </w:r>
    </w:p>
    <w:p w14:paraId="42251267" w14:textId="77777777" w:rsidR="00822D27" w:rsidRDefault="00822D27" w:rsidP="00822D27">
      <w:pPr>
        <w:spacing w:line="278" w:lineRule="auto"/>
        <w:jc w:val="left"/>
      </w:pPr>
    </w:p>
    <w:p w14:paraId="6042778C" w14:textId="77777777" w:rsidR="00822D27" w:rsidRDefault="00822D27">
      <w:pPr>
        <w:spacing w:line="278" w:lineRule="auto"/>
        <w:jc w:val="left"/>
      </w:pPr>
      <w:r>
        <w:br w:type="page"/>
      </w:r>
    </w:p>
    <w:p w14:paraId="749B255B" w14:textId="14EAA994" w:rsidR="00176BF5" w:rsidRPr="00822D27" w:rsidRDefault="00176BF5" w:rsidP="004653CD">
      <w:pPr>
        <w:pStyle w:val="Heading1"/>
      </w:pPr>
      <w:bookmarkStart w:id="54" w:name="_Toc217290375"/>
      <w:r w:rsidRPr="00684832">
        <w:lastRenderedPageBreak/>
        <w:t>7. References</w:t>
      </w:r>
      <w:bookmarkEnd w:id="54"/>
      <w:r w:rsidRPr="00684832">
        <w:t xml:space="preserve"> </w:t>
      </w:r>
    </w:p>
    <w:p w14:paraId="7EF51335" w14:textId="77777777" w:rsidR="00176BF5" w:rsidRPr="00684832" w:rsidRDefault="00176BF5" w:rsidP="00176BF5">
      <w:r w:rsidRPr="00684832">
        <w:t xml:space="preserve">Afshar, Z. and Mutahir, H. (2025) ‘Performance evaluation using Balanced Scorecard framework’, </w:t>
      </w:r>
      <w:r w:rsidRPr="00684832">
        <w:rPr>
          <w:rStyle w:val="Emphasis"/>
        </w:rPr>
        <w:t>Performance Evaluation Using Balanced Scorecard Framework</w:t>
      </w:r>
      <w:r w:rsidRPr="00684832">
        <w:t>, 5, pp. 40–47.</w:t>
      </w:r>
    </w:p>
    <w:p w14:paraId="1AEEE1E6" w14:textId="77777777" w:rsidR="00176BF5" w:rsidRPr="00684832" w:rsidRDefault="00176BF5" w:rsidP="00176BF5">
      <w:r w:rsidRPr="00684832">
        <w:t xml:space="preserve">Agarwal, A. and Agarwal, G. (2025) ‘Assessing the environmental footprint of smartphone manufacturing and waste disposal’, in </w:t>
      </w:r>
      <w:r w:rsidRPr="00684832">
        <w:rPr>
          <w:rStyle w:val="Emphasis"/>
        </w:rPr>
        <w:t>Assessing Environmental Sustainability</w:t>
      </w:r>
      <w:r w:rsidRPr="00684832">
        <w:t xml:space="preserve">, pp. 332–361. </w:t>
      </w:r>
      <w:hyperlink r:id="rId24" w:tgtFrame="_new" w:history="1">
        <w:r w:rsidRPr="00684832">
          <w:rPr>
            <w:rStyle w:val="Hyperlink"/>
          </w:rPr>
          <w:t>https://doi.org/10.2991/978-94-6463-872-1_23</w:t>
        </w:r>
      </w:hyperlink>
    </w:p>
    <w:p w14:paraId="595D01F4" w14:textId="77777777" w:rsidR="00176BF5" w:rsidRPr="00684832" w:rsidRDefault="00176BF5" w:rsidP="00176BF5">
      <w:r w:rsidRPr="00684832">
        <w:t xml:space="preserve">Audrezet, A., Koles, B., Guidry Moulard, J., Ameen, N. and McKenna, B. (2025) ‘Virtual influencers: Definition and future research directions’, </w:t>
      </w:r>
      <w:r w:rsidRPr="00684832">
        <w:rPr>
          <w:rStyle w:val="Emphasis"/>
        </w:rPr>
        <w:t>Journal of Business Research</w:t>
      </w:r>
      <w:r w:rsidRPr="00684832">
        <w:t xml:space="preserve">, 200, 115647. </w:t>
      </w:r>
      <w:hyperlink r:id="rId25" w:tgtFrame="_new" w:history="1">
        <w:r w:rsidRPr="00684832">
          <w:rPr>
            <w:rStyle w:val="Hyperlink"/>
          </w:rPr>
          <w:t>https://doi.org/10.1016/j.jbusres.2025.115647</w:t>
        </w:r>
      </w:hyperlink>
    </w:p>
    <w:p w14:paraId="6020DFD4" w14:textId="77777777" w:rsidR="00176BF5" w:rsidRPr="00684832" w:rsidRDefault="00176BF5" w:rsidP="00176BF5">
      <w:r w:rsidRPr="00684832">
        <w:t xml:space="preserve">Aubhi, R.U.H., Rana, M.S., Mishad, N.A., Sharmin, S., Rakib, A.A. and Kalam, F.A. (2025) ‘Factors influencing smartphone satisfaction among Generation Z’, </w:t>
      </w:r>
      <w:r w:rsidRPr="00684832">
        <w:rPr>
          <w:rStyle w:val="Emphasis"/>
        </w:rPr>
        <w:t>Open Journal of Business and Management</w:t>
      </w:r>
      <w:r w:rsidRPr="00684832">
        <w:t xml:space="preserve">, 13(2). </w:t>
      </w:r>
      <w:hyperlink r:id="rId26" w:tgtFrame="_new" w:history="1">
        <w:r w:rsidRPr="00684832">
          <w:rPr>
            <w:rStyle w:val="Hyperlink"/>
          </w:rPr>
          <w:t>https://doi.org/10.4236/ojbm.2025.132071</w:t>
        </w:r>
      </w:hyperlink>
    </w:p>
    <w:p w14:paraId="6837C153" w14:textId="77777777" w:rsidR="00176BF5" w:rsidRPr="00684832" w:rsidRDefault="00176BF5" w:rsidP="00176BF5">
      <w:r w:rsidRPr="00684832">
        <w:t xml:space="preserve">Ayyasy, A.N., Winanti, W. and Maelani, S. (2025) ‘Application of Balanced Scorecard to enhance company performance’, </w:t>
      </w:r>
      <w:r w:rsidRPr="00684832">
        <w:rPr>
          <w:rStyle w:val="Emphasis"/>
        </w:rPr>
        <w:t>International Journal of Economics Development Research</w:t>
      </w:r>
      <w:r w:rsidRPr="00684832">
        <w:t xml:space="preserve">, 6(1), pp. 176–189. </w:t>
      </w:r>
      <w:hyperlink r:id="rId27" w:tgtFrame="_new" w:history="1">
        <w:r w:rsidRPr="00684832">
          <w:rPr>
            <w:rStyle w:val="Hyperlink"/>
          </w:rPr>
          <w:t>https://doi.org/10.37385/ijedr.v6i1.6918</w:t>
        </w:r>
      </w:hyperlink>
    </w:p>
    <w:p w14:paraId="3E0069EA" w14:textId="77777777" w:rsidR="00176BF5" w:rsidRPr="00684832" w:rsidRDefault="00176BF5" w:rsidP="00176BF5">
      <w:r w:rsidRPr="00684832">
        <w:t xml:space="preserve">Baird, K., Nuhu, N. and Jiao, L. (2024) ‘The effect of Porter’s competitive forces on competitive advantage and organisational performance’, </w:t>
      </w:r>
      <w:r w:rsidRPr="00684832">
        <w:rPr>
          <w:rStyle w:val="Emphasis"/>
        </w:rPr>
        <w:t>Journal of Management Control</w:t>
      </w:r>
      <w:r w:rsidRPr="00684832">
        <w:t xml:space="preserve">, 35, pp. 303–332. </w:t>
      </w:r>
      <w:hyperlink r:id="rId28" w:tgtFrame="_new" w:history="1">
        <w:r w:rsidRPr="00684832">
          <w:rPr>
            <w:rStyle w:val="Hyperlink"/>
          </w:rPr>
          <w:t>https://doi.org/10.1007/s00187-024-00375-4</w:t>
        </w:r>
      </w:hyperlink>
    </w:p>
    <w:p w14:paraId="30EC0AE7" w14:textId="77777777" w:rsidR="00176BF5" w:rsidRPr="00684832" w:rsidRDefault="00176BF5" w:rsidP="00176BF5">
      <w:r w:rsidRPr="00684832">
        <w:t xml:space="preserve">Etim, G., James, E., Arikpo, N., Inyang, I. and Obi, C. (2024) ‘Influencer marketing and consumers’ purchase behaviour towards new smartphone brands’, </w:t>
      </w:r>
      <w:r w:rsidRPr="00684832">
        <w:rPr>
          <w:rStyle w:val="Emphasis"/>
        </w:rPr>
        <w:t>Advanced Journal of Science, Technology and Engineering</w:t>
      </w:r>
      <w:r w:rsidRPr="00684832">
        <w:t xml:space="preserve">, 4, pp. 16–34. </w:t>
      </w:r>
      <w:hyperlink r:id="rId29" w:tgtFrame="_new" w:history="1">
        <w:r w:rsidRPr="00684832">
          <w:rPr>
            <w:rStyle w:val="Hyperlink"/>
          </w:rPr>
          <w:t>https://doi.org/10.52589/AJSTE-ZJ9TSNI7</w:t>
        </w:r>
      </w:hyperlink>
    </w:p>
    <w:p w14:paraId="6A6B120A" w14:textId="77777777" w:rsidR="00176BF5" w:rsidRPr="00684832" w:rsidRDefault="00176BF5" w:rsidP="00176BF5">
      <w:r w:rsidRPr="00684832">
        <w:t xml:space="preserve">Fan, Y. and Yang, C. (2020) ‘Competition, product proliferation, and welfare: A study of the US smartphone market’, </w:t>
      </w:r>
      <w:r w:rsidRPr="00684832">
        <w:rPr>
          <w:rStyle w:val="Emphasis"/>
        </w:rPr>
        <w:t>American Economic Journal: Microeconomics</w:t>
      </w:r>
      <w:r w:rsidRPr="00684832">
        <w:t xml:space="preserve">, 12(2), pp. 99–134. </w:t>
      </w:r>
      <w:hyperlink r:id="rId30" w:tgtFrame="_new" w:history="1">
        <w:r w:rsidRPr="00684832">
          <w:rPr>
            <w:rStyle w:val="Hyperlink"/>
          </w:rPr>
          <w:t>https://doi.org/10.1257/mic.20180182</w:t>
        </w:r>
      </w:hyperlink>
    </w:p>
    <w:p w14:paraId="289FE679" w14:textId="77777777" w:rsidR="00176BF5" w:rsidRPr="00684832" w:rsidRDefault="00176BF5" w:rsidP="00176BF5">
      <w:r w:rsidRPr="00684832">
        <w:t xml:space="preserve">Federal Communications Commission (FCC) (2024) </w:t>
      </w:r>
      <w:r w:rsidRPr="00684832">
        <w:rPr>
          <w:rStyle w:val="Emphasis"/>
        </w:rPr>
        <w:t>Privacy and Data Protection Task Force</w:t>
      </w:r>
      <w:r w:rsidRPr="00684832">
        <w:t xml:space="preserve">. Available at: </w:t>
      </w:r>
      <w:hyperlink r:id="rId31" w:tgtFrame="_new" w:history="1">
        <w:r w:rsidRPr="00684832">
          <w:rPr>
            <w:rStyle w:val="Hyperlink"/>
          </w:rPr>
          <w:t>https://www.fcc.gov/privacy-and-data-protection-task-force</w:t>
        </w:r>
      </w:hyperlink>
    </w:p>
    <w:p w14:paraId="19596575" w14:textId="77777777" w:rsidR="00176BF5" w:rsidRPr="00684832" w:rsidRDefault="00176BF5" w:rsidP="00176BF5">
      <w:r w:rsidRPr="00684832">
        <w:lastRenderedPageBreak/>
        <w:t xml:space="preserve">Jain, A. (2025) ‘Capability joint effects, transaction costs, outsourcing decisions, and performance’, </w:t>
      </w:r>
      <w:r w:rsidRPr="00684832">
        <w:rPr>
          <w:rStyle w:val="Emphasis"/>
        </w:rPr>
        <w:t>Journal of Business Research</w:t>
      </w:r>
      <w:r w:rsidRPr="00684832">
        <w:t xml:space="preserve">, 200, 115618. </w:t>
      </w:r>
      <w:hyperlink r:id="rId32" w:tgtFrame="_new" w:history="1">
        <w:r w:rsidRPr="00684832">
          <w:rPr>
            <w:rStyle w:val="Hyperlink"/>
          </w:rPr>
          <w:t>https://doi.org/10.1016/j.jbusres.2025.115618</w:t>
        </w:r>
      </w:hyperlink>
    </w:p>
    <w:p w14:paraId="15960782" w14:textId="77777777" w:rsidR="00176BF5" w:rsidRPr="00684832" w:rsidRDefault="00176BF5" w:rsidP="00176BF5">
      <w:r w:rsidRPr="00684832">
        <w:t xml:space="preserve">Kabeyi, M.J.B. (2018) ‘Michael Porter’s five competitive forces and generic strategies’, </w:t>
      </w:r>
      <w:r w:rsidRPr="00684832">
        <w:rPr>
          <w:rStyle w:val="Emphasis"/>
        </w:rPr>
        <w:t>International Journal of Applied Research</w:t>
      </w:r>
      <w:r w:rsidRPr="00684832">
        <w:t>, 4(10), pp. 39–45.</w:t>
      </w:r>
    </w:p>
    <w:p w14:paraId="37AABD13" w14:textId="77777777" w:rsidR="00176BF5" w:rsidRPr="00684832" w:rsidRDefault="00176BF5" w:rsidP="00176BF5">
      <w:r w:rsidRPr="00684832">
        <w:t xml:space="preserve">Kim, J., Lee, H. and Lee, J. (2020) ‘Smartphone preferences and brand loyalty: A discrete choice model reflecting the reference point and peer effect’, </w:t>
      </w:r>
      <w:r w:rsidRPr="00684832">
        <w:rPr>
          <w:rStyle w:val="Emphasis"/>
        </w:rPr>
        <w:t>Journal of Retailing and Consumer Services</w:t>
      </w:r>
      <w:r w:rsidRPr="00684832">
        <w:t xml:space="preserve">, 52, 101907. </w:t>
      </w:r>
      <w:hyperlink r:id="rId33" w:tgtFrame="_new" w:history="1">
        <w:r w:rsidRPr="00684832">
          <w:rPr>
            <w:rStyle w:val="Hyperlink"/>
          </w:rPr>
          <w:t>https://doi.org/10.1016/j.jretconser.2019.101907</w:t>
        </w:r>
      </w:hyperlink>
    </w:p>
    <w:p w14:paraId="2C245A3F" w14:textId="77777777" w:rsidR="00176BF5" w:rsidRPr="00684832" w:rsidRDefault="00176BF5" w:rsidP="00176BF5">
      <w:r w:rsidRPr="00684832">
        <w:t xml:space="preserve">Knapp, J., Gebauer, H. and Wortmann, F. (2025) ‘Unlocking the benefits of direct-to-consumer strategies without alienating dealers’, </w:t>
      </w:r>
      <w:r w:rsidRPr="00684832">
        <w:rPr>
          <w:rStyle w:val="Emphasis"/>
        </w:rPr>
        <w:t>Business Horizons</w:t>
      </w:r>
      <w:r w:rsidRPr="00684832">
        <w:t xml:space="preserve">. </w:t>
      </w:r>
      <w:hyperlink r:id="rId34" w:tgtFrame="_new" w:history="1">
        <w:r w:rsidRPr="00684832">
          <w:rPr>
            <w:rStyle w:val="Hyperlink"/>
          </w:rPr>
          <w:t>https://doi.org/10.1016/j.bushor.2025.04.011</w:t>
        </w:r>
      </w:hyperlink>
    </w:p>
    <w:p w14:paraId="09A6DC49" w14:textId="77777777" w:rsidR="00176BF5" w:rsidRPr="00684832" w:rsidRDefault="00176BF5" w:rsidP="00176BF5">
      <w:r w:rsidRPr="00684832">
        <w:t xml:space="preserve">Lee, J., Ahn, J.-H. and Myeong, J. (2025) ‘The behavioral impact of 5G adoption’, </w:t>
      </w:r>
      <w:r w:rsidRPr="00684832">
        <w:rPr>
          <w:rStyle w:val="Emphasis"/>
        </w:rPr>
        <w:t>Telecommunications Policy</w:t>
      </w:r>
      <w:r w:rsidRPr="00684832">
        <w:t xml:space="preserve">, 103112. </w:t>
      </w:r>
      <w:hyperlink r:id="rId35" w:tgtFrame="_new" w:history="1">
        <w:r w:rsidRPr="00684832">
          <w:rPr>
            <w:rStyle w:val="Hyperlink"/>
          </w:rPr>
          <w:t>https://doi.org/10.1016/j.telpol.2025.103112</w:t>
        </w:r>
      </w:hyperlink>
    </w:p>
    <w:p w14:paraId="615D953D" w14:textId="77777777" w:rsidR="00176BF5" w:rsidRPr="00684832" w:rsidRDefault="00176BF5" w:rsidP="00176BF5">
      <w:r w:rsidRPr="00684832">
        <w:t xml:space="preserve">Lin, Z., Ye, S., He, Z. and Cao, H. (2025) ‘Analysis of Xiaomi’s overseas expansion strategy: The case of the Indian market’, </w:t>
      </w:r>
      <w:r w:rsidRPr="00684832">
        <w:rPr>
          <w:rStyle w:val="Emphasis"/>
        </w:rPr>
        <w:t>Frontiers in Business, Economics and Management</w:t>
      </w:r>
      <w:r w:rsidRPr="00684832">
        <w:t xml:space="preserve">, 19, pp. 202–206. </w:t>
      </w:r>
      <w:hyperlink r:id="rId36" w:tgtFrame="_new" w:history="1">
        <w:r w:rsidRPr="00684832">
          <w:rPr>
            <w:rStyle w:val="Hyperlink"/>
          </w:rPr>
          <w:t>https://doi.org/10.54097/a1qh4669</w:t>
        </w:r>
      </w:hyperlink>
    </w:p>
    <w:p w14:paraId="5E333241" w14:textId="77777777" w:rsidR="00176BF5" w:rsidRPr="00684832" w:rsidRDefault="00176BF5" w:rsidP="00176BF5">
      <w:r w:rsidRPr="00684832">
        <w:t xml:space="preserve">Liu, Y. (2022) ‘Consumer preference and marketing of smartphone for college students’, </w:t>
      </w:r>
      <w:r w:rsidRPr="00684832">
        <w:rPr>
          <w:rStyle w:val="Emphasis"/>
        </w:rPr>
        <w:t>BCP Business &amp; Management</w:t>
      </w:r>
      <w:r w:rsidRPr="00684832">
        <w:t>, 28, pp. 319–326. https://doi.org/10.54691/bcpbm.v28i.2394</w:t>
      </w:r>
    </w:p>
    <w:p w14:paraId="6D1BD36F" w14:textId="77777777" w:rsidR="00176BF5" w:rsidRPr="00684832" w:rsidRDefault="00176BF5" w:rsidP="00176BF5">
      <w:r w:rsidRPr="00684832">
        <w:t xml:space="preserve">Luceri, B., Bijmolt, T.H.A., Bellini, S. and Aiolfi, S. (2022) ‘What drives consumers to shop on mobile devices? Insights from a meta-analysis’, </w:t>
      </w:r>
      <w:r w:rsidRPr="00684832">
        <w:rPr>
          <w:rStyle w:val="Emphasis"/>
        </w:rPr>
        <w:t>Journal of Retailing</w:t>
      </w:r>
      <w:r w:rsidRPr="00684832">
        <w:t xml:space="preserve">, 98(1), pp. 178–196. </w:t>
      </w:r>
      <w:hyperlink r:id="rId37" w:tgtFrame="_new" w:history="1">
        <w:r w:rsidRPr="00684832">
          <w:rPr>
            <w:rStyle w:val="Hyperlink"/>
          </w:rPr>
          <w:t>https://doi.org/10.1016/j.jretai.2022.02.002</w:t>
        </w:r>
      </w:hyperlink>
    </w:p>
    <w:p w14:paraId="5F8B31C6" w14:textId="77777777" w:rsidR="00176BF5" w:rsidRPr="00684832" w:rsidRDefault="00176BF5" w:rsidP="00176BF5">
      <w:r w:rsidRPr="00684832">
        <w:t xml:space="preserve">Mahboub, H., Sadok, H., Chehri, A. and Saadane, R. (2023) ‘Measuring the digital transformation’, </w:t>
      </w:r>
      <w:r w:rsidRPr="00684832">
        <w:rPr>
          <w:rStyle w:val="Emphasis"/>
        </w:rPr>
        <w:t>Procedia Computer Science</w:t>
      </w:r>
      <w:r w:rsidRPr="00684832">
        <w:t xml:space="preserve">, 225, pp. 4570–4579. </w:t>
      </w:r>
      <w:hyperlink r:id="rId38" w:tgtFrame="_new" w:history="1">
        <w:r w:rsidRPr="00684832">
          <w:rPr>
            <w:rStyle w:val="Hyperlink"/>
          </w:rPr>
          <w:t>https://doi.org/10.1016/j.procs.2023.10.455</w:t>
        </w:r>
      </w:hyperlink>
    </w:p>
    <w:p w14:paraId="7A015ADC" w14:textId="77777777" w:rsidR="00176BF5" w:rsidRPr="00684832" w:rsidRDefault="00176BF5" w:rsidP="00176BF5">
      <w:r w:rsidRPr="00684832">
        <w:t xml:space="preserve">Mostafa, H. (2025) ‘SWOT and PESTEL analyses in assessing sustainability’, </w:t>
      </w:r>
      <w:r w:rsidRPr="00684832">
        <w:rPr>
          <w:rStyle w:val="Emphasis"/>
        </w:rPr>
        <w:t>Water Science</w:t>
      </w:r>
      <w:r w:rsidRPr="00684832">
        <w:t xml:space="preserve">, 39(1), pp. 183–211. </w:t>
      </w:r>
      <w:hyperlink r:id="rId39" w:tgtFrame="_new" w:history="1">
        <w:r w:rsidRPr="00684832">
          <w:rPr>
            <w:rStyle w:val="Hyperlink"/>
          </w:rPr>
          <w:t>https://doi.org/10.1080/23570008.2025.2463743</w:t>
        </w:r>
      </w:hyperlink>
    </w:p>
    <w:p w14:paraId="21079346" w14:textId="77777777" w:rsidR="00176BF5" w:rsidRPr="00684832" w:rsidRDefault="00176BF5" w:rsidP="00176BF5">
      <w:r w:rsidRPr="00684832">
        <w:lastRenderedPageBreak/>
        <w:t xml:space="preserve">Mtau, T.T. and Rahul, N.A. (2024) ‘Optimizing business performance through KPI alignment’, </w:t>
      </w:r>
      <w:r w:rsidRPr="00684832">
        <w:rPr>
          <w:rStyle w:val="Emphasis"/>
        </w:rPr>
        <w:t>American Journal of Industrial and Business Management</w:t>
      </w:r>
      <w:r w:rsidRPr="00684832">
        <w:t xml:space="preserve">, 14(1). </w:t>
      </w:r>
      <w:hyperlink r:id="rId40" w:tgtFrame="_new" w:history="1">
        <w:r w:rsidRPr="00684832">
          <w:rPr>
            <w:rStyle w:val="Hyperlink"/>
          </w:rPr>
          <w:t>https://doi.org/10.4236/ajibm.2024.141003</w:t>
        </w:r>
      </w:hyperlink>
    </w:p>
    <w:p w14:paraId="3AA9A6E4" w14:textId="77777777" w:rsidR="00176BF5" w:rsidRPr="00684832" w:rsidRDefault="00176BF5" w:rsidP="00176BF5">
      <w:r w:rsidRPr="00684832">
        <w:t xml:space="preserve">Nothing (2023a) </w:t>
      </w:r>
      <w:r w:rsidRPr="00684832">
        <w:rPr>
          <w:rStyle w:val="Emphasis"/>
        </w:rPr>
        <w:t>About Nothing</w:t>
      </w:r>
      <w:r w:rsidRPr="00684832">
        <w:t xml:space="preserve">. Available at: </w:t>
      </w:r>
      <w:hyperlink r:id="rId41" w:tgtFrame="_new" w:history="1">
        <w:r w:rsidRPr="00684832">
          <w:rPr>
            <w:rStyle w:val="Hyperlink"/>
          </w:rPr>
          <w:t>https://nothing.tech/pages/about</w:t>
        </w:r>
      </w:hyperlink>
    </w:p>
    <w:p w14:paraId="19745717" w14:textId="77777777" w:rsidR="00176BF5" w:rsidRPr="00684832" w:rsidRDefault="00176BF5" w:rsidP="00176BF5">
      <w:r w:rsidRPr="00684832">
        <w:t xml:space="preserve">Nothing (2023b) </w:t>
      </w:r>
      <w:r w:rsidRPr="00684832">
        <w:rPr>
          <w:rStyle w:val="Emphasis"/>
        </w:rPr>
        <w:t>Company information and filing history</w:t>
      </w:r>
      <w:r w:rsidRPr="00684832">
        <w:t xml:space="preserve">. Available at: </w:t>
      </w:r>
      <w:hyperlink r:id="rId42" w:tgtFrame="_new" w:history="1">
        <w:r w:rsidRPr="00684832">
          <w:rPr>
            <w:rStyle w:val="Hyperlink"/>
          </w:rPr>
          <w:t>https://find-and-update.company-information.service.gov.uk/company/12984564/filing-history</w:t>
        </w:r>
      </w:hyperlink>
    </w:p>
    <w:p w14:paraId="1F3DD42A" w14:textId="77777777" w:rsidR="00176BF5" w:rsidRPr="00684832" w:rsidRDefault="00176BF5" w:rsidP="00176BF5">
      <w:r w:rsidRPr="00684832">
        <w:t xml:space="preserve">Nothing (2024a) </w:t>
      </w:r>
      <w:r w:rsidRPr="00684832">
        <w:rPr>
          <w:rStyle w:val="Emphasis"/>
        </w:rPr>
        <w:t>Products</w:t>
      </w:r>
      <w:r w:rsidRPr="00684832">
        <w:t xml:space="preserve">. Available at: </w:t>
      </w:r>
      <w:hyperlink r:id="rId43" w:tgtFrame="_new" w:history="1">
        <w:r w:rsidRPr="00684832">
          <w:rPr>
            <w:rStyle w:val="Hyperlink"/>
          </w:rPr>
          <w:t>https://nothing.tech/collections/shop-all</w:t>
        </w:r>
      </w:hyperlink>
    </w:p>
    <w:p w14:paraId="22011BB0" w14:textId="77777777" w:rsidR="00176BF5" w:rsidRPr="00684832" w:rsidRDefault="00176BF5" w:rsidP="00176BF5">
      <w:r w:rsidRPr="00684832">
        <w:t xml:space="preserve">Nothing (2024b) </w:t>
      </w:r>
      <w:r w:rsidRPr="00684832">
        <w:rPr>
          <w:rStyle w:val="Emphasis"/>
        </w:rPr>
        <w:t>Sustainability at Nothing</w:t>
      </w:r>
      <w:r w:rsidRPr="00684832">
        <w:t xml:space="preserve">. Available at: </w:t>
      </w:r>
      <w:hyperlink r:id="rId44" w:tgtFrame="_new" w:history="1">
        <w:r w:rsidRPr="00684832">
          <w:rPr>
            <w:rStyle w:val="Hyperlink"/>
          </w:rPr>
          <w:t>https://in.nothing.tech/pages/sustainability</w:t>
        </w:r>
      </w:hyperlink>
    </w:p>
    <w:p w14:paraId="1F8FECE8" w14:textId="34CCE367" w:rsidR="00176BF5" w:rsidRPr="00684832" w:rsidRDefault="00176BF5" w:rsidP="00176BF5">
      <w:r w:rsidRPr="00684832">
        <w:t xml:space="preserve">Owenda, Y. and Samboro, J. (2024) ‘The influence of product differentiation and reference groups on Xiaomi smartphone purchasing decisions’, </w:t>
      </w:r>
      <w:r w:rsidRPr="00684832">
        <w:rPr>
          <w:rStyle w:val="Emphasis"/>
        </w:rPr>
        <w:t>Jurnal Impresi Indonesia</w:t>
      </w:r>
      <w:r w:rsidRPr="00684832">
        <w:t xml:space="preserve">, 3(6), pp. 471–480. </w:t>
      </w:r>
      <w:hyperlink r:id="rId45" w:history="1">
        <w:r w:rsidR="007C6A06" w:rsidRPr="00684832">
          <w:rPr>
            <w:rStyle w:val="Hyperlink"/>
          </w:rPr>
          <w:t>https://doi.org/10.58344/jii.v3i6.5016</w:t>
        </w:r>
      </w:hyperlink>
      <w:r w:rsidR="007C6A06" w:rsidRPr="00684832">
        <w:t xml:space="preserve"> </w:t>
      </w:r>
    </w:p>
    <w:p w14:paraId="6F803C12" w14:textId="77777777" w:rsidR="00176BF5" w:rsidRPr="00684832" w:rsidRDefault="00176BF5" w:rsidP="00176BF5">
      <w:r w:rsidRPr="00684832">
        <w:t xml:space="preserve">Rastogi, N. and Trivedi, M. (2022) ‘PESTLE technique – a tool to identify external risks’, </w:t>
      </w:r>
      <w:r w:rsidRPr="00684832">
        <w:rPr>
          <w:rStyle w:val="Emphasis"/>
        </w:rPr>
        <w:t>International Journal of Applied Research</w:t>
      </w:r>
      <w:r w:rsidRPr="00684832">
        <w:t>.</w:t>
      </w:r>
    </w:p>
    <w:p w14:paraId="258D7CCC" w14:textId="77777777" w:rsidR="00176BF5" w:rsidRPr="00684832" w:rsidRDefault="00176BF5" w:rsidP="00176BF5">
      <w:r w:rsidRPr="00684832">
        <w:t xml:space="preserve">Research and Markets (2024) </w:t>
      </w:r>
      <w:r w:rsidRPr="00684832">
        <w:rPr>
          <w:rStyle w:val="Emphasis"/>
        </w:rPr>
        <w:t>United States smartphone market</w:t>
      </w:r>
      <w:r w:rsidRPr="00684832">
        <w:t xml:space="preserve">. Available at: </w:t>
      </w:r>
      <w:hyperlink r:id="rId46" w:tgtFrame="_new" w:history="1">
        <w:r w:rsidRPr="00684832">
          <w:rPr>
            <w:rStyle w:val="Hyperlink"/>
          </w:rPr>
          <w:t>https://www.researchandmarkets.com/report/united-states-smartphone-market</w:t>
        </w:r>
      </w:hyperlink>
    </w:p>
    <w:p w14:paraId="3FF95422" w14:textId="77777777" w:rsidR="00176BF5" w:rsidRPr="00684832" w:rsidRDefault="00176BF5" w:rsidP="00176BF5">
      <w:r w:rsidRPr="00684832">
        <w:t xml:space="preserve">Reyes-Menendez, A., Saura, J.R. and Palos-Sanchez, P. (2020) ‘Identifying key performance indicators for marketing strategies in mobile applications’, </w:t>
      </w:r>
      <w:r w:rsidRPr="00684832">
        <w:rPr>
          <w:rStyle w:val="Emphasis"/>
        </w:rPr>
        <w:t>International Journal of Electronic Marketing and Retailing</w:t>
      </w:r>
      <w:r w:rsidRPr="00684832">
        <w:t xml:space="preserve">, 11, pp. 259–277. </w:t>
      </w:r>
      <w:hyperlink r:id="rId47" w:tgtFrame="_new" w:history="1">
        <w:r w:rsidRPr="00684832">
          <w:rPr>
            <w:rStyle w:val="Hyperlink"/>
          </w:rPr>
          <w:t>https://doi.org/10.1504/IJEMR.2020.10029015</w:t>
        </w:r>
      </w:hyperlink>
    </w:p>
    <w:p w14:paraId="5B1D74C4" w14:textId="77777777" w:rsidR="00176BF5" w:rsidRPr="00684832" w:rsidRDefault="00176BF5" w:rsidP="00176BF5">
      <w:r w:rsidRPr="00684832">
        <w:t xml:space="preserve">Rosário, A.T. and Raimundo, R. (2024) ‘Importance of competitive dynamics of strategic groups’, </w:t>
      </w:r>
      <w:r w:rsidRPr="00684832">
        <w:rPr>
          <w:rStyle w:val="Emphasis"/>
        </w:rPr>
        <w:t>Administrative Sciences</w:t>
      </w:r>
      <w:r w:rsidRPr="00684832">
        <w:t xml:space="preserve">, 14(7), 147. </w:t>
      </w:r>
      <w:hyperlink r:id="rId48" w:tgtFrame="_new" w:history="1">
        <w:r w:rsidRPr="00684832">
          <w:rPr>
            <w:rStyle w:val="Hyperlink"/>
          </w:rPr>
          <w:t>https://doi.org/10.3390/admsci14070147</w:t>
        </w:r>
      </w:hyperlink>
    </w:p>
    <w:p w14:paraId="141569EF" w14:textId="77777777" w:rsidR="00176BF5" w:rsidRPr="00684832" w:rsidRDefault="00176BF5" w:rsidP="00176BF5">
      <w:r w:rsidRPr="00684832">
        <w:t xml:space="preserve">Siyal, A.W., Chen, H., Shah, S.J., Shahzad, F. and Bano, S. (2024) ‘Customization at a glance: Investigating consumer experiences in mobile commerce applications’, </w:t>
      </w:r>
      <w:r w:rsidRPr="00684832">
        <w:rPr>
          <w:rStyle w:val="Emphasis"/>
        </w:rPr>
        <w:t>Journal of Retailing and Consumer Services</w:t>
      </w:r>
      <w:r w:rsidRPr="00684832">
        <w:t xml:space="preserve">, 76, 103602. </w:t>
      </w:r>
      <w:hyperlink r:id="rId49" w:tgtFrame="_new" w:history="1">
        <w:r w:rsidRPr="00684832">
          <w:rPr>
            <w:rStyle w:val="Hyperlink"/>
          </w:rPr>
          <w:t>https://doi.org/10.1016/j.jretconser.2023.103602</w:t>
        </w:r>
      </w:hyperlink>
    </w:p>
    <w:p w14:paraId="148DAA6D" w14:textId="77777777" w:rsidR="00176BF5" w:rsidRPr="00684832" w:rsidRDefault="00176BF5" w:rsidP="00176BF5">
      <w:r w:rsidRPr="00684832">
        <w:lastRenderedPageBreak/>
        <w:t xml:space="preserve">Statista (2024) </w:t>
      </w:r>
      <w:r w:rsidRPr="00684832">
        <w:rPr>
          <w:rStyle w:val="Emphasis"/>
        </w:rPr>
        <w:t>US smartphone market</w:t>
      </w:r>
      <w:r w:rsidRPr="00684832">
        <w:t xml:space="preserve">. Available at: </w:t>
      </w:r>
      <w:hyperlink r:id="rId50" w:tgtFrame="_new" w:history="1">
        <w:r w:rsidRPr="00684832">
          <w:rPr>
            <w:rStyle w:val="Hyperlink"/>
          </w:rPr>
          <w:t>https://www.statista.com/topics/2711/us-smartphone-market/</w:t>
        </w:r>
      </w:hyperlink>
    </w:p>
    <w:p w14:paraId="19CFDEB5" w14:textId="77777777" w:rsidR="00176BF5" w:rsidRPr="00684832" w:rsidRDefault="00176BF5" w:rsidP="00176BF5">
      <w:r w:rsidRPr="00684832">
        <w:t xml:space="preserve">Toniolo, S., Pierli, G., Bravi, L. </w:t>
      </w:r>
      <w:r w:rsidRPr="00684832">
        <w:rPr>
          <w:rStyle w:val="Emphasis"/>
        </w:rPr>
        <w:t>et al.</w:t>
      </w:r>
      <w:r w:rsidRPr="00684832">
        <w:t xml:space="preserve"> (2025) ‘Digital technologies and circularity’, </w:t>
      </w:r>
      <w:r w:rsidRPr="00684832">
        <w:rPr>
          <w:rStyle w:val="Emphasis"/>
        </w:rPr>
        <w:t>International Journal of Life Cycle Assessment</w:t>
      </w:r>
      <w:r w:rsidRPr="00684832">
        <w:t xml:space="preserve">. </w:t>
      </w:r>
      <w:hyperlink r:id="rId51" w:tgtFrame="_new" w:history="1">
        <w:r w:rsidRPr="00684832">
          <w:rPr>
            <w:rStyle w:val="Hyperlink"/>
          </w:rPr>
          <w:t>https://doi.org/10.1007/s11367-025-02436-9</w:t>
        </w:r>
      </w:hyperlink>
    </w:p>
    <w:p w14:paraId="569F87B1" w14:textId="77777777" w:rsidR="00176BF5" w:rsidRPr="00684832" w:rsidRDefault="00176BF5" w:rsidP="00176BF5">
      <w:r w:rsidRPr="00684832">
        <w:t xml:space="preserve">UNCTAD (2025) </w:t>
      </w:r>
      <w:r w:rsidRPr="00684832">
        <w:rPr>
          <w:rStyle w:val="Emphasis"/>
        </w:rPr>
        <w:t>Global trade and technology policy developments</w:t>
      </w:r>
      <w:r w:rsidRPr="00684832">
        <w:t xml:space="preserve">. Available at: </w:t>
      </w:r>
      <w:hyperlink r:id="rId52" w:tgtFrame="_new" w:history="1">
        <w:r w:rsidRPr="00684832">
          <w:rPr>
            <w:rStyle w:val="Hyperlink"/>
          </w:rPr>
          <w:t>https://unctad.org/system/files/official-document/ditcinf2025d5_en.pdf</w:t>
        </w:r>
      </w:hyperlink>
    </w:p>
    <w:p w14:paraId="41256525" w14:textId="77777777" w:rsidR="00176BF5" w:rsidRPr="00684832" w:rsidRDefault="00176BF5" w:rsidP="00176BF5">
      <w:r w:rsidRPr="00684832">
        <w:t xml:space="preserve">USTR (2025) </w:t>
      </w:r>
      <w:r w:rsidRPr="00684832">
        <w:rPr>
          <w:rStyle w:val="Emphasis"/>
        </w:rPr>
        <w:t>National Trade Estimate Report</w:t>
      </w:r>
      <w:r w:rsidRPr="00684832">
        <w:t xml:space="preserve">. Available at: </w:t>
      </w:r>
      <w:hyperlink r:id="rId53" w:tgtFrame="_new" w:history="1">
        <w:r w:rsidRPr="00684832">
          <w:rPr>
            <w:rStyle w:val="Hyperlink"/>
          </w:rPr>
          <w:t>https://ustr.gov/sites/default/files/files/Press/Reports/2025NTE.pdf</w:t>
        </w:r>
      </w:hyperlink>
    </w:p>
    <w:p w14:paraId="52A62018" w14:textId="77777777" w:rsidR="00176BF5" w:rsidRPr="00684832" w:rsidRDefault="00176BF5" w:rsidP="00176BF5">
      <w:r w:rsidRPr="00684832">
        <w:t xml:space="preserve">Ward, M. and Osiyevskyy, O. (2025) ‘Design-led innovation as a generative source of competitive advantage’, </w:t>
      </w:r>
      <w:r w:rsidRPr="00684832">
        <w:rPr>
          <w:rStyle w:val="Emphasis"/>
        </w:rPr>
        <w:t>Business Horizons</w:t>
      </w:r>
      <w:r w:rsidRPr="00684832">
        <w:t xml:space="preserve">, 68(5), pp. 687–698. </w:t>
      </w:r>
      <w:hyperlink r:id="rId54" w:tgtFrame="_new" w:history="1">
        <w:r w:rsidRPr="00684832">
          <w:rPr>
            <w:rStyle w:val="Hyperlink"/>
          </w:rPr>
          <w:t>https://doi.org/10.1016/j.bushor.2024.10.003</w:t>
        </w:r>
      </w:hyperlink>
    </w:p>
    <w:p w14:paraId="4A2A28E3" w14:textId="77777777" w:rsidR="00176BF5" w:rsidRPr="00684832" w:rsidRDefault="00176BF5" w:rsidP="00176BF5">
      <w:r w:rsidRPr="00684832">
        <w:t xml:space="preserve">Yu, J., Zhao, J., Zhou, C. and Ren, Y. (2022) ‘Strategic business mode choices for e-commerce platforms under brand competition’, </w:t>
      </w:r>
      <w:r w:rsidRPr="00684832">
        <w:rPr>
          <w:rStyle w:val="Emphasis"/>
        </w:rPr>
        <w:t>Journal of Theoretical and Applied Electronic Commerce Research</w:t>
      </w:r>
      <w:r w:rsidRPr="00684832">
        <w:t xml:space="preserve">, 17(4), pp. 1769–1790. </w:t>
      </w:r>
      <w:hyperlink r:id="rId55" w:tgtFrame="_new" w:history="1">
        <w:r w:rsidRPr="00684832">
          <w:rPr>
            <w:rStyle w:val="Hyperlink"/>
          </w:rPr>
          <w:t>https://doi.org/10.3390/jtaer17040089</w:t>
        </w:r>
      </w:hyperlink>
    </w:p>
    <w:p w14:paraId="4E6F6315" w14:textId="77777777" w:rsidR="00176BF5" w:rsidRPr="00684832" w:rsidRDefault="00176BF5" w:rsidP="00176BF5">
      <w:r w:rsidRPr="00684832">
        <w:t xml:space="preserve">Zwicker, M.V., van Harreveld, F., Zickfeld, J.H. and Brick, C. (2023) ‘Intentions to purchase a sustainable mobile phone’, </w:t>
      </w:r>
      <w:r w:rsidRPr="00684832">
        <w:rPr>
          <w:rStyle w:val="Emphasis"/>
        </w:rPr>
        <w:t>Sustainable Production and Consumption</w:t>
      </w:r>
      <w:r w:rsidRPr="00684832">
        <w:t xml:space="preserve">, 40, pp. 337–351. </w:t>
      </w:r>
      <w:hyperlink r:id="rId56" w:tgtFrame="_new" w:history="1">
        <w:r w:rsidRPr="00684832">
          <w:rPr>
            <w:rStyle w:val="Hyperlink"/>
          </w:rPr>
          <w:t>https://doi.org/10.1016/j.spc.2023.07.008</w:t>
        </w:r>
      </w:hyperlink>
    </w:p>
    <w:p w14:paraId="019A9BFF" w14:textId="77777777" w:rsidR="00176BF5" w:rsidRPr="00285E4C" w:rsidRDefault="00176BF5" w:rsidP="00285E4C"/>
    <w:sectPr w:rsidR="00176BF5" w:rsidRPr="00285E4C">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72552" w14:textId="77777777" w:rsidR="0038247D" w:rsidRPr="00684832" w:rsidRDefault="0038247D" w:rsidP="0066428B">
      <w:pPr>
        <w:spacing w:after="0" w:line="240" w:lineRule="auto"/>
      </w:pPr>
      <w:r w:rsidRPr="00684832">
        <w:separator/>
      </w:r>
    </w:p>
  </w:endnote>
  <w:endnote w:type="continuationSeparator" w:id="0">
    <w:p w14:paraId="4F22856C" w14:textId="77777777" w:rsidR="0038247D" w:rsidRPr="00684832" w:rsidRDefault="0038247D" w:rsidP="0066428B">
      <w:pPr>
        <w:spacing w:after="0" w:line="240" w:lineRule="auto"/>
      </w:pPr>
      <w:r w:rsidRPr="0068483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0949"/>
      <w:docPartObj>
        <w:docPartGallery w:val="Page Numbers (Bottom of Page)"/>
        <w:docPartUnique/>
      </w:docPartObj>
    </w:sdtPr>
    <w:sdtContent>
      <w:p w14:paraId="4AFC79B9" w14:textId="0A846DAA" w:rsidR="005070A2" w:rsidRPr="00684832" w:rsidRDefault="005070A2">
        <w:pPr>
          <w:pStyle w:val="Footer"/>
          <w:jc w:val="center"/>
        </w:pPr>
        <w:r w:rsidRPr="00684832">
          <w:fldChar w:fldCharType="begin"/>
        </w:r>
        <w:r w:rsidRPr="00684832">
          <w:instrText xml:space="preserve"> PAGE   \* MERGEFORMAT </w:instrText>
        </w:r>
        <w:r w:rsidRPr="00684832">
          <w:fldChar w:fldCharType="separate"/>
        </w:r>
        <w:r w:rsidRPr="00684832">
          <w:t>2</w:t>
        </w:r>
        <w:r w:rsidRPr="00684832">
          <w:fldChar w:fldCharType="end"/>
        </w:r>
      </w:p>
    </w:sdtContent>
  </w:sdt>
  <w:p w14:paraId="571B51D3" w14:textId="77777777" w:rsidR="005070A2" w:rsidRPr="00684832" w:rsidRDefault="00507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EC519" w14:textId="77777777" w:rsidR="0038247D" w:rsidRPr="00684832" w:rsidRDefault="0038247D" w:rsidP="0066428B">
      <w:pPr>
        <w:spacing w:after="0" w:line="240" w:lineRule="auto"/>
      </w:pPr>
      <w:r w:rsidRPr="00684832">
        <w:separator/>
      </w:r>
    </w:p>
  </w:footnote>
  <w:footnote w:type="continuationSeparator" w:id="0">
    <w:p w14:paraId="147A97F9" w14:textId="77777777" w:rsidR="0038247D" w:rsidRPr="00684832" w:rsidRDefault="0038247D" w:rsidP="0066428B">
      <w:pPr>
        <w:spacing w:after="0" w:line="240" w:lineRule="auto"/>
      </w:pPr>
      <w:r w:rsidRPr="0068483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77FD15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D1EE"/>
      </v:shape>
    </w:pict>
  </w:numPicBullet>
  <w:abstractNum w:abstractNumId="0" w15:restartNumberingAfterBreak="0">
    <w:nsid w:val="1DE465AE"/>
    <w:multiLevelType w:val="hybridMultilevel"/>
    <w:tmpl w:val="99885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C446CC"/>
    <w:multiLevelType w:val="hybridMultilevel"/>
    <w:tmpl w:val="6B168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9F1C10"/>
    <w:multiLevelType w:val="multilevel"/>
    <w:tmpl w:val="AF365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C668C7"/>
    <w:multiLevelType w:val="hybridMultilevel"/>
    <w:tmpl w:val="AE2EBAB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1535261">
    <w:abstractNumId w:val="1"/>
  </w:num>
  <w:num w:numId="2" w16cid:durableId="1906185706">
    <w:abstractNumId w:val="2"/>
  </w:num>
  <w:num w:numId="3" w16cid:durableId="1475754913">
    <w:abstractNumId w:val="0"/>
  </w:num>
  <w:num w:numId="4" w16cid:durableId="3938954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D"/>
    <w:rsid w:val="00012CAD"/>
    <w:rsid w:val="000147FA"/>
    <w:rsid w:val="00020C3B"/>
    <w:rsid w:val="000216BB"/>
    <w:rsid w:val="00021A29"/>
    <w:rsid w:val="00022D18"/>
    <w:rsid w:val="0004302C"/>
    <w:rsid w:val="0006124E"/>
    <w:rsid w:val="00065B70"/>
    <w:rsid w:val="00074A55"/>
    <w:rsid w:val="0008124C"/>
    <w:rsid w:val="0009642C"/>
    <w:rsid w:val="000A12B7"/>
    <w:rsid w:val="000A7CDF"/>
    <w:rsid w:val="000B5C22"/>
    <w:rsid w:val="000B6A2B"/>
    <w:rsid w:val="000B6E1A"/>
    <w:rsid w:val="000C2EBC"/>
    <w:rsid w:val="000C3B79"/>
    <w:rsid w:val="000D576F"/>
    <w:rsid w:val="000D7650"/>
    <w:rsid w:val="000E680B"/>
    <w:rsid w:val="000F1DBB"/>
    <w:rsid w:val="0010149D"/>
    <w:rsid w:val="001109DB"/>
    <w:rsid w:val="0011217D"/>
    <w:rsid w:val="001224BD"/>
    <w:rsid w:val="00140C73"/>
    <w:rsid w:val="001464BB"/>
    <w:rsid w:val="0015759D"/>
    <w:rsid w:val="00160148"/>
    <w:rsid w:val="00163FB0"/>
    <w:rsid w:val="001758F2"/>
    <w:rsid w:val="00176BF5"/>
    <w:rsid w:val="00190BBD"/>
    <w:rsid w:val="0019114A"/>
    <w:rsid w:val="00191641"/>
    <w:rsid w:val="00193BEF"/>
    <w:rsid w:val="001A1EFA"/>
    <w:rsid w:val="001D08AF"/>
    <w:rsid w:val="001E2E9C"/>
    <w:rsid w:val="001E3B03"/>
    <w:rsid w:val="002002FD"/>
    <w:rsid w:val="00200442"/>
    <w:rsid w:val="00212306"/>
    <w:rsid w:val="00213608"/>
    <w:rsid w:val="002250E7"/>
    <w:rsid w:val="00237049"/>
    <w:rsid w:val="00241815"/>
    <w:rsid w:val="00243C0E"/>
    <w:rsid w:val="0025038D"/>
    <w:rsid w:val="00251E9D"/>
    <w:rsid w:val="0026420A"/>
    <w:rsid w:val="00266599"/>
    <w:rsid w:val="002704DF"/>
    <w:rsid w:val="0027118C"/>
    <w:rsid w:val="0027512E"/>
    <w:rsid w:val="00281FA8"/>
    <w:rsid w:val="00282900"/>
    <w:rsid w:val="00285E4C"/>
    <w:rsid w:val="0029513E"/>
    <w:rsid w:val="002A5A2E"/>
    <w:rsid w:val="002A64F7"/>
    <w:rsid w:val="002B4985"/>
    <w:rsid w:val="002B5B6D"/>
    <w:rsid w:val="002B6D42"/>
    <w:rsid w:val="002C21F9"/>
    <w:rsid w:val="002D5479"/>
    <w:rsid w:val="002E6CBC"/>
    <w:rsid w:val="002F29C7"/>
    <w:rsid w:val="00314659"/>
    <w:rsid w:val="0032051B"/>
    <w:rsid w:val="00323294"/>
    <w:rsid w:val="00324E9B"/>
    <w:rsid w:val="003429F6"/>
    <w:rsid w:val="0034632A"/>
    <w:rsid w:val="003572F0"/>
    <w:rsid w:val="0036123A"/>
    <w:rsid w:val="003747CB"/>
    <w:rsid w:val="0038247D"/>
    <w:rsid w:val="00382770"/>
    <w:rsid w:val="003A6D41"/>
    <w:rsid w:val="003C1187"/>
    <w:rsid w:val="003D13D1"/>
    <w:rsid w:val="003E61D9"/>
    <w:rsid w:val="00410AFE"/>
    <w:rsid w:val="00412019"/>
    <w:rsid w:val="00415411"/>
    <w:rsid w:val="0041727F"/>
    <w:rsid w:val="00437E58"/>
    <w:rsid w:val="0044097A"/>
    <w:rsid w:val="00455EBC"/>
    <w:rsid w:val="00457FDC"/>
    <w:rsid w:val="00463FD1"/>
    <w:rsid w:val="004653CD"/>
    <w:rsid w:val="004729E4"/>
    <w:rsid w:val="00475B03"/>
    <w:rsid w:val="00481301"/>
    <w:rsid w:val="004907C0"/>
    <w:rsid w:val="00495B12"/>
    <w:rsid w:val="004A3166"/>
    <w:rsid w:val="004B63E9"/>
    <w:rsid w:val="004D03DE"/>
    <w:rsid w:val="004D2D33"/>
    <w:rsid w:val="00501164"/>
    <w:rsid w:val="005070A2"/>
    <w:rsid w:val="005110D1"/>
    <w:rsid w:val="00524F72"/>
    <w:rsid w:val="00553F75"/>
    <w:rsid w:val="00564815"/>
    <w:rsid w:val="00576195"/>
    <w:rsid w:val="005832BE"/>
    <w:rsid w:val="005A5FCE"/>
    <w:rsid w:val="005B5023"/>
    <w:rsid w:val="005B5981"/>
    <w:rsid w:val="005D67C6"/>
    <w:rsid w:val="005F7CAE"/>
    <w:rsid w:val="0063709A"/>
    <w:rsid w:val="00644DEF"/>
    <w:rsid w:val="00645C92"/>
    <w:rsid w:val="006463A9"/>
    <w:rsid w:val="006469AD"/>
    <w:rsid w:val="006472C1"/>
    <w:rsid w:val="00660040"/>
    <w:rsid w:val="00660F14"/>
    <w:rsid w:val="00662CE2"/>
    <w:rsid w:val="0066428B"/>
    <w:rsid w:val="00666D27"/>
    <w:rsid w:val="0067373C"/>
    <w:rsid w:val="00675373"/>
    <w:rsid w:val="006760D2"/>
    <w:rsid w:val="006763DD"/>
    <w:rsid w:val="006807D3"/>
    <w:rsid w:val="00683296"/>
    <w:rsid w:val="00684832"/>
    <w:rsid w:val="0068636A"/>
    <w:rsid w:val="00697891"/>
    <w:rsid w:val="006C17E8"/>
    <w:rsid w:val="006C59E1"/>
    <w:rsid w:val="006C7967"/>
    <w:rsid w:val="006D7085"/>
    <w:rsid w:val="006E027B"/>
    <w:rsid w:val="006F1039"/>
    <w:rsid w:val="00703D83"/>
    <w:rsid w:val="007102FC"/>
    <w:rsid w:val="007259F7"/>
    <w:rsid w:val="00734D2A"/>
    <w:rsid w:val="00755B34"/>
    <w:rsid w:val="007A25C4"/>
    <w:rsid w:val="007A496A"/>
    <w:rsid w:val="007A7DCB"/>
    <w:rsid w:val="007B2F8A"/>
    <w:rsid w:val="007C4D6C"/>
    <w:rsid w:val="007C6A06"/>
    <w:rsid w:val="007C70C5"/>
    <w:rsid w:val="007E28F4"/>
    <w:rsid w:val="007E2D6D"/>
    <w:rsid w:val="007E349E"/>
    <w:rsid w:val="007F5511"/>
    <w:rsid w:val="00800F43"/>
    <w:rsid w:val="008031B6"/>
    <w:rsid w:val="008064AA"/>
    <w:rsid w:val="008174BB"/>
    <w:rsid w:val="008214CE"/>
    <w:rsid w:val="00822D27"/>
    <w:rsid w:val="008260A7"/>
    <w:rsid w:val="00830850"/>
    <w:rsid w:val="00841151"/>
    <w:rsid w:val="00844C3A"/>
    <w:rsid w:val="00873841"/>
    <w:rsid w:val="008A0A67"/>
    <w:rsid w:val="008A31B5"/>
    <w:rsid w:val="008A4D16"/>
    <w:rsid w:val="008A74E9"/>
    <w:rsid w:val="008B634E"/>
    <w:rsid w:val="008D027E"/>
    <w:rsid w:val="008E0903"/>
    <w:rsid w:val="008F246B"/>
    <w:rsid w:val="009026A8"/>
    <w:rsid w:val="00905180"/>
    <w:rsid w:val="00922A6D"/>
    <w:rsid w:val="00925011"/>
    <w:rsid w:val="00927CF1"/>
    <w:rsid w:val="00927EC1"/>
    <w:rsid w:val="0093287F"/>
    <w:rsid w:val="00940196"/>
    <w:rsid w:val="00941148"/>
    <w:rsid w:val="009456DE"/>
    <w:rsid w:val="00951452"/>
    <w:rsid w:val="00952798"/>
    <w:rsid w:val="00964574"/>
    <w:rsid w:val="00965583"/>
    <w:rsid w:val="00972DB1"/>
    <w:rsid w:val="00985465"/>
    <w:rsid w:val="009A4E30"/>
    <w:rsid w:val="009A7231"/>
    <w:rsid w:val="009B00D4"/>
    <w:rsid w:val="009B03F9"/>
    <w:rsid w:val="009C0E4D"/>
    <w:rsid w:val="009C0F34"/>
    <w:rsid w:val="009C38F4"/>
    <w:rsid w:val="009E677D"/>
    <w:rsid w:val="009F0BBE"/>
    <w:rsid w:val="00A1491A"/>
    <w:rsid w:val="00A2598F"/>
    <w:rsid w:val="00A3162E"/>
    <w:rsid w:val="00A4224D"/>
    <w:rsid w:val="00A521FD"/>
    <w:rsid w:val="00A71198"/>
    <w:rsid w:val="00A71CFC"/>
    <w:rsid w:val="00A867E2"/>
    <w:rsid w:val="00A92A35"/>
    <w:rsid w:val="00A93BF6"/>
    <w:rsid w:val="00AA0EB1"/>
    <w:rsid w:val="00AA1EC0"/>
    <w:rsid w:val="00AB6350"/>
    <w:rsid w:val="00AB6E09"/>
    <w:rsid w:val="00AC6F72"/>
    <w:rsid w:val="00AD679A"/>
    <w:rsid w:val="00AF1CF4"/>
    <w:rsid w:val="00B00D32"/>
    <w:rsid w:val="00B013E7"/>
    <w:rsid w:val="00B024A4"/>
    <w:rsid w:val="00B025F9"/>
    <w:rsid w:val="00B13CCA"/>
    <w:rsid w:val="00B15460"/>
    <w:rsid w:val="00B233F2"/>
    <w:rsid w:val="00B26240"/>
    <w:rsid w:val="00B30638"/>
    <w:rsid w:val="00B4303B"/>
    <w:rsid w:val="00B65E95"/>
    <w:rsid w:val="00B70315"/>
    <w:rsid w:val="00B70630"/>
    <w:rsid w:val="00B7189D"/>
    <w:rsid w:val="00B754B9"/>
    <w:rsid w:val="00B761DD"/>
    <w:rsid w:val="00B85B10"/>
    <w:rsid w:val="00B87FBF"/>
    <w:rsid w:val="00B94563"/>
    <w:rsid w:val="00BA5486"/>
    <w:rsid w:val="00BB1F8C"/>
    <w:rsid w:val="00BB3BC1"/>
    <w:rsid w:val="00BD1701"/>
    <w:rsid w:val="00BD2F4F"/>
    <w:rsid w:val="00BD7106"/>
    <w:rsid w:val="00C00EAC"/>
    <w:rsid w:val="00C2356F"/>
    <w:rsid w:val="00C2465E"/>
    <w:rsid w:val="00C25E8C"/>
    <w:rsid w:val="00C36DCE"/>
    <w:rsid w:val="00C37CFC"/>
    <w:rsid w:val="00C416DB"/>
    <w:rsid w:val="00C46669"/>
    <w:rsid w:val="00C46EB3"/>
    <w:rsid w:val="00C51B87"/>
    <w:rsid w:val="00C51CDD"/>
    <w:rsid w:val="00C60750"/>
    <w:rsid w:val="00C957F5"/>
    <w:rsid w:val="00CC67DB"/>
    <w:rsid w:val="00CD4562"/>
    <w:rsid w:val="00CE1401"/>
    <w:rsid w:val="00CE41E6"/>
    <w:rsid w:val="00CF1947"/>
    <w:rsid w:val="00CF3E3B"/>
    <w:rsid w:val="00D17F69"/>
    <w:rsid w:val="00D21CB6"/>
    <w:rsid w:val="00D2566E"/>
    <w:rsid w:val="00D26AAA"/>
    <w:rsid w:val="00D3493F"/>
    <w:rsid w:val="00D37382"/>
    <w:rsid w:val="00D46F50"/>
    <w:rsid w:val="00D52F98"/>
    <w:rsid w:val="00D53736"/>
    <w:rsid w:val="00D559E6"/>
    <w:rsid w:val="00D73F91"/>
    <w:rsid w:val="00D91825"/>
    <w:rsid w:val="00DB0451"/>
    <w:rsid w:val="00DC038F"/>
    <w:rsid w:val="00DC5846"/>
    <w:rsid w:val="00DD7929"/>
    <w:rsid w:val="00DF5DDA"/>
    <w:rsid w:val="00E00840"/>
    <w:rsid w:val="00E23900"/>
    <w:rsid w:val="00E50235"/>
    <w:rsid w:val="00E6235F"/>
    <w:rsid w:val="00E66613"/>
    <w:rsid w:val="00E67901"/>
    <w:rsid w:val="00E7301D"/>
    <w:rsid w:val="00EB2F76"/>
    <w:rsid w:val="00EB373E"/>
    <w:rsid w:val="00EB6221"/>
    <w:rsid w:val="00EF4B77"/>
    <w:rsid w:val="00F04949"/>
    <w:rsid w:val="00F05CBC"/>
    <w:rsid w:val="00F106A9"/>
    <w:rsid w:val="00F133AF"/>
    <w:rsid w:val="00F355D7"/>
    <w:rsid w:val="00F47299"/>
    <w:rsid w:val="00F52478"/>
    <w:rsid w:val="00F64748"/>
    <w:rsid w:val="00F65AC0"/>
    <w:rsid w:val="00F801D2"/>
    <w:rsid w:val="00F829F2"/>
    <w:rsid w:val="00F86E7A"/>
    <w:rsid w:val="00FB12B2"/>
    <w:rsid w:val="00FB322E"/>
    <w:rsid w:val="00FC77AE"/>
    <w:rsid w:val="00FC7CC5"/>
    <w:rsid w:val="00FF3C62"/>
    <w:rsid w:val="00FF531E"/>
    <w:rsid w:val="00FF69F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6455"/>
  <w15:chartTrackingRefBased/>
  <w15:docId w15:val="{B7884419-0E7B-4583-BC91-9917D055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01D"/>
    <w:pPr>
      <w:spacing w:line="360" w:lineRule="auto"/>
      <w:jc w:val="both"/>
    </w:pPr>
    <w:rPr>
      <w:rFonts w:ascii="Arial" w:hAnsi="Arial"/>
      <w:lang w:val="en-GB"/>
    </w:rPr>
  </w:style>
  <w:style w:type="paragraph" w:styleId="Heading1">
    <w:name w:val="heading 1"/>
    <w:basedOn w:val="Normal"/>
    <w:next w:val="Normal"/>
    <w:link w:val="Heading1Char"/>
    <w:uiPriority w:val="9"/>
    <w:qFormat/>
    <w:rsid w:val="00D9182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182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26420A"/>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730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825"/>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D91825"/>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26420A"/>
    <w:rPr>
      <w:rFonts w:ascii="Arial" w:eastAsiaTheme="majorEastAsia" w:hAnsi="Arial" w:cstheme="majorBidi"/>
      <w:b/>
      <w:szCs w:val="28"/>
      <w:lang w:val="en-GB"/>
    </w:rPr>
  </w:style>
  <w:style w:type="character" w:customStyle="1" w:styleId="Heading4Char">
    <w:name w:val="Heading 4 Char"/>
    <w:basedOn w:val="DefaultParagraphFont"/>
    <w:link w:val="Heading4"/>
    <w:uiPriority w:val="9"/>
    <w:semiHidden/>
    <w:rsid w:val="00E730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D"/>
    <w:rPr>
      <w:rFonts w:eastAsiaTheme="majorEastAsia" w:cstheme="majorBidi"/>
      <w:color w:val="272727" w:themeColor="text1" w:themeTint="D8"/>
    </w:rPr>
  </w:style>
  <w:style w:type="paragraph" w:styleId="Title">
    <w:name w:val="Title"/>
    <w:basedOn w:val="Normal"/>
    <w:next w:val="Normal"/>
    <w:link w:val="TitleChar"/>
    <w:uiPriority w:val="10"/>
    <w:qFormat/>
    <w:rsid w:val="00E73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D"/>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D"/>
    <w:rPr>
      <w:i/>
      <w:iCs/>
      <w:color w:val="404040" w:themeColor="text1" w:themeTint="BF"/>
    </w:rPr>
  </w:style>
  <w:style w:type="paragraph" w:styleId="ListParagraph">
    <w:name w:val="List Paragraph"/>
    <w:basedOn w:val="Normal"/>
    <w:uiPriority w:val="34"/>
    <w:qFormat/>
    <w:rsid w:val="00E7301D"/>
    <w:pPr>
      <w:ind w:left="720"/>
      <w:contextualSpacing/>
    </w:pPr>
  </w:style>
  <w:style w:type="character" w:styleId="IntenseEmphasis">
    <w:name w:val="Intense Emphasis"/>
    <w:basedOn w:val="DefaultParagraphFont"/>
    <w:uiPriority w:val="21"/>
    <w:qFormat/>
    <w:rsid w:val="00E7301D"/>
    <w:rPr>
      <w:i/>
      <w:iCs/>
      <w:color w:val="2F5496" w:themeColor="accent1" w:themeShade="BF"/>
    </w:rPr>
  </w:style>
  <w:style w:type="paragraph" w:styleId="IntenseQuote">
    <w:name w:val="Intense Quote"/>
    <w:basedOn w:val="Normal"/>
    <w:next w:val="Normal"/>
    <w:link w:val="IntenseQuoteChar"/>
    <w:uiPriority w:val="30"/>
    <w:qFormat/>
    <w:rsid w:val="00E730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D"/>
    <w:rPr>
      <w:i/>
      <w:iCs/>
      <w:color w:val="2F5496" w:themeColor="accent1" w:themeShade="BF"/>
    </w:rPr>
  </w:style>
  <w:style w:type="character" w:styleId="IntenseReference">
    <w:name w:val="Intense Reference"/>
    <w:basedOn w:val="DefaultParagraphFont"/>
    <w:uiPriority w:val="32"/>
    <w:qFormat/>
    <w:rsid w:val="00E7301D"/>
    <w:rPr>
      <w:b/>
      <w:bCs/>
      <w:smallCaps/>
      <w:color w:val="2F5496" w:themeColor="accent1" w:themeShade="BF"/>
      <w:spacing w:val="5"/>
    </w:rPr>
  </w:style>
  <w:style w:type="paragraph" w:styleId="NormalWeb">
    <w:name w:val="Normal (Web)"/>
    <w:basedOn w:val="Normal"/>
    <w:uiPriority w:val="99"/>
    <w:unhideWhenUsed/>
    <w:rsid w:val="00D91825"/>
    <w:pPr>
      <w:spacing w:before="100" w:beforeAutospacing="1" w:after="100" w:afterAutospacing="1" w:line="240" w:lineRule="auto"/>
      <w:jc w:val="left"/>
    </w:pPr>
    <w:rPr>
      <w:rFonts w:ascii="Times New Roman" w:eastAsia="Times New Roman" w:hAnsi="Times New Roman" w:cs="Times New Roman"/>
      <w:kern w:val="0"/>
      <w:lang w:bidi="si-LK"/>
      <w14:ligatures w14:val="none"/>
    </w:rPr>
  </w:style>
  <w:style w:type="character" w:styleId="Strong">
    <w:name w:val="Strong"/>
    <w:basedOn w:val="DefaultParagraphFont"/>
    <w:uiPriority w:val="22"/>
    <w:qFormat/>
    <w:rsid w:val="00927EC1"/>
    <w:rPr>
      <w:b/>
      <w:bCs/>
    </w:rPr>
  </w:style>
  <w:style w:type="character" w:styleId="Emphasis">
    <w:name w:val="Emphasis"/>
    <w:basedOn w:val="DefaultParagraphFont"/>
    <w:uiPriority w:val="20"/>
    <w:qFormat/>
    <w:rsid w:val="00927EC1"/>
    <w:rPr>
      <w:i/>
      <w:iCs/>
    </w:rPr>
  </w:style>
  <w:style w:type="character" w:styleId="Hyperlink">
    <w:name w:val="Hyperlink"/>
    <w:basedOn w:val="DefaultParagraphFont"/>
    <w:uiPriority w:val="99"/>
    <w:unhideWhenUsed/>
    <w:rsid w:val="00B024A4"/>
    <w:rPr>
      <w:color w:val="0000FF"/>
      <w:u w:val="single"/>
    </w:rPr>
  </w:style>
  <w:style w:type="table" w:styleId="TableGrid">
    <w:name w:val="Table Grid"/>
    <w:basedOn w:val="TableNormal"/>
    <w:uiPriority w:val="39"/>
    <w:rsid w:val="00B02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4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28B"/>
    <w:rPr>
      <w:rFonts w:ascii="Arial" w:hAnsi="Arial"/>
    </w:rPr>
  </w:style>
  <w:style w:type="paragraph" w:styleId="Footer">
    <w:name w:val="footer"/>
    <w:basedOn w:val="Normal"/>
    <w:link w:val="FooterChar"/>
    <w:uiPriority w:val="99"/>
    <w:unhideWhenUsed/>
    <w:rsid w:val="006642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28B"/>
    <w:rPr>
      <w:rFonts w:ascii="Arial" w:hAnsi="Arial"/>
    </w:rPr>
  </w:style>
  <w:style w:type="paragraph" w:styleId="Caption">
    <w:name w:val="caption"/>
    <w:basedOn w:val="Normal"/>
    <w:next w:val="Normal"/>
    <w:uiPriority w:val="35"/>
    <w:unhideWhenUsed/>
    <w:qFormat/>
    <w:rsid w:val="009F0BBE"/>
    <w:pPr>
      <w:spacing w:after="200" w:line="240" w:lineRule="auto"/>
    </w:pPr>
    <w:rPr>
      <w:iCs/>
      <w:color w:val="000000" w:themeColor="text1"/>
      <w:szCs w:val="18"/>
    </w:rPr>
  </w:style>
  <w:style w:type="paragraph" w:styleId="TOC1">
    <w:name w:val="toc 1"/>
    <w:basedOn w:val="Normal"/>
    <w:next w:val="Normal"/>
    <w:autoRedefine/>
    <w:uiPriority w:val="39"/>
    <w:unhideWhenUsed/>
    <w:rsid w:val="00D37382"/>
    <w:pPr>
      <w:spacing w:after="100"/>
    </w:pPr>
  </w:style>
  <w:style w:type="paragraph" w:styleId="TOC2">
    <w:name w:val="toc 2"/>
    <w:basedOn w:val="Normal"/>
    <w:next w:val="Normal"/>
    <w:autoRedefine/>
    <w:uiPriority w:val="39"/>
    <w:unhideWhenUsed/>
    <w:rsid w:val="00D37382"/>
    <w:pPr>
      <w:spacing w:after="100"/>
      <w:ind w:left="240"/>
    </w:pPr>
  </w:style>
  <w:style w:type="paragraph" w:styleId="TOC3">
    <w:name w:val="toc 3"/>
    <w:basedOn w:val="Normal"/>
    <w:next w:val="Normal"/>
    <w:autoRedefine/>
    <w:uiPriority w:val="39"/>
    <w:unhideWhenUsed/>
    <w:rsid w:val="00D37382"/>
    <w:pPr>
      <w:spacing w:after="100"/>
      <w:ind w:left="480"/>
    </w:pPr>
  </w:style>
  <w:style w:type="paragraph" w:styleId="TableofFigures">
    <w:name w:val="table of figures"/>
    <w:basedOn w:val="Normal"/>
    <w:next w:val="Normal"/>
    <w:uiPriority w:val="99"/>
    <w:unhideWhenUsed/>
    <w:rsid w:val="00C46669"/>
    <w:pPr>
      <w:spacing w:after="0"/>
    </w:pPr>
  </w:style>
  <w:style w:type="character" w:customStyle="1" w:styleId="whitespace-normal">
    <w:name w:val="whitespace-normal"/>
    <w:basedOn w:val="DefaultParagraphFont"/>
    <w:rsid w:val="005A5FCE"/>
  </w:style>
  <w:style w:type="character" w:styleId="UnresolvedMention">
    <w:name w:val="Unresolved Mention"/>
    <w:basedOn w:val="DefaultParagraphFont"/>
    <w:uiPriority w:val="99"/>
    <w:semiHidden/>
    <w:unhideWhenUsed/>
    <w:rsid w:val="007C6A06"/>
    <w:rPr>
      <w:color w:val="605E5C"/>
      <w:shd w:val="clear" w:color="auto" w:fill="E1DFDD"/>
    </w:rPr>
  </w:style>
  <w:style w:type="table" w:styleId="GridTable5Dark-Accent4">
    <w:name w:val="Grid Table 5 Dark Accent 4"/>
    <w:basedOn w:val="TableNormal"/>
    <w:uiPriority w:val="50"/>
    <w:rsid w:val="009328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4">
    <w:name w:val="Grid Table 4 Accent 4"/>
    <w:basedOn w:val="TableNormal"/>
    <w:uiPriority w:val="49"/>
    <w:rsid w:val="0069789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11502">
      <w:bodyDiv w:val="1"/>
      <w:marLeft w:val="0"/>
      <w:marRight w:val="0"/>
      <w:marTop w:val="0"/>
      <w:marBottom w:val="0"/>
      <w:divBdr>
        <w:top w:val="none" w:sz="0" w:space="0" w:color="auto"/>
        <w:left w:val="none" w:sz="0" w:space="0" w:color="auto"/>
        <w:bottom w:val="none" w:sz="0" w:space="0" w:color="auto"/>
        <w:right w:val="none" w:sz="0" w:space="0" w:color="auto"/>
      </w:divBdr>
    </w:div>
    <w:div w:id="125897341">
      <w:bodyDiv w:val="1"/>
      <w:marLeft w:val="0"/>
      <w:marRight w:val="0"/>
      <w:marTop w:val="0"/>
      <w:marBottom w:val="0"/>
      <w:divBdr>
        <w:top w:val="none" w:sz="0" w:space="0" w:color="auto"/>
        <w:left w:val="none" w:sz="0" w:space="0" w:color="auto"/>
        <w:bottom w:val="none" w:sz="0" w:space="0" w:color="auto"/>
        <w:right w:val="none" w:sz="0" w:space="0" w:color="auto"/>
      </w:divBdr>
      <w:divsChild>
        <w:div w:id="581835061">
          <w:marLeft w:val="0"/>
          <w:marRight w:val="0"/>
          <w:marTop w:val="0"/>
          <w:marBottom w:val="0"/>
          <w:divBdr>
            <w:top w:val="none" w:sz="0" w:space="0" w:color="auto"/>
            <w:left w:val="none" w:sz="0" w:space="0" w:color="auto"/>
            <w:bottom w:val="none" w:sz="0" w:space="0" w:color="auto"/>
            <w:right w:val="none" w:sz="0" w:space="0" w:color="auto"/>
          </w:divBdr>
          <w:divsChild>
            <w:div w:id="39979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6858">
      <w:bodyDiv w:val="1"/>
      <w:marLeft w:val="0"/>
      <w:marRight w:val="0"/>
      <w:marTop w:val="0"/>
      <w:marBottom w:val="0"/>
      <w:divBdr>
        <w:top w:val="none" w:sz="0" w:space="0" w:color="auto"/>
        <w:left w:val="none" w:sz="0" w:space="0" w:color="auto"/>
        <w:bottom w:val="none" w:sz="0" w:space="0" w:color="auto"/>
        <w:right w:val="none" w:sz="0" w:space="0" w:color="auto"/>
      </w:divBdr>
      <w:divsChild>
        <w:div w:id="1291981398">
          <w:marLeft w:val="0"/>
          <w:marRight w:val="0"/>
          <w:marTop w:val="0"/>
          <w:marBottom w:val="0"/>
          <w:divBdr>
            <w:top w:val="none" w:sz="0" w:space="0" w:color="auto"/>
            <w:left w:val="none" w:sz="0" w:space="0" w:color="auto"/>
            <w:bottom w:val="none" w:sz="0" w:space="0" w:color="auto"/>
            <w:right w:val="none" w:sz="0" w:space="0" w:color="auto"/>
          </w:divBdr>
          <w:divsChild>
            <w:div w:id="200103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55552">
      <w:bodyDiv w:val="1"/>
      <w:marLeft w:val="0"/>
      <w:marRight w:val="0"/>
      <w:marTop w:val="0"/>
      <w:marBottom w:val="0"/>
      <w:divBdr>
        <w:top w:val="none" w:sz="0" w:space="0" w:color="auto"/>
        <w:left w:val="none" w:sz="0" w:space="0" w:color="auto"/>
        <w:bottom w:val="none" w:sz="0" w:space="0" w:color="auto"/>
        <w:right w:val="none" w:sz="0" w:space="0" w:color="auto"/>
      </w:divBdr>
    </w:div>
    <w:div w:id="198053370">
      <w:bodyDiv w:val="1"/>
      <w:marLeft w:val="0"/>
      <w:marRight w:val="0"/>
      <w:marTop w:val="0"/>
      <w:marBottom w:val="0"/>
      <w:divBdr>
        <w:top w:val="none" w:sz="0" w:space="0" w:color="auto"/>
        <w:left w:val="none" w:sz="0" w:space="0" w:color="auto"/>
        <w:bottom w:val="none" w:sz="0" w:space="0" w:color="auto"/>
        <w:right w:val="none" w:sz="0" w:space="0" w:color="auto"/>
      </w:divBdr>
    </w:div>
    <w:div w:id="247421250">
      <w:bodyDiv w:val="1"/>
      <w:marLeft w:val="0"/>
      <w:marRight w:val="0"/>
      <w:marTop w:val="0"/>
      <w:marBottom w:val="0"/>
      <w:divBdr>
        <w:top w:val="none" w:sz="0" w:space="0" w:color="auto"/>
        <w:left w:val="none" w:sz="0" w:space="0" w:color="auto"/>
        <w:bottom w:val="none" w:sz="0" w:space="0" w:color="auto"/>
        <w:right w:val="none" w:sz="0" w:space="0" w:color="auto"/>
      </w:divBdr>
    </w:div>
    <w:div w:id="257955658">
      <w:bodyDiv w:val="1"/>
      <w:marLeft w:val="0"/>
      <w:marRight w:val="0"/>
      <w:marTop w:val="0"/>
      <w:marBottom w:val="0"/>
      <w:divBdr>
        <w:top w:val="none" w:sz="0" w:space="0" w:color="auto"/>
        <w:left w:val="none" w:sz="0" w:space="0" w:color="auto"/>
        <w:bottom w:val="none" w:sz="0" w:space="0" w:color="auto"/>
        <w:right w:val="none" w:sz="0" w:space="0" w:color="auto"/>
      </w:divBdr>
    </w:div>
    <w:div w:id="294533828">
      <w:bodyDiv w:val="1"/>
      <w:marLeft w:val="0"/>
      <w:marRight w:val="0"/>
      <w:marTop w:val="0"/>
      <w:marBottom w:val="0"/>
      <w:divBdr>
        <w:top w:val="none" w:sz="0" w:space="0" w:color="auto"/>
        <w:left w:val="none" w:sz="0" w:space="0" w:color="auto"/>
        <w:bottom w:val="none" w:sz="0" w:space="0" w:color="auto"/>
        <w:right w:val="none" w:sz="0" w:space="0" w:color="auto"/>
      </w:divBdr>
      <w:divsChild>
        <w:div w:id="1061950112">
          <w:marLeft w:val="0"/>
          <w:marRight w:val="0"/>
          <w:marTop w:val="0"/>
          <w:marBottom w:val="0"/>
          <w:divBdr>
            <w:top w:val="none" w:sz="0" w:space="0" w:color="auto"/>
            <w:left w:val="none" w:sz="0" w:space="0" w:color="auto"/>
            <w:bottom w:val="none" w:sz="0" w:space="0" w:color="auto"/>
            <w:right w:val="none" w:sz="0" w:space="0" w:color="auto"/>
          </w:divBdr>
          <w:divsChild>
            <w:div w:id="47553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921066">
      <w:bodyDiv w:val="1"/>
      <w:marLeft w:val="0"/>
      <w:marRight w:val="0"/>
      <w:marTop w:val="0"/>
      <w:marBottom w:val="0"/>
      <w:divBdr>
        <w:top w:val="none" w:sz="0" w:space="0" w:color="auto"/>
        <w:left w:val="none" w:sz="0" w:space="0" w:color="auto"/>
        <w:bottom w:val="none" w:sz="0" w:space="0" w:color="auto"/>
        <w:right w:val="none" w:sz="0" w:space="0" w:color="auto"/>
      </w:divBdr>
    </w:div>
    <w:div w:id="328140012">
      <w:bodyDiv w:val="1"/>
      <w:marLeft w:val="0"/>
      <w:marRight w:val="0"/>
      <w:marTop w:val="0"/>
      <w:marBottom w:val="0"/>
      <w:divBdr>
        <w:top w:val="none" w:sz="0" w:space="0" w:color="auto"/>
        <w:left w:val="none" w:sz="0" w:space="0" w:color="auto"/>
        <w:bottom w:val="none" w:sz="0" w:space="0" w:color="auto"/>
        <w:right w:val="none" w:sz="0" w:space="0" w:color="auto"/>
      </w:divBdr>
    </w:div>
    <w:div w:id="486284197">
      <w:bodyDiv w:val="1"/>
      <w:marLeft w:val="0"/>
      <w:marRight w:val="0"/>
      <w:marTop w:val="0"/>
      <w:marBottom w:val="0"/>
      <w:divBdr>
        <w:top w:val="none" w:sz="0" w:space="0" w:color="auto"/>
        <w:left w:val="none" w:sz="0" w:space="0" w:color="auto"/>
        <w:bottom w:val="none" w:sz="0" w:space="0" w:color="auto"/>
        <w:right w:val="none" w:sz="0" w:space="0" w:color="auto"/>
      </w:divBdr>
    </w:div>
    <w:div w:id="548684242">
      <w:bodyDiv w:val="1"/>
      <w:marLeft w:val="0"/>
      <w:marRight w:val="0"/>
      <w:marTop w:val="0"/>
      <w:marBottom w:val="0"/>
      <w:divBdr>
        <w:top w:val="none" w:sz="0" w:space="0" w:color="auto"/>
        <w:left w:val="none" w:sz="0" w:space="0" w:color="auto"/>
        <w:bottom w:val="none" w:sz="0" w:space="0" w:color="auto"/>
        <w:right w:val="none" w:sz="0" w:space="0" w:color="auto"/>
      </w:divBdr>
    </w:div>
    <w:div w:id="570697715">
      <w:bodyDiv w:val="1"/>
      <w:marLeft w:val="0"/>
      <w:marRight w:val="0"/>
      <w:marTop w:val="0"/>
      <w:marBottom w:val="0"/>
      <w:divBdr>
        <w:top w:val="none" w:sz="0" w:space="0" w:color="auto"/>
        <w:left w:val="none" w:sz="0" w:space="0" w:color="auto"/>
        <w:bottom w:val="none" w:sz="0" w:space="0" w:color="auto"/>
        <w:right w:val="none" w:sz="0" w:space="0" w:color="auto"/>
      </w:divBdr>
      <w:divsChild>
        <w:div w:id="1382559421">
          <w:marLeft w:val="0"/>
          <w:marRight w:val="0"/>
          <w:marTop w:val="0"/>
          <w:marBottom w:val="0"/>
          <w:divBdr>
            <w:top w:val="none" w:sz="0" w:space="0" w:color="auto"/>
            <w:left w:val="none" w:sz="0" w:space="0" w:color="auto"/>
            <w:bottom w:val="none" w:sz="0" w:space="0" w:color="auto"/>
            <w:right w:val="none" w:sz="0" w:space="0" w:color="auto"/>
          </w:divBdr>
          <w:divsChild>
            <w:div w:id="137843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773">
      <w:bodyDiv w:val="1"/>
      <w:marLeft w:val="0"/>
      <w:marRight w:val="0"/>
      <w:marTop w:val="0"/>
      <w:marBottom w:val="0"/>
      <w:divBdr>
        <w:top w:val="none" w:sz="0" w:space="0" w:color="auto"/>
        <w:left w:val="none" w:sz="0" w:space="0" w:color="auto"/>
        <w:bottom w:val="none" w:sz="0" w:space="0" w:color="auto"/>
        <w:right w:val="none" w:sz="0" w:space="0" w:color="auto"/>
      </w:divBdr>
    </w:div>
    <w:div w:id="858157123">
      <w:bodyDiv w:val="1"/>
      <w:marLeft w:val="0"/>
      <w:marRight w:val="0"/>
      <w:marTop w:val="0"/>
      <w:marBottom w:val="0"/>
      <w:divBdr>
        <w:top w:val="none" w:sz="0" w:space="0" w:color="auto"/>
        <w:left w:val="none" w:sz="0" w:space="0" w:color="auto"/>
        <w:bottom w:val="none" w:sz="0" w:space="0" w:color="auto"/>
        <w:right w:val="none" w:sz="0" w:space="0" w:color="auto"/>
      </w:divBdr>
    </w:div>
    <w:div w:id="864319992">
      <w:bodyDiv w:val="1"/>
      <w:marLeft w:val="0"/>
      <w:marRight w:val="0"/>
      <w:marTop w:val="0"/>
      <w:marBottom w:val="0"/>
      <w:divBdr>
        <w:top w:val="none" w:sz="0" w:space="0" w:color="auto"/>
        <w:left w:val="none" w:sz="0" w:space="0" w:color="auto"/>
        <w:bottom w:val="none" w:sz="0" w:space="0" w:color="auto"/>
        <w:right w:val="none" w:sz="0" w:space="0" w:color="auto"/>
      </w:divBdr>
      <w:divsChild>
        <w:div w:id="2116510775">
          <w:marLeft w:val="0"/>
          <w:marRight w:val="0"/>
          <w:marTop w:val="0"/>
          <w:marBottom w:val="0"/>
          <w:divBdr>
            <w:top w:val="none" w:sz="0" w:space="0" w:color="auto"/>
            <w:left w:val="none" w:sz="0" w:space="0" w:color="auto"/>
            <w:bottom w:val="none" w:sz="0" w:space="0" w:color="auto"/>
            <w:right w:val="none" w:sz="0" w:space="0" w:color="auto"/>
          </w:divBdr>
          <w:divsChild>
            <w:div w:id="199295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74276">
      <w:bodyDiv w:val="1"/>
      <w:marLeft w:val="0"/>
      <w:marRight w:val="0"/>
      <w:marTop w:val="0"/>
      <w:marBottom w:val="0"/>
      <w:divBdr>
        <w:top w:val="none" w:sz="0" w:space="0" w:color="auto"/>
        <w:left w:val="none" w:sz="0" w:space="0" w:color="auto"/>
        <w:bottom w:val="none" w:sz="0" w:space="0" w:color="auto"/>
        <w:right w:val="none" w:sz="0" w:space="0" w:color="auto"/>
      </w:divBdr>
      <w:divsChild>
        <w:div w:id="2059237172">
          <w:marLeft w:val="0"/>
          <w:marRight w:val="0"/>
          <w:marTop w:val="0"/>
          <w:marBottom w:val="0"/>
          <w:divBdr>
            <w:top w:val="none" w:sz="0" w:space="0" w:color="auto"/>
            <w:left w:val="none" w:sz="0" w:space="0" w:color="auto"/>
            <w:bottom w:val="none" w:sz="0" w:space="0" w:color="auto"/>
            <w:right w:val="none" w:sz="0" w:space="0" w:color="auto"/>
          </w:divBdr>
          <w:divsChild>
            <w:div w:id="7108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70064">
      <w:bodyDiv w:val="1"/>
      <w:marLeft w:val="0"/>
      <w:marRight w:val="0"/>
      <w:marTop w:val="0"/>
      <w:marBottom w:val="0"/>
      <w:divBdr>
        <w:top w:val="none" w:sz="0" w:space="0" w:color="auto"/>
        <w:left w:val="none" w:sz="0" w:space="0" w:color="auto"/>
        <w:bottom w:val="none" w:sz="0" w:space="0" w:color="auto"/>
        <w:right w:val="none" w:sz="0" w:space="0" w:color="auto"/>
      </w:divBdr>
      <w:divsChild>
        <w:div w:id="950893311">
          <w:marLeft w:val="0"/>
          <w:marRight w:val="0"/>
          <w:marTop w:val="0"/>
          <w:marBottom w:val="0"/>
          <w:divBdr>
            <w:top w:val="none" w:sz="0" w:space="0" w:color="auto"/>
            <w:left w:val="none" w:sz="0" w:space="0" w:color="auto"/>
            <w:bottom w:val="none" w:sz="0" w:space="0" w:color="auto"/>
            <w:right w:val="none" w:sz="0" w:space="0" w:color="auto"/>
          </w:divBdr>
          <w:divsChild>
            <w:div w:id="58538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334265">
      <w:bodyDiv w:val="1"/>
      <w:marLeft w:val="0"/>
      <w:marRight w:val="0"/>
      <w:marTop w:val="0"/>
      <w:marBottom w:val="0"/>
      <w:divBdr>
        <w:top w:val="none" w:sz="0" w:space="0" w:color="auto"/>
        <w:left w:val="none" w:sz="0" w:space="0" w:color="auto"/>
        <w:bottom w:val="none" w:sz="0" w:space="0" w:color="auto"/>
        <w:right w:val="none" w:sz="0" w:space="0" w:color="auto"/>
      </w:divBdr>
    </w:div>
    <w:div w:id="1108040174">
      <w:bodyDiv w:val="1"/>
      <w:marLeft w:val="0"/>
      <w:marRight w:val="0"/>
      <w:marTop w:val="0"/>
      <w:marBottom w:val="0"/>
      <w:divBdr>
        <w:top w:val="none" w:sz="0" w:space="0" w:color="auto"/>
        <w:left w:val="none" w:sz="0" w:space="0" w:color="auto"/>
        <w:bottom w:val="none" w:sz="0" w:space="0" w:color="auto"/>
        <w:right w:val="none" w:sz="0" w:space="0" w:color="auto"/>
      </w:divBdr>
    </w:div>
    <w:div w:id="1126964992">
      <w:bodyDiv w:val="1"/>
      <w:marLeft w:val="0"/>
      <w:marRight w:val="0"/>
      <w:marTop w:val="0"/>
      <w:marBottom w:val="0"/>
      <w:divBdr>
        <w:top w:val="none" w:sz="0" w:space="0" w:color="auto"/>
        <w:left w:val="none" w:sz="0" w:space="0" w:color="auto"/>
        <w:bottom w:val="none" w:sz="0" w:space="0" w:color="auto"/>
        <w:right w:val="none" w:sz="0" w:space="0" w:color="auto"/>
      </w:divBdr>
      <w:divsChild>
        <w:div w:id="1964380360">
          <w:marLeft w:val="0"/>
          <w:marRight w:val="0"/>
          <w:marTop w:val="0"/>
          <w:marBottom w:val="0"/>
          <w:divBdr>
            <w:top w:val="none" w:sz="0" w:space="0" w:color="auto"/>
            <w:left w:val="none" w:sz="0" w:space="0" w:color="auto"/>
            <w:bottom w:val="none" w:sz="0" w:space="0" w:color="auto"/>
            <w:right w:val="none" w:sz="0" w:space="0" w:color="auto"/>
          </w:divBdr>
          <w:divsChild>
            <w:div w:id="4276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807305">
      <w:bodyDiv w:val="1"/>
      <w:marLeft w:val="0"/>
      <w:marRight w:val="0"/>
      <w:marTop w:val="0"/>
      <w:marBottom w:val="0"/>
      <w:divBdr>
        <w:top w:val="none" w:sz="0" w:space="0" w:color="auto"/>
        <w:left w:val="none" w:sz="0" w:space="0" w:color="auto"/>
        <w:bottom w:val="none" w:sz="0" w:space="0" w:color="auto"/>
        <w:right w:val="none" w:sz="0" w:space="0" w:color="auto"/>
      </w:divBdr>
    </w:div>
    <w:div w:id="1265841855">
      <w:bodyDiv w:val="1"/>
      <w:marLeft w:val="0"/>
      <w:marRight w:val="0"/>
      <w:marTop w:val="0"/>
      <w:marBottom w:val="0"/>
      <w:divBdr>
        <w:top w:val="none" w:sz="0" w:space="0" w:color="auto"/>
        <w:left w:val="none" w:sz="0" w:space="0" w:color="auto"/>
        <w:bottom w:val="none" w:sz="0" w:space="0" w:color="auto"/>
        <w:right w:val="none" w:sz="0" w:space="0" w:color="auto"/>
      </w:divBdr>
    </w:div>
    <w:div w:id="1273703886">
      <w:bodyDiv w:val="1"/>
      <w:marLeft w:val="0"/>
      <w:marRight w:val="0"/>
      <w:marTop w:val="0"/>
      <w:marBottom w:val="0"/>
      <w:divBdr>
        <w:top w:val="none" w:sz="0" w:space="0" w:color="auto"/>
        <w:left w:val="none" w:sz="0" w:space="0" w:color="auto"/>
        <w:bottom w:val="none" w:sz="0" w:space="0" w:color="auto"/>
        <w:right w:val="none" w:sz="0" w:space="0" w:color="auto"/>
      </w:divBdr>
    </w:div>
    <w:div w:id="1313169828">
      <w:bodyDiv w:val="1"/>
      <w:marLeft w:val="0"/>
      <w:marRight w:val="0"/>
      <w:marTop w:val="0"/>
      <w:marBottom w:val="0"/>
      <w:divBdr>
        <w:top w:val="none" w:sz="0" w:space="0" w:color="auto"/>
        <w:left w:val="none" w:sz="0" w:space="0" w:color="auto"/>
        <w:bottom w:val="none" w:sz="0" w:space="0" w:color="auto"/>
        <w:right w:val="none" w:sz="0" w:space="0" w:color="auto"/>
      </w:divBdr>
    </w:div>
    <w:div w:id="1375347472">
      <w:bodyDiv w:val="1"/>
      <w:marLeft w:val="0"/>
      <w:marRight w:val="0"/>
      <w:marTop w:val="0"/>
      <w:marBottom w:val="0"/>
      <w:divBdr>
        <w:top w:val="none" w:sz="0" w:space="0" w:color="auto"/>
        <w:left w:val="none" w:sz="0" w:space="0" w:color="auto"/>
        <w:bottom w:val="none" w:sz="0" w:space="0" w:color="auto"/>
        <w:right w:val="none" w:sz="0" w:space="0" w:color="auto"/>
      </w:divBdr>
    </w:div>
    <w:div w:id="1384327732">
      <w:bodyDiv w:val="1"/>
      <w:marLeft w:val="0"/>
      <w:marRight w:val="0"/>
      <w:marTop w:val="0"/>
      <w:marBottom w:val="0"/>
      <w:divBdr>
        <w:top w:val="none" w:sz="0" w:space="0" w:color="auto"/>
        <w:left w:val="none" w:sz="0" w:space="0" w:color="auto"/>
        <w:bottom w:val="none" w:sz="0" w:space="0" w:color="auto"/>
        <w:right w:val="none" w:sz="0" w:space="0" w:color="auto"/>
      </w:divBdr>
      <w:divsChild>
        <w:div w:id="1071000001">
          <w:marLeft w:val="0"/>
          <w:marRight w:val="0"/>
          <w:marTop w:val="0"/>
          <w:marBottom w:val="0"/>
          <w:divBdr>
            <w:top w:val="none" w:sz="0" w:space="0" w:color="auto"/>
            <w:left w:val="none" w:sz="0" w:space="0" w:color="auto"/>
            <w:bottom w:val="none" w:sz="0" w:space="0" w:color="auto"/>
            <w:right w:val="none" w:sz="0" w:space="0" w:color="auto"/>
          </w:divBdr>
          <w:divsChild>
            <w:div w:id="184675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94151">
      <w:bodyDiv w:val="1"/>
      <w:marLeft w:val="0"/>
      <w:marRight w:val="0"/>
      <w:marTop w:val="0"/>
      <w:marBottom w:val="0"/>
      <w:divBdr>
        <w:top w:val="none" w:sz="0" w:space="0" w:color="auto"/>
        <w:left w:val="none" w:sz="0" w:space="0" w:color="auto"/>
        <w:bottom w:val="none" w:sz="0" w:space="0" w:color="auto"/>
        <w:right w:val="none" w:sz="0" w:space="0" w:color="auto"/>
      </w:divBdr>
    </w:div>
    <w:div w:id="1501190773">
      <w:bodyDiv w:val="1"/>
      <w:marLeft w:val="0"/>
      <w:marRight w:val="0"/>
      <w:marTop w:val="0"/>
      <w:marBottom w:val="0"/>
      <w:divBdr>
        <w:top w:val="none" w:sz="0" w:space="0" w:color="auto"/>
        <w:left w:val="none" w:sz="0" w:space="0" w:color="auto"/>
        <w:bottom w:val="none" w:sz="0" w:space="0" w:color="auto"/>
        <w:right w:val="none" w:sz="0" w:space="0" w:color="auto"/>
      </w:divBdr>
    </w:div>
    <w:div w:id="1582834591">
      <w:bodyDiv w:val="1"/>
      <w:marLeft w:val="0"/>
      <w:marRight w:val="0"/>
      <w:marTop w:val="0"/>
      <w:marBottom w:val="0"/>
      <w:divBdr>
        <w:top w:val="none" w:sz="0" w:space="0" w:color="auto"/>
        <w:left w:val="none" w:sz="0" w:space="0" w:color="auto"/>
        <w:bottom w:val="none" w:sz="0" w:space="0" w:color="auto"/>
        <w:right w:val="none" w:sz="0" w:space="0" w:color="auto"/>
      </w:divBdr>
    </w:div>
    <w:div w:id="1646397491">
      <w:bodyDiv w:val="1"/>
      <w:marLeft w:val="0"/>
      <w:marRight w:val="0"/>
      <w:marTop w:val="0"/>
      <w:marBottom w:val="0"/>
      <w:divBdr>
        <w:top w:val="none" w:sz="0" w:space="0" w:color="auto"/>
        <w:left w:val="none" w:sz="0" w:space="0" w:color="auto"/>
        <w:bottom w:val="none" w:sz="0" w:space="0" w:color="auto"/>
        <w:right w:val="none" w:sz="0" w:space="0" w:color="auto"/>
      </w:divBdr>
      <w:divsChild>
        <w:div w:id="2009483205">
          <w:marLeft w:val="0"/>
          <w:marRight w:val="0"/>
          <w:marTop w:val="0"/>
          <w:marBottom w:val="0"/>
          <w:divBdr>
            <w:top w:val="none" w:sz="0" w:space="0" w:color="auto"/>
            <w:left w:val="none" w:sz="0" w:space="0" w:color="auto"/>
            <w:bottom w:val="none" w:sz="0" w:space="0" w:color="auto"/>
            <w:right w:val="none" w:sz="0" w:space="0" w:color="auto"/>
          </w:divBdr>
          <w:divsChild>
            <w:div w:id="13356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016684">
      <w:bodyDiv w:val="1"/>
      <w:marLeft w:val="0"/>
      <w:marRight w:val="0"/>
      <w:marTop w:val="0"/>
      <w:marBottom w:val="0"/>
      <w:divBdr>
        <w:top w:val="none" w:sz="0" w:space="0" w:color="auto"/>
        <w:left w:val="none" w:sz="0" w:space="0" w:color="auto"/>
        <w:bottom w:val="none" w:sz="0" w:space="0" w:color="auto"/>
        <w:right w:val="none" w:sz="0" w:space="0" w:color="auto"/>
      </w:divBdr>
    </w:div>
    <w:div w:id="1678074375">
      <w:bodyDiv w:val="1"/>
      <w:marLeft w:val="0"/>
      <w:marRight w:val="0"/>
      <w:marTop w:val="0"/>
      <w:marBottom w:val="0"/>
      <w:divBdr>
        <w:top w:val="none" w:sz="0" w:space="0" w:color="auto"/>
        <w:left w:val="none" w:sz="0" w:space="0" w:color="auto"/>
        <w:bottom w:val="none" w:sz="0" w:space="0" w:color="auto"/>
        <w:right w:val="none" w:sz="0" w:space="0" w:color="auto"/>
      </w:divBdr>
    </w:div>
    <w:div w:id="1695839771">
      <w:bodyDiv w:val="1"/>
      <w:marLeft w:val="0"/>
      <w:marRight w:val="0"/>
      <w:marTop w:val="0"/>
      <w:marBottom w:val="0"/>
      <w:divBdr>
        <w:top w:val="none" w:sz="0" w:space="0" w:color="auto"/>
        <w:left w:val="none" w:sz="0" w:space="0" w:color="auto"/>
        <w:bottom w:val="none" w:sz="0" w:space="0" w:color="auto"/>
        <w:right w:val="none" w:sz="0" w:space="0" w:color="auto"/>
      </w:divBdr>
    </w:div>
    <w:div w:id="1716813309">
      <w:bodyDiv w:val="1"/>
      <w:marLeft w:val="0"/>
      <w:marRight w:val="0"/>
      <w:marTop w:val="0"/>
      <w:marBottom w:val="0"/>
      <w:divBdr>
        <w:top w:val="none" w:sz="0" w:space="0" w:color="auto"/>
        <w:left w:val="none" w:sz="0" w:space="0" w:color="auto"/>
        <w:bottom w:val="none" w:sz="0" w:space="0" w:color="auto"/>
        <w:right w:val="none" w:sz="0" w:space="0" w:color="auto"/>
      </w:divBdr>
    </w:div>
    <w:div w:id="1729525129">
      <w:bodyDiv w:val="1"/>
      <w:marLeft w:val="0"/>
      <w:marRight w:val="0"/>
      <w:marTop w:val="0"/>
      <w:marBottom w:val="0"/>
      <w:divBdr>
        <w:top w:val="none" w:sz="0" w:space="0" w:color="auto"/>
        <w:left w:val="none" w:sz="0" w:space="0" w:color="auto"/>
        <w:bottom w:val="none" w:sz="0" w:space="0" w:color="auto"/>
        <w:right w:val="none" w:sz="0" w:space="0" w:color="auto"/>
      </w:divBdr>
      <w:divsChild>
        <w:div w:id="845360871">
          <w:marLeft w:val="0"/>
          <w:marRight w:val="0"/>
          <w:marTop w:val="0"/>
          <w:marBottom w:val="0"/>
          <w:divBdr>
            <w:top w:val="none" w:sz="0" w:space="0" w:color="auto"/>
            <w:left w:val="none" w:sz="0" w:space="0" w:color="auto"/>
            <w:bottom w:val="none" w:sz="0" w:space="0" w:color="auto"/>
            <w:right w:val="none" w:sz="0" w:space="0" w:color="auto"/>
          </w:divBdr>
          <w:divsChild>
            <w:div w:id="49696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017155">
      <w:bodyDiv w:val="1"/>
      <w:marLeft w:val="0"/>
      <w:marRight w:val="0"/>
      <w:marTop w:val="0"/>
      <w:marBottom w:val="0"/>
      <w:divBdr>
        <w:top w:val="none" w:sz="0" w:space="0" w:color="auto"/>
        <w:left w:val="none" w:sz="0" w:space="0" w:color="auto"/>
        <w:bottom w:val="none" w:sz="0" w:space="0" w:color="auto"/>
        <w:right w:val="none" w:sz="0" w:space="0" w:color="auto"/>
      </w:divBdr>
      <w:divsChild>
        <w:div w:id="2104841935">
          <w:marLeft w:val="0"/>
          <w:marRight w:val="0"/>
          <w:marTop w:val="0"/>
          <w:marBottom w:val="0"/>
          <w:divBdr>
            <w:top w:val="none" w:sz="0" w:space="0" w:color="auto"/>
            <w:left w:val="none" w:sz="0" w:space="0" w:color="auto"/>
            <w:bottom w:val="none" w:sz="0" w:space="0" w:color="auto"/>
            <w:right w:val="none" w:sz="0" w:space="0" w:color="auto"/>
          </w:divBdr>
          <w:divsChild>
            <w:div w:id="15866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566293">
      <w:bodyDiv w:val="1"/>
      <w:marLeft w:val="0"/>
      <w:marRight w:val="0"/>
      <w:marTop w:val="0"/>
      <w:marBottom w:val="0"/>
      <w:divBdr>
        <w:top w:val="none" w:sz="0" w:space="0" w:color="auto"/>
        <w:left w:val="none" w:sz="0" w:space="0" w:color="auto"/>
        <w:bottom w:val="none" w:sz="0" w:space="0" w:color="auto"/>
        <w:right w:val="none" w:sz="0" w:space="0" w:color="auto"/>
      </w:divBdr>
    </w:div>
    <w:div w:id="1948535061">
      <w:bodyDiv w:val="1"/>
      <w:marLeft w:val="0"/>
      <w:marRight w:val="0"/>
      <w:marTop w:val="0"/>
      <w:marBottom w:val="0"/>
      <w:divBdr>
        <w:top w:val="none" w:sz="0" w:space="0" w:color="auto"/>
        <w:left w:val="none" w:sz="0" w:space="0" w:color="auto"/>
        <w:bottom w:val="none" w:sz="0" w:space="0" w:color="auto"/>
        <w:right w:val="none" w:sz="0" w:space="0" w:color="auto"/>
      </w:divBdr>
    </w:div>
    <w:div w:id="1966816193">
      <w:bodyDiv w:val="1"/>
      <w:marLeft w:val="0"/>
      <w:marRight w:val="0"/>
      <w:marTop w:val="0"/>
      <w:marBottom w:val="0"/>
      <w:divBdr>
        <w:top w:val="none" w:sz="0" w:space="0" w:color="auto"/>
        <w:left w:val="none" w:sz="0" w:space="0" w:color="auto"/>
        <w:bottom w:val="none" w:sz="0" w:space="0" w:color="auto"/>
        <w:right w:val="none" w:sz="0" w:space="0" w:color="auto"/>
      </w:divBdr>
    </w:div>
    <w:div w:id="1970357462">
      <w:bodyDiv w:val="1"/>
      <w:marLeft w:val="0"/>
      <w:marRight w:val="0"/>
      <w:marTop w:val="0"/>
      <w:marBottom w:val="0"/>
      <w:divBdr>
        <w:top w:val="none" w:sz="0" w:space="0" w:color="auto"/>
        <w:left w:val="none" w:sz="0" w:space="0" w:color="auto"/>
        <w:bottom w:val="none" w:sz="0" w:space="0" w:color="auto"/>
        <w:right w:val="none" w:sz="0" w:space="0" w:color="auto"/>
      </w:divBdr>
    </w:div>
    <w:div w:id="1985312266">
      <w:bodyDiv w:val="1"/>
      <w:marLeft w:val="0"/>
      <w:marRight w:val="0"/>
      <w:marTop w:val="0"/>
      <w:marBottom w:val="0"/>
      <w:divBdr>
        <w:top w:val="none" w:sz="0" w:space="0" w:color="auto"/>
        <w:left w:val="none" w:sz="0" w:space="0" w:color="auto"/>
        <w:bottom w:val="none" w:sz="0" w:space="0" w:color="auto"/>
        <w:right w:val="none" w:sz="0" w:space="0" w:color="auto"/>
      </w:divBdr>
    </w:div>
    <w:div w:id="2031565289">
      <w:bodyDiv w:val="1"/>
      <w:marLeft w:val="0"/>
      <w:marRight w:val="0"/>
      <w:marTop w:val="0"/>
      <w:marBottom w:val="0"/>
      <w:divBdr>
        <w:top w:val="none" w:sz="0" w:space="0" w:color="auto"/>
        <w:left w:val="none" w:sz="0" w:space="0" w:color="auto"/>
        <w:bottom w:val="none" w:sz="0" w:space="0" w:color="auto"/>
        <w:right w:val="none" w:sz="0" w:space="0" w:color="auto"/>
      </w:divBdr>
    </w:div>
    <w:div w:id="2033264813">
      <w:bodyDiv w:val="1"/>
      <w:marLeft w:val="0"/>
      <w:marRight w:val="0"/>
      <w:marTop w:val="0"/>
      <w:marBottom w:val="0"/>
      <w:divBdr>
        <w:top w:val="none" w:sz="0" w:space="0" w:color="auto"/>
        <w:left w:val="none" w:sz="0" w:space="0" w:color="auto"/>
        <w:bottom w:val="none" w:sz="0" w:space="0" w:color="auto"/>
        <w:right w:val="none" w:sz="0" w:space="0" w:color="auto"/>
      </w:divBdr>
      <w:divsChild>
        <w:div w:id="1089232372">
          <w:marLeft w:val="0"/>
          <w:marRight w:val="0"/>
          <w:marTop w:val="0"/>
          <w:marBottom w:val="0"/>
          <w:divBdr>
            <w:top w:val="none" w:sz="0" w:space="0" w:color="auto"/>
            <w:left w:val="none" w:sz="0" w:space="0" w:color="auto"/>
            <w:bottom w:val="none" w:sz="0" w:space="0" w:color="auto"/>
            <w:right w:val="none" w:sz="0" w:space="0" w:color="auto"/>
          </w:divBdr>
          <w:divsChild>
            <w:div w:id="169537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501474">
      <w:bodyDiv w:val="1"/>
      <w:marLeft w:val="0"/>
      <w:marRight w:val="0"/>
      <w:marTop w:val="0"/>
      <w:marBottom w:val="0"/>
      <w:divBdr>
        <w:top w:val="none" w:sz="0" w:space="0" w:color="auto"/>
        <w:left w:val="none" w:sz="0" w:space="0" w:color="auto"/>
        <w:bottom w:val="none" w:sz="0" w:space="0" w:color="auto"/>
        <w:right w:val="none" w:sz="0" w:space="0" w:color="auto"/>
      </w:divBdr>
    </w:div>
    <w:div w:id="2116437843">
      <w:bodyDiv w:val="1"/>
      <w:marLeft w:val="0"/>
      <w:marRight w:val="0"/>
      <w:marTop w:val="0"/>
      <w:marBottom w:val="0"/>
      <w:divBdr>
        <w:top w:val="none" w:sz="0" w:space="0" w:color="auto"/>
        <w:left w:val="none" w:sz="0" w:space="0" w:color="auto"/>
        <w:bottom w:val="none" w:sz="0" w:space="0" w:color="auto"/>
        <w:right w:val="none" w:sz="0" w:space="0" w:color="auto"/>
      </w:divBdr>
    </w:div>
    <w:div w:id="2127771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4236/ojbm.2025.132071" TargetMode="External"/><Relationship Id="rId39" Type="http://schemas.openxmlformats.org/officeDocument/2006/relationships/hyperlink" Target="https://doi.org/10.1080/23570008.2025.2463743" TargetMode="External"/><Relationship Id="rId21" Type="http://schemas.openxmlformats.org/officeDocument/2006/relationships/image" Target="media/image15.jpeg"/><Relationship Id="rId34" Type="http://schemas.openxmlformats.org/officeDocument/2006/relationships/hyperlink" Target="https://doi.org/10.1016/j.bushor.2025.04.011" TargetMode="External"/><Relationship Id="rId42" Type="http://schemas.openxmlformats.org/officeDocument/2006/relationships/hyperlink" Target="https://find-and-update.company-information.service.gov.uk/company/12984564/filing-history" TargetMode="External"/><Relationship Id="rId47" Type="http://schemas.openxmlformats.org/officeDocument/2006/relationships/hyperlink" Target="https://doi.org/10.1504/IJEMR.2020.10029015" TargetMode="External"/><Relationship Id="rId50" Type="http://schemas.openxmlformats.org/officeDocument/2006/relationships/hyperlink" Target="https://www.statista.com/topics/2711/us-smartphone-market/" TargetMode="External"/><Relationship Id="rId55" Type="http://schemas.openxmlformats.org/officeDocument/2006/relationships/hyperlink" Target="https://doi.org/10.3390/jtaer1704008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hyperlink" Target="https://doi.org/10.52589/AJSTE-ZJ9TSNI7" TargetMode="External"/><Relationship Id="rId11" Type="http://schemas.openxmlformats.org/officeDocument/2006/relationships/image" Target="media/image5.jpeg"/><Relationship Id="rId24" Type="http://schemas.openxmlformats.org/officeDocument/2006/relationships/hyperlink" Target="https://doi.org/10.2991/978-94-6463-872-1_23" TargetMode="External"/><Relationship Id="rId32" Type="http://schemas.openxmlformats.org/officeDocument/2006/relationships/hyperlink" Target="https://doi.org/10.1016/j.jbusres.2025.115618" TargetMode="External"/><Relationship Id="rId37" Type="http://schemas.openxmlformats.org/officeDocument/2006/relationships/hyperlink" Target="https://doi.org/10.1016/j.jretai.2022.02.002" TargetMode="External"/><Relationship Id="rId40" Type="http://schemas.openxmlformats.org/officeDocument/2006/relationships/hyperlink" Target="https://doi.org/10.4236/ajibm.2024.141003" TargetMode="External"/><Relationship Id="rId45" Type="http://schemas.openxmlformats.org/officeDocument/2006/relationships/hyperlink" Target="https://doi.org/10.58344/jii.v3i6.5016" TargetMode="External"/><Relationship Id="rId53" Type="http://schemas.openxmlformats.org/officeDocument/2006/relationships/hyperlink" Target="https://ustr.gov/sites/default/files/files/Press/Reports/2025NTE.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oi.org/10.37385/ijedr.v6i1.6918" TargetMode="External"/><Relationship Id="rId30" Type="http://schemas.openxmlformats.org/officeDocument/2006/relationships/hyperlink" Target="https://doi.org/10.1257/mic.20180182" TargetMode="External"/><Relationship Id="rId35" Type="http://schemas.openxmlformats.org/officeDocument/2006/relationships/hyperlink" Target="https://doi.org/10.1016/j.telpol.2025.103112" TargetMode="External"/><Relationship Id="rId43" Type="http://schemas.openxmlformats.org/officeDocument/2006/relationships/hyperlink" Target="https://nothing.tech/collections/shop-all" TargetMode="External"/><Relationship Id="rId48" Type="http://schemas.openxmlformats.org/officeDocument/2006/relationships/hyperlink" Target="https://doi.org/10.3390/admsci14070147" TargetMode="External"/><Relationship Id="rId56" Type="http://schemas.openxmlformats.org/officeDocument/2006/relationships/hyperlink" Target="https://doi.org/10.1016/j.spc.2023.07.008" TargetMode="External"/><Relationship Id="rId8" Type="http://schemas.openxmlformats.org/officeDocument/2006/relationships/image" Target="media/image2.png"/><Relationship Id="rId51" Type="http://schemas.openxmlformats.org/officeDocument/2006/relationships/hyperlink" Target="https://doi.org/10.1007/s11367-025-02436-9"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10.1016/j.jbusres.2025.115647" TargetMode="External"/><Relationship Id="rId33" Type="http://schemas.openxmlformats.org/officeDocument/2006/relationships/hyperlink" Target="https://doi.org/10.1016/j.jretconser.2019.101907" TargetMode="External"/><Relationship Id="rId38" Type="http://schemas.openxmlformats.org/officeDocument/2006/relationships/hyperlink" Target="https://doi.org/10.1016/j.procs.2023.10.455" TargetMode="External"/><Relationship Id="rId46" Type="http://schemas.openxmlformats.org/officeDocument/2006/relationships/hyperlink" Target="https://www.researchandmarkets.com/report/united-states-smartphone-market" TargetMode="External"/><Relationship Id="rId59"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hyperlink" Target="https://nothing.tech/pages/about" TargetMode="External"/><Relationship Id="rId54" Type="http://schemas.openxmlformats.org/officeDocument/2006/relationships/hyperlink" Target="https://doi.org/10.1016/j.bushor.2024.10.00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doi.org/10.1007/s00187-024-00375-4" TargetMode="External"/><Relationship Id="rId36" Type="http://schemas.openxmlformats.org/officeDocument/2006/relationships/hyperlink" Target="https://doi.org/10.54097/a1qh4669" TargetMode="External"/><Relationship Id="rId49" Type="http://schemas.openxmlformats.org/officeDocument/2006/relationships/hyperlink" Target="https://doi.org/10.1016/j.jretconser.2023.103602"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fcc.gov/privacy-and-data-protection-task-force" TargetMode="External"/><Relationship Id="rId44" Type="http://schemas.openxmlformats.org/officeDocument/2006/relationships/hyperlink" Target="https://in.nothing.tech/pages/sustainability" TargetMode="External"/><Relationship Id="rId52" Type="http://schemas.openxmlformats.org/officeDocument/2006/relationships/hyperlink" Target="https://unctad.org/system/files/official-document/ditcinf2025d5_en.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A22545-5629-4BF0-8A54-659C1940B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44</Pages>
  <Words>9752</Words>
  <Characters>55592</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465</cp:revision>
  <dcterms:created xsi:type="dcterms:W3CDTF">2025-12-14T12:25:00Z</dcterms:created>
  <dcterms:modified xsi:type="dcterms:W3CDTF">2025-12-22T12:22:00Z</dcterms:modified>
</cp:coreProperties>
</file>