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95D4A7" w14:textId="77777777" w:rsidR="00156DB3" w:rsidRDefault="00000000">
      <w:pPr>
        <w:spacing w:after="36"/>
        <w:ind w:left="0" w:right="79" w:firstLine="0"/>
        <w:jc w:val="center"/>
      </w:pPr>
      <w:r>
        <w:rPr>
          <w:b/>
          <w:sz w:val="30"/>
        </w:rPr>
        <w:t>Data Analysis Report</w:t>
      </w:r>
    </w:p>
    <w:p w14:paraId="2E0BC87C" w14:textId="77777777" w:rsidR="00156DB3" w:rsidRDefault="00000000">
      <w:pPr>
        <w:ind w:left="-5" w:right="49"/>
      </w:pPr>
      <w:r>
        <w:rPr>
          <w:rFonts w:ascii="Calibri" w:eastAsia="Calibri" w:hAnsi="Calibri" w:cs="Calibri"/>
        </w:rPr>
        <w:t>一、</w:t>
      </w:r>
      <w:r>
        <w:t>Research Background</w:t>
      </w:r>
    </w:p>
    <w:p w14:paraId="15171145" w14:textId="77777777" w:rsidR="00156DB3" w:rsidRDefault="00000000">
      <w:pPr>
        <w:spacing w:after="1" w:line="351" w:lineRule="auto"/>
        <w:ind w:left="-15" w:right="49" w:firstLine="240"/>
      </w:pPr>
      <w:r>
        <w:t>Bicycle-sharing refers to a service that allows the public to lease bicycles, is a time-sharing model, a new type of green sharing economy. It mainly relies on the carrier for bicycles, which can make full use of the sluggish bicycle travel situation brought about by the rapid economic development of the city, and maximize the use of the public road pass rate.</w:t>
      </w:r>
    </w:p>
    <w:p w14:paraId="30FE3DD6" w14:textId="77777777" w:rsidR="00156DB3" w:rsidRDefault="00000000">
      <w:pPr>
        <w:spacing w:after="1" w:line="350" w:lineRule="auto"/>
        <w:ind w:left="-15" w:right="49" w:firstLine="240"/>
      </w:pPr>
      <w:r>
        <w:t>In June 2017, Toronto appeared similar to the domestic shared bicycle dropbike, in 2020 Mayor John Tory announced the sharing bicycle expansion plan, and toronto is currently expanding its bicycle sharing network to all corners of the city to enrich residents' transportation choices when traveling, and more travel methods can also reduce the risk of COVID-19 transmission.</w:t>
      </w:r>
    </w:p>
    <w:p w14:paraId="2497164E" w14:textId="77777777" w:rsidR="00156DB3" w:rsidRDefault="00000000">
      <w:pPr>
        <w:spacing w:after="1" w:line="351" w:lineRule="auto"/>
        <w:ind w:left="-15" w:right="49" w:firstLine="240"/>
      </w:pPr>
      <w:r>
        <w:t>Toronto Bike Sharing will cover 20 of the city's 25 districts, covering an area of 200 square kilometers, while adding 1,850 new bicycles, 160 stations and 3,615 stops to existing ones, and the expansion will also include the launch of two bike-sharing pilot zones in North York and Scarborough, each with up to eight new stations, and once the expansion is completed, Toronto Bike Sharing will have 6,850 bicycles, 625 stations and 12,000 stops across the city.</w:t>
      </w:r>
    </w:p>
    <w:p w14:paraId="533F86D3" w14:textId="77777777" w:rsidR="00156DB3" w:rsidRDefault="00000000">
      <w:pPr>
        <w:spacing w:after="0" w:line="351" w:lineRule="auto"/>
        <w:ind w:left="-15" w:right="49" w:firstLine="240"/>
      </w:pPr>
      <w:r>
        <w:t>Green travel has become a mode of transportation that has a good environment, and has also become the most common way of travel in people's lives, and various countries are expanding the use of shared bicycles through various effective measures. Through the analysis of existing data, this report can understand the use of shared bicycles, which can provide a more reliable basis for the expansion plan of shared bicycles.</w:t>
      </w:r>
    </w:p>
    <w:p w14:paraId="47243A59" w14:textId="77777777" w:rsidR="00156DB3" w:rsidRDefault="00000000">
      <w:pPr>
        <w:ind w:left="-5" w:right="49"/>
      </w:pPr>
      <w:r>
        <w:rPr>
          <w:rFonts w:ascii="Calibri" w:eastAsia="Calibri" w:hAnsi="Calibri" w:cs="Calibri"/>
        </w:rPr>
        <w:t>二、</w:t>
      </w:r>
      <w:r>
        <w:t>Dataset introduction</w:t>
      </w:r>
    </w:p>
    <w:p w14:paraId="53DF3F2C" w14:textId="77777777" w:rsidR="00156DB3" w:rsidRDefault="00000000">
      <w:pPr>
        <w:spacing w:after="0" w:line="350" w:lineRule="auto"/>
        <w:ind w:left="-15" w:right="49" w:firstLine="240"/>
      </w:pPr>
      <w:r>
        <w:t xml:space="preserve">The dataset presented in this report is about BIKE SHARE TORONTO RIDERSHIP DATA, open data published by Toronto Parking Authority, source URL </w:t>
      </w:r>
      <w:hyperlink r:id="rId5">
        <w:r>
          <w:rPr>
            <w:color w:val="0000FF"/>
            <w:u w:val="single" w:color="0000FF"/>
          </w:rPr>
          <w:t>https://open.toronto.ca/dataset/bike-share-toronto-ridership-data/.</w:t>
        </w:r>
      </w:hyperlink>
    </w:p>
    <w:p w14:paraId="368768D5" w14:textId="77777777" w:rsidR="00156DB3" w:rsidRDefault="00000000">
      <w:pPr>
        <w:spacing w:after="0" w:line="350" w:lineRule="auto"/>
        <w:ind w:left="-15" w:right="49" w:firstLine="240"/>
      </w:pPr>
      <w:r>
        <w:t>The dataset contains bike-sharing data from more than 600 sites across Toronto, Canada, during 2019 and 2020.The CSV files for both 2019 and 2020 contain 11 features.</w:t>
      </w:r>
    </w:p>
    <w:p w14:paraId="03CD71CC" w14:textId="77777777" w:rsidR="00156DB3" w:rsidRDefault="00000000">
      <w:pPr>
        <w:numPr>
          <w:ilvl w:val="0"/>
          <w:numId w:val="1"/>
        </w:numPr>
        <w:ind w:right="49" w:hanging="420"/>
      </w:pPr>
      <w:r>
        <w:t>Trip Id: A unique ID code for each trip.</w:t>
      </w:r>
    </w:p>
    <w:p w14:paraId="7B935E58" w14:textId="77777777" w:rsidR="00156DB3" w:rsidRDefault="00000000">
      <w:pPr>
        <w:numPr>
          <w:ilvl w:val="0"/>
          <w:numId w:val="1"/>
        </w:numPr>
        <w:spacing w:line="351" w:lineRule="auto"/>
        <w:ind w:right="49" w:hanging="420"/>
      </w:pPr>
      <w:r>
        <w:t>Subscription Id: A unique ID code for a single member that can be used to track annual membership usage.</w:t>
      </w:r>
    </w:p>
    <w:p w14:paraId="5F9761DC" w14:textId="77777777" w:rsidR="00156DB3" w:rsidRDefault="00000000">
      <w:pPr>
        <w:numPr>
          <w:ilvl w:val="0"/>
          <w:numId w:val="1"/>
        </w:numPr>
        <w:ind w:right="49" w:hanging="420"/>
      </w:pPr>
      <w:r>
        <w:lastRenderedPageBreak/>
        <w:t>Trip Duration: Feature duration in seconds.</w:t>
      </w:r>
    </w:p>
    <w:p w14:paraId="4D92138E" w14:textId="77777777" w:rsidR="00156DB3" w:rsidRDefault="00000000">
      <w:pPr>
        <w:numPr>
          <w:ilvl w:val="0"/>
          <w:numId w:val="1"/>
        </w:numPr>
        <w:ind w:right="49" w:hanging="420"/>
      </w:pPr>
      <w:r>
        <w:t>Start Station Id</w:t>
      </w:r>
      <w:r>
        <w:rPr>
          <w:rFonts w:ascii="Calibri" w:eastAsia="Calibri" w:hAnsi="Calibri" w:cs="Calibri"/>
        </w:rPr>
        <w:t>：</w:t>
      </w:r>
      <w:r>
        <w:t>Unique ID code of the start station.</w:t>
      </w:r>
    </w:p>
    <w:p w14:paraId="7805183B" w14:textId="77777777" w:rsidR="00156DB3" w:rsidRDefault="00000000">
      <w:pPr>
        <w:numPr>
          <w:ilvl w:val="0"/>
          <w:numId w:val="1"/>
        </w:numPr>
        <w:ind w:right="49" w:hanging="420"/>
      </w:pPr>
      <w:r>
        <w:t>Start Time: Ride start time.</w:t>
      </w:r>
    </w:p>
    <w:p w14:paraId="767F93FB" w14:textId="77777777" w:rsidR="00156DB3" w:rsidRDefault="00000000">
      <w:pPr>
        <w:numPr>
          <w:ilvl w:val="0"/>
          <w:numId w:val="1"/>
        </w:numPr>
        <w:ind w:right="49" w:hanging="420"/>
      </w:pPr>
      <w:r>
        <w:t>Start Station Name</w:t>
      </w:r>
      <w:r>
        <w:rPr>
          <w:rFonts w:ascii="Calibri" w:eastAsia="Calibri" w:hAnsi="Calibri" w:cs="Calibri"/>
        </w:rPr>
        <w:t>：</w:t>
      </w:r>
      <w:r>
        <w:t>Ride start station name.</w:t>
      </w:r>
    </w:p>
    <w:p w14:paraId="175CEA77" w14:textId="77777777" w:rsidR="00156DB3" w:rsidRDefault="00000000">
      <w:pPr>
        <w:numPr>
          <w:ilvl w:val="0"/>
          <w:numId w:val="1"/>
        </w:numPr>
        <w:ind w:right="49" w:hanging="420"/>
      </w:pPr>
      <w:r>
        <w:t>End Station Id: The unique ID code of the terminal.</w:t>
      </w:r>
    </w:p>
    <w:p w14:paraId="629B8875" w14:textId="77777777" w:rsidR="00156DB3" w:rsidRDefault="00000000">
      <w:pPr>
        <w:numPr>
          <w:ilvl w:val="0"/>
          <w:numId w:val="1"/>
        </w:numPr>
        <w:ind w:right="49" w:hanging="420"/>
      </w:pPr>
      <w:r>
        <w:t>End Time</w:t>
      </w:r>
      <w:r>
        <w:rPr>
          <w:rFonts w:ascii="Calibri" w:eastAsia="Calibri" w:hAnsi="Calibri" w:cs="Calibri"/>
        </w:rPr>
        <w:t>：</w:t>
      </w:r>
      <w:r>
        <w:t>Tour end time.</w:t>
      </w:r>
    </w:p>
    <w:p w14:paraId="03CED74F" w14:textId="77777777" w:rsidR="00156DB3" w:rsidRDefault="00000000">
      <w:pPr>
        <w:numPr>
          <w:ilvl w:val="0"/>
          <w:numId w:val="1"/>
        </w:numPr>
        <w:ind w:right="49" w:hanging="420"/>
      </w:pPr>
      <w:r>
        <w:t>End Station Name</w:t>
      </w:r>
      <w:r>
        <w:rPr>
          <w:rFonts w:ascii="Calibri" w:eastAsia="Calibri" w:hAnsi="Calibri" w:cs="Calibri"/>
        </w:rPr>
        <w:t>：</w:t>
      </w:r>
      <w:r>
        <w:t>Ride end Station Name.</w:t>
      </w:r>
    </w:p>
    <w:p w14:paraId="3126AD45" w14:textId="77777777" w:rsidR="00156DB3" w:rsidRDefault="00000000">
      <w:pPr>
        <w:numPr>
          <w:ilvl w:val="0"/>
          <w:numId w:val="1"/>
        </w:numPr>
        <w:ind w:right="49" w:hanging="420"/>
      </w:pPr>
      <w:r>
        <w:t>Bike Id: The unique ID of the individual bike used.</w:t>
      </w:r>
    </w:p>
    <w:p w14:paraId="33D1F30E" w14:textId="77777777" w:rsidR="00156DB3" w:rsidRDefault="00000000">
      <w:pPr>
        <w:numPr>
          <w:ilvl w:val="0"/>
          <w:numId w:val="1"/>
        </w:numPr>
        <w:ind w:right="49" w:hanging="420"/>
      </w:pPr>
      <w:r>
        <w:t>User Type: User type, annual or temporary.</w:t>
      </w:r>
    </w:p>
    <w:p w14:paraId="18662266" w14:textId="77777777" w:rsidR="00156DB3" w:rsidRDefault="00000000">
      <w:pPr>
        <w:spacing w:after="1" w:line="351" w:lineRule="auto"/>
        <w:ind w:left="-15" w:right="49" w:firstLine="240"/>
      </w:pPr>
      <w:r>
        <w:t>In the data set selected for analysis, the 2019 shared bicycle data is based on quarterly statistics, the data volume in the first quarter is 189064, the data volume in the second quarter is 651686, the data volume in the third quarter is 1048576, and the data volume in the fourth quarter is 468417. 2020 is based on monthly statistics, and the amount of data per month is at least 100,000. From the perspective of data volume, sufficient data is helpful for the study of data analysis of shared bicycles. There are 11 attributes recorded in this dataset, which can cover the research problems in multiple dimensions and comprehensively cover the research problems. Through a comprehensive analysis of the data set, it will have better reference and reference significance for other countries that plan to carry out shared bicycle plans.</w:t>
      </w:r>
    </w:p>
    <w:p w14:paraId="21427361" w14:textId="77777777" w:rsidR="00156DB3" w:rsidRDefault="00000000">
      <w:pPr>
        <w:spacing w:after="5" w:line="350" w:lineRule="auto"/>
        <w:ind w:left="-15" w:right="49" w:firstLine="240"/>
      </w:pPr>
      <w:r>
        <w:t>Sharing bicycles in public transportation has become the most convenient choice for people to travel, and it is also the most environmentally friendly way, and the daily bicycle travel experience is also more conducive to the analysis of the data set.</w:t>
      </w:r>
    </w:p>
    <w:p w14:paraId="0D511F4B" w14:textId="77777777" w:rsidR="00156DB3" w:rsidRDefault="00000000">
      <w:pPr>
        <w:ind w:left="-5" w:right="49"/>
      </w:pPr>
      <w:r>
        <w:rPr>
          <w:rFonts w:ascii="Calibri" w:eastAsia="Calibri" w:hAnsi="Calibri" w:cs="Calibri"/>
        </w:rPr>
        <w:t>三、</w:t>
      </w:r>
      <w:r>
        <w:t>Research Topics</w:t>
      </w:r>
    </w:p>
    <w:p w14:paraId="7C2A258F" w14:textId="77777777" w:rsidR="00156DB3" w:rsidRDefault="00000000">
      <w:pPr>
        <w:numPr>
          <w:ilvl w:val="0"/>
          <w:numId w:val="2"/>
        </w:numPr>
        <w:ind w:right="49" w:hanging="300"/>
      </w:pPr>
      <w:r>
        <w:t>Number of Stations analysis:</w:t>
      </w:r>
    </w:p>
    <w:p w14:paraId="77EFCA52" w14:textId="77777777" w:rsidR="00156DB3" w:rsidRDefault="00000000">
      <w:pPr>
        <w:spacing w:after="0" w:line="351" w:lineRule="auto"/>
        <w:ind w:left="-15" w:right="49" w:firstLine="240"/>
      </w:pPr>
      <w:r>
        <w:t>a.the statistical table of the number of stations, which contains the number of station,Station Name,year,quarter.</w:t>
      </w:r>
    </w:p>
    <w:p w14:paraId="453190DE" w14:textId="77777777" w:rsidR="00156DB3" w:rsidRDefault="00000000">
      <w:pPr>
        <w:numPr>
          <w:ilvl w:val="0"/>
          <w:numId w:val="2"/>
        </w:numPr>
        <w:ind w:right="49" w:hanging="300"/>
      </w:pPr>
      <w:r>
        <w:t>Station activity analysis:</w:t>
      </w:r>
    </w:p>
    <w:p w14:paraId="198F6FD7" w14:textId="77777777" w:rsidR="00156DB3" w:rsidRDefault="00000000">
      <w:pPr>
        <w:numPr>
          <w:ilvl w:val="1"/>
          <w:numId w:val="2"/>
        </w:numPr>
        <w:ind w:right="49" w:firstLine="240"/>
      </w:pPr>
      <w:r>
        <w:t>the average number of pick-up and return times per station per year;</w:t>
      </w:r>
    </w:p>
    <w:p w14:paraId="2EC240C1" w14:textId="77777777" w:rsidR="00156DB3" w:rsidRDefault="00000000">
      <w:pPr>
        <w:numPr>
          <w:ilvl w:val="1"/>
          <w:numId w:val="2"/>
        </w:numPr>
        <w:spacing w:after="0" w:line="351" w:lineRule="auto"/>
        <w:ind w:right="49" w:firstLine="240"/>
      </w:pPr>
      <w:r>
        <w:t>the number of times to pick up and return cars at different stations in different months and different quarters of the year (including the maximum number of corresponding quarters and the minimum number of times corresponding to the quarter);</w:t>
      </w:r>
    </w:p>
    <w:p w14:paraId="6D3B080C" w14:textId="77777777" w:rsidR="00156DB3" w:rsidRDefault="00000000">
      <w:pPr>
        <w:numPr>
          <w:ilvl w:val="1"/>
          <w:numId w:val="2"/>
        </w:numPr>
        <w:spacing w:line="351" w:lineRule="auto"/>
        <w:ind w:right="49" w:firstLine="240"/>
      </w:pPr>
      <w:r>
        <w:lastRenderedPageBreak/>
        <w:t>the top 20 active sites of shared bicycles in 2019 and 2020 and the cumulative use frequency.</w:t>
      </w:r>
    </w:p>
    <w:p w14:paraId="0CB0AFB2" w14:textId="77777777" w:rsidR="00156DB3" w:rsidRDefault="00000000">
      <w:pPr>
        <w:numPr>
          <w:ilvl w:val="0"/>
          <w:numId w:val="2"/>
        </w:numPr>
        <w:ind w:right="49" w:hanging="300"/>
      </w:pPr>
      <w:r>
        <w:t>Station coverage analysis:</w:t>
      </w:r>
    </w:p>
    <w:p w14:paraId="7150F28A" w14:textId="77777777" w:rsidR="00156DB3" w:rsidRDefault="00000000">
      <w:pPr>
        <w:numPr>
          <w:ilvl w:val="1"/>
          <w:numId w:val="2"/>
        </w:numPr>
        <w:spacing w:after="0" w:line="349" w:lineRule="auto"/>
        <w:ind w:right="49" w:firstLine="240"/>
      </w:pPr>
      <w:r>
        <w:t>number of sites with the same shared bikes in 2019 and 2020, number of updated sites;</w:t>
      </w:r>
    </w:p>
    <w:p w14:paraId="49757EC9" w14:textId="77777777" w:rsidR="00156DB3" w:rsidRDefault="00000000">
      <w:pPr>
        <w:numPr>
          <w:ilvl w:val="1"/>
          <w:numId w:val="2"/>
        </w:numPr>
        <w:ind w:right="49" w:firstLine="240"/>
      </w:pPr>
      <w:r>
        <w:t>heat map of site distribution of shared bicycles in Toronto in 2019 and 2020.</w:t>
      </w:r>
    </w:p>
    <w:p w14:paraId="3B8DB92A" w14:textId="77777777" w:rsidR="00156DB3" w:rsidRDefault="00000000">
      <w:pPr>
        <w:ind w:left="-5" w:right="49"/>
      </w:pPr>
      <w:r>
        <w:t>4.Bicycle usage analysis:</w:t>
      </w:r>
    </w:p>
    <w:p w14:paraId="4705596C" w14:textId="77777777" w:rsidR="00156DB3" w:rsidRDefault="00000000">
      <w:pPr>
        <w:numPr>
          <w:ilvl w:val="1"/>
          <w:numId w:val="3"/>
        </w:numPr>
        <w:ind w:right="49" w:hanging="300"/>
      </w:pPr>
      <w:r>
        <w:t>statistics on the use of bicycles in different days of the week;</w:t>
      </w:r>
    </w:p>
    <w:p w14:paraId="334463EB" w14:textId="77777777" w:rsidR="00156DB3" w:rsidRDefault="00000000">
      <w:pPr>
        <w:numPr>
          <w:ilvl w:val="1"/>
          <w:numId w:val="3"/>
        </w:numPr>
        <w:ind w:right="49" w:hanging="300"/>
      </w:pPr>
      <w:r>
        <w:t>statistics on the use of bicycles in different months and different quarters of the</w:t>
      </w:r>
    </w:p>
    <w:p w14:paraId="61BA067C" w14:textId="77777777" w:rsidR="00156DB3" w:rsidRDefault="00000000">
      <w:pPr>
        <w:ind w:left="-5" w:right="49"/>
      </w:pPr>
      <w:r>
        <w:t>year;</w:t>
      </w:r>
    </w:p>
    <w:p w14:paraId="3897B444" w14:textId="77777777" w:rsidR="00156DB3" w:rsidRDefault="00000000">
      <w:pPr>
        <w:numPr>
          <w:ilvl w:val="1"/>
          <w:numId w:val="3"/>
        </w:numPr>
        <w:ind w:right="49" w:hanging="300"/>
      </w:pPr>
      <w:r>
        <w:t>statistics on the change of the hourly number of bicycles on weekdays and rest</w:t>
      </w:r>
    </w:p>
    <w:p w14:paraId="2EEB59CA" w14:textId="77777777" w:rsidR="00156DB3" w:rsidRDefault="00000000">
      <w:pPr>
        <w:ind w:left="-5" w:right="49"/>
      </w:pPr>
      <w:r>
        <w:t>days;</w:t>
      </w:r>
    </w:p>
    <w:p w14:paraId="15E05FFE" w14:textId="77777777" w:rsidR="00156DB3" w:rsidRDefault="00000000">
      <w:pPr>
        <w:ind w:left="250" w:right="49"/>
      </w:pPr>
      <w:r>
        <w:t>d.histogram of the distribution of the time period of bicycle use;</w:t>
      </w:r>
    </w:p>
    <w:p w14:paraId="5BCF634C" w14:textId="77777777" w:rsidR="00156DB3" w:rsidRDefault="00000000">
      <w:pPr>
        <w:ind w:left="250" w:right="49"/>
      </w:pPr>
      <w:r>
        <w:t>e. histogram of the distance of cycling bicycles.</w:t>
      </w:r>
    </w:p>
    <w:p w14:paraId="3E213426" w14:textId="77777777" w:rsidR="00156DB3" w:rsidRDefault="00000000">
      <w:pPr>
        <w:ind w:left="-5" w:right="49"/>
      </w:pPr>
      <w:r>
        <w:t>5. Annual Membership and Temporary Member Usage:</w:t>
      </w:r>
    </w:p>
    <w:p w14:paraId="1ADA71F8" w14:textId="77777777" w:rsidR="00156DB3" w:rsidRDefault="00000000">
      <w:pPr>
        <w:numPr>
          <w:ilvl w:val="0"/>
          <w:numId w:val="4"/>
        </w:numPr>
        <w:ind w:right="49" w:hanging="300"/>
      </w:pPr>
      <w:r>
        <w:t>number of bicycle uses by Annual Members and Temporary Members in a year;</w:t>
      </w:r>
    </w:p>
    <w:p w14:paraId="4952FA9B" w14:textId="77777777" w:rsidR="00156DB3" w:rsidRDefault="00000000">
      <w:pPr>
        <w:numPr>
          <w:ilvl w:val="0"/>
          <w:numId w:val="4"/>
        </w:numPr>
        <w:ind w:right="49" w:hanging="300"/>
      </w:pPr>
      <w:r>
        <w:t>number of uses by Annual Members per day of the week; Number of times per</w:t>
      </w:r>
    </w:p>
    <w:p w14:paraId="0F64D90A" w14:textId="77777777" w:rsidR="00156DB3" w:rsidRDefault="00000000">
      <w:pPr>
        <w:ind w:left="-5" w:right="49"/>
      </w:pPr>
      <w:r>
        <w:t>day of a week by Temporary Members.</w:t>
      </w:r>
    </w:p>
    <w:p w14:paraId="2AE7081C" w14:textId="77777777" w:rsidR="00156DB3" w:rsidRDefault="00000000">
      <w:pPr>
        <w:ind w:left="-5" w:right="49"/>
      </w:pPr>
      <w:r>
        <w:rPr>
          <w:rFonts w:ascii="Calibri" w:eastAsia="Calibri" w:hAnsi="Calibri" w:cs="Calibri"/>
        </w:rPr>
        <w:t>四、</w:t>
      </w:r>
      <w:r>
        <w:t>Summary</w:t>
      </w:r>
    </w:p>
    <w:p w14:paraId="7C2EEBD7" w14:textId="77777777" w:rsidR="00156DB3" w:rsidRDefault="00000000">
      <w:pPr>
        <w:spacing w:after="395" w:line="351" w:lineRule="auto"/>
        <w:ind w:left="-15" w:right="49" w:firstLine="240"/>
      </w:pPr>
      <w:r>
        <w:t>The report mainly introduces the background knowledge of the dataset and the description of the dataset, as well as the data content that you want to analyze through data analysis, so that you can better understand the development of shared bicycles in Toronto.</w:t>
      </w:r>
    </w:p>
    <w:p w14:paraId="2F1A96DC" w14:textId="466CCEEE" w:rsidR="00156DB3" w:rsidRDefault="00000000">
      <w:pPr>
        <w:spacing w:after="0" w:line="400" w:lineRule="auto"/>
        <w:ind w:left="0" w:firstLine="0"/>
        <w:jc w:val="left"/>
        <w:rPr>
          <w:sz w:val="21"/>
        </w:rPr>
      </w:pPr>
      <w:r>
        <w:rPr>
          <w:sz w:val="21"/>
        </w:rPr>
        <w:t>Note: Due to network reasons, I can't connect to YouTube, so I wrote the details as a document format.Since files larger than 100M cannot be uploaded, I only uploaded 2020 data, not 2019 data.</w:t>
      </w:r>
    </w:p>
    <w:p w14:paraId="574B6889" w14:textId="02F63514" w:rsidR="00CE767A" w:rsidRDefault="00CE767A">
      <w:pPr>
        <w:spacing w:after="0" w:line="400" w:lineRule="auto"/>
        <w:ind w:left="0" w:firstLine="0"/>
        <w:jc w:val="left"/>
        <w:rPr>
          <w:sz w:val="21"/>
        </w:rPr>
      </w:pPr>
    </w:p>
    <w:p w14:paraId="3A5EE38F" w14:textId="375CC1B2" w:rsidR="00CE767A" w:rsidRPr="00CE767A" w:rsidRDefault="00CE767A">
      <w:pPr>
        <w:spacing w:after="0" w:line="400" w:lineRule="auto"/>
        <w:ind w:left="0" w:firstLine="0"/>
        <w:jc w:val="left"/>
        <w:rPr>
          <w:b/>
          <w:bCs/>
        </w:rPr>
      </w:pPr>
      <w:r w:rsidRPr="00CE767A">
        <w:rPr>
          <w:b/>
          <w:bCs/>
          <w:sz w:val="21"/>
        </w:rPr>
        <w:t xml:space="preserve">Please </w:t>
      </w:r>
      <w:proofErr w:type="gramStart"/>
      <w:r w:rsidRPr="00CE767A">
        <w:rPr>
          <w:b/>
          <w:bCs/>
          <w:sz w:val="21"/>
        </w:rPr>
        <w:t>note :</w:t>
      </w:r>
      <w:proofErr w:type="gramEnd"/>
      <w:r w:rsidRPr="00CE767A">
        <w:rPr>
          <w:b/>
          <w:bCs/>
          <w:sz w:val="21"/>
        </w:rPr>
        <w:t xml:space="preserve"> A link to </w:t>
      </w:r>
      <w:proofErr w:type="spellStart"/>
      <w:r w:rsidRPr="00CE767A">
        <w:rPr>
          <w:b/>
          <w:bCs/>
          <w:sz w:val="21"/>
        </w:rPr>
        <w:t>youtube</w:t>
      </w:r>
      <w:proofErr w:type="spellEnd"/>
      <w:r w:rsidRPr="00CE767A">
        <w:rPr>
          <w:b/>
          <w:bCs/>
          <w:sz w:val="21"/>
        </w:rPr>
        <w:t xml:space="preserve"> video is required and ideas listed must be paraphrased it taken from varying sources</w:t>
      </w:r>
    </w:p>
    <w:sectPr w:rsidR="00CE767A" w:rsidRPr="00CE767A">
      <w:pgSz w:w="11906" w:h="16838"/>
      <w:pgMar w:top="1493" w:right="1714" w:bottom="1826" w:left="180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000274"/>
    <w:multiLevelType w:val="hybridMultilevel"/>
    <w:tmpl w:val="ABB005DA"/>
    <w:lvl w:ilvl="0" w:tplc="DB4E022E">
      <w:start w:val="1"/>
      <w:numFmt w:val="decimal"/>
      <w:lvlText w:val="%1."/>
      <w:lvlJc w:val="left"/>
      <w:pPr>
        <w:ind w:left="300"/>
      </w:pPr>
      <w:rPr>
        <w:rFonts w:ascii="Times New Roman" w:eastAsia="Times New Roman" w:hAnsi="Times New Roman" w:cs="Times New Roman"/>
        <w:b w:val="0"/>
        <w:i w:val="0"/>
        <w:strike w:val="0"/>
        <w:dstrike w:val="0"/>
        <w:color w:val="000008"/>
        <w:sz w:val="24"/>
        <w:szCs w:val="24"/>
        <w:u w:val="none" w:color="000000"/>
        <w:bdr w:val="none" w:sz="0" w:space="0" w:color="auto"/>
        <w:shd w:val="clear" w:color="auto" w:fill="auto"/>
        <w:vertAlign w:val="baseline"/>
      </w:rPr>
    </w:lvl>
    <w:lvl w:ilvl="1" w:tplc="0A50ED9E">
      <w:start w:val="1"/>
      <w:numFmt w:val="lowerLetter"/>
      <w:lvlText w:val="%2."/>
      <w:lvlJc w:val="left"/>
      <w:pPr>
        <w:ind w:left="720"/>
      </w:pPr>
      <w:rPr>
        <w:rFonts w:ascii="Times New Roman" w:eastAsia="Times New Roman" w:hAnsi="Times New Roman" w:cs="Times New Roman"/>
        <w:b w:val="0"/>
        <w:i w:val="0"/>
        <w:strike w:val="0"/>
        <w:dstrike w:val="0"/>
        <w:color w:val="000008"/>
        <w:sz w:val="24"/>
        <w:szCs w:val="24"/>
        <w:u w:val="none" w:color="000000"/>
        <w:bdr w:val="none" w:sz="0" w:space="0" w:color="auto"/>
        <w:shd w:val="clear" w:color="auto" w:fill="auto"/>
        <w:vertAlign w:val="baseline"/>
      </w:rPr>
    </w:lvl>
    <w:lvl w:ilvl="2" w:tplc="7EAAD4EC">
      <w:start w:val="1"/>
      <w:numFmt w:val="lowerRoman"/>
      <w:lvlText w:val="%3"/>
      <w:lvlJc w:val="left"/>
      <w:pPr>
        <w:ind w:left="1320"/>
      </w:pPr>
      <w:rPr>
        <w:rFonts w:ascii="Times New Roman" w:eastAsia="Times New Roman" w:hAnsi="Times New Roman" w:cs="Times New Roman"/>
        <w:b w:val="0"/>
        <w:i w:val="0"/>
        <w:strike w:val="0"/>
        <w:dstrike w:val="0"/>
        <w:color w:val="000008"/>
        <w:sz w:val="24"/>
        <w:szCs w:val="24"/>
        <w:u w:val="none" w:color="000000"/>
        <w:bdr w:val="none" w:sz="0" w:space="0" w:color="auto"/>
        <w:shd w:val="clear" w:color="auto" w:fill="auto"/>
        <w:vertAlign w:val="baseline"/>
      </w:rPr>
    </w:lvl>
    <w:lvl w:ilvl="3" w:tplc="21E4787C">
      <w:start w:val="1"/>
      <w:numFmt w:val="decimal"/>
      <w:lvlText w:val="%4"/>
      <w:lvlJc w:val="left"/>
      <w:pPr>
        <w:ind w:left="2040"/>
      </w:pPr>
      <w:rPr>
        <w:rFonts w:ascii="Times New Roman" w:eastAsia="Times New Roman" w:hAnsi="Times New Roman" w:cs="Times New Roman"/>
        <w:b w:val="0"/>
        <w:i w:val="0"/>
        <w:strike w:val="0"/>
        <w:dstrike w:val="0"/>
        <w:color w:val="000008"/>
        <w:sz w:val="24"/>
        <w:szCs w:val="24"/>
        <w:u w:val="none" w:color="000000"/>
        <w:bdr w:val="none" w:sz="0" w:space="0" w:color="auto"/>
        <w:shd w:val="clear" w:color="auto" w:fill="auto"/>
        <w:vertAlign w:val="baseline"/>
      </w:rPr>
    </w:lvl>
    <w:lvl w:ilvl="4" w:tplc="C8F614CC">
      <w:start w:val="1"/>
      <w:numFmt w:val="lowerLetter"/>
      <w:lvlText w:val="%5"/>
      <w:lvlJc w:val="left"/>
      <w:pPr>
        <w:ind w:left="2760"/>
      </w:pPr>
      <w:rPr>
        <w:rFonts w:ascii="Times New Roman" w:eastAsia="Times New Roman" w:hAnsi="Times New Roman" w:cs="Times New Roman"/>
        <w:b w:val="0"/>
        <w:i w:val="0"/>
        <w:strike w:val="0"/>
        <w:dstrike w:val="0"/>
        <w:color w:val="000008"/>
        <w:sz w:val="24"/>
        <w:szCs w:val="24"/>
        <w:u w:val="none" w:color="000000"/>
        <w:bdr w:val="none" w:sz="0" w:space="0" w:color="auto"/>
        <w:shd w:val="clear" w:color="auto" w:fill="auto"/>
        <w:vertAlign w:val="baseline"/>
      </w:rPr>
    </w:lvl>
    <w:lvl w:ilvl="5" w:tplc="36F840FA">
      <w:start w:val="1"/>
      <w:numFmt w:val="lowerRoman"/>
      <w:lvlText w:val="%6"/>
      <w:lvlJc w:val="left"/>
      <w:pPr>
        <w:ind w:left="3480"/>
      </w:pPr>
      <w:rPr>
        <w:rFonts w:ascii="Times New Roman" w:eastAsia="Times New Roman" w:hAnsi="Times New Roman" w:cs="Times New Roman"/>
        <w:b w:val="0"/>
        <w:i w:val="0"/>
        <w:strike w:val="0"/>
        <w:dstrike w:val="0"/>
        <w:color w:val="000008"/>
        <w:sz w:val="24"/>
        <w:szCs w:val="24"/>
        <w:u w:val="none" w:color="000000"/>
        <w:bdr w:val="none" w:sz="0" w:space="0" w:color="auto"/>
        <w:shd w:val="clear" w:color="auto" w:fill="auto"/>
        <w:vertAlign w:val="baseline"/>
      </w:rPr>
    </w:lvl>
    <w:lvl w:ilvl="6" w:tplc="1BF61BC0">
      <w:start w:val="1"/>
      <w:numFmt w:val="decimal"/>
      <w:lvlText w:val="%7"/>
      <w:lvlJc w:val="left"/>
      <w:pPr>
        <w:ind w:left="4200"/>
      </w:pPr>
      <w:rPr>
        <w:rFonts w:ascii="Times New Roman" w:eastAsia="Times New Roman" w:hAnsi="Times New Roman" w:cs="Times New Roman"/>
        <w:b w:val="0"/>
        <w:i w:val="0"/>
        <w:strike w:val="0"/>
        <w:dstrike w:val="0"/>
        <w:color w:val="000008"/>
        <w:sz w:val="24"/>
        <w:szCs w:val="24"/>
        <w:u w:val="none" w:color="000000"/>
        <w:bdr w:val="none" w:sz="0" w:space="0" w:color="auto"/>
        <w:shd w:val="clear" w:color="auto" w:fill="auto"/>
        <w:vertAlign w:val="baseline"/>
      </w:rPr>
    </w:lvl>
    <w:lvl w:ilvl="7" w:tplc="02F82214">
      <w:start w:val="1"/>
      <w:numFmt w:val="lowerLetter"/>
      <w:lvlText w:val="%8"/>
      <w:lvlJc w:val="left"/>
      <w:pPr>
        <w:ind w:left="4920"/>
      </w:pPr>
      <w:rPr>
        <w:rFonts w:ascii="Times New Roman" w:eastAsia="Times New Roman" w:hAnsi="Times New Roman" w:cs="Times New Roman"/>
        <w:b w:val="0"/>
        <w:i w:val="0"/>
        <w:strike w:val="0"/>
        <w:dstrike w:val="0"/>
        <w:color w:val="000008"/>
        <w:sz w:val="24"/>
        <w:szCs w:val="24"/>
        <w:u w:val="none" w:color="000000"/>
        <w:bdr w:val="none" w:sz="0" w:space="0" w:color="auto"/>
        <w:shd w:val="clear" w:color="auto" w:fill="auto"/>
        <w:vertAlign w:val="baseline"/>
      </w:rPr>
    </w:lvl>
    <w:lvl w:ilvl="8" w:tplc="DB04A232">
      <w:start w:val="1"/>
      <w:numFmt w:val="lowerRoman"/>
      <w:lvlText w:val="%9"/>
      <w:lvlJc w:val="left"/>
      <w:pPr>
        <w:ind w:left="5640"/>
      </w:pPr>
      <w:rPr>
        <w:rFonts w:ascii="Times New Roman" w:eastAsia="Times New Roman" w:hAnsi="Times New Roman" w:cs="Times New Roman"/>
        <w:b w:val="0"/>
        <w:i w:val="0"/>
        <w:strike w:val="0"/>
        <w:dstrike w:val="0"/>
        <w:color w:val="000008"/>
        <w:sz w:val="24"/>
        <w:szCs w:val="24"/>
        <w:u w:val="none" w:color="000000"/>
        <w:bdr w:val="none" w:sz="0" w:space="0" w:color="auto"/>
        <w:shd w:val="clear" w:color="auto" w:fill="auto"/>
        <w:vertAlign w:val="baseline"/>
      </w:rPr>
    </w:lvl>
  </w:abstractNum>
  <w:abstractNum w:abstractNumId="1" w15:restartNumberingAfterBreak="0">
    <w:nsid w:val="43D207A9"/>
    <w:multiLevelType w:val="hybridMultilevel"/>
    <w:tmpl w:val="37366F76"/>
    <w:lvl w:ilvl="0" w:tplc="9AB8EF28">
      <w:start w:val="1"/>
      <w:numFmt w:val="lowerLetter"/>
      <w:lvlText w:val="%1."/>
      <w:lvlJc w:val="left"/>
      <w:pPr>
        <w:ind w:left="540"/>
      </w:pPr>
      <w:rPr>
        <w:rFonts w:ascii="Times New Roman" w:eastAsia="Times New Roman" w:hAnsi="Times New Roman" w:cs="Times New Roman"/>
        <w:b w:val="0"/>
        <w:i w:val="0"/>
        <w:strike w:val="0"/>
        <w:dstrike w:val="0"/>
        <w:color w:val="000008"/>
        <w:sz w:val="24"/>
        <w:szCs w:val="24"/>
        <w:u w:val="none" w:color="000000"/>
        <w:bdr w:val="none" w:sz="0" w:space="0" w:color="auto"/>
        <w:shd w:val="clear" w:color="auto" w:fill="auto"/>
        <w:vertAlign w:val="baseline"/>
      </w:rPr>
    </w:lvl>
    <w:lvl w:ilvl="1" w:tplc="5302C3F2">
      <w:start w:val="1"/>
      <w:numFmt w:val="lowerLetter"/>
      <w:lvlText w:val="%2"/>
      <w:lvlJc w:val="left"/>
      <w:pPr>
        <w:ind w:left="1320"/>
      </w:pPr>
      <w:rPr>
        <w:rFonts w:ascii="Times New Roman" w:eastAsia="Times New Roman" w:hAnsi="Times New Roman" w:cs="Times New Roman"/>
        <w:b w:val="0"/>
        <w:i w:val="0"/>
        <w:strike w:val="0"/>
        <w:dstrike w:val="0"/>
        <w:color w:val="000008"/>
        <w:sz w:val="24"/>
        <w:szCs w:val="24"/>
        <w:u w:val="none" w:color="000000"/>
        <w:bdr w:val="none" w:sz="0" w:space="0" w:color="auto"/>
        <w:shd w:val="clear" w:color="auto" w:fill="auto"/>
        <w:vertAlign w:val="baseline"/>
      </w:rPr>
    </w:lvl>
    <w:lvl w:ilvl="2" w:tplc="C3E486A8">
      <w:start w:val="1"/>
      <w:numFmt w:val="lowerRoman"/>
      <w:lvlText w:val="%3"/>
      <w:lvlJc w:val="left"/>
      <w:pPr>
        <w:ind w:left="2040"/>
      </w:pPr>
      <w:rPr>
        <w:rFonts w:ascii="Times New Roman" w:eastAsia="Times New Roman" w:hAnsi="Times New Roman" w:cs="Times New Roman"/>
        <w:b w:val="0"/>
        <w:i w:val="0"/>
        <w:strike w:val="0"/>
        <w:dstrike w:val="0"/>
        <w:color w:val="000008"/>
        <w:sz w:val="24"/>
        <w:szCs w:val="24"/>
        <w:u w:val="none" w:color="000000"/>
        <w:bdr w:val="none" w:sz="0" w:space="0" w:color="auto"/>
        <w:shd w:val="clear" w:color="auto" w:fill="auto"/>
        <w:vertAlign w:val="baseline"/>
      </w:rPr>
    </w:lvl>
    <w:lvl w:ilvl="3" w:tplc="7EF6290C">
      <w:start w:val="1"/>
      <w:numFmt w:val="decimal"/>
      <w:lvlText w:val="%4"/>
      <w:lvlJc w:val="left"/>
      <w:pPr>
        <w:ind w:left="2760"/>
      </w:pPr>
      <w:rPr>
        <w:rFonts w:ascii="Times New Roman" w:eastAsia="Times New Roman" w:hAnsi="Times New Roman" w:cs="Times New Roman"/>
        <w:b w:val="0"/>
        <w:i w:val="0"/>
        <w:strike w:val="0"/>
        <w:dstrike w:val="0"/>
        <w:color w:val="000008"/>
        <w:sz w:val="24"/>
        <w:szCs w:val="24"/>
        <w:u w:val="none" w:color="000000"/>
        <w:bdr w:val="none" w:sz="0" w:space="0" w:color="auto"/>
        <w:shd w:val="clear" w:color="auto" w:fill="auto"/>
        <w:vertAlign w:val="baseline"/>
      </w:rPr>
    </w:lvl>
    <w:lvl w:ilvl="4" w:tplc="401AB244">
      <w:start w:val="1"/>
      <w:numFmt w:val="lowerLetter"/>
      <w:lvlText w:val="%5"/>
      <w:lvlJc w:val="left"/>
      <w:pPr>
        <w:ind w:left="3480"/>
      </w:pPr>
      <w:rPr>
        <w:rFonts w:ascii="Times New Roman" w:eastAsia="Times New Roman" w:hAnsi="Times New Roman" w:cs="Times New Roman"/>
        <w:b w:val="0"/>
        <w:i w:val="0"/>
        <w:strike w:val="0"/>
        <w:dstrike w:val="0"/>
        <w:color w:val="000008"/>
        <w:sz w:val="24"/>
        <w:szCs w:val="24"/>
        <w:u w:val="none" w:color="000000"/>
        <w:bdr w:val="none" w:sz="0" w:space="0" w:color="auto"/>
        <w:shd w:val="clear" w:color="auto" w:fill="auto"/>
        <w:vertAlign w:val="baseline"/>
      </w:rPr>
    </w:lvl>
    <w:lvl w:ilvl="5" w:tplc="8EEEE7E8">
      <w:start w:val="1"/>
      <w:numFmt w:val="lowerRoman"/>
      <w:lvlText w:val="%6"/>
      <w:lvlJc w:val="left"/>
      <w:pPr>
        <w:ind w:left="4200"/>
      </w:pPr>
      <w:rPr>
        <w:rFonts w:ascii="Times New Roman" w:eastAsia="Times New Roman" w:hAnsi="Times New Roman" w:cs="Times New Roman"/>
        <w:b w:val="0"/>
        <w:i w:val="0"/>
        <w:strike w:val="0"/>
        <w:dstrike w:val="0"/>
        <w:color w:val="000008"/>
        <w:sz w:val="24"/>
        <w:szCs w:val="24"/>
        <w:u w:val="none" w:color="000000"/>
        <w:bdr w:val="none" w:sz="0" w:space="0" w:color="auto"/>
        <w:shd w:val="clear" w:color="auto" w:fill="auto"/>
        <w:vertAlign w:val="baseline"/>
      </w:rPr>
    </w:lvl>
    <w:lvl w:ilvl="6" w:tplc="5620A642">
      <w:start w:val="1"/>
      <w:numFmt w:val="decimal"/>
      <w:lvlText w:val="%7"/>
      <w:lvlJc w:val="left"/>
      <w:pPr>
        <w:ind w:left="4920"/>
      </w:pPr>
      <w:rPr>
        <w:rFonts w:ascii="Times New Roman" w:eastAsia="Times New Roman" w:hAnsi="Times New Roman" w:cs="Times New Roman"/>
        <w:b w:val="0"/>
        <w:i w:val="0"/>
        <w:strike w:val="0"/>
        <w:dstrike w:val="0"/>
        <w:color w:val="000008"/>
        <w:sz w:val="24"/>
        <w:szCs w:val="24"/>
        <w:u w:val="none" w:color="000000"/>
        <w:bdr w:val="none" w:sz="0" w:space="0" w:color="auto"/>
        <w:shd w:val="clear" w:color="auto" w:fill="auto"/>
        <w:vertAlign w:val="baseline"/>
      </w:rPr>
    </w:lvl>
    <w:lvl w:ilvl="7" w:tplc="BBF66362">
      <w:start w:val="1"/>
      <w:numFmt w:val="lowerLetter"/>
      <w:lvlText w:val="%8"/>
      <w:lvlJc w:val="left"/>
      <w:pPr>
        <w:ind w:left="5640"/>
      </w:pPr>
      <w:rPr>
        <w:rFonts w:ascii="Times New Roman" w:eastAsia="Times New Roman" w:hAnsi="Times New Roman" w:cs="Times New Roman"/>
        <w:b w:val="0"/>
        <w:i w:val="0"/>
        <w:strike w:val="0"/>
        <w:dstrike w:val="0"/>
        <w:color w:val="000008"/>
        <w:sz w:val="24"/>
        <w:szCs w:val="24"/>
        <w:u w:val="none" w:color="000000"/>
        <w:bdr w:val="none" w:sz="0" w:space="0" w:color="auto"/>
        <w:shd w:val="clear" w:color="auto" w:fill="auto"/>
        <w:vertAlign w:val="baseline"/>
      </w:rPr>
    </w:lvl>
    <w:lvl w:ilvl="8" w:tplc="06962760">
      <w:start w:val="1"/>
      <w:numFmt w:val="lowerRoman"/>
      <w:lvlText w:val="%9"/>
      <w:lvlJc w:val="left"/>
      <w:pPr>
        <w:ind w:left="6360"/>
      </w:pPr>
      <w:rPr>
        <w:rFonts w:ascii="Times New Roman" w:eastAsia="Times New Roman" w:hAnsi="Times New Roman" w:cs="Times New Roman"/>
        <w:b w:val="0"/>
        <w:i w:val="0"/>
        <w:strike w:val="0"/>
        <w:dstrike w:val="0"/>
        <w:color w:val="000008"/>
        <w:sz w:val="24"/>
        <w:szCs w:val="24"/>
        <w:u w:val="none" w:color="000000"/>
        <w:bdr w:val="none" w:sz="0" w:space="0" w:color="auto"/>
        <w:shd w:val="clear" w:color="auto" w:fill="auto"/>
        <w:vertAlign w:val="baseline"/>
      </w:rPr>
    </w:lvl>
  </w:abstractNum>
  <w:abstractNum w:abstractNumId="2" w15:restartNumberingAfterBreak="0">
    <w:nsid w:val="623259AC"/>
    <w:multiLevelType w:val="hybridMultilevel"/>
    <w:tmpl w:val="B17EC6AA"/>
    <w:lvl w:ilvl="0" w:tplc="E298702C">
      <w:start w:val="1"/>
      <w:numFmt w:val="decimal"/>
      <w:lvlText w:val="%1"/>
      <w:lvlJc w:val="left"/>
      <w:pPr>
        <w:ind w:left="360"/>
      </w:pPr>
      <w:rPr>
        <w:rFonts w:ascii="Times New Roman" w:eastAsia="Times New Roman" w:hAnsi="Times New Roman" w:cs="Times New Roman"/>
        <w:b w:val="0"/>
        <w:i w:val="0"/>
        <w:strike w:val="0"/>
        <w:dstrike w:val="0"/>
        <w:color w:val="000008"/>
        <w:sz w:val="24"/>
        <w:szCs w:val="24"/>
        <w:u w:val="none" w:color="000000"/>
        <w:bdr w:val="none" w:sz="0" w:space="0" w:color="auto"/>
        <w:shd w:val="clear" w:color="auto" w:fill="auto"/>
        <w:vertAlign w:val="baseline"/>
      </w:rPr>
    </w:lvl>
    <w:lvl w:ilvl="1" w:tplc="BC0249A0">
      <w:start w:val="1"/>
      <w:numFmt w:val="lowerLetter"/>
      <w:lvlText w:val="%2."/>
      <w:lvlJc w:val="left"/>
      <w:pPr>
        <w:ind w:left="540"/>
      </w:pPr>
      <w:rPr>
        <w:rFonts w:ascii="Times New Roman" w:eastAsia="Times New Roman" w:hAnsi="Times New Roman" w:cs="Times New Roman"/>
        <w:b w:val="0"/>
        <w:i w:val="0"/>
        <w:strike w:val="0"/>
        <w:dstrike w:val="0"/>
        <w:color w:val="000008"/>
        <w:sz w:val="24"/>
        <w:szCs w:val="24"/>
        <w:u w:val="none" w:color="000000"/>
        <w:bdr w:val="none" w:sz="0" w:space="0" w:color="auto"/>
        <w:shd w:val="clear" w:color="auto" w:fill="auto"/>
        <w:vertAlign w:val="baseline"/>
      </w:rPr>
    </w:lvl>
    <w:lvl w:ilvl="2" w:tplc="E424BAFA">
      <w:start w:val="1"/>
      <w:numFmt w:val="lowerRoman"/>
      <w:lvlText w:val="%3"/>
      <w:lvlJc w:val="left"/>
      <w:pPr>
        <w:ind w:left="1320"/>
      </w:pPr>
      <w:rPr>
        <w:rFonts w:ascii="Times New Roman" w:eastAsia="Times New Roman" w:hAnsi="Times New Roman" w:cs="Times New Roman"/>
        <w:b w:val="0"/>
        <w:i w:val="0"/>
        <w:strike w:val="0"/>
        <w:dstrike w:val="0"/>
        <w:color w:val="000008"/>
        <w:sz w:val="24"/>
        <w:szCs w:val="24"/>
        <w:u w:val="none" w:color="000000"/>
        <w:bdr w:val="none" w:sz="0" w:space="0" w:color="auto"/>
        <w:shd w:val="clear" w:color="auto" w:fill="auto"/>
        <w:vertAlign w:val="baseline"/>
      </w:rPr>
    </w:lvl>
    <w:lvl w:ilvl="3" w:tplc="8FEAB1BA">
      <w:start w:val="1"/>
      <w:numFmt w:val="decimal"/>
      <w:lvlText w:val="%4"/>
      <w:lvlJc w:val="left"/>
      <w:pPr>
        <w:ind w:left="2040"/>
      </w:pPr>
      <w:rPr>
        <w:rFonts w:ascii="Times New Roman" w:eastAsia="Times New Roman" w:hAnsi="Times New Roman" w:cs="Times New Roman"/>
        <w:b w:val="0"/>
        <w:i w:val="0"/>
        <w:strike w:val="0"/>
        <w:dstrike w:val="0"/>
        <w:color w:val="000008"/>
        <w:sz w:val="24"/>
        <w:szCs w:val="24"/>
        <w:u w:val="none" w:color="000000"/>
        <w:bdr w:val="none" w:sz="0" w:space="0" w:color="auto"/>
        <w:shd w:val="clear" w:color="auto" w:fill="auto"/>
        <w:vertAlign w:val="baseline"/>
      </w:rPr>
    </w:lvl>
    <w:lvl w:ilvl="4" w:tplc="B192C3EE">
      <w:start w:val="1"/>
      <w:numFmt w:val="lowerLetter"/>
      <w:lvlText w:val="%5"/>
      <w:lvlJc w:val="left"/>
      <w:pPr>
        <w:ind w:left="2760"/>
      </w:pPr>
      <w:rPr>
        <w:rFonts w:ascii="Times New Roman" w:eastAsia="Times New Roman" w:hAnsi="Times New Roman" w:cs="Times New Roman"/>
        <w:b w:val="0"/>
        <w:i w:val="0"/>
        <w:strike w:val="0"/>
        <w:dstrike w:val="0"/>
        <w:color w:val="000008"/>
        <w:sz w:val="24"/>
        <w:szCs w:val="24"/>
        <w:u w:val="none" w:color="000000"/>
        <w:bdr w:val="none" w:sz="0" w:space="0" w:color="auto"/>
        <w:shd w:val="clear" w:color="auto" w:fill="auto"/>
        <w:vertAlign w:val="baseline"/>
      </w:rPr>
    </w:lvl>
    <w:lvl w:ilvl="5" w:tplc="FB2A2662">
      <w:start w:val="1"/>
      <w:numFmt w:val="lowerRoman"/>
      <w:lvlText w:val="%6"/>
      <w:lvlJc w:val="left"/>
      <w:pPr>
        <w:ind w:left="3480"/>
      </w:pPr>
      <w:rPr>
        <w:rFonts w:ascii="Times New Roman" w:eastAsia="Times New Roman" w:hAnsi="Times New Roman" w:cs="Times New Roman"/>
        <w:b w:val="0"/>
        <w:i w:val="0"/>
        <w:strike w:val="0"/>
        <w:dstrike w:val="0"/>
        <w:color w:val="000008"/>
        <w:sz w:val="24"/>
        <w:szCs w:val="24"/>
        <w:u w:val="none" w:color="000000"/>
        <w:bdr w:val="none" w:sz="0" w:space="0" w:color="auto"/>
        <w:shd w:val="clear" w:color="auto" w:fill="auto"/>
        <w:vertAlign w:val="baseline"/>
      </w:rPr>
    </w:lvl>
    <w:lvl w:ilvl="6" w:tplc="FA4E0824">
      <w:start w:val="1"/>
      <w:numFmt w:val="decimal"/>
      <w:lvlText w:val="%7"/>
      <w:lvlJc w:val="left"/>
      <w:pPr>
        <w:ind w:left="4200"/>
      </w:pPr>
      <w:rPr>
        <w:rFonts w:ascii="Times New Roman" w:eastAsia="Times New Roman" w:hAnsi="Times New Roman" w:cs="Times New Roman"/>
        <w:b w:val="0"/>
        <w:i w:val="0"/>
        <w:strike w:val="0"/>
        <w:dstrike w:val="0"/>
        <w:color w:val="000008"/>
        <w:sz w:val="24"/>
        <w:szCs w:val="24"/>
        <w:u w:val="none" w:color="000000"/>
        <w:bdr w:val="none" w:sz="0" w:space="0" w:color="auto"/>
        <w:shd w:val="clear" w:color="auto" w:fill="auto"/>
        <w:vertAlign w:val="baseline"/>
      </w:rPr>
    </w:lvl>
    <w:lvl w:ilvl="7" w:tplc="A98CF778">
      <w:start w:val="1"/>
      <w:numFmt w:val="lowerLetter"/>
      <w:lvlText w:val="%8"/>
      <w:lvlJc w:val="left"/>
      <w:pPr>
        <w:ind w:left="4920"/>
      </w:pPr>
      <w:rPr>
        <w:rFonts w:ascii="Times New Roman" w:eastAsia="Times New Roman" w:hAnsi="Times New Roman" w:cs="Times New Roman"/>
        <w:b w:val="0"/>
        <w:i w:val="0"/>
        <w:strike w:val="0"/>
        <w:dstrike w:val="0"/>
        <w:color w:val="000008"/>
        <w:sz w:val="24"/>
        <w:szCs w:val="24"/>
        <w:u w:val="none" w:color="000000"/>
        <w:bdr w:val="none" w:sz="0" w:space="0" w:color="auto"/>
        <w:shd w:val="clear" w:color="auto" w:fill="auto"/>
        <w:vertAlign w:val="baseline"/>
      </w:rPr>
    </w:lvl>
    <w:lvl w:ilvl="8" w:tplc="3DBC9FE6">
      <w:start w:val="1"/>
      <w:numFmt w:val="lowerRoman"/>
      <w:lvlText w:val="%9"/>
      <w:lvlJc w:val="left"/>
      <w:pPr>
        <w:ind w:left="5640"/>
      </w:pPr>
      <w:rPr>
        <w:rFonts w:ascii="Times New Roman" w:eastAsia="Times New Roman" w:hAnsi="Times New Roman" w:cs="Times New Roman"/>
        <w:b w:val="0"/>
        <w:i w:val="0"/>
        <w:strike w:val="0"/>
        <w:dstrike w:val="0"/>
        <w:color w:val="000008"/>
        <w:sz w:val="24"/>
        <w:szCs w:val="24"/>
        <w:u w:val="none" w:color="000000"/>
        <w:bdr w:val="none" w:sz="0" w:space="0" w:color="auto"/>
        <w:shd w:val="clear" w:color="auto" w:fill="auto"/>
        <w:vertAlign w:val="baseline"/>
      </w:rPr>
    </w:lvl>
  </w:abstractNum>
  <w:abstractNum w:abstractNumId="3" w15:restartNumberingAfterBreak="0">
    <w:nsid w:val="7C2C7DF7"/>
    <w:multiLevelType w:val="hybridMultilevel"/>
    <w:tmpl w:val="911C6E98"/>
    <w:lvl w:ilvl="0" w:tplc="38522514">
      <w:start w:val="1"/>
      <w:numFmt w:val="bullet"/>
      <w:lvlText w:val=""/>
      <w:lvlJc w:val="left"/>
      <w:pPr>
        <w:ind w:left="420"/>
      </w:pPr>
      <w:rPr>
        <w:rFonts w:ascii="Wingdings" w:eastAsia="Wingdings" w:hAnsi="Wingdings" w:cs="Wingdings"/>
        <w:b w:val="0"/>
        <w:i w:val="0"/>
        <w:strike w:val="0"/>
        <w:dstrike w:val="0"/>
        <w:color w:val="000008"/>
        <w:sz w:val="24"/>
        <w:szCs w:val="24"/>
        <w:u w:val="none" w:color="000000"/>
        <w:bdr w:val="none" w:sz="0" w:space="0" w:color="auto"/>
        <w:shd w:val="clear" w:color="auto" w:fill="auto"/>
        <w:vertAlign w:val="baseline"/>
      </w:rPr>
    </w:lvl>
    <w:lvl w:ilvl="1" w:tplc="E0BAE626">
      <w:start w:val="1"/>
      <w:numFmt w:val="bullet"/>
      <w:lvlText w:val="o"/>
      <w:lvlJc w:val="left"/>
      <w:pPr>
        <w:ind w:left="1080"/>
      </w:pPr>
      <w:rPr>
        <w:rFonts w:ascii="Wingdings" w:eastAsia="Wingdings" w:hAnsi="Wingdings" w:cs="Wingdings"/>
        <w:b w:val="0"/>
        <w:i w:val="0"/>
        <w:strike w:val="0"/>
        <w:dstrike w:val="0"/>
        <w:color w:val="000008"/>
        <w:sz w:val="24"/>
        <w:szCs w:val="24"/>
        <w:u w:val="none" w:color="000000"/>
        <w:bdr w:val="none" w:sz="0" w:space="0" w:color="auto"/>
        <w:shd w:val="clear" w:color="auto" w:fill="auto"/>
        <w:vertAlign w:val="baseline"/>
      </w:rPr>
    </w:lvl>
    <w:lvl w:ilvl="2" w:tplc="EAB4AAC8">
      <w:start w:val="1"/>
      <w:numFmt w:val="bullet"/>
      <w:lvlText w:val="▪"/>
      <w:lvlJc w:val="left"/>
      <w:pPr>
        <w:ind w:left="1800"/>
      </w:pPr>
      <w:rPr>
        <w:rFonts w:ascii="Wingdings" w:eastAsia="Wingdings" w:hAnsi="Wingdings" w:cs="Wingdings"/>
        <w:b w:val="0"/>
        <w:i w:val="0"/>
        <w:strike w:val="0"/>
        <w:dstrike w:val="0"/>
        <w:color w:val="000008"/>
        <w:sz w:val="24"/>
        <w:szCs w:val="24"/>
        <w:u w:val="none" w:color="000000"/>
        <w:bdr w:val="none" w:sz="0" w:space="0" w:color="auto"/>
        <w:shd w:val="clear" w:color="auto" w:fill="auto"/>
        <w:vertAlign w:val="baseline"/>
      </w:rPr>
    </w:lvl>
    <w:lvl w:ilvl="3" w:tplc="6430F068">
      <w:start w:val="1"/>
      <w:numFmt w:val="bullet"/>
      <w:lvlText w:val="•"/>
      <w:lvlJc w:val="left"/>
      <w:pPr>
        <w:ind w:left="2520"/>
      </w:pPr>
      <w:rPr>
        <w:rFonts w:ascii="Wingdings" w:eastAsia="Wingdings" w:hAnsi="Wingdings" w:cs="Wingdings"/>
        <w:b w:val="0"/>
        <w:i w:val="0"/>
        <w:strike w:val="0"/>
        <w:dstrike w:val="0"/>
        <w:color w:val="000008"/>
        <w:sz w:val="24"/>
        <w:szCs w:val="24"/>
        <w:u w:val="none" w:color="000000"/>
        <w:bdr w:val="none" w:sz="0" w:space="0" w:color="auto"/>
        <w:shd w:val="clear" w:color="auto" w:fill="auto"/>
        <w:vertAlign w:val="baseline"/>
      </w:rPr>
    </w:lvl>
    <w:lvl w:ilvl="4" w:tplc="4FB66BF4">
      <w:start w:val="1"/>
      <w:numFmt w:val="bullet"/>
      <w:lvlText w:val="o"/>
      <w:lvlJc w:val="left"/>
      <w:pPr>
        <w:ind w:left="3240"/>
      </w:pPr>
      <w:rPr>
        <w:rFonts w:ascii="Wingdings" w:eastAsia="Wingdings" w:hAnsi="Wingdings" w:cs="Wingdings"/>
        <w:b w:val="0"/>
        <w:i w:val="0"/>
        <w:strike w:val="0"/>
        <w:dstrike w:val="0"/>
        <w:color w:val="000008"/>
        <w:sz w:val="24"/>
        <w:szCs w:val="24"/>
        <w:u w:val="none" w:color="000000"/>
        <w:bdr w:val="none" w:sz="0" w:space="0" w:color="auto"/>
        <w:shd w:val="clear" w:color="auto" w:fill="auto"/>
        <w:vertAlign w:val="baseline"/>
      </w:rPr>
    </w:lvl>
    <w:lvl w:ilvl="5" w:tplc="0AC819D0">
      <w:start w:val="1"/>
      <w:numFmt w:val="bullet"/>
      <w:lvlText w:val="▪"/>
      <w:lvlJc w:val="left"/>
      <w:pPr>
        <w:ind w:left="3960"/>
      </w:pPr>
      <w:rPr>
        <w:rFonts w:ascii="Wingdings" w:eastAsia="Wingdings" w:hAnsi="Wingdings" w:cs="Wingdings"/>
        <w:b w:val="0"/>
        <w:i w:val="0"/>
        <w:strike w:val="0"/>
        <w:dstrike w:val="0"/>
        <w:color w:val="000008"/>
        <w:sz w:val="24"/>
        <w:szCs w:val="24"/>
        <w:u w:val="none" w:color="000000"/>
        <w:bdr w:val="none" w:sz="0" w:space="0" w:color="auto"/>
        <w:shd w:val="clear" w:color="auto" w:fill="auto"/>
        <w:vertAlign w:val="baseline"/>
      </w:rPr>
    </w:lvl>
    <w:lvl w:ilvl="6" w:tplc="B3CE520A">
      <w:start w:val="1"/>
      <w:numFmt w:val="bullet"/>
      <w:lvlText w:val="•"/>
      <w:lvlJc w:val="left"/>
      <w:pPr>
        <w:ind w:left="4680"/>
      </w:pPr>
      <w:rPr>
        <w:rFonts w:ascii="Wingdings" w:eastAsia="Wingdings" w:hAnsi="Wingdings" w:cs="Wingdings"/>
        <w:b w:val="0"/>
        <w:i w:val="0"/>
        <w:strike w:val="0"/>
        <w:dstrike w:val="0"/>
        <w:color w:val="000008"/>
        <w:sz w:val="24"/>
        <w:szCs w:val="24"/>
        <w:u w:val="none" w:color="000000"/>
        <w:bdr w:val="none" w:sz="0" w:space="0" w:color="auto"/>
        <w:shd w:val="clear" w:color="auto" w:fill="auto"/>
        <w:vertAlign w:val="baseline"/>
      </w:rPr>
    </w:lvl>
    <w:lvl w:ilvl="7" w:tplc="B02C0B3C">
      <w:start w:val="1"/>
      <w:numFmt w:val="bullet"/>
      <w:lvlText w:val="o"/>
      <w:lvlJc w:val="left"/>
      <w:pPr>
        <w:ind w:left="5400"/>
      </w:pPr>
      <w:rPr>
        <w:rFonts w:ascii="Wingdings" w:eastAsia="Wingdings" w:hAnsi="Wingdings" w:cs="Wingdings"/>
        <w:b w:val="0"/>
        <w:i w:val="0"/>
        <w:strike w:val="0"/>
        <w:dstrike w:val="0"/>
        <w:color w:val="000008"/>
        <w:sz w:val="24"/>
        <w:szCs w:val="24"/>
        <w:u w:val="none" w:color="000000"/>
        <w:bdr w:val="none" w:sz="0" w:space="0" w:color="auto"/>
        <w:shd w:val="clear" w:color="auto" w:fill="auto"/>
        <w:vertAlign w:val="baseline"/>
      </w:rPr>
    </w:lvl>
    <w:lvl w:ilvl="8" w:tplc="4C5248F0">
      <w:start w:val="1"/>
      <w:numFmt w:val="bullet"/>
      <w:lvlText w:val="▪"/>
      <w:lvlJc w:val="left"/>
      <w:pPr>
        <w:ind w:left="6120"/>
      </w:pPr>
      <w:rPr>
        <w:rFonts w:ascii="Wingdings" w:eastAsia="Wingdings" w:hAnsi="Wingdings" w:cs="Wingdings"/>
        <w:b w:val="0"/>
        <w:i w:val="0"/>
        <w:strike w:val="0"/>
        <w:dstrike w:val="0"/>
        <w:color w:val="000008"/>
        <w:sz w:val="24"/>
        <w:szCs w:val="24"/>
        <w:u w:val="none" w:color="000000"/>
        <w:bdr w:val="none" w:sz="0" w:space="0" w:color="auto"/>
        <w:shd w:val="clear" w:color="auto" w:fill="auto"/>
        <w:vertAlign w:val="baseline"/>
      </w:rPr>
    </w:lvl>
  </w:abstractNum>
  <w:num w:numId="1" w16cid:durableId="767043611">
    <w:abstractNumId w:val="3"/>
  </w:num>
  <w:num w:numId="2" w16cid:durableId="897591960">
    <w:abstractNumId w:val="0"/>
  </w:num>
  <w:num w:numId="3" w16cid:durableId="475226855">
    <w:abstractNumId w:val="2"/>
  </w:num>
  <w:num w:numId="4" w16cid:durableId="30651326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56DB3"/>
    <w:rsid w:val="00041D5C"/>
    <w:rsid w:val="00156DB3"/>
    <w:rsid w:val="00CE76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B8116D"/>
  <w15:docId w15:val="{A692EDE9-3373-4330-A70E-0586F4C883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05"/>
      <w:ind w:left="10" w:hanging="10"/>
      <w:jc w:val="both"/>
    </w:pPr>
    <w:rPr>
      <w:rFonts w:ascii="Times New Roman" w:eastAsia="Times New Roman" w:hAnsi="Times New Roman" w:cs="Times New Roman"/>
      <w:color w:val="000008"/>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open.toronto.ca/dataset/bike-share-toronto-ridership-data/./"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3</Pages>
  <Words>859</Words>
  <Characters>4899</Characters>
  <Application>Microsoft Office Word</Application>
  <DocSecurity>0</DocSecurity>
  <Lines>40</Lines>
  <Paragraphs>11</Paragraphs>
  <ScaleCrop>false</ScaleCrop>
  <Company/>
  <LinksUpToDate>false</LinksUpToDate>
  <CharactersWithSpaces>5747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liuyang</dc:creator>
  <cp:keywords/>
  <cp:lastModifiedBy>terry2.walcott@outlook.com</cp:lastModifiedBy>
  <cp:revision>2</cp:revision>
  <dcterms:created xsi:type="dcterms:W3CDTF">2023-03-07T14:39:00Z</dcterms:created>
  <dcterms:modified xsi:type="dcterms:W3CDTF">2023-03-07T14:39:00Z</dcterms:modified>
</cp:coreProperties>
</file>