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89BDD" w14:textId="77777777" w:rsidR="00802D92" w:rsidRPr="00802D92" w:rsidRDefault="00802D92" w:rsidP="00802D92">
      <w:pPr>
        <w:pStyle w:val="Heading1"/>
        <w:jc w:val="center"/>
        <w:rPr>
          <w:sz w:val="40"/>
          <w:szCs w:val="40"/>
        </w:rPr>
      </w:pPr>
      <w:bookmarkStart w:id="0" w:name="_Toc225310177"/>
      <w:r w:rsidRPr="00802D92">
        <w:rPr>
          <w:sz w:val="40"/>
          <w:szCs w:val="40"/>
        </w:rPr>
        <w:t>Health and Social Care Portfolio</w:t>
      </w:r>
      <w:bookmarkEnd w:id="0"/>
    </w:p>
    <w:p w14:paraId="548A75BF" w14:textId="3226944F" w:rsidR="00802D92" w:rsidRDefault="00802D92" w:rsidP="00802D92">
      <w:pPr>
        <w:jc w:val="center"/>
      </w:pPr>
      <w:r w:rsidRPr="00802D92">
        <w:br/>
      </w:r>
      <w:proofErr w:type="spellStart"/>
      <w:r w:rsidRPr="00802D92">
        <w:t>Programme</w:t>
      </w:r>
      <w:proofErr w:type="spellEnd"/>
      <w:r w:rsidRPr="00802D92">
        <w:t>: Health and Social Care</w:t>
      </w:r>
      <w:r w:rsidRPr="00802D92">
        <w:br/>
      </w:r>
    </w:p>
    <w:p w14:paraId="64C7A3CD" w14:textId="77777777" w:rsidR="00802D92" w:rsidRDefault="00802D92" w:rsidP="00802D92">
      <w:pPr>
        <w:jc w:val="center"/>
      </w:pPr>
    </w:p>
    <w:p w14:paraId="185D524C" w14:textId="77777777" w:rsidR="00802D92" w:rsidRDefault="00802D92" w:rsidP="00802D92">
      <w:pPr>
        <w:jc w:val="center"/>
      </w:pPr>
    </w:p>
    <w:p w14:paraId="3EAD30C3" w14:textId="77777777" w:rsidR="00802D92" w:rsidRDefault="00802D92" w:rsidP="00802D92">
      <w:pPr>
        <w:jc w:val="center"/>
      </w:pPr>
    </w:p>
    <w:p w14:paraId="1B9452BB" w14:textId="77777777" w:rsidR="00802D92" w:rsidRDefault="00802D92" w:rsidP="00802D92">
      <w:pPr>
        <w:jc w:val="center"/>
      </w:pPr>
    </w:p>
    <w:p w14:paraId="59BB2C0F" w14:textId="77777777" w:rsidR="00802D92" w:rsidRDefault="00802D92" w:rsidP="00802D92">
      <w:pPr>
        <w:jc w:val="center"/>
      </w:pPr>
    </w:p>
    <w:p w14:paraId="24C1494C" w14:textId="77777777" w:rsidR="00802D92" w:rsidRDefault="00802D92" w:rsidP="00802D92">
      <w:pPr>
        <w:jc w:val="center"/>
      </w:pPr>
    </w:p>
    <w:p w14:paraId="10541674" w14:textId="77777777" w:rsidR="00802D92" w:rsidRDefault="00802D92" w:rsidP="00802D92">
      <w:pPr>
        <w:jc w:val="center"/>
      </w:pPr>
    </w:p>
    <w:p w14:paraId="3F088853" w14:textId="77777777" w:rsidR="00802D92" w:rsidRDefault="00802D92" w:rsidP="00802D92">
      <w:pPr>
        <w:jc w:val="center"/>
      </w:pPr>
    </w:p>
    <w:p w14:paraId="77F11C52" w14:textId="77777777" w:rsidR="00802D92" w:rsidRDefault="00802D92" w:rsidP="00802D92">
      <w:pPr>
        <w:jc w:val="center"/>
      </w:pPr>
    </w:p>
    <w:p w14:paraId="437042D6" w14:textId="77777777" w:rsidR="00802D92" w:rsidRDefault="00802D92" w:rsidP="00802D92">
      <w:pPr>
        <w:jc w:val="center"/>
      </w:pPr>
    </w:p>
    <w:p w14:paraId="34E43171" w14:textId="77777777" w:rsidR="00802D92" w:rsidRDefault="00802D92" w:rsidP="00802D92">
      <w:pPr>
        <w:jc w:val="center"/>
      </w:pPr>
    </w:p>
    <w:p w14:paraId="6FB495BD" w14:textId="77777777" w:rsidR="00802D92" w:rsidRDefault="00802D92" w:rsidP="00802D92">
      <w:pPr>
        <w:jc w:val="center"/>
      </w:pPr>
    </w:p>
    <w:p w14:paraId="4A86154B" w14:textId="77777777" w:rsidR="00802D92" w:rsidRDefault="00802D92" w:rsidP="00802D92">
      <w:pPr>
        <w:jc w:val="center"/>
      </w:pPr>
    </w:p>
    <w:p w14:paraId="33C8213B" w14:textId="77777777" w:rsidR="00802D92" w:rsidRDefault="00802D92" w:rsidP="00802D92">
      <w:pPr>
        <w:jc w:val="center"/>
      </w:pPr>
    </w:p>
    <w:p w14:paraId="31D48411" w14:textId="77777777" w:rsidR="00802D92" w:rsidRDefault="00802D92" w:rsidP="00802D92">
      <w:pPr>
        <w:jc w:val="center"/>
      </w:pPr>
    </w:p>
    <w:p w14:paraId="3AD6D497" w14:textId="77777777" w:rsidR="00802D92" w:rsidRDefault="00802D92" w:rsidP="00802D92">
      <w:pPr>
        <w:jc w:val="center"/>
      </w:pPr>
    </w:p>
    <w:p w14:paraId="47C9B494" w14:textId="77777777" w:rsidR="00802D92" w:rsidRDefault="00802D92" w:rsidP="00802D92">
      <w:pPr>
        <w:jc w:val="center"/>
      </w:pPr>
    </w:p>
    <w:p w14:paraId="3EDED753" w14:textId="77777777" w:rsidR="00802D92" w:rsidRDefault="00802D92" w:rsidP="00802D92">
      <w:pPr>
        <w:jc w:val="center"/>
      </w:pPr>
    </w:p>
    <w:p w14:paraId="7CF60C72" w14:textId="77777777" w:rsidR="00802D92" w:rsidRDefault="00802D92" w:rsidP="00802D92">
      <w:pPr>
        <w:jc w:val="center"/>
      </w:pPr>
    </w:p>
    <w:p w14:paraId="2264215B" w14:textId="77777777" w:rsidR="00802D92" w:rsidRDefault="00802D92" w:rsidP="00802D92">
      <w:pPr>
        <w:jc w:val="center"/>
      </w:pPr>
    </w:p>
    <w:p w14:paraId="6CF7EC52" w14:textId="77777777" w:rsidR="00802D92" w:rsidRDefault="00802D92" w:rsidP="00802D92">
      <w:pPr>
        <w:jc w:val="center"/>
      </w:pPr>
    </w:p>
    <w:p w14:paraId="5E6206EF" w14:textId="77777777" w:rsidR="00802D92" w:rsidRDefault="00802D92" w:rsidP="00802D92">
      <w:pPr>
        <w:jc w:val="center"/>
      </w:pPr>
    </w:p>
    <w:p w14:paraId="2C90D419" w14:textId="77777777" w:rsidR="00802D92" w:rsidRDefault="00802D92" w:rsidP="00802D92">
      <w:pPr>
        <w:jc w:val="center"/>
      </w:pPr>
    </w:p>
    <w:p w14:paraId="7B1EF121" w14:textId="77777777" w:rsidR="00802D92" w:rsidRDefault="00802D92" w:rsidP="00802D92">
      <w:pPr>
        <w:jc w:val="center"/>
      </w:pPr>
    </w:p>
    <w:p w14:paraId="6CF10A38" w14:textId="77777777" w:rsidR="00802D92" w:rsidRDefault="00802D92" w:rsidP="00802D92">
      <w:pPr>
        <w:jc w:val="center"/>
      </w:pPr>
    </w:p>
    <w:p w14:paraId="0E00ED0C" w14:textId="77777777" w:rsidR="00802D92" w:rsidRDefault="00802D92" w:rsidP="00802D92">
      <w:pPr>
        <w:jc w:val="center"/>
      </w:pPr>
    </w:p>
    <w:p w14:paraId="175FD705" w14:textId="77777777" w:rsidR="00802D92" w:rsidRDefault="00802D92" w:rsidP="00802D92">
      <w:pPr>
        <w:jc w:val="center"/>
      </w:pPr>
    </w:p>
    <w:p w14:paraId="74F60EAC" w14:textId="77777777" w:rsidR="00802D92" w:rsidRDefault="00802D92" w:rsidP="00802D92">
      <w:pPr>
        <w:jc w:val="center"/>
      </w:pPr>
    </w:p>
    <w:p w14:paraId="26597E05" w14:textId="77777777" w:rsidR="00802D92" w:rsidRDefault="00802D92" w:rsidP="00802D92">
      <w:pPr>
        <w:jc w:val="center"/>
      </w:pPr>
    </w:p>
    <w:sdt>
      <w:sdtPr>
        <w:id w:val="-1746178440"/>
        <w:docPartObj>
          <w:docPartGallery w:val="Table of Contents"/>
          <w:docPartUnique/>
        </w:docPartObj>
      </w:sdtPr>
      <w:sdtEndPr>
        <w:rPr>
          <w:rFonts w:ascii="Times New Roman" w:eastAsia="Times New Roman" w:hAnsi="Times New Roman" w:cs="Times New Roman"/>
          <w:noProof/>
          <w:color w:val="auto"/>
          <w:sz w:val="24"/>
          <w:szCs w:val="24"/>
          <w:lang w:val="en" w:eastAsia="en-IN"/>
        </w:rPr>
      </w:sdtEndPr>
      <w:sdtContent>
        <w:p w14:paraId="7CB36683" w14:textId="6FB9F4EC" w:rsidR="00802D92" w:rsidRDefault="00802D92">
          <w:pPr>
            <w:pStyle w:val="TOCHeading"/>
          </w:pPr>
          <w:r>
            <w:t>Table of Contents</w:t>
          </w:r>
        </w:p>
        <w:p w14:paraId="166C8E7F" w14:textId="001F3072" w:rsidR="00802D92" w:rsidRDefault="00802D92">
          <w:pPr>
            <w:pStyle w:val="TOC1"/>
            <w:tabs>
              <w:tab w:val="right" w:leader="dot" w:pos="9019"/>
            </w:tabs>
            <w:rPr>
              <w:rFonts w:eastAsiaTheme="minorEastAsia" w:cstheme="minorBidi"/>
              <w:b w:val="0"/>
              <w:bCs w:val="0"/>
              <w:i w:val="0"/>
              <w:iCs w:val="0"/>
              <w:noProof/>
              <w:kern w:val="2"/>
              <w:szCs w:val="24"/>
              <w:lang w:val="en-KW" w:eastAsia="en-US"/>
              <w14:ligatures w14:val="standardContextual"/>
            </w:rPr>
          </w:pPr>
          <w:r>
            <w:rPr>
              <w:b w:val="0"/>
              <w:bCs w:val="0"/>
            </w:rPr>
            <w:fldChar w:fldCharType="begin"/>
          </w:r>
          <w:r>
            <w:instrText xml:space="preserve"> TOC \o "1-3" \h \z \u </w:instrText>
          </w:r>
          <w:r>
            <w:rPr>
              <w:b w:val="0"/>
              <w:bCs w:val="0"/>
            </w:rPr>
            <w:fldChar w:fldCharType="separate"/>
          </w:r>
          <w:hyperlink w:anchor="_Toc225310177" w:history="1">
            <w:r w:rsidRPr="001B1CF5">
              <w:rPr>
                <w:rStyle w:val="Hyperlink"/>
                <w:noProof/>
              </w:rPr>
              <w:t>Health and Social Care Portfolio</w:t>
            </w:r>
            <w:r>
              <w:rPr>
                <w:noProof/>
                <w:webHidden/>
              </w:rPr>
              <w:tab/>
            </w:r>
            <w:r>
              <w:rPr>
                <w:noProof/>
                <w:webHidden/>
              </w:rPr>
              <w:fldChar w:fldCharType="begin"/>
            </w:r>
            <w:r>
              <w:rPr>
                <w:noProof/>
                <w:webHidden/>
              </w:rPr>
              <w:instrText xml:space="preserve"> PAGEREF _Toc225310177 \h </w:instrText>
            </w:r>
            <w:r>
              <w:rPr>
                <w:noProof/>
                <w:webHidden/>
              </w:rPr>
            </w:r>
            <w:r>
              <w:rPr>
                <w:noProof/>
                <w:webHidden/>
              </w:rPr>
              <w:fldChar w:fldCharType="separate"/>
            </w:r>
            <w:r>
              <w:rPr>
                <w:noProof/>
                <w:webHidden/>
              </w:rPr>
              <w:t>1</w:t>
            </w:r>
            <w:r>
              <w:rPr>
                <w:noProof/>
                <w:webHidden/>
              </w:rPr>
              <w:fldChar w:fldCharType="end"/>
            </w:r>
          </w:hyperlink>
        </w:p>
        <w:p w14:paraId="5DA34912" w14:textId="4402DCBB"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78" w:history="1">
            <w:r w:rsidRPr="001B1CF5">
              <w:rPr>
                <w:rStyle w:val="Hyperlink"/>
                <w:noProof/>
              </w:rPr>
              <w:t>Introduction</w:t>
            </w:r>
            <w:r>
              <w:rPr>
                <w:noProof/>
                <w:webHidden/>
              </w:rPr>
              <w:tab/>
            </w:r>
            <w:r>
              <w:rPr>
                <w:noProof/>
                <w:webHidden/>
              </w:rPr>
              <w:fldChar w:fldCharType="begin"/>
            </w:r>
            <w:r>
              <w:rPr>
                <w:noProof/>
                <w:webHidden/>
              </w:rPr>
              <w:instrText xml:space="preserve"> PAGEREF _Toc225310178 \h </w:instrText>
            </w:r>
            <w:r>
              <w:rPr>
                <w:noProof/>
                <w:webHidden/>
              </w:rPr>
            </w:r>
            <w:r>
              <w:rPr>
                <w:noProof/>
                <w:webHidden/>
              </w:rPr>
              <w:fldChar w:fldCharType="separate"/>
            </w:r>
            <w:r>
              <w:rPr>
                <w:noProof/>
                <w:webHidden/>
              </w:rPr>
              <w:t>2</w:t>
            </w:r>
            <w:r>
              <w:rPr>
                <w:noProof/>
                <w:webHidden/>
              </w:rPr>
              <w:fldChar w:fldCharType="end"/>
            </w:r>
          </w:hyperlink>
        </w:p>
        <w:p w14:paraId="5C371473" w14:textId="3854EA3D"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79" w:history="1">
            <w:r w:rsidRPr="001B1CF5">
              <w:rPr>
                <w:rStyle w:val="Hyperlink"/>
                <w:noProof/>
              </w:rPr>
              <w:t>Task 1 – Personal Brand</w:t>
            </w:r>
            <w:r>
              <w:rPr>
                <w:noProof/>
                <w:webHidden/>
              </w:rPr>
              <w:tab/>
            </w:r>
            <w:r>
              <w:rPr>
                <w:noProof/>
                <w:webHidden/>
              </w:rPr>
              <w:fldChar w:fldCharType="begin"/>
            </w:r>
            <w:r>
              <w:rPr>
                <w:noProof/>
                <w:webHidden/>
              </w:rPr>
              <w:instrText xml:space="preserve"> PAGEREF _Toc225310179 \h </w:instrText>
            </w:r>
            <w:r>
              <w:rPr>
                <w:noProof/>
                <w:webHidden/>
              </w:rPr>
            </w:r>
            <w:r>
              <w:rPr>
                <w:noProof/>
                <w:webHidden/>
              </w:rPr>
              <w:fldChar w:fldCharType="separate"/>
            </w:r>
            <w:r>
              <w:rPr>
                <w:noProof/>
                <w:webHidden/>
              </w:rPr>
              <w:t>2</w:t>
            </w:r>
            <w:r>
              <w:rPr>
                <w:noProof/>
                <w:webHidden/>
              </w:rPr>
              <w:fldChar w:fldCharType="end"/>
            </w:r>
          </w:hyperlink>
        </w:p>
        <w:p w14:paraId="4818629C" w14:textId="49012C59"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0" w:history="1">
            <w:r w:rsidRPr="001B1CF5">
              <w:rPr>
                <w:rStyle w:val="Hyperlink"/>
                <w:noProof/>
              </w:rPr>
              <w:t>Task 2 – Network Map and Rationale</w:t>
            </w:r>
            <w:r>
              <w:rPr>
                <w:noProof/>
                <w:webHidden/>
              </w:rPr>
              <w:tab/>
            </w:r>
            <w:r>
              <w:rPr>
                <w:noProof/>
                <w:webHidden/>
              </w:rPr>
              <w:fldChar w:fldCharType="begin"/>
            </w:r>
            <w:r>
              <w:rPr>
                <w:noProof/>
                <w:webHidden/>
              </w:rPr>
              <w:instrText xml:space="preserve"> PAGEREF _Toc225310180 \h </w:instrText>
            </w:r>
            <w:r>
              <w:rPr>
                <w:noProof/>
                <w:webHidden/>
              </w:rPr>
            </w:r>
            <w:r>
              <w:rPr>
                <w:noProof/>
                <w:webHidden/>
              </w:rPr>
              <w:fldChar w:fldCharType="separate"/>
            </w:r>
            <w:r>
              <w:rPr>
                <w:noProof/>
                <w:webHidden/>
              </w:rPr>
              <w:t>3</w:t>
            </w:r>
            <w:r>
              <w:rPr>
                <w:noProof/>
                <w:webHidden/>
              </w:rPr>
              <w:fldChar w:fldCharType="end"/>
            </w:r>
          </w:hyperlink>
        </w:p>
        <w:p w14:paraId="6A8BC48D" w14:textId="66980FCD"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1" w:history="1">
            <w:r w:rsidRPr="001B1CF5">
              <w:rPr>
                <w:rStyle w:val="Hyperlink"/>
                <w:noProof/>
              </w:rPr>
              <w:t>Task 3 – Blog: Navigating Digital Transformation in Health and Social Care</w:t>
            </w:r>
            <w:r>
              <w:rPr>
                <w:noProof/>
                <w:webHidden/>
              </w:rPr>
              <w:tab/>
            </w:r>
            <w:r>
              <w:rPr>
                <w:noProof/>
                <w:webHidden/>
              </w:rPr>
              <w:fldChar w:fldCharType="begin"/>
            </w:r>
            <w:r>
              <w:rPr>
                <w:noProof/>
                <w:webHidden/>
              </w:rPr>
              <w:instrText xml:space="preserve"> PAGEREF _Toc225310181 \h </w:instrText>
            </w:r>
            <w:r>
              <w:rPr>
                <w:noProof/>
                <w:webHidden/>
              </w:rPr>
            </w:r>
            <w:r>
              <w:rPr>
                <w:noProof/>
                <w:webHidden/>
              </w:rPr>
              <w:fldChar w:fldCharType="separate"/>
            </w:r>
            <w:r>
              <w:rPr>
                <w:noProof/>
                <w:webHidden/>
              </w:rPr>
              <w:t>4</w:t>
            </w:r>
            <w:r>
              <w:rPr>
                <w:noProof/>
                <w:webHidden/>
              </w:rPr>
              <w:fldChar w:fldCharType="end"/>
            </w:r>
          </w:hyperlink>
        </w:p>
        <w:p w14:paraId="0F0032D0" w14:textId="21089D9B"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2" w:history="1">
            <w:r w:rsidRPr="001B1CF5">
              <w:rPr>
                <w:rStyle w:val="Hyperlink"/>
                <w:noProof/>
              </w:rPr>
              <w:t>Task 4 – NHS Equality, Diversity and Inclusion Quiz</w:t>
            </w:r>
            <w:r>
              <w:rPr>
                <w:noProof/>
                <w:webHidden/>
              </w:rPr>
              <w:tab/>
            </w:r>
            <w:r>
              <w:rPr>
                <w:noProof/>
                <w:webHidden/>
              </w:rPr>
              <w:fldChar w:fldCharType="begin"/>
            </w:r>
            <w:r>
              <w:rPr>
                <w:noProof/>
                <w:webHidden/>
              </w:rPr>
              <w:instrText xml:space="preserve"> PAGEREF _Toc225310182 \h </w:instrText>
            </w:r>
            <w:r>
              <w:rPr>
                <w:noProof/>
                <w:webHidden/>
              </w:rPr>
            </w:r>
            <w:r>
              <w:rPr>
                <w:noProof/>
                <w:webHidden/>
              </w:rPr>
              <w:fldChar w:fldCharType="separate"/>
            </w:r>
            <w:r>
              <w:rPr>
                <w:noProof/>
                <w:webHidden/>
              </w:rPr>
              <w:t>4</w:t>
            </w:r>
            <w:r>
              <w:rPr>
                <w:noProof/>
                <w:webHidden/>
              </w:rPr>
              <w:fldChar w:fldCharType="end"/>
            </w:r>
          </w:hyperlink>
        </w:p>
        <w:p w14:paraId="15AA0405" w14:textId="611B4A85"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3" w:history="1">
            <w:r w:rsidRPr="001B1CF5">
              <w:rPr>
                <w:rStyle w:val="Hyperlink"/>
                <w:noProof/>
              </w:rPr>
              <w:t>Task 5 – A Letter to Your Younger Self</w:t>
            </w:r>
            <w:r>
              <w:rPr>
                <w:noProof/>
                <w:webHidden/>
              </w:rPr>
              <w:tab/>
            </w:r>
            <w:r>
              <w:rPr>
                <w:noProof/>
                <w:webHidden/>
              </w:rPr>
              <w:fldChar w:fldCharType="begin"/>
            </w:r>
            <w:r>
              <w:rPr>
                <w:noProof/>
                <w:webHidden/>
              </w:rPr>
              <w:instrText xml:space="preserve"> PAGEREF _Toc225310183 \h </w:instrText>
            </w:r>
            <w:r>
              <w:rPr>
                <w:noProof/>
                <w:webHidden/>
              </w:rPr>
            </w:r>
            <w:r>
              <w:rPr>
                <w:noProof/>
                <w:webHidden/>
              </w:rPr>
              <w:fldChar w:fldCharType="separate"/>
            </w:r>
            <w:r>
              <w:rPr>
                <w:noProof/>
                <w:webHidden/>
              </w:rPr>
              <w:t>6</w:t>
            </w:r>
            <w:r>
              <w:rPr>
                <w:noProof/>
                <w:webHidden/>
              </w:rPr>
              <w:fldChar w:fldCharType="end"/>
            </w:r>
          </w:hyperlink>
        </w:p>
        <w:p w14:paraId="3668FEF8" w14:textId="2D365961"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4" w:history="1">
            <w:r w:rsidRPr="001B1CF5">
              <w:rPr>
                <w:rStyle w:val="Hyperlink"/>
                <w:noProof/>
              </w:rPr>
              <w:t>Task 6 – GANTT Chart for Employment Goals</w:t>
            </w:r>
            <w:r>
              <w:rPr>
                <w:noProof/>
                <w:webHidden/>
              </w:rPr>
              <w:tab/>
            </w:r>
            <w:r>
              <w:rPr>
                <w:noProof/>
                <w:webHidden/>
              </w:rPr>
              <w:fldChar w:fldCharType="begin"/>
            </w:r>
            <w:r>
              <w:rPr>
                <w:noProof/>
                <w:webHidden/>
              </w:rPr>
              <w:instrText xml:space="preserve"> PAGEREF _Toc225310184 \h </w:instrText>
            </w:r>
            <w:r>
              <w:rPr>
                <w:noProof/>
                <w:webHidden/>
              </w:rPr>
            </w:r>
            <w:r>
              <w:rPr>
                <w:noProof/>
                <w:webHidden/>
              </w:rPr>
              <w:fldChar w:fldCharType="separate"/>
            </w:r>
            <w:r>
              <w:rPr>
                <w:noProof/>
                <w:webHidden/>
              </w:rPr>
              <w:t>6</w:t>
            </w:r>
            <w:r>
              <w:rPr>
                <w:noProof/>
                <w:webHidden/>
              </w:rPr>
              <w:fldChar w:fldCharType="end"/>
            </w:r>
          </w:hyperlink>
        </w:p>
        <w:p w14:paraId="750A510C" w14:textId="0AF96451"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5" w:history="1">
            <w:r w:rsidRPr="001B1CF5">
              <w:rPr>
                <w:rStyle w:val="Hyperlink"/>
                <w:noProof/>
              </w:rPr>
              <w:t>Task 7 – Report: Implementing Digital Medication Administration Records</w:t>
            </w:r>
            <w:r>
              <w:rPr>
                <w:noProof/>
                <w:webHidden/>
              </w:rPr>
              <w:tab/>
            </w:r>
            <w:r>
              <w:rPr>
                <w:noProof/>
                <w:webHidden/>
              </w:rPr>
              <w:fldChar w:fldCharType="begin"/>
            </w:r>
            <w:r>
              <w:rPr>
                <w:noProof/>
                <w:webHidden/>
              </w:rPr>
              <w:instrText xml:space="preserve"> PAGEREF _Toc225310185 \h </w:instrText>
            </w:r>
            <w:r>
              <w:rPr>
                <w:noProof/>
                <w:webHidden/>
              </w:rPr>
            </w:r>
            <w:r>
              <w:rPr>
                <w:noProof/>
                <w:webHidden/>
              </w:rPr>
              <w:fldChar w:fldCharType="separate"/>
            </w:r>
            <w:r>
              <w:rPr>
                <w:noProof/>
                <w:webHidden/>
              </w:rPr>
              <w:t>7</w:t>
            </w:r>
            <w:r>
              <w:rPr>
                <w:noProof/>
                <w:webHidden/>
              </w:rPr>
              <w:fldChar w:fldCharType="end"/>
            </w:r>
          </w:hyperlink>
        </w:p>
        <w:p w14:paraId="27D43B36" w14:textId="2DE784F2"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6" w:history="1">
            <w:r w:rsidRPr="001B1CF5">
              <w:rPr>
                <w:rStyle w:val="Hyperlink"/>
                <w:noProof/>
              </w:rPr>
              <w:t>Task 8 – Self-Reflection Using Gibbs’ Reflective Cycle</w:t>
            </w:r>
            <w:r>
              <w:rPr>
                <w:noProof/>
                <w:webHidden/>
              </w:rPr>
              <w:tab/>
            </w:r>
            <w:r>
              <w:rPr>
                <w:noProof/>
                <w:webHidden/>
              </w:rPr>
              <w:fldChar w:fldCharType="begin"/>
            </w:r>
            <w:r>
              <w:rPr>
                <w:noProof/>
                <w:webHidden/>
              </w:rPr>
              <w:instrText xml:space="preserve"> PAGEREF _Toc225310186 \h </w:instrText>
            </w:r>
            <w:r>
              <w:rPr>
                <w:noProof/>
                <w:webHidden/>
              </w:rPr>
            </w:r>
            <w:r>
              <w:rPr>
                <w:noProof/>
                <w:webHidden/>
              </w:rPr>
              <w:fldChar w:fldCharType="separate"/>
            </w:r>
            <w:r>
              <w:rPr>
                <w:noProof/>
                <w:webHidden/>
              </w:rPr>
              <w:t>8</w:t>
            </w:r>
            <w:r>
              <w:rPr>
                <w:noProof/>
                <w:webHidden/>
              </w:rPr>
              <w:fldChar w:fldCharType="end"/>
            </w:r>
          </w:hyperlink>
        </w:p>
        <w:p w14:paraId="13F05838" w14:textId="4E0B59DF"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7" w:history="1">
            <w:r w:rsidRPr="001B1CF5">
              <w:rPr>
                <w:rStyle w:val="Hyperlink"/>
                <w:noProof/>
              </w:rPr>
              <w:t>Conclusion</w:t>
            </w:r>
            <w:r>
              <w:rPr>
                <w:noProof/>
                <w:webHidden/>
              </w:rPr>
              <w:tab/>
            </w:r>
            <w:r>
              <w:rPr>
                <w:noProof/>
                <w:webHidden/>
              </w:rPr>
              <w:fldChar w:fldCharType="begin"/>
            </w:r>
            <w:r>
              <w:rPr>
                <w:noProof/>
                <w:webHidden/>
              </w:rPr>
              <w:instrText xml:space="preserve"> PAGEREF _Toc225310187 \h </w:instrText>
            </w:r>
            <w:r>
              <w:rPr>
                <w:noProof/>
                <w:webHidden/>
              </w:rPr>
            </w:r>
            <w:r>
              <w:rPr>
                <w:noProof/>
                <w:webHidden/>
              </w:rPr>
              <w:fldChar w:fldCharType="separate"/>
            </w:r>
            <w:r>
              <w:rPr>
                <w:noProof/>
                <w:webHidden/>
              </w:rPr>
              <w:t>9</w:t>
            </w:r>
            <w:r>
              <w:rPr>
                <w:noProof/>
                <w:webHidden/>
              </w:rPr>
              <w:fldChar w:fldCharType="end"/>
            </w:r>
          </w:hyperlink>
        </w:p>
        <w:p w14:paraId="06750868" w14:textId="299D9B56" w:rsidR="00802D92" w:rsidRDefault="00802D92">
          <w:pPr>
            <w:pStyle w:val="TOC2"/>
            <w:tabs>
              <w:tab w:val="right" w:leader="dot" w:pos="9019"/>
            </w:tabs>
            <w:rPr>
              <w:rFonts w:eastAsiaTheme="minorEastAsia" w:cstheme="minorBidi"/>
              <w:b w:val="0"/>
              <w:bCs w:val="0"/>
              <w:noProof/>
              <w:kern w:val="2"/>
              <w:sz w:val="24"/>
              <w:szCs w:val="24"/>
              <w:lang w:val="en-KW" w:eastAsia="en-US"/>
              <w14:ligatures w14:val="standardContextual"/>
            </w:rPr>
          </w:pPr>
          <w:hyperlink w:anchor="_Toc225310188" w:history="1">
            <w:r w:rsidRPr="001B1CF5">
              <w:rPr>
                <w:rStyle w:val="Hyperlink"/>
                <w:noProof/>
              </w:rPr>
              <w:t>Reference List</w:t>
            </w:r>
            <w:r>
              <w:rPr>
                <w:noProof/>
                <w:webHidden/>
              </w:rPr>
              <w:tab/>
            </w:r>
            <w:r>
              <w:rPr>
                <w:noProof/>
                <w:webHidden/>
              </w:rPr>
              <w:fldChar w:fldCharType="begin"/>
            </w:r>
            <w:r>
              <w:rPr>
                <w:noProof/>
                <w:webHidden/>
              </w:rPr>
              <w:instrText xml:space="preserve"> PAGEREF _Toc225310188 \h </w:instrText>
            </w:r>
            <w:r>
              <w:rPr>
                <w:noProof/>
                <w:webHidden/>
              </w:rPr>
            </w:r>
            <w:r>
              <w:rPr>
                <w:noProof/>
                <w:webHidden/>
              </w:rPr>
              <w:fldChar w:fldCharType="separate"/>
            </w:r>
            <w:r>
              <w:rPr>
                <w:noProof/>
                <w:webHidden/>
              </w:rPr>
              <w:t>9</w:t>
            </w:r>
            <w:r>
              <w:rPr>
                <w:noProof/>
                <w:webHidden/>
              </w:rPr>
              <w:fldChar w:fldCharType="end"/>
            </w:r>
          </w:hyperlink>
        </w:p>
        <w:p w14:paraId="0970B86A" w14:textId="1E5CF89A" w:rsidR="00802D92" w:rsidRDefault="00802D92">
          <w:r>
            <w:rPr>
              <w:b/>
              <w:bCs/>
              <w:noProof/>
            </w:rPr>
            <w:fldChar w:fldCharType="end"/>
          </w:r>
        </w:p>
      </w:sdtContent>
    </w:sdt>
    <w:p w14:paraId="1E7C223D" w14:textId="77777777" w:rsidR="00802D92" w:rsidRDefault="00802D92" w:rsidP="00802D92">
      <w:pPr>
        <w:jc w:val="center"/>
      </w:pPr>
    </w:p>
    <w:p w14:paraId="401006AA" w14:textId="77777777" w:rsidR="00802D92" w:rsidRDefault="00802D92" w:rsidP="00802D92">
      <w:pPr>
        <w:jc w:val="center"/>
      </w:pPr>
    </w:p>
    <w:p w14:paraId="4081DD7E" w14:textId="77777777" w:rsidR="00802D92" w:rsidRDefault="00802D92" w:rsidP="00802D92">
      <w:pPr>
        <w:jc w:val="center"/>
      </w:pPr>
    </w:p>
    <w:p w14:paraId="7450187D" w14:textId="77777777" w:rsidR="00802D92" w:rsidRDefault="00802D92" w:rsidP="00802D92">
      <w:pPr>
        <w:jc w:val="center"/>
      </w:pPr>
    </w:p>
    <w:p w14:paraId="751DC720" w14:textId="77777777" w:rsidR="00802D92" w:rsidRDefault="00802D92" w:rsidP="00802D92">
      <w:pPr>
        <w:jc w:val="center"/>
      </w:pPr>
    </w:p>
    <w:p w14:paraId="32CEBA9A" w14:textId="77777777" w:rsidR="00802D92" w:rsidRDefault="00802D92" w:rsidP="00802D92">
      <w:pPr>
        <w:jc w:val="center"/>
      </w:pPr>
    </w:p>
    <w:p w14:paraId="0C3D467D" w14:textId="77777777" w:rsidR="00802D92" w:rsidRDefault="00802D92" w:rsidP="00802D92">
      <w:pPr>
        <w:jc w:val="center"/>
      </w:pPr>
    </w:p>
    <w:p w14:paraId="0AEF9B0E" w14:textId="77777777" w:rsidR="00802D92" w:rsidRDefault="00802D92" w:rsidP="00802D92">
      <w:pPr>
        <w:jc w:val="center"/>
      </w:pPr>
    </w:p>
    <w:p w14:paraId="184521B7" w14:textId="77777777" w:rsidR="00802D92" w:rsidRDefault="00802D92" w:rsidP="00802D92">
      <w:pPr>
        <w:jc w:val="center"/>
      </w:pPr>
    </w:p>
    <w:p w14:paraId="1AE196AA" w14:textId="77777777" w:rsidR="00802D92" w:rsidRDefault="00802D92" w:rsidP="00802D92">
      <w:pPr>
        <w:jc w:val="center"/>
      </w:pPr>
    </w:p>
    <w:p w14:paraId="79C083F9" w14:textId="77777777" w:rsidR="00802D92" w:rsidRDefault="00802D92" w:rsidP="00802D92">
      <w:pPr>
        <w:jc w:val="center"/>
      </w:pPr>
    </w:p>
    <w:p w14:paraId="449FCF53" w14:textId="77777777" w:rsidR="00802D92" w:rsidRDefault="00802D92" w:rsidP="00802D92">
      <w:pPr>
        <w:jc w:val="center"/>
      </w:pPr>
    </w:p>
    <w:p w14:paraId="7B161B06" w14:textId="77777777" w:rsidR="00802D92" w:rsidRDefault="00802D92" w:rsidP="00802D92">
      <w:pPr>
        <w:jc w:val="center"/>
      </w:pPr>
    </w:p>
    <w:p w14:paraId="7A30AB43" w14:textId="77777777" w:rsidR="00802D92" w:rsidRDefault="00802D92" w:rsidP="00802D92">
      <w:pPr>
        <w:jc w:val="center"/>
      </w:pPr>
    </w:p>
    <w:p w14:paraId="70283FD2" w14:textId="77777777" w:rsidR="00802D92" w:rsidRPr="00802D92" w:rsidRDefault="00802D92" w:rsidP="00802D92">
      <w:pPr>
        <w:jc w:val="center"/>
      </w:pPr>
    </w:p>
    <w:p w14:paraId="5ED4005E" w14:textId="77777777" w:rsidR="00802D92" w:rsidRPr="00802D92" w:rsidRDefault="00802D92" w:rsidP="00802D92">
      <w:pPr>
        <w:pStyle w:val="Heading1"/>
      </w:pPr>
      <w:bookmarkStart w:id="1" w:name="_Toc225310178"/>
      <w:r w:rsidRPr="00802D92">
        <w:lastRenderedPageBreak/>
        <w:t>Introduction</w:t>
      </w:r>
      <w:bookmarkEnd w:id="1"/>
    </w:p>
    <w:p w14:paraId="061F0A24" w14:textId="5F4FCDA1" w:rsidR="00802D92" w:rsidRPr="00802D92" w:rsidRDefault="00802D92" w:rsidP="00802D92">
      <w:r w:rsidRPr="00802D92">
        <w:t xml:space="preserve">This portfolio consolidates </w:t>
      </w:r>
      <w:r>
        <w:t xml:space="preserve"> when offering </w:t>
      </w:r>
      <w:r w:rsidRPr="00802D92">
        <w:t>key tasks demonstrating professional development as a final-year</w:t>
      </w:r>
      <w:r>
        <w:t xml:space="preserve"> therefore to suggest </w:t>
      </w:r>
      <w:r w:rsidRPr="00802D92">
        <w:t xml:space="preserve"> </w:t>
      </w:r>
      <w:r>
        <w:t xml:space="preserve">I am a student studying in this academic university </w:t>
      </w:r>
      <w:r w:rsidRPr="00802D92">
        <w:t xml:space="preserve">It integrates reflective assignments </w:t>
      </w:r>
      <w:r>
        <w:t xml:space="preserve"> in this academic </w:t>
      </w:r>
      <w:r w:rsidRPr="00802D92">
        <w:t xml:space="preserve">on personal branding, networks, digital transformation, equality and inclusion, emotional intelligence, change management, planning and personal reflection. The health and social </w:t>
      </w:r>
      <w:r>
        <w:t xml:space="preserve"> when offering </w:t>
      </w:r>
      <w:r w:rsidRPr="00802D92">
        <w:t xml:space="preserve">care sector </w:t>
      </w:r>
      <w:proofErr w:type="gramStart"/>
      <w:r w:rsidRPr="00802D92">
        <w:t>is</w:t>
      </w:r>
      <w:proofErr w:type="gramEnd"/>
      <w:r w:rsidRPr="00802D92">
        <w:t xml:space="preserve"> undergoing rapid change, shaped by </w:t>
      </w:r>
      <w:r>
        <w:t xml:space="preserve">therefore to adapt and review </w:t>
      </w:r>
      <w:r w:rsidRPr="00802D92">
        <w:t xml:space="preserve">demographic pressures, technological advances and policy initiatives such as the NHS People Plan. The portfolio therefore aims to </w:t>
      </w:r>
      <w:proofErr w:type="spellStart"/>
      <w:r w:rsidRPr="00802D92">
        <w:t>synthesise</w:t>
      </w:r>
      <w:proofErr w:type="spellEnd"/>
      <w:r w:rsidRPr="00802D92">
        <w:t xml:space="preserve"> theoretical knowledge, current evidence and practical skills relevant for entering the workforce</w:t>
      </w:r>
      <w:r>
        <w:t xml:space="preserve"> in </w:t>
      </w:r>
      <w:proofErr w:type="spellStart"/>
      <w:r>
        <w:t>thisa</w:t>
      </w:r>
      <w:proofErr w:type="spellEnd"/>
      <w:r>
        <w:t xml:space="preserve"> </w:t>
      </w:r>
      <w:proofErr w:type="spellStart"/>
      <w:r>
        <w:t>rae</w:t>
      </w:r>
      <w:proofErr w:type="spellEnd"/>
      <w:r>
        <w:t xml:space="preserve"> </w:t>
      </w:r>
      <w:r w:rsidRPr="00802D92">
        <w:t>. The following tasks</w:t>
      </w:r>
      <w:r>
        <w:t xml:space="preserve"> </w:t>
      </w:r>
      <w:proofErr w:type="spellStart"/>
      <w:r>
        <w:t>whe</w:t>
      </w:r>
      <w:proofErr w:type="spellEnd"/>
      <w:r>
        <w:t xml:space="preserve"> offering </w:t>
      </w:r>
      <w:proofErr w:type="spellStart"/>
      <w:r>
        <w:t>thereforem</w:t>
      </w:r>
      <w:proofErr w:type="spellEnd"/>
      <w:r w:rsidRPr="00802D92">
        <w:t xml:space="preserve"> illustrate critical thinking, strategic planning and a</w:t>
      </w:r>
      <w:r>
        <w:t xml:space="preserve"> </w:t>
      </w:r>
      <w:proofErr w:type="spellStart"/>
      <w:r>
        <w:t>morea</w:t>
      </w:r>
      <w:proofErr w:type="spellEnd"/>
      <w:r>
        <w:t xml:space="preserve"> </w:t>
      </w:r>
      <w:proofErr w:type="spellStart"/>
      <w:r>
        <w:t>nd</w:t>
      </w:r>
      <w:proofErr w:type="spellEnd"/>
      <w:r>
        <w:t xml:space="preserve"> more </w:t>
      </w:r>
      <w:r w:rsidRPr="00802D92">
        <w:t xml:space="preserve"> commitment to </w:t>
      </w:r>
      <w:r>
        <w:t xml:space="preserve"> inn this continue </w:t>
      </w:r>
      <w:proofErr w:type="spellStart"/>
      <w:r>
        <w:t>realte</w:t>
      </w:r>
      <w:proofErr w:type="spellEnd"/>
      <w:r>
        <w:t xml:space="preserve"> </w:t>
      </w:r>
      <w:proofErr w:type="spellStart"/>
      <w:r>
        <w:t>d</w:t>
      </w:r>
      <w:r w:rsidRPr="00802D92">
        <w:t>continuous</w:t>
      </w:r>
      <w:proofErr w:type="spellEnd"/>
      <w:r w:rsidRPr="00802D92">
        <w:t xml:space="preserve"> improvement.</w:t>
      </w:r>
    </w:p>
    <w:p w14:paraId="6FD4C172" w14:textId="77777777" w:rsidR="00802D92" w:rsidRPr="00802D92" w:rsidRDefault="00802D92" w:rsidP="00802D92">
      <w:pPr>
        <w:pStyle w:val="Heading1"/>
      </w:pPr>
      <w:bookmarkStart w:id="2" w:name="_Toc225310179"/>
      <w:r w:rsidRPr="00802D92">
        <w:t>Task 1 – Personal Brand</w:t>
      </w:r>
      <w:bookmarkEnd w:id="2"/>
    </w:p>
    <w:p w14:paraId="500E1F5C" w14:textId="377B0621" w:rsidR="00802D92" w:rsidRPr="00802D92" w:rsidRDefault="00802D92" w:rsidP="00802D92">
      <w:r w:rsidRPr="00802D92">
        <w:t xml:space="preserve">My personal brand as a health and social </w:t>
      </w:r>
      <w:r>
        <w:t xml:space="preserve">when suggesting </w:t>
      </w:r>
      <w:r w:rsidRPr="00802D92">
        <w:t xml:space="preserve">care professional reflects core values of compassion, integrity and a </w:t>
      </w:r>
      <w:r>
        <w:t xml:space="preserve"> therefore to better understand </w:t>
      </w:r>
      <w:r w:rsidRPr="00802D92">
        <w:t>commitment to person-</w:t>
      </w:r>
      <w:proofErr w:type="spellStart"/>
      <w:r w:rsidRPr="00802D92">
        <w:t>centred</w:t>
      </w:r>
      <w:proofErr w:type="spellEnd"/>
      <w:r w:rsidRPr="00802D92">
        <w:t xml:space="preserve"> care. Building this brand involves aligning my </w:t>
      </w:r>
      <w:proofErr w:type="spellStart"/>
      <w:r w:rsidRPr="00802D92">
        <w:t>behaviours</w:t>
      </w:r>
      <w:proofErr w:type="spellEnd"/>
      <w:r w:rsidRPr="00802D92">
        <w:t xml:space="preserve"> and communication with these values so that potential employers </w:t>
      </w:r>
      <w:r>
        <w:t xml:space="preserve"> when offering </w:t>
      </w:r>
      <w:r w:rsidRPr="00802D92">
        <w:t xml:space="preserve">and service users </w:t>
      </w:r>
      <w:proofErr w:type="spellStart"/>
      <w:r w:rsidRPr="00802D92">
        <w:t>recognise</w:t>
      </w:r>
      <w:proofErr w:type="spellEnd"/>
      <w:r w:rsidRPr="00802D92">
        <w:t xml:space="preserve"> a coherent identity. Health care is a people-</w:t>
      </w:r>
      <w:r>
        <w:t xml:space="preserve"> can be assure </w:t>
      </w:r>
      <w:r w:rsidRPr="00802D92">
        <w:t>focused industry; developing a personal brand enables students to stand out in</w:t>
      </w:r>
      <w:r>
        <w:t xml:space="preserve"> </w:t>
      </w:r>
      <w:proofErr w:type="spellStart"/>
      <w:r>
        <w:t>theerfore</w:t>
      </w:r>
      <w:proofErr w:type="spellEnd"/>
      <w:r>
        <w:t xml:space="preserve"> tore view </w:t>
      </w:r>
      <w:r w:rsidRPr="00802D92">
        <w:t xml:space="preserve"> a competitive job market and build credibility and trust,</w:t>
      </w:r>
      <w:r>
        <w:t xml:space="preserve"> </w:t>
      </w:r>
      <w:proofErr w:type="spellStart"/>
      <w:r>
        <w:t>ti</w:t>
      </w:r>
      <w:proofErr w:type="spellEnd"/>
      <w:r>
        <w:t xml:space="preserve"> s </w:t>
      </w:r>
      <w:proofErr w:type="spellStart"/>
      <w:r>
        <w:t>conside</w:t>
      </w:r>
      <w:proofErr w:type="spellEnd"/>
      <w:r>
        <w:t xml:space="preserve"> and therefore </w:t>
      </w:r>
      <w:proofErr w:type="spellStart"/>
      <w:r>
        <w:t>imprita</w:t>
      </w:r>
      <w:proofErr w:type="spellEnd"/>
      <w:r>
        <w:t xml:space="preserve"> t </w:t>
      </w:r>
      <w:r w:rsidRPr="00802D92">
        <w:t xml:space="preserve"> especially when articulating professional achievements </w:t>
      </w:r>
      <w:r>
        <w:t xml:space="preserve"> therefore to be value </w:t>
      </w:r>
      <w:r w:rsidRPr="00802D92">
        <w:t>and values. Researchers highlight that personal</w:t>
      </w:r>
      <w:r>
        <w:t xml:space="preserve"> therefore to review</w:t>
      </w:r>
      <w:r w:rsidRPr="00802D92">
        <w:t xml:space="preserve"> branding helps healthcare professionals </w:t>
      </w:r>
      <w:r>
        <w:t xml:space="preserve"> more and more </w:t>
      </w:r>
      <w:proofErr w:type="spellStart"/>
      <w:r>
        <w:t>needed</w:t>
      </w:r>
      <w:r w:rsidRPr="00802D92">
        <w:t>differentiate</w:t>
      </w:r>
      <w:proofErr w:type="spellEnd"/>
      <w:r w:rsidRPr="00802D92">
        <w:t xml:space="preserve"> themselves and </w:t>
      </w:r>
      <w:r>
        <w:t xml:space="preserve"> more and more to set </w:t>
      </w:r>
      <w:proofErr w:type="spellStart"/>
      <w:r>
        <w:t>up</w:t>
      </w:r>
      <w:r w:rsidRPr="00802D92">
        <w:t>establish</w:t>
      </w:r>
      <w:proofErr w:type="spellEnd"/>
      <w:r>
        <w:t xml:space="preserve"> in this </w:t>
      </w:r>
      <w:proofErr w:type="spellStart"/>
      <w:r>
        <w:t>consideraitons</w:t>
      </w:r>
      <w:proofErr w:type="spellEnd"/>
      <w:r>
        <w:t xml:space="preserve"> </w:t>
      </w:r>
      <w:r w:rsidRPr="00802D92">
        <w:t xml:space="preserve"> authentic relationships with employers and patients through consistent</w:t>
      </w:r>
      <w:r>
        <w:t xml:space="preserve"> </w:t>
      </w:r>
      <w:proofErr w:type="spellStart"/>
      <w:r>
        <w:t>therefoer</w:t>
      </w:r>
      <w:proofErr w:type="spellEnd"/>
      <w:r>
        <w:t xml:space="preserve"> to review </w:t>
      </w:r>
      <w:r w:rsidRPr="00802D92">
        <w:t xml:space="preserve"> messaging and quality engagement on platforms such as LinkedIn and professional networks. To develop my </w:t>
      </w:r>
      <w:proofErr w:type="gramStart"/>
      <w:r w:rsidRPr="00802D92">
        <w:t>brand</w:t>
      </w:r>
      <w:proofErr w:type="gramEnd"/>
      <w:r w:rsidRPr="00802D92">
        <w:t xml:space="preserve"> I will critically</w:t>
      </w:r>
      <w:r>
        <w:t xml:space="preserve"> when offering</w:t>
      </w:r>
      <w:r w:rsidRPr="00802D92">
        <w:t xml:space="preserve"> audit my strengths, such as good communication, empathy and digital literacy, and reflect these in my </w:t>
      </w:r>
      <w:r>
        <w:t xml:space="preserve"> in this data context </w:t>
      </w:r>
      <w:r w:rsidRPr="00802D92">
        <w:t>CV, online profiles and interactions. Using social media responsibly</w:t>
      </w:r>
      <w:r>
        <w:t xml:space="preserve"> as per this to allow and review </w:t>
      </w:r>
      <w:r w:rsidRPr="00802D92">
        <w:t xml:space="preserve"> allows me to share insights from research and practice, connect with colleagues and demonstrate a reflective attitude toward learning. I will also seek mentorship and feedback to refine my </w:t>
      </w:r>
      <w:r>
        <w:t xml:space="preserve">can be </w:t>
      </w:r>
      <w:proofErr w:type="spellStart"/>
      <w:r>
        <w:t>achive</w:t>
      </w:r>
      <w:proofErr w:type="spellEnd"/>
      <w:r>
        <w:t xml:space="preserve"> therefore </w:t>
      </w:r>
      <w:r w:rsidRPr="00802D92">
        <w:t xml:space="preserve">narrative and articulate my goals clearly. According to recent literature, visibility and authenticity on social media can attract recruiters and expand professional </w:t>
      </w:r>
      <w:r>
        <w:t xml:space="preserve"> when considering </w:t>
      </w:r>
      <w:r w:rsidRPr="00802D92">
        <w:t>networks. Participating in conferences, volunteering and</w:t>
      </w:r>
      <w:r>
        <w:t xml:space="preserve"> when </w:t>
      </w:r>
      <w:proofErr w:type="spellStart"/>
      <w:r>
        <w:lastRenderedPageBreak/>
        <w:t>siggesting</w:t>
      </w:r>
      <w:proofErr w:type="spellEnd"/>
      <w:r w:rsidRPr="00802D92">
        <w:t xml:space="preserve"> publishing blog posts on current health and social care issues </w:t>
      </w:r>
      <w:r>
        <w:t xml:space="preserve"> in this </w:t>
      </w:r>
      <w:proofErr w:type="spellStart"/>
      <w:r>
        <w:t>conisderaitons</w:t>
      </w:r>
      <w:proofErr w:type="spellEnd"/>
      <w:r>
        <w:t xml:space="preserve"> </w:t>
      </w:r>
      <w:r w:rsidRPr="00802D92">
        <w:t>will further enhance my reputation. My brand will therefore be dynamic, evolving as I gain experience,</w:t>
      </w:r>
      <w:r>
        <w:t xml:space="preserve"> </w:t>
      </w:r>
      <w:proofErr w:type="gramStart"/>
      <w:r>
        <w:t>therefore</w:t>
      </w:r>
      <w:proofErr w:type="gramEnd"/>
      <w:r>
        <w:t xml:space="preserve"> to share and consider </w:t>
      </w:r>
      <w:r w:rsidRPr="00802D92">
        <w:t xml:space="preserve"> while remaining grounded in a commitment to equitable, evidence-based care.</w:t>
      </w:r>
    </w:p>
    <w:p w14:paraId="48D5EA4F" w14:textId="77777777" w:rsidR="00802D92" w:rsidRPr="00802D92" w:rsidRDefault="00802D92" w:rsidP="00802D92">
      <w:pPr>
        <w:pStyle w:val="Heading1"/>
      </w:pPr>
      <w:bookmarkStart w:id="3" w:name="_Toc225310180"/>
      <w:r w:rsidRPr="00802D92">
        <w:t>Task 2 – Network Map and Rationale</w:t>
      </w:r>
      <w:bookmarkEnd w:id="3"/>
    </w:p>
    <w:p w14:paraId="518AA307" w14:textId="77777777" w:rsidR="00802D92" w:rsidRPr="00802D92" w:rsidRDefault="00802D92" w:rsidP="00802D92">
      <w:r w:rsidRPr="00802D92">
        <w:t>Networks provide resources, knowledge, and opportunities for career advancement and well-being. My network includes career, support, social, and community (Healthcare Success, 2025). The figure shows these linkages with me at the center (</w:t>
      </w:r>
      <w:proofErr w:type="spellStart"/>
      <w:r w:rsidRPr="00802D92">
        <w:t>Accelabrand</w:t>
      </w:r>
      <w:proofErr w:type="spellEnd"/>
      <w:r w:rsidRPr="00802D92">
        <w:t>, 2025).</w:t>
      </w:r>
    </w:p>
    <w:p w14:paraId="4E9D2493" w14:textId="77777777" w:rsidR="00802D92" w:rsidRPr="00802D92" w:rsidRDefault="00802D92" w:rsidP="00802D92">
      <w:r w:rsidRPr="00802D92">
        <w:rPr>
          <w:noProof/>
        </w:rPr>
        <w:drawing>
          <wp:inline distT="0" distB="0" distL="0" distR="0" wp14:anchorId="520AB34C" wp14:editId="7F8D39F4">
            <wp:extent cx="4572000" cy="457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_map.png"/>
                    <pic:cNvPicPr/>
                  </pic:nvPicPr>
                  <pic:blipFill>
                    <a:blip r:embed="rId9"/>
                    <a:stretch>
                      <a:fillRect/>
                    </a:stretch>
                  </pic:blipFill>
                  <pic:spPr>
                    <a:xfrm>
                      <a:off x="0" y="0"/>
                      <a:ext cx="4572000" cy="4572000"/>
                    </a:xfrm>
                    <a:prstGeom prst="rect">
                      <a:avLst/>
                    </a:prstGeom>
                  </pic:spPr>
                </pic:pic>
              </a:graphicData>
            </a:graphic>
          </wp:inline>
        </w:drawing>
      </w:r>
    </w:p>
    <w:p w14:paraId="7D90FDDB" w14:textId="3B30DA9E" w:rsidR="00802D92" w:rsidRPr="00802D92" w:rsidRDefault="00802D92" w:rsidP="00802D92">
      <w:r w:rsidRPr="00802D92">
        <w:t>Careers include professors, mentors,</w:t>
      </w:r>
      <w:r>
        <w:t xml:space="preserve"> when </w:t>
      </w:r>
      <w:proofErr w:type="spellStart"/>
      <w:r>
        <w:t>consideirng</w:t>
      </w:r>
      <w:proofErr w:type="spellEnd"/>
      <w:r>
        <w:t xml:space="preserve"> this </w:t>
      </w:r>
      <w:r w:rsidRPr="00802D92">
        <w:t xml:space="preserve"> employers, and professional bodies. These contacts offer</w:t>
      </w:r>
      <w:r>
        <w:t xml:space="preserve"> it is </w:t>
      </w:r>
      <w:proofErr w:type="spellStart"/>
      <w:r>
        <w:t>improtnt</w:t>
      </w:r>
      <w:proofErr w:type="spellEnd"/>
      <w:r>
        <w:t xml:space="preserve"> to review </w:t>
      </w:r>
      <w:r w:rsidRPr="00802D92">
        <w:t xml:space="preserve"> advice, placements, references, and insights into industry trends. Building relationships with academic and professional contacts is crucial for accessing hidden employment</w:t>
      </w:r>
      <w:r>
        <w:t xml:space="preserve"> therefore to understand and </w:t>
      </w:r>
      <w:proofErr w:type="spellStart"/>
      <w:r>
        <w:t>comnsider</w:t>
      </w:r>
      <w:proofErr w:type="spellEnd"/>
      <w:r w:rsidRPr="00802D92">
        <w:t xml:space="preserve"> markets and collaborative initiatives, as 85% of jobs are filled through networking. Support comes from family, friends, and an academic tutor who offer emotional and practical support during studies and job applications (Design Inc, 2021). In stressful health care</w:t>
      </w:r>
      <w:r>
        <w:t xml:space="preserve"> more and more needed</w:t>
      </w:r>
      <w:r w:rsidRPr="00802D92">
        <w:t xml:space="preserve"> contexts, this personal network boosts resilience and reduces stress, according to study. My </w:t>
      </w:r>
      <w:r w:rsidRPr="00802D92">
        <w:lastRenderedPageBreak/>
        <w:t>social network includes friends, coworkers,</w:t>
      </w:r>
      <w:r>
        <w:t xml:space="preserve"> inn this data </w:t>
      </w:r>
      <w:r w:rsidRPr="00802D92">
        <w:t xml:space="preserve"> and internet communities. Knowledge exchange, peer learning, and encouragement are possible in these partnerships. Communities of practice help me keep up</w:t>
      </w:r>
      <w:r>
        <w:t xml:space="preserve"> </w:t>
      </w:r>
      <w:proofErr w:type="spellStart"/>
      <w:r>
        <w:t>therefoer</w:t>
      </w:r>
      <w:proofErr w:type="spellEnd"/>
      <w:r>
        <w:t xml:space="preserve"> to understand </w:t>
      </w:r>
      <w:r w:rsidRPr="00802D92">
        <w:t xml:space="preserve"> with policy changes and new evidence while strengthening collaborative skills. Finally, community involves volunteering, local health forums, and support groups</w:t>
      </w:r>
      <w:r>
        <w:t xml:space="preserve"> </w:t>
      </w:r>
      <w:proofErr w:type="gramStart"/>
      <w:r>
        <w:t>where</w:t>
      </w:r>
      <w:proofErr w:type="gramEnd"/>
      <w:r w:rsidRPr="00802D92">
        <w:t xml:space="preserve">. Engagement in community networks improves civic consciousness, cultural competence, </w:t>
      </w:r>
      <w:r>
        <w:t xml:space="preserve"> as per this area </w:t>
      </w:r>
      <w:r w:rsidRPr="00802D92">
        <w:t xml:space="preserve">and commitment to service users beyond employment. Keeping networks alive and </w:t>
      </w:r>
      <w:r>
        <w:t xml:space="preserve"> when </w:t>
      </w:r>
      <w:proofErr w:type="spellStart"/>
      <w:r>
        <w:t>offering</w:t>
      </w:r>
      <w:r w:rsidRPr="00802D92">
        <w:t>reciprocal</w:t>
      </w:r>
      <w:proofErr w:type="spellEnd"/>
      <w:r w:rsidRPr="00802D92">
        <w:t xml:space="preserve"> requires time and effort. I must avoid over-reliance </w:t>
      </w:r>
      <w:r>
        <w:t xml:space="preserve"> </w:t>
      </w:r>
      <w:proofErr w:type="spellStart"/>
      <w:r>
        <w:t>theerefore</w:t>
      </w:r>
      <w:proofErr w:type="spellEnd"/>
      <w:r>
        <w:t xml:space="preserve"> to review </w:t>
      </w:r>
      <w:r w:rsidRPr="00802D92">
        <w:t xml:space="preserve">on a homogenous circle that </w:t>
      </w:r>
      <w:proofErr w:type="gramStart"/>
      <w:r w:rsidRPr="00802D92">
        <w:t>could</w:t>
      </w:r>
      <w:r>
        <w:t xml:space="preserve"> can</w:t>
      </w:r>
      <w:proofErr w:type="gramEnd"/>
      <w:r>
        <w:t xml:space="preserve"> be </w:t>
      </w:r>
      <w:proofErr w:type="spellStart"/>
      <w:r>
        <w:t>achive</w:t>
      </w:r>
      <w:proofErr w:type="spellEnd"/>
      <w:r>
        <w:t xml:space="preserve"> </w:t>
      </w:r>
      <w:r w:rsidRPr="00802D92">
        <w:t xml:space="preserve"> limit new viewpoints. Diversifying my network across disciplines, backgrounds, and sectors would enhance my understanding and</w:t>
      </w:r>
      <w:r>
        <w:t xml:space="preserve"> </w:t>
      </w:r>
      <w:proofErr w:type="spellStart"/>
      <w:r>
        <w:t>whe</w:t>
      </w:r>
      <w:proofErr w:type="spellEnd"/>
      <w:r>
        <w:t xml:space="preserve"> suggesting </w:t>
      </w:r>
      <w:r w:rsidRPr="00802D92">
        <w:t xml:space="preserve"> enable cross-sector collaboration, mirroring the NHS's integrated care strategy (</w:t>
      </w:r>
      <w:proofErr w:type="spellStart"/>
      <w:r w:rsidRPr="00802D92">
        <w:t>Pharmaphorum</w:t>
      </w:r>
      <w:proofErr w:type="spellEnd"/>
      <w:r w:rsidRPr="00802D92">
        <w:t xml:space="preserve"> ACR, 2025).</w:t>
      </w:r>
    </w:p>
    <w:p w14:paraId="3E67AE53" w14:textId="77777777" w:rsidR="00802D92" w:rsidRPr="00802D92" w:rsidRDefault="00802D92" w:rsidP="00802D92">
      <w:pPr>
        <w:pStyle w:val="Heading1"/>
      </w:pPr>
      <w:bookmarkStart w:id="4" w:name="_Toc225310181"/>
      <w:r w:rsidRPr="00802D92">
        <w:t>Task 3 – Blog: Navigating Digital Transformation in Health and Social Care</w:t>
      </w:r>
      <w:bookmarkEnd w:id="4"/>
    </w:p>
    <w:p w14:paraId="2A97720E" w14:textId="6B9A2AB3" w:rsidR="00802D92" w:rsidRPr="00802D92" w:rsidRDefault="00802D92" w:rsidP="00802D92">
      <w:r w:rsidRPr="00802D92">
        <w:t>Digital revolution is changing</w:t>
      </w:r>
      <w:r>
        <w:t xml:space="preserve"> cab </w:t>
      </w:r>
      <w:proofErr w:type="gramStart"/>
      <w:r>
        <w:t>be</w:t>
      </w:r>
      <w:proofErr w:type="gramEnd"/>
      <w:r>
        <w:t xml:space="preserve"> assure </w:t>
      </w:r>
      <w:r w:rsidRPr="00802D92">
        <w:t xml:space="preserve"> UK health and social care. The NHS is moving from analogue to digital to improve outcomes, efficiency, and patient co-management. The NHS Long Term Plan</w:t>
      </w:r>
      <w:r>
        <w:t xml:space="preserve"> therefore </w:t>
      </w:r>
      <w:proofErr w:type="gramStart"/>
      <w:r>
        <w:t>needed</w:t>
      </w:r>
      <w:proofErr w:type="gramEnd"/>
      <w:r>
        <w:t xml:space="preserve"> </w:t>
      </w:r>
      <w:r w:rsidRPr="00802D92">
        <w:t xml:space="preserve"> and government programs </w:t>
      </w:r>
      <w:proofErr w:type="spellStart"/>
      <w:r w:rsidRPr="00802D92">
        <w:t>prioritise</w:t>
      </w:r>
      <w:proofErr w:type="spellEnd"/>
      <w:r w:rsidRPr="00802D92">
        <w:t xml:space="preserve"> integrated care systems, data-driven decision-making, and AI for mundane jobs. Digital skills are growing essential for </w:t>
      </w:r>
      <w:proofErr w:type="gramStart"/>
      <w:r w:rsidRPr="00802D92">
        <w:t>students</w:t>
      </w:r>
      <w:proofErr w:type="gramEnd"/>
      <w:r>
        <w:t xml:space="preserve"> </w:t>
      </w:r>
      <w:proofErr w:type="spellStart"/>
      <w:r>
        <w:t>inn</w:t>
      </w:r>
      <w:proofErr w:type="spellEnd"/>
      <w:r>
        <w:t xml:space="preserve"> this area </w:t>
      </w:r>
      <w:r w:rsidRPr="00802D92">
        <w:t xml:space="preserve"> and early-career professionals, so knowing these developments is critical. Electronic records, telehealth, and remote monitoring boost productivity and patient </w:t>
      </w:r>
      <w:r>
        <w:t xml:space="preserve"> can be </w:t>
      </w:r>
      <w:proofErr w:type="gramStart"/>
      <w:r>
        <w:t>consider</w:t>
      </w:r>
      <w:proofErr w:type="gramEnd"/>
      <w:r>
        <w:t xml:space="preserve"> and therefore impacted </w:t>
      </w:r>
      <w:r w:rsidRPr="00802D92">
        <w:t xml:space="preserve">happiness, according to research. Recent Adult Social Care Provider Technology Survey reveals 73% of providers use care technology, with varying adoption rates and 27% operating without digital tools. Monitoring, digital care records, and electronic medicine delivery systems were common solutions. For small businesses, </w:t>
      </w:r>
      <w:r>
        <w:t xml:space="preserve"> </w:t>
      </w:r>
      <w:proofErr w:type="spellStart"/>
      <w:r>
        <w:t>therefoe</w:t>
      </w:r>
      <w:proofErr w:type="spellEnd"/>
      <w:r>
        <w:t xml:space="preserve"> to review amor </w:t>
      </w:r>
      <w:proofErr w:type="spellStart"/>
      <w:r>
        <w:t>eand</w:t>
      </w:r>
      <w:proofErr w:type="spellEnd"/>
      <w:r>
        <w:t xml:space="preserve"> more </w:t>
      </w:r>
      <w:r w:rsidRPr="00802D92">
        <w:t xml:space="preserve">significant set-up expenses, continuing </w:t>
      </w:r>
      <w:proofErr w:type="spellStart"/>
      <w:r w:rsidRPr="00802D92">
        <w:t>licence</w:t>
      </w:r>
      <w:proofErr w:type="spellEnd"/>
      <w:r w:rsidRPr="00802D92">
        <w:t xml:space="preserve"> fees, personnel training, and connectivity limits remain. The NHS has tested AI technologies like Microsoft 365 Copilot, which </w:t>
      </w:r>
      <w:proofErr w:type="spellStart"/>
      <w:r w:rsidRPr="00802D92">
        <w:t>summarise</w:t>
      </w:r>
      <w:proofErr w:type="spellEnd"/>
      <w:r w:rsidRPr="00802D92">
        <w:t xml:space="preserve"> emails and meetings, saving staff an average of </w:t>
      </w:r>
      <w:r>
        <w:t xml:space="preserve">can be </w:t>
      </w:r>
      <w:proofErr w:type="spellStart"/>
      <w:r>
        <w:t>asure</w:t>
      </w:r>
      <w:proofErr w:type="spellEnd"/>
      <w:r>
        <w:t xml:space="preserve"> therefore </w:t>
      </w:r>
      <w:r w:rsidRPr="00802D92">
        <w:t>43 minutes daily. This trial showed how to improve productivity and reinvest in patient care. As a learner, I may participate in digital innovation by participating in training, pilot initiatives, and evidence-based tool adoption (Agile Brand Guide, 2025). The digital divide may worsen disparities if service users lack connectivity or digital</w:t>
      </w:r>
      <w:r>
        <w:t xml:space="preserve"> </w:t>
      </w:r>
      <w:proofErr w:type="gramStart"/>
      <w:r>
        <w:t>all of</w:t>
      </w:r>
      <w:proofErr w:type="gramEnd"/>
      <w:r>
        <w:t xml:space="preserve"> </w:t>
      </w:r>
      <w:proofErr w:type="spellStart"/>
      <w:r>
        <w:t>rehmr</w:t>
      </w:r>
      <w:proofErr w:type="spellEnd"/>
      <w:r>
        <w:t xml:space="preserve"> </w:t>
      </w:r>
      <w:proofErr w:type="spellStart"/>
      <w:r>
        <w:t>alted</w:t>
      </w:r>
      <w:proofErr w:type="spellEnd"/>
      <w:r>
        <w:t xml:space="preserve"> </w:t>
      </w:r>
      <w:r w:rsidRPr="00802D92">
        <w:t xml:space="preserve"> proficiency. Maintaining confidence requires </w:t>
      </w:r>
      <w:proofErr w:type="spellStart"/>
      <w:r w:rsidRPr="00802D92">
        <w:t>prioritising</w:t>
      </w:r>
      <w:proofErr w:type="spellEnd"/>
      <w:r w:rsidRPr="00802D92">
        <w:t xml:space="preserve"> data security and privacy. Supporting digital competency development in the workforce includes accessible</w:t>
      </w:r>
      <w:r>
        <w:t xml:space="preserve"> it is </w:t>
      </w:r>
      <w:proofErr w:type="spellStart"/>
      <w:r>
        <w:t>improtan</w:t>
      </w:r>
      <w:proofErr w:type="spellEnd"/>
      <w:r>
        <w:t xml:space="preserve"> rand </w:t>
      </w:r>
      <w:proofErr w:type="spellStart"/>
      <w:r>
        <w:t>eneded</w:t>
      </w:r>
      <w:proofErr w:type="spellEnd"/>
      <w:r w:rsidRPr="00802D92">
        <w:t xml:space="preserve"> training and addressing concerns that technology may replace human roles. Peers should embrace digital transformation proactively. </w:t>
      </w:r>
      <w:r w:rsidRPr="00802D92">
        <w:lastRenderedPageBreak/>
        <w:t xml:space="preserve">Use digital platforms and follow policy changes. Learn data literacy and critical thinking to create safe, inclusive, and </w:t>
      </w:r>
      <w:r>
        <w:t xml:space="preserve"> in this </w:t>
      </w:r>
      <w:proofErr w:type="spellStart"/>
      <w:r>
        <w:t>consideratins</w:t>
      </w:r>
      <w:r w:rsidRPr="00802D92">
        <w:t>productive</w:t>
      </w:r>
      <w:proofErr w:type="spellEnd"/>
      <w:r w:rsidRPr="00802D92">
        <w:t xml:space="preserve"> digital solutions. Health and social care will depend on clinicians and care workers who use</w:t>
      </w:r>
      <w:r>
        <w:t xml:space="preserve"> can be </w:t>
      </w:r>
      <w:proofErr w:type="spellStart"/>
      <w:r>
        <w:t>asure</w:t>
      </w:r>
      <w:proofErr w:type="spellEnd"/>
      <w:r>
        <w:t xml:space="preserve"> and therefore </w:t>
      </w:r>
      <w:proofErr w:type="gramStart"/>
      <w:r>
        <w:t xml:space="preserve">these </w:t>
      </w:r>
      <w:r w:rsidRPr="00802D92">
        <w:t xml:space="preserve"> technology</w:t>
      </w:r>
      <w:proofErr w:type="gramEnd"/>
      <w:r w:rsidRPr="00802D92">
        <w:t xml:space="preserve"> to provide compassionate, person-</w:t>
      </w:r>
      <w:proofErr w:type="spellStart"/>
      <w:r w:rsidRPr="00802D92">
        <w:t>centred</w:t>
      </w:r>
      <w:proofErr w:type="spellEnd"/>
      <w:r w:rsidRPr="00802D92">
        <w:t xml:space="preserve"> care (Wooldridge, 2022).</w:t>
      </w:r>
    </w:p>
    <w:p w14:paraId="0EFF5D01" w14:textId="77777777" w:rsidR="00802D92" w:rsidRPr="00802D92" w:rsidRDefault="00802D92" w:rsidP="00802D92">
      <w:pPr>
        <w:pStyle w:val="Heading2"/>
        <w:rPr>
          <w:sz w:val="24"/>
          <w:szCs w:val="24"/>
        </w:rPr>
      </w:pPr>
      <w:bookmarkStart w:id="5" w:name="_Toc225310182"/>
      <w:r w:rsidRPr="00802D92">
        <w:rPr>
          <w:sz w:val="24"/>
          <w:szCs w:val="24"/>
        </w:rPr>
        <w:t>Task 4 – NHS Equality, Diversity and Inclusion Quiz</w:t>
      </w:r>
      <w:bookmarkEnd w:id="5"/>
    </w:p>
    <w:p w14:paraId="759FA1A3" w14:textId="77777777" w:rsidR="00802D92" w:rsidRPr="00802D92" w:rsidRDefault="00802D92" w:rsidP="00802D92">
      <w:r w:rsidRPr="00802D92">
        <w:t xml:space="preserve">1. What is the main objective of the NHS Equality, Diversity, and Inclusion Improvement </w:t>
      </w:r>
      <w:proofErr w:type="spellStart"/>
      <w:r w:rsidRPr="00802D92">
        <w:t>Plan?The</w:t>
      </w:r>
      <w:proofErr w:type="spellEnd"/>
      <w:r w:rsidRPr="00802D92">
        <w:t xml:space="preserve"> plan aims to increase equity, diversity, and inclusion in the NHS workforce and foster a sense of </w:t>
      </w:r>
      <w:proofErr w:type="gramStart"/>
      <w:r w:rsidRPr="00802D92">
        <w:t>belonging</w:t>
      </w:r>
      <w:proofErr w:type="gramEnd"/>
      <w:r w:rsidRPr="00802D92">
        <w:t xml:space="preserve"> so staff feel appreciated and empowered to offer good care.2. How will the NHS EDI Improvement Plan address the gender pay </w:t>
      </w:r>
      <w:proofErr w:type="spellStart"/>
      <w:r w:rsidRPr="00802D92">
        <w:t>gap?This</w:t>
      </w:r>
      <w:proofErr w:type="spellEnd"/>
      <w:r w:rsidRPr="00802D92">
        <w:t xml:space="preserve"> directive requires </w:t>
      </w:r>
      <w:proofErr w:type="spellStart"/>
      <w:r w:rsidRPr="00802D92">
        <w:t>organisations</w:t>
      </w:r>
      <w:proofErr w:type="spellEnd"/>
      <w:r w:rsidRPr="00802D92">
        <w:t xml:space="preserve"> to establish gender pay gap action plans, including assessing pay discrepancies by protected characteristics, following 'Mend the Gap' report recommendations, and supporting flexible work arrangements for women to advance to senior </w:t>
      </w:r>
      <w:proofErr w:type="spellStart"/>
      <w:r w:rsidRPr="00802D92">
        <w:t>jobs.The</w:t>
      </w:r>
      <w:proofErr w:type="spellEnd"/>
      <w:r w:rsidRPr="00802D92">
        <w:t xml:space="preserve"> term ‘intersectionality’ in the NHS EDI Improvement Plan refers to the recognition that individuals may face multiple forms of discrimination based on characteristics such as race, gender, sexuality, and disability. Addressing one characteristic alone is insufficient to achieve equity.4. Why is a psychologically safe work environment crucial for the NHS?** Psychological safety enables staff to report concerns and protest inappropriate </w:t>
      </w:r>
      <w:proofErr w:type="spellStart"/>
      <w:r w:rsidRPr="00802D92">
        <w:t>behaviour</w:t>
      </w:r>
      <w:proofErr w:type="spellEnd"/>
      <w:r w:rsidRPr="00802D92">
        <w:t xml:space="preserve"> without fear of repercussions. Bullying and harassment cause stress, illness, and inferior treatment, while inclusive cultures increase teamwork, innovation, and patient </w:t>
      </w:r>
      <w:proofErr w:type="spellStart"/>
      <w:r w:rsidRPr="00802D92">
        <w:t>safety.The</w:t>
      </w:r>
      <w:proofErr w:type="spellEnd"/>
      <w:r w:rsidRPr="00802D92">
        <w:t xml:space="preserve"> NHS EDI Improvement Plan recommends clear communication about employment conditions, comprehensive onboarding and pastoral support, cultural competency training, and equal development opportunities to enhance the experience of internationally recruited staff.6. How can leadership contribute to EDI objectives in the NHS Improvement Plan? Leaders shape corporate culture. CEOs and board members must have EDI goals and exemplify inclusive, caring leadership that empowers diverse teams.7. Identify a manner the NHS EDI Improvement Plan wants to address worker health disparities (Saba, 2021).The plan aims to reduce bullying and harassment by examining disciplinary processes, supporting victims, and increasing employment opportunities for underprivileged populations to enhance staff wellbeing and </w:t>
      </w:r>
      <w:proofErr w:type="spellStart"/>
      <w:r w:rsidRPr="00802D92">
        <w:t>representation.Why</w:t>
      </w:r>
      <w:proofErr w:type="spellEnd"/>
      <w:r w:rsidRPr="00802D92">
        <w:t xml:space="preserve"> does the NHS EDI Improvement Plan </w:t>
      </w:r>
      <w:proofErr w:type="spellStart"/>
      <w:r w:rsidRPr="00802D92">
        <w:t>prioritise</w:t>
      </w:r>
      <w:proofErr w:type="spellEnd"/>
      <w:r w:rsidRPr="00802D92">
        <w:t xml:space="preserve"> collecting and </w:t>
      </w:r>
      <w:proofErr w:type="spellStart"/>
      <w:r w:rsidRPr="00802D92">
        <w:t>analysing</w:t>
      </w:r>
      <w:proofErr w:type="spellEnd"/>
      <w:r w:rsidRPr="00802D92">
        <w:t xml:space="preserve"> data on protected characteristics? Reliable data helps </w:t>
      </w:r>
      <w:proofErr w:type="spellStart"/>
      <w:r w:rsidRPr="00802D92">
        <w:t>organisations</w:t>
      </w:r>
      <w:proofErr w:type="spellEnd"/>
      <w:r w:rsidRPr="00802D92">
        <w:t xml:space="preserve"> discover discrepancies, track progress, and create targeted interventions. To make informed, intersectional judgements, the plan recommends upgrading gender, sexuality, ethnicity, and disability data.9. Discuss how flexible working arrangements </w:t>
      </w:r>
      <w:r w:rsidRPr="00802D92">
        <w:lastRenderedPageBreak/>
        <w:t xml:space="preserve">promote equity and participation in the NHS workforce (Evans, 2014).Flexible work arrangements in attraction and retention plans aid staff in balancing care obligations, reducing hurdles for those with disabilities or long-term conditions, and promoting diverse advancement into senior </w:t>
      </w:r>
      <w:proofErr w:type="spellStart"/>
      <w:r w:rsidRPr="00802D92">
        <w:t>jobs.What</w:t>
      </w:r>
      <w:proofErr w:type="spellEnd"/>
      <w:r w:rsidRPr="00802D92">
        <w:t xml:space="preserve"> strategy is listed in the NHS EDI Improvement Plan to reduce workplace bullying and </w:t>
      </w:r>
      <w:proofErr w:type="spellStart"/>
      <w:r w:rsidRPr="00802D92">
        <w:t>harassment?To</w:t>
      </w:r>
      <w:proofErr w:type="spellEnd"/>
      <w:r w:rsidRPr="00802D92">
        <w:t xml:space="preserve"> combat bullying, </w:t>
      </w:r>
      <w:proofErr w:type="spellStart"/>
      <w:r w:rsidRPr="00802D92">
        <w:t>organisations</w:t>
      </w:r>
      <w:proofErr w:type="spellEnd"/>
      <w:r w:rsidRPr="00802D92">
        <w:t xml:space="preserve"> should establish targets, examine data by protected characteristics, and foster safe spaces for personnel to speak up. Eliminating bullying and harassment requires training, early intervention, and compassionate leadership.</w:t>
      </w:r>
    </w:p>
    <w:p w14:paraId="0808E5DA" w14:textId="77777777" w:rsidR="00802D92" w:rsidRPr="00802D92" w:rsidRDefault="00802D92" w:rsidP="00802D92">
      <w:pPr>
        <w:pStyle w:val="Heading2"/>
        <w:rPr>
          <w:sz w:val="24"/>
          <w:szCs w:val="24"/>
        </w:rPr>
      </w:pPr>
      <w:bookmarkStart w:id="6" w:name="_Toc225310183"/>
      <w:r w:rsidRPr="00802D92">
        <w:rPr>
          <w:sz w:val="24"/>
          <w:szCs w:val="24"/>
        </w:rPr>
        <w:t>Task 5 – A Letter to Your Younger Self</w:t>
      </w:r>
      <w:bookmarkEnd w:id="6"/>
    </w:p>
    <w:p w14:paraId="5866846E" w14:textId="77777777" w:rsidR="00802D92" w:rsidRPr="00802D92" w:rsidRDefault="00802D92" w:rsidP="00802D92">
      <w:r w:rsidRPr="00802D92">
        <w:t xml:space="preserve">Dear Younger </w:t>
      </w:r>
      <w:proofErr w:type="spellStart"/>
      <w:r w:rsidRPr="00802D92">
        <w:t>Me,I</w:t>
      </w:r>
      <w:proofErr w:type="spellEnd"/>
      <w:r w:rsidRPr="00802D92">
        <w:t xml:space="preserve"> remember how deadlines, placement hours, and personal obligations overwhelmed you in your second year. You </w:t>
      </w:r>
      <w:proofErr w:type="spellStart"/>
      <w:r w:rsidRPr="00802D92">
        <w:t>internalised</w:t>
      </w:r>
      <w:proofErr w:type="spellEnd"/>
      <w:r w:rsidRPr="00802D92">
        <w:t xml:space="preserve"> tension and lacked confidence to ask for help. Emotional intelligence and resilience are my advice if I could go back. Self-awareness—recognizing your worry, fear, and irritation and how they affect your behavior—is the first step to emotional intelligence. You can manage emotions by naming them. Empathy improves goodwill and interactions with peers and mentors. Showing empathy and support to a colleague under duress fosters trust and a supportive </w:t>
      </w:r>
      <w:proofErr w:type="spellStart"/>
      <w:r w:rsidRPr="00802D92">
        <w:t>workplace.Being</w:t>
      </w:r>
      <w:proofErr w:type="spellEnd"/>
      <w:r w:rsidRPr="00802D92">
        <w:t xml:space="preserve"> resilient means adapting and learning from setbacks. Look at setbacks as learning opportunities. Improve your practice with professor and supervisor comments. Ask friends, family, and tutors for help when you're overwhelmed (BCC Healthcare Branding, 2024). Take pauses, exercise, and have hobbies to reduce stress. Self-care is not selfish—it helps you help </w:t>
      </w:r>
      <w:proofErr w:type="spellStart"/>
      <w:r w:rsidRPr="00802D92">
        <w:t>others.If</w:t>
      </w:r>
      <w:proofErr w:type="spellEnd"/>
      <w:r w:rsidRPr="00802D92">
        <w:t xml:space="preserve"> you had developed these traits earlier, you would have faced challenging situations with more confidence and clarity (</w:t>
      </w:r>
      <w:proofErr w:type="spellStart"/>
      <w:r w:rsidRPr="00802D92">
        <w:t>Pharmaphorum</w:t>
      </w:r>
      <w:proofErr w:type="spellEnd"/>
      <w:r w:rsidRPr="00802D92">
        <w:t xml:space="preserve">, 2026). Emotional intelligence and resilience can help you overcome challenges, stay healthy, and become a caring health and social care </w:t>
      </w:r>
      <w:proofErr w:type="spellStart"/>
      <w:r w:rsidRPr="00802D92">
        <w:t>provider.Future</w:t>
      </w:r>
      <w:proofErr w:type="spellEnd"/>
      <w:r w:rsidRPr="00802D92">
        <w:t xml:space="preserve"> You</w:t>
      </w:r>
    </w:p>
    <w:p w14:paraId="6FF35E8D" w14:textId="77777777" w:rsidR="00802D92" w:rsidRPr="00802D92" w:rsidRDefault="00802D92" w:rsidP="00802D92">
      <w:pPr>
        <w:pStyle w:val="Heading1"/>
      </w:pPr>
      <w:bookmarkStart w:id="7" w:name="_Toc225310184"/>
      <w:r w:rsidRPr="00802D92">
        <w:t>Task 6 – GANTT Chart for Employment Goals</w:t>
      </w:r>
      <w:bookmarkEnd w:id="7"/>
    </w:p>
    <w:p w14:paraId="667F4B52" w14:textId="77777777" w:rsidR="00802D92" w:rsidRPr="00802D92" w:rsidRDefault="00802D92" w:rsidP="00802D92">
      <w:r w:rsidRPr="00802D92">
        <w:t xml:space="preserve">A timeframe is needed for my job transition. The Gantt chart below shows significant tasks from now to my career start. The last semester and coursework lay the groundwork. I will also get a placement or part-time job to show potential employers my skills and dedication. Between May and August, networking and professional training will increase my relationships and improve my digital literacy, leadership, and cultural competence. Developing my CV and applications in July and early August prepares me to apply when vacancies open (IJNRD, 2019). I will then spend late August and September refining job applications to employer values and requirements. Finally, I will </w:t>
      </w:r>
      <w:proofErr w:type="spellStart"/>
      <w:r w:rsidRPr="00802D92">
        <w:t>practise</w:t>
      </w:r>
      <w:proofErr w:type="spellEnd"/>
      <w:r w:rsidRPr="00802D92">
        <w:t xml:space="preserve"> interview responses, reflect on my experiences, and get feedback. This strategy allows overlapping jobs to maximize efficiency and focus.</w:t>
      </w:r>
    </w:p>
    <w:p w14:paraId="3C796B9F" w14:textId="77777777" w:rsidR="00802D92" w:rsidRPr="00802D92" w:rsidRDefault="00802D92" w:rsidP="00802D92">
      <w:r w:rsidRPr="00802D92">
        <w:rPr>
          <w:noProof/>
        </w:rPr>
        <w:lastRenderedPageBreak/>
        <w:drawing>
          <wp:inline distT="0" distB="0" distL="0" distR="0" wp14:anchorId="67F5538D" wp14:editId="49934979">
            <wp:extent cx="4572000" cy="2286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_chart.png"/>
                    <pic:cNvPicPr/>
                  </pic:nvPicPr>
                  <pic:blipFill>
                    <a:blip r:embed="rId10"/>
                    <a:stretch>
                      <a:fillRect/>
                    </a:stretch>
                  </pic:blipFill>
                  <pic:spPr>
                    <a:xfrm>
                      <a:off x="0" y="0"/>
                      <a:ext cx="4572000" cy="2286000"/>
                    </a:xfrm>
                    <a:prstGeom prst="rect">
                      <a:avLst/>
                    </a:prstGeom>
                  </pic:spPr>
                </pic:pic>
              </a:graphicData>
            </a:graphic>
          </wp:inline>
        </w:drawing>
      </w:r>
    </w:p>
    <w:tbl>
      <w:tblPr>
        <w:tblStyle w:val="LightList-Accent1"/>
        <w:tblW w:w="0" w:type="auto"/>
        <w:tblLook w:val="04A0" w:firstRow="1" w:lastRow="0" w:firstColumn="1" w:lastColumn="0" w:noHBand="0" w:noVBand="1"/>
      </w:tblPr>
      <w:tblGrid>
        <w:gridCol w:w="2160"/>
        <w:gridCol w:w="2160"/>
        <w:gridCol w:w="2160"/>
        <w:gridCol w:w="2160"/>
      </w:tblGrid>
      <w:tr w:rsidR="00802D92" w:rsidRPr="00802D92" w14:paraId="5887DCD4" w14:textId="77777777" w:rsidTr="00B25C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9227CA5"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Task</w:t>
            </w:r>
          </w:p>
        </w:tc>
        <w:tc>
          <w:tcPr>
            <w:tcW w:w="2160" w:type="dxa"/>
          </w:tcPr>
          <w:p w14:paraId="5B147D2A" w14:textId="77777777" w:rsidR="00802D92" w:rsidRPr="00802D92" w:rsidRDefault="00802D92" w:rsidP="00802D9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Start Date</w:t>
            </w:r>
          </w:p>
        </w:tc>
        <w:tc>
          <w:tcPr>
            <w:tcW w:w="2160" w:type="dxa"/>
          </w:tcPr>
          <w:p w14:paraId="3C128914" w14:textId="77777777" w:rsidR="00802D92" w:rsidRPr="00802D92" w:rsidRDefault="00802D92" w:rsidP="00802D9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Finish Date</w:t>
            </w:r>
          </w:p>
        </w:tc>
        <w:tc>
          <w:tcPr>
            <w:tcW w:w="2160" w:type="dxa"/>
          </w:tcPr>
          <w:p w14:paraId="2E218F6C" w14:textId="77777777" w:rsidR="00802D92" w:rsidRPr="00802D92" w:rsidRDefault="00802D92" w:rsidP="00802D9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Duration (days)</w:t>
            </w:r>
          </w:p>
        </w:tc>
      </w:tr>
      <w:tr w:rsidR="00802D92" w:rsidRPr="00802D92" w14:paraId="69B54A9B" w14:textId="77777777" w:rsidTr="00B25C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F2F8C80"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Complete final semester assignments</w:t>
            </w:r>
          </w:p>
        </w:tc>
        <w:tc>
          <w:tcPr>
            <w:tcW w:w="2160" w:type="dxa"/>
          </w:tcPr>
          <w:p w14:paraId="0E2E0263"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2026-03-25</w:t>
            </w:r>
          </w:p>
        </w:tc>
        <w:tc>
          <w:tcPr>
            <w:tcW w:w="2160" w:type="dxa"/>
          </w:tcPr>
          <w:p w14:paraId="161E5B6C"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2026-06-15</w:t>
            </w:r>
          </w:p>
        </w:tc>
        <w:tc>
          <w:tcPr>
            <w:tcW w:w="2160" w:type="dxa"/>
          </w:tcPr>
          <w:p w14:paraId="25A5EE57"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82</w:t>
            </w:r>
          </w:p>
        </w:tc>
      </w:tr>
      <w:tr w:rsidR="00802D92" w:rsidRPr="00802D92" w14:paraId="149A25F6" w14:textId="77777777" w:rsidTr="00B25CEB">
        <w:tc>
          <w:tcPr>
            <w:cnfStyle w:val="001000000000" w:firstRow="0" w:lastRow="0" w:firstColumn="1" w:lastColumn="0" w:oddVBand="0" w:evenVBand="0" w:oddHBand="0" w:evenHBand="0" w:firstRowFirstColumn="0" w:firstRowLastColumn="0" w:lastRowFirstColumn="0" w:lastRowLastColumn="0"/>
            <w:tcW w:w="2160" w:type="dxa"/>
          </w:tcPr>
          <w:p w14:paraId="6AFC15B1"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Gain placement/part-time job</w:t>
            </w:r>
          </w:p>
        </w:tc>
        <w:tc>
          <w:tcPr>
            <w:tcW w:w="2160" w:type="dxa"/>
          </w:tcPr>
          <w:p w14:paraId="63D90B07"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2026-04-15</w:t>
            </w:r>
          </w:p>
        </w:tc>
        <w:tc>
          <w:tcPr>
            <w:tcW w:w="2160" w:type="dxa"/>
          </w:tcPr>
          <w:p w14:paraId="188902C2"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2026-07-31</w:t>
            </w:r>
          </w:p>
        </w:tc>
        <w:tc>
          <w:tcPr>
            <w:tcW w:w="2160" w:type="dxa"/>
          </w:tcPr>
          <w:p w14:paraId="5B3B7F94"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107</w:t>
            </w:r>
          </w:p>
        </w:tc>
      </w:tr>
      <w:tr w:rsidR="00802D92" w:rsidRPr="00802D92" w14:paraId="5D3E5010" w14:textId="77777777" w:rsidTr="00B25C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8AF15FF"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Attend networking events and training</w:t>
            </w:r>
          </w:p>
        </w:tc>
        <w:tc>
          <w:tcPr>
            <w:tcW w:w="2160" w:type="dxa"/>
          </w:tcPr>
          <w:p w14:paraId="6FEBCA59"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2026-05-01</w:t>
            </w:r>
          </w:p>
        </w:tc>
        <w:tc>
          <w:tcPr>
            <w:tcW w:w="2160" w:type="dxa"/>
          </w:tcPr>
          <w:p w14:paraId="43BEBC22"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2026-08-31</w:t>
            </w:r>
          </w:p>
        </w:tc>
        <w:tc>
          <w:tcPr>
            <w:tcW w:w="2160" w:type="dxa"/>
          </w:tcPr>
          <w:p w14:paraId="07442B50"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122</w:t>
            </w:r>
          </w:p>
        </w:tc>
      </w:tr>
      <w:tr w:rsidR="00802D92" w:rsidRPr="00802D92" w14:paraId="070CC41D" w14:textId="77777777" w:rsidTr="00B25CEB">
        <w:tc>
          <w:tcPr>
            <w:cnfStyle w:val="001000000000" w:firstRow="0" w:lastRow="0" w:firstColumn="1" w:lastColumn="0" w:oddVBand="0" w:evenVBand="0" w:oddHBand="0" w:evenHBand="0" w:firstRowFirstColumn="0" w:firstRowLastColumn="0" w:lastRowFirstColumn="0" w:lastRowLastColumn="0"/>
            <w:tcW w:w="2160" w:type="dxa"/>
          </w:tcPr>
          <w:p w14:paraId="3A9251E6"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Develop CV and applications</w:t>
            </w:r>
          </w:p>
        </w:tc>
        <w:tc>
          <w:tcPr>
            <w:tcW w:w="2160" w:type="dxa"/>
          </w:tcPr>
          <w:p w14:paraId="1A5CC776"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2026-07-01</w:t>
            </w:r>
          </w:p>
        </w:tc>
        <w:tc>
          <w:tcPr>
            <w:tcW w:w="2160" w:type="dxa"/>
          </w:tcPr>
          <w:p w14:paraId="745CCAB6"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2026-08-15</w:t>
            </w:r>
          </w:p>
        </w:tc>
        <w:tc>
          <w:tcPr>
            <w:tcW w:w="2160" w:type="dxa"/>
          </w:tcPr>
          <w:p w14:paraId="26D9A7F2"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45</w:t>
            </w:r>
          </w:p>
        </w:tc>
      </w:tr>
      <w:tr w:rsidR="00802D92" w:rsidRPr="00802D92" w14:paraId="3309577B" w14:textId="77777777" w:rsidTr="00B25C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FCC2DCE"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Apply for jobs</w:t>
            </w:r>
          </w:p>
        </w:tc>
        <w:tc>
          <w:tcPr>
            <w:tcW w:w="2160" w:type="dxa"/>
          </w:tcPr>
          <w:p w14:paraId="27060431"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2026-08-16</w:t>
            </w:r>
          </w:p>
        </w:tc>
        <w:tc>
          <w:tcPr>
            <w:tcW w:w="2160" w:type="dxa"/>
          </w:tcPr>
          <w:p w14:paraId="2CDB82CD"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2026-09-30</w:t>
            </w:r>
          </w:p>
        </w:tc>
        <w:tc>
          <w:tcPr>
            <w:tcW w:w="2160" w:type="dxa"/>
          </w:tcPr>
          <w:p w14:paraId="7C35B262" w14:textId="77777777" w:rsidR="00802D92" w:rsidRPr="00802D92" w:rsidRDefault="00802D92" w:rsidP="00802D9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45</w:t>
            </w:r>
          </w:p>
        </w:tc>
      </w:tr>
      <w:tr w:rsidR="00802D92" w:rsidRPr="00802D92" w14:paraId="0E9C267D" w14:textId="77777777" w:rsidTr="00B25CEB">
        <w:tc>
          <w:tcPr>
            <w:cnfStyle w:val="001000000000" w:firstRow="0" w:lastRow="0" w:firstColumn="1" w:lastColumn="0" w:oddVBand="0" w:evenVBand="0" w:oddHBand="0" w:evenHBand="0" w:firstRowFirstColumn="0" w:firstRowLastColumn="0" w:lastRowFirstColumn="0" w:lastRowLastColumn="0"/>
            <w:tcW w:w="2160" w:type="dxa"/>
          </w:tcPr>
          <w:p w14:paraId="086DE985" w14:textId="77777777" w:rsidR="00802D92" w:rsidRPr="00802D92" w:rsidRDefault="00802D92" w:rsidP="00802D92">
            <w:pP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Prepare for interviews</w:t>
            </w:r>
          </w:p>
        </w:tc>
        <w:tc>
          <w:tcPr>
            <w:tcW w:w="2160" w:type="dxa"/>
          </w:tcPr>
          <w:p w14:paraId="7BA45301"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2026-09-15</w:t>
            </w:r>
          </w:p>
        </w:tc>
        <w:tc>
          <w:tcPr>
            <w:tcW w:w="2160" w:type="dxa"/>
          </w:tcPr>
          <w:p w14:paraId="6A113656"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2026-10-15</w:t>
            </w:r>
          </w:p>
        </w:tc>
        <w:tc>
          <w:tcPr>
            <w:tcW w:w="2160" w:type="dxa"/>
          </w:tcPr>
          <w:p w14:paraId="315E6D84" w14:textId="77777777" w:rsidR="00802D92" w:rsidRPr="00802D92" w:rsidRDefault="00802D92" w:rsidP="00802D9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2D92">
              <w:rPr>
                <w:rFonts w:ascii="Times New Roman" w:hAnsi="Times New Roman" w:cs="Times New Roman"/>
                <w:sz w:val="24"/>
                <w:szCs w:val="24"/>
              </w:rPr>
              <w:t>30</w:t>
            </w:r>
          </w:p>
        </w:tc>
      </w:tr>
    </w:tbl>
    <w:p w14:paraId="177D5278" w14:textId="77777777" w:rsidR="00802D92" w:rsidRPr="00802D92" w:rsidRDefault="00802D92" w:rsidP="00802D92">
      <w:pPr>
        <w:pStyle w:val="Heading1"/>
      </w:pPr>
      <w:bookmarkStart w:id="8" w:name="_Toc225310185"/>
      <w:r w:rsidRPr="00802D92">
        <w:t>Task 7 – Report: Implementing Digital Medication Administration Records</w:t>
      </w:r>
      <w:bookmarkEnd w:id="8"/>
    </w:p>
    <w:p w14:paraId="3DD17CE4" w14:textId="77777777" w:rsidR="00802D92" w:rsidRPr="00802D92" w:rsidRDefault="00802D92" w:rsidP="00802D92">
      <w:r w:rsidRPr="00802D92">
        <w:t xml:space="preserve">As a care facility manager, I recommend an </w:t>
      </w:r>
      <w:proofErr w:type="spellStart"/>
      <w:r w:rsidRPr="00802D92">
        <w:t>eMAR</w:t>
      </w:r>
      <w:proofErr w:type="spellEnd"/>
      <w:r w:rsidRPr="00802D92">
        <w:t xml:space="preserve"> system to promote safety and efficiency. Paper records can be misinterpreted and lacking information, making medication errors a major issue in residential care. </w:t>
      </w:r>
      <w:proofErr w:type="spellStart"/>
      <w:r w:rsidRPr="00802D92">
        <w:t>eMAR</w:t>
      </w:r>
      <w:proofErr w:type="spellEnd"/>
      <w:r w:rsidRPr="00802D92">
        <w:t xml:space="preserve"> systems prevent errors by alerting users, assuring proper prescription administration, and establishing audit trails. Strategic planning and change management knowledge are needed to implement this shift. The three-stage change paradigm by Lewin is useful. During the **unfreeze** phase, I will offer medication error statistics and show how </w:t>
      </w:r>
      <w:proofErr w:type="spellStart"/>
      <w:r w:rsidRPr="00802D92">
        <w:t>eMAR</w:t>
      </w:r>
      <w:proofErr w:type="spellEnd"/>
      <w:r w:rsidRPr="00802D92">
        <w:t xml:space="preserve"> can enhance resident outcomes to encourage change. Early engagement, addressing concerns, and showcasing benefits motivates staff. Training and demos will introduce and seek feedback on the new technology. A single unit will pilot the system during </w:t>
      </w:r>
      <w:r w:rsidRPr="00802D92">
        <w:lastRenderedPageBreak/>
        <w:t xml:space="preserve">the change phase. A specialized project team will train and support staff. Open communication lets staff report difficulties and make improvements. Including practitioners in implementation increases ownership and lowers opposition. Leadership requires empathy, active listening, and clear communication to lead personnel through uncertainty. The final **refreeze** phase solidifies the new practice (Align Strategy, 2024). Updated policies and procedures will integrate </w:t>
      </w:r>
      <w:proofErr w:type="spellStart"/>
      <w:r w:rsidRPr="00802D92">
        <w:t>eMAR</w:t>
      </w:r>
      <w:proofErr w:type="spellEnd"/>
      <w:r w:rsidRPr="00802D92">
        <w:t xml:space="preserve"> into daily activities, and continuing evaluation will track results and fix issues. Recognition of early triumphs and staff efforts will encourage the new behavior. Technology anxiety, digital literacy gaps, and initial fees may be hurdles. We will fund, train, and provide a psychologically safe space for staff to ask questions to overcome these obstacles. Using a structured change approach and empathetic leadership can improve resident safety and staff satisfaction.</w:t>
      </w:r>
    </w:p>
    <w:p w14:paraId="28B1129E" w14:textId="77777777" w:rsidR="00802D92" w:rsidRPr="00802D92" w:rsidRDefault="00802D92" w:rsidP="00802D92">
      <w:pPr>
        <w:pStyle w:val="Heading2"/>
        <w:rPr>
          <w:sz w:val="24"/>
          <w:szCs w:val="24"/>
        </w:rPr>
      </w:pPr>
      <w:bookmarkStart w:id="9" w:name="_Toc225310186"/>
      <w:r w:rsidRPr="00802D92">
        <w:rPr>
          <w:sz w:val="24"/>
          <w:szCs w:val="24"/>
        </w:rPr>
        <w:t>Task 8 – Self-Reflection Using Gibbs’ Reflective Cycle</w:t>
      </w:r>
      <w:bookmarkEnd w:id="9"/>
    </w:p>
    <w:p w14:paraId="2C23FE6F" w14:textId="77777777" w:rsidR="00802D92" w:rsidRPr="00802D92" w:rsidRDefault="00802D92" w:rsidP="00802D92">
      <w:r w:rsidRPr="00802D92">
        <w:t>This module improved my understanding of health and social care professional development. Gibbs’ reflective cycle helped me organize this learning. In the description stage, I examined personal branding, networking, and digital transformation (</w:t>
      </w:r>
      <w:proofErr w:type="spellStart"/>
      <w:r w:rsidRPr="00802D92">
        <w:t>Tebra</w:t>
      </w:r>
      <w:proofErr w:type="spellEnd"/>
      <w:r w:rsidRPr="00802D92">
        <w:t xml:space="preserve">, 2023). I considered how I tackled each assignment and my sentiments. I acknowledged my initial anxiety about exposing my personal brand publicly and my delight when meeting with like-minded professionals throughout the **feelings** stage (Consequence Creative, 2025). I felt uncomfortable seeing NHS inequities. I could manage these emotions by acknowledging them. Evaluation identified what worked and what could be improved. Proactive networking led to additional opportunities, although Gantt chart project time management could be improved. The analysis stage linked these experiences to wider theory: personal branding literature emphasizes authenticity and consistency, networking research shows that diverse connections improve career prospects, and the NHS EDI plan </w:t>
      </w:r>
      <w:proofErr w:type="spellStart"/>
      <w:r w:rsidRPr="00802D92">
        <w:t>emphasises</w:t>
      </w:r>
      <w:proofErr w:type="spellEnd"/>
      <w:r w:rsidRPr="00802D92">
        <w:t xml:space="preserve"> intersectional data and psychological safety. I decided that professional growth requires regular reflection and feedback. I committed to mentorship and digital innovation. In the **action plan** step, I set goals including attending digital health technology training, keeping a reflective journal, and encouraging inclusive practice in future employment. This cycle shows that reflection is a continuous process that improves self-awareness, resilience, and adaptability (</w:t>
      </w:r>
      <w:proofErr w:type="spellStart"/>
      <w:r w:rsidRPr="00802D92">
        <w:t>Capstera</w:t>
      </w:r>
      <w:proofErr w:type="spellEnd"/>
      <w:r w:rsidRPr="00802D92">
        <w:t>, 2024).</w:t>
      </w:r>
    </w:p>
    <w:p w14:paraId="7BE4A34A" w14:textId="77777777" w:rsidR="00802D92" w:rsidRPr="00802D92" w:rsidRDefault="00802D92" w:rsidP="00802D92">
      <w:pPr>
        <w:pStyle w:val="Heading1"/>
      </w:pPr>
      <w:bookmarkStart w:id="10" w:name="_Toc225310187"/>
      <w:r w:rsidRPr="00802D92">
        <w:t>Conclusion</w:t>
      </w:r>
      <w:bookmarkEnd w:id="10"/>
    </w:p>
    <w:p w14:paraId="0D594C37" w14:textId="77777777" w:rsidR="00802D92" w:rsidRPr="00802D92" w:rsidRDefault="00802D92" w:rsidP="00802D92">
      <w:r w:rsidRPr="00802D92">
        <w:t xml:space="preserve">I used this portfolio to combine theory, policy, and practice to prepare for a health and social care job. Personal branding and networking have taught me the value of a consistent </w:t>
      </w:r>
      <w:r w:rsidRPr="00802D92">
        <w:lastRenderedPageBreak/>
        <w:t>professional identity and various relationships. Digital transformation and the NHS EDI plan highlighted the need for technology competency and equality, diversity, and inclusion. I learned strategic planning and leadership by creating a Gantt chart and change management report. The reflective letter and Gibbs' model self-reflection stressed emotional intelligence and resilience in overcoming problems. As I enter professional practice, I will apply these lessons, stay open to learning, and work to make health and social care more compassionate, inclusive, and innovative.</w:t>
      </w:r>
    </w:p>
    <w:p w14:paraId="35CD96E6" w14:textId="77777777" w:rsidR="00802D92" w:rsidRPr="00802D92" w:rsidRDefault="00802D92" w:rsidP="00802D92">
      <w:pPr>
        <w:pStyle w:val="Heading2"/>
        <w:rPr>
          <w:sz w:val="24"/>
          <w:szCs w:val="24"/>
        </w:rPr>
      </w:pPr>
      <w:bookmarkStart w:id="11" w:name="_Toc225310188"/>
      <w:r w:rsidRPr="00802D92">
        <w:rPr>
          <w:sz w:val="24"/>
          <w:szCs w:val="24"/>
        </w:rPr>
        <w:t>Reference List</w:t>
      </w:r>
      <w:bookmarkEnd w:id="11"/>
    </w:p>
    <w:p w14:paraId="2B22C2E2"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Align Strategy (2024) </w:t>
      </w:r>
      <w:r w:rsidRPr="00802D92">
        <w:rPr>
          <w:rFonts w:ascii="Times New Roman" w:hAnsi="Times New Roman" w:cs="Times New Roman"/>
          <w:i/>
          <w:iCs/>
          <w:sz w:val="24"/>
          <w:szCs w:val="24"/>
        </w:rPr>
        <w:t>Pharma Brand and Portfolio Strategic Planning</w:t>
      </w:r>
      <w:r w:rsidRPr="00802D92">
        <w:rPr>
          <w:rFonts w:ascii="Times New Roman" w:hAnsi="Times New Roman" w:cs="Times New Roman"/>
          <w:sz w:val="24"/>
          <w:szCs w:val="24"/>
        </w:rPr>
        <w:t>. Available at: </w:t>
      </w:r>
      <w:hyperlink r:id="rId11" w:tgtFrame="_blank" w:history="1">
        <w:r w:rsidRPr="00802D92">
          <w:rPr>
            <w:rStyle w:val="Hyperlink"/>
            <w:rFonts w:ascii="Times New Roman" w:hAnsi="Times New Roman" w:cs="Times New Roman"/>
            <w:sz w:val="24"/>
            <w:szCs w:val="24"/>
          </w:rPr>
          <w:t>https://www.alignstrategy.com/services/brand-and-portfolio-planning/</w:t>
        </w:r>
      </w:hyperlink>
      <w:r w:rsidRPr="00802D92">
        <w:rPr>
          <w:rFonts w:ascii="Times New Roman" w:hAnsi="Times New Roman" w:cs="Times New Roman"/>
          <w:sz w:val="24"/>
          <w:szCs w:val="24"/>
        </w:rPr>
        <w:t> [Accessed 25 March 2026].​</w:t>
      </w:r>
    </w:p>
    <w:p w14:paraId="6F9B1CF5"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BCC Healthcare Branding (2024) </w:t>
      </w:r>
      <w:r w:rsidRPr="00802D92">
        <w:rPr>
          <w:rFonts w:ascii="Times New Roman" w:hAnsi="Times New Roman" w:cs="Times New Roman"/>
          <w:i/>
          <w:iCs/>
          <w:sz w:val="24"/>
          <w:szCs w:val="24"/>
        </w:rPr>
        <w:t>Ethical Hospital Branding &amp; Marketing Book</w:t>
      </w:r>
      <w:r w:rsidRPr="00802D92">
        <w:rPr>
          <w:rFonts w:ascii="Times New Roman" w:hAnsi="Times New Roman" w:cs="Times New Roman"/>
          <w:sz w:val="24"/>
          <w:szCs w:val="24"/>
        </w:rPr>
        <w:t>. Available at: </w:t>
      </w:r>
      <w:hyperlink r:id="rId12" w:tgtFrame="_blank" w:history="1">
        <w:r w:rsidRPr="00802D92">
          <w:rPr>
            <w:rStyle w:val="Hyperlink"/>
            <w:rFonts w:ascii="Times New Roman" w:hAnsi="Times New Roman" w:cs="Times New Roman"/>
            <w:sz w:val="24"/>
            <w:szCs w:val="24"/>
          </w:rPr>
          <w:t>https://bcchealthcarebranding.com/ethical-hospital-branding-marketing-book/</w:t>
        </w:r>
      </w:hyperlink>
      <w:r w:rsidRPr="00802D92">
        <w:rPr>
          <w:rFonts w:ascii="Times New Roman" w:hAnsi="Times New Roman" w:cs="Times New Roman"/>
          <w:sz w:val="24"/>
          <w:szCs w:val="24"/>
        </w:rPr>
        <w:t> [Accessed 25 March 2026].​</w:t>
      </w:r>
    </w:p>
    <w:p w14:paraId="2CB2E06F"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Consequence Creative (2025) </w:t>
      </w:r>
      <w:r w:rsidRPr="00802D92">
        <w:rPr>
          <w:rFonts w:ascii="Times New Roman" w:hAnsi="Times New Roman" w:cs="Times New Roman"/>
          <w:i/>
          <w:iCs/>
          <w:sz w:val="24"/>
          <w:szCs w:val="24"/>
        </w:rPr>
        <w:t>Healthcare Portfolio Branding: Building Trust at the Speed</w:t>
      </w:r>
      <w:r w:rsidRPr="00802D92">
        <w:rPr>
          <w:rFonts w:ascii="Times New Roman" w:hAnsi="Times New Roman" w:cs="Times New Roman"/>
          <w:sz w:val="24"/>
          <w:szCs w:val="24"/>
        </w:rPr>
        <w:t>. Available at: </w:t>
      </w:r>
      <w:hyperlink r:id="rId13" w:tgtFrame="_blank" w:history="1">
        <w:r w:rsidRPr="00802D92">
          <w:rPr>
            <w:rStyle w:val="Hyperlink"/>
            <w:rFonts w:ascii="Times New Roman" w:hAnsi="Times New Roman" w:cs="Times New Roman"/>
            <w:sz w:val="24"/>
            <w:szCs w:val="24"/>
          </w:rPr>
          <w:t>https://consequentlycreative.com/healthcare-portfolio-branding/</w:t>
        </w:r>
      </w:hyperlink>
      <w:r w:rsidRPr="00802D92">
        <w:rPr>
          <w:rFonts w:ascii="Times New Roman" w:hAnsi="Times New Roman" w:cs="Times New Roman"/>
          <w:sz w:val="24"/>
          <w:szCs w:val="24"/>
        </w:rPr>
        <w:t> [Accessed 25 March 2026].​</w:t>
      </w:r>
    </w:p>
    <w:p w14:paraId="6558DEB5" w14:textId="77777777" w:rsidR="00802D92" w:rsidRPr="00802D92" w:rsidRDefault="00802D92" w:rsidP="00802D92">
      <w:pPr>
        <w:pStyle w:val="ListNumber"/>
        <w:spacing w:line="360" w:lineRule="auto"/>
        <w:jc w:val="both"/>
        <w:rPr>
          <w:rFonts w:ascii="Times New Roman" w:hAnsi="Times New Roman" w:cs="Times New Roman"/>
          <w:sz w:val="24"/>
          <w:szCs w:val="24"/>
        </w:rPr>
      </w:pPr>
      <w:proofErr w:type="spellStart"/>
      <w:r w:rsidRPr="00802D92">
        <w:rPr>
          <w:rFonts w:ascii="Times New Roman" w:hAnsi="Times New Roman" w:cs="Times New Roman"/>
          <w:sz w:val="24"/>
          <w:szCs w:val="24"/>
        </w:rPr>
        <w:t>Ernawaty</w:t>
      </w:r>
      <w:proofErr w:type="spellEnd"/>
      <w:r w:rsidRPr="00802D92">
        <w:rPr>
          <w:rFonts w:ascii="Times New Roman" w:hAnsi="Times New Roman" w:cs="Times New Roman"/>
          <w:sz w:val="24"/>
          <w:szCs w:val="24"/>
        </w:rPr>
        <w:t>, E. et al. (2020) 'Brand equity analysis to increase health care utilization', </w:t>
      </w:r>
      <w:r w:rsidRPr="00802D92">
        <w:rPr>
          <w:rFonts w:ascii="Times New Roman" w:hAnsi="Times New Roman" w:cs="Times New Roman"/>
          <w:i/>
          <w:iCs/>
          <w:sz w:val="24"/>
          <w:szCs w:val="24"/>
        </w:rPr>
        <w:t>PMC</w:t>
      </w:r>
      <w:r w:rsidRPr="00802D92">
        <w:rPr>
          <w:rFonts w:ascii="Times New Roman" w:hAnsi="Times New Roman" w:cs="Times New Roman"/>
          <w:sz w:val="24"/>
          <w:szCs w:val="24"/>
        </w:rPr>
        <w:t>, [online]. Available at: </w:t>
      </w:r>
      <w:hyperlink r:id="rId14" w:tgtFrame="_blank" w:history="1">
        <w:r w:rsidRPr="00802D92">
          <w:rPr>
            <w:rStyle w:val="Hyperlink"/>
            <w:rFonts w:ascii="Times New Roman" w:hAnsi="Times New Roman" w:cs="Times New Roman"/>
            <w:sz w:val="24"/>
            <w:szCs w:val="24"/>
          </w:rPr>
          <w:t>https://pmc.ncbi.nlm.nih.gov/articles/PMC7376459/</w:t>
        </w:r>
      </w:hyperlink>
      <w:r w:rsidRPr="00802D92">
        <w:rPr>
          <w:rFonts w:ascii="Times New Roman" w:hAnsi="Times New Roman" w:cs="Times New Roman"/>
          <w:sz w:val="24"/>
          <w:szCs w:val="24"/>
        </w:rPr>
        <w:t> [Accessed 25 March 2026].​</w:t>
      </w:r>
    </w:p>
    <w:p w14:paraId="1D64C489"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Evans, W.D. et al. (2014) 'Systematic review of health branding: growth of a promising practice', </w:t>
      </w:r>
      <w:r w:rsidRPr="00802D92">
        <w:rPr>
          <w:rFonts w:ascii="Times New Roman" w:hAnsi="Times New Roman" w:cs="Times New Roman"/>
          <w:i/>
          <w:iCs/>
          <w:sz w:val="24"/>
          <w:szCs w:val="24"/>
        </w:rPr>
        <w:t>PMC</w:t>
      </w:r>
      <w:r w:rsidRPr="00802D92">
        <w:rPr>
          <w:rFonts w:ascii="Times New Roman" w:hAnsi="Times New Roman" w:cs="Times New Roman"/>
          <w:sz w:val="24"/>
          <w:szCs w:val="24"/>
        </w:rPr>
        <w:t>, [online]. Available at: </w:t>
      </w:r>
      <w:hyperlink r:id="rId15" w:tgtFrame="_blank" w:history="1">
        <w:r w:rsidRPr="00802D92">
          <w:rPr>
            <w:rStyle w:val="Hyperlink"/>
            <w:rFonts w:ascii="Times New Roman" w:hAnsi="Times New Roman" w:cs="Times New Roman"/>
            <w:sz w:val="24"/>
            <w:szCs w:val="24"/>
          </w:rPr>
          <w:t>https://pmc.ncbi.nlm.nih.gov/articles/PMC4332908/</w:t>
        </w:r>
      </w:hyperlink>
      <w:r w:rsidRPr="00802D92">
        <w:rPr>
          <w:rFonts w:ascii="Times New Roman" w:hAnsi="Times New Roman" w:cs="Times New Roman"/>
          <w:sz w:val="24"/>
          <w:szCs w:val="24"/>
        </w:rPr>
        <w:t> [Accessed 25 March 2026].​</w:t>
      </w:r>
    </w:p>
    <w:p w14:paraId="3DD47C22"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Healthcare Success (2025) 'How Leading Health Systems Drive Growth Through Brand Strategy', </w:t>
      </w:r>
      <w:r w:rsidRPr="00802D92">
        <w:rPr>
          <w:rFonts w:ascii="Times New Roman" w:hAnsi="Times New Roman" w:cs="Times New Roman"/>
          <w:i/>
          <w:iCs/>
          <w:sz w:val="24"/>
          <w:szCs w:val="24"/>
        </w:rPr>
        <w:t>Healthcare Success Blog</w:t>
      </w:r>
      <w:r w:rsidRPr="00802D92">
        <w:rPr>
          <w:rFonts w:ascii="Times New Roman" w:hAnsi="Times New Roman" w:cs="Times New Roman"/>
          <w:sz w:val="24"/>
          <w:szCs w:val="24"/>
        </w:rPr>
        <w:t>. Available at: </w:t>
      </w:r>
      <w:hyperlink r:id="rId16" w:tgtFrame="_blank" w:history="1">
        <w:r w:rsidRPr="00802D92">
          <w:rPr>
            <w:rStyle w:val="Hyperlink"/>
            <w:rFonts w:ascii="Times New Roman" w:hAnsi="Times New Roman" w:cs="Times New Roman"/>
            <w:sz w:val="24"/>
            <w:szCs w:val="24"/>
          </w:rPr>
          <w:t>https://healthcaresuccess.com/blog/healthcare-marketing-agency/how-leading-health-systems-drive-growth-through-brand-strategy</w:t>
        </w:r>
      </w:hyperlink>
      <w:r w:rsidRPr="00802D92">
        <w:rPr>
          <w:rFonts w:ascii="Times New Roman" w:hAnsi="Times New Roman" w:cs="Times New Roman"/>
          <w:sz w:val="24"/>
          <w:szCs w:val="24"/>
        </w:rPr>
        <w:t> [Accessed 25 March 2026].​</w:t>
      </w:r>
    </w:p>
    <w:p w14:paraId="1BAAFF51"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IQVIA (2024) 'Portfolio management for established brands', </w:t>
      </w:r>
      <w:r w:rsidRPr="00802D92">
        <w:rPr>
          <w:rFonts w:ascii="Times New Roman" w:hAnsi="Times New Roman" w:cs="Times New Roman"/>
          <w:i/>
          <w:iCs/>
          <w:sz w:val="24"/>
          <w:szCs w:val="24"/>
        </w:rPr>
        <w:t>IQVIA Blogs</w:t>
      </w:r>
      <w:r w:rsidRPr="00802D92">
        <w:rPr>
          <w:rFonts w:ascii="Times New Roman" w:hAnsi="Times New Roman" w:cs="Times New Roman"/>
          <w:sz w:val="24"/>
          <w:szCs w:val="24"/>
        </w:rPr>
        <w:t>. Available at: </w:t>
      </w:r>
      <w:hyperlink r:id="rId17" w:tgtFrame="_blank" w:history="1">
        <w:r w:rsidRPr="00802D92">
          <w:rPr>
            <w:rStyle w:val="Hyperlink"/>
            <w:rFonts w:ascii="Times New Roman" w:hAnsi="Times New Roman" w:cs="Times New Roman"/>
            <w:sz w:val="24"/>
            <w:szCs w:val="24"/>
          </w:rPr>
          <w:t>https://www.iqvia.com/blogs/2024/05/portfolio-management-for-established-brands</w:t>
        </w:r>
      </w:hyperlink>
      <w:r w:rsidRPr="00802D92">
        <w:rPr>
          <w:rFonts w:ascii="Times New Roman" w:hAnsi="Times New Roman" w:cs="Times New Roman"/>
          <w:sz w:val="24"/>
          <w:szCs w:val="24"/>
        </w:rPr>
        <w:t> [Accessed 25 March 2026].​</w:t>
      </w:r>
    </w:p>
    <w:p w14:paraId="0A118D89"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lastRenderedPageBreak/>
        <w:t>Kenan-Flagler (2021) 'Writing the prescription for healthcare branding', </w:t>
      </w:r>
      <w:r w:rsidRPr="00802D92">
        <w:rPr>
          <w:rFonts w:ascii="Times New Roman" w:hAnsi="Times New Roman" w:cs="Times New Roman"/>
          <w:i/>
          <w:iCs/>
          <w:sz w:val="24"/>
          <w:szCs w:val="24"/>
        </w:rPr>
        <w:t>Kenan-Flagler News</w:t>
      </w:r>
      <w:r w:rsidRPr="00802D92">
        <w:rPr>
          <w:rFonts w:ascii="Times New Roman" w:hAnsi="Times New Roman" w:cs="Times New Roman"/>
          <w:sz w:val="24"/>
          <w:szCs w:val="24"/>
        </w:rPr>
        <w:t>. Available at: </w:t>
      </w:r>
      <w:hyperlink r:id="rId18" w:tgtFrame="_blank" w:history="1">
        <w:r w:rsidRPr="00802D92">
          <w:rPr>
            <w:rStyle w:val="Hyperlink"/>
            <w:rFonts w:ascii="Times New Roman" w:hAnsi="Times New Roman" w:cs="Times New Roman"/>
            <w:sz w:val="24"/>
            <w:szCs w:val="24"/>
          </w:rPr>
          <w:t>https://www.kenan-flagler.unc.edu/news/writing-the-prescription-for-healthcare-branding/</w:t>
        </w:r>
      </w:hyperlink>
      <w:r w:rsidRPr="00802D92">
        <w:rPr>
          <w:rFonts w:ascii="Times New Roman" w:hAnsi="Times New Roman" w:cs="Times New Roman"/>
          <w:sz w:val="24"/>
          <w:szCs w:val="24"/>
        </w:rPr>
        <w:t> [Accessed 25 March 2026].​</w:t>
      </w:r>
    </w:p>
    <w:p w14:paraId="5E6F82B4" w14:textId="77777777" w:rsidR="00802D92" w:rsidRPr="00802D92" w:rsidRDefault="00802D92" w:rsidP="00802D92">
      <w:pPr>
        <w:pStyle w:val="ListNumber"/>
        <w:spacing w:line="360" w:lineRule="auto"/>
        <w:jc w:val="both"/>
        <w:rPr>
          <w:rFonts w:ascii="Times New Roman" w:hAnsi="Times New Roman" w:cs="Times New Roman"/>
          <w:sz w:val="24"/>
          <w:szCs w:val="24"/>
        </w:rPr>
      </w:pPr>
      <w:proofErr w:type="spellStart"/>
      <w:r w:rsidRPr="00802D92">
        <w:rPr>
          <w:rFonts w:ascii="Times New Roman" w:hAnsi="Times New Roman" w:cs="Times New Roman"/>
          <w:sz w:val="24"/>
          <w:szCs w:val="24"/>
        </w:rPr>
        <w:t>Pharmaphorum</w:t>
      </w:r>
      <w:proofErr w:type="spellEnd"/>
      <w:r w:rsidRPr="00802D92">
        <w:rPr>
          <w:rFonts w:ascii="Times New Roman" w:hAnsi="Times New Roman" w:cs="Times New Roman"/>
          <w:sz w:val="24"/>
          <w:szCs w:val="24"/>
        </w:rPr>
        <w:t xml:space="preserve"> (2026) 'A five-step approach for </w:t>
      </w:r>
      <w:proofErr w:type="spellStart"/>
      <w:r w:rsidRPr="00802D92">
        <w:rPr>
          <w:rFonts w:ascii="Times New Roman" w:hAnsi="Times New Roman" w:cs="Times New Roman"/>
          <w:sz w:val="24"/>
          <w:szCs w:val="24"/>
        </w:rPr>
        <w:t>optimising</w:t>
      </w:r>
      <w:proofErr w:type="spellEnd"/>
      <w:r w:rsidRPr="00802D92">
        <w:rPr>
          <w:rFonts w:ascii="Times New Roman" w:hAnsi="Times New Roman" w:cs="Times New Roman"/>
          <w:sz w:val="24"/>
          <w:szCs w:val="24"/>
        </w:rPr>
        <w:t xml:space="preserve"> established brands' portfolio value', </w:t>
      </w:r>
      <w:proofErr w:type="spellStart"/>
      <w:r w:rsidRPr="00802D92">
        <w:rPr>
          <w:rFonts w:ascii="Times New Roman" w:hAnsi="Times New Roman" w:cs="Times New Roman"/>
          <w:i/>
          <w:iCs/>
          <w:sz w:val="24"/>
          <w:szCs w:val="24"/>
        </w:rPr>
        <w:t>Pharmaphorum</w:t>
      </w:r>
      <w:proofErr w:type="spellEnd"/>
      <w:r w:rsidRPr="00802D92">
        <w:rPr>
          <w:rFonts w:ascii="Times New Roman" w:hAnsi="Times New Roman" w:cs="Times New Roman"/>
          <w:sz w:val="24"/>
          <w:szCs w:val="24"/>
        </w:rPr>
        <w:t>. Available at: </w:t>
      </w:r>
      <w:hyperlink r:id="rId19" w:tgtFrame="_blank" w:history="1">
        <w:r w:rsidRPr="00802D92">
          <w:rPr>
            <w:rStyle w:val="Hyperlink"/>
            <w:rFonts w:ascii="Times New Roman" w:hAnsi="Times New Roman" w:cs="Times New Roman"/>
            <w:sz w:val="24"/>
            <w:szCs w:val="24"/>
          </w:rPr>
          <w:t>https://pharmaphorum.com/sales-marketing/five-step-approach-optimising-established-brands-portfolio-value</w:t>
        </w:r>
      </w:hyperlink>
      <w:r w:rsidRPr="00802D92">
        <w:rPr>
          <w:rFonts w:ascii="Times New Roman" w:hAnsi="Times New Roman" w:cs="Times New Roman"/>
          <w:sz w:val="24"/>
          <w:szCs w:val="24"/>
        </w:rPr>
        <w:t> [Accessed 25 March 2026].​</w:t>
      </w:r>
    </w:p>
    <w:p w14:paraId="76F62D98"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Saba, A. and Gentile, H. (2021) </w:t>
      </w:r>
      <w:r w:rsidRPr="00802D92">
        <w:rPr>
          <w:rFonts w:ascii="Times New Roman" w:hAnsi="Times New Roman" w:cs="Times New Roman"/>
          <w:i/>
          <w:iCs/>
          <w:sz w:val="24"/>
          <w:szCs w:val="24"/>
        </w:rPr>
        <w:t>Brand Plan Rx: The Marketer’s Guide to Building a Thriving Health and Wellness Brand</w:t>
      </w:r>
      <w:r w:rsidRPr="00802D92">
        <w:rPr>
          <w:rFonts w:ascii="Times New Roman" w:hAnsi="Times New Roman" w:cs="Times New Roman"/>
          <w:sz w:val="24"/>
          <w:szCs w:val="24"/>
        </w:rPr>
        <w:t>. Chapel Hill, NC: Kenan-Flagler Business School.​</w:t>
      </w:r>
    </w:p>
    <w:p w14:paraId="5D402A3C" w14:textId="77777777" w:rsidR="00802D92" w:rsidRPr="00802D92" w:rsidRDefault="00802D92" w:rsidP="00802D92">
      <w:pPr>
        <w:pStyle w:val="ListNumber"/>
        <w:spacing w:line="360" w:lineRule="auto"/>
        <w:jc w:val="both"/>
        <w:rPr>
          <w:rFonts w:ascii="Times New Roman" w:hAnsi="Times New Roman" w:cs="Times New Roman"/>
          <w:sz w:val="24"/>
          <w:szCs w:val="24"/>
        </w:rPr>
      </w:pPr>
      <w:proofErr w:type="spellStart"/>
      <w:r w:rsidRPr="00802D92">
        <w:rPr>
          <w:rFonts w:ascii="Times New Roman" w:hAnsi="Times New Roman" w:cs="Times New Roman"/>
          <w:sz w:val="24"/>
          <w:szCs w:val="24"/>
        </w:rPr>
        <w:t>Tebra</w:t>
      </w:r>
      <w:proofErr w:type="spellEnd"/>
      <w:r w:rsidRPr="00802D92">
        <w:rPr>
          <w:rFonts w:ascii="Times New Roman" w:hAnsi="Times New Roman" w:cs="Times New Roman"/>
          <w:sz w:val="24"/>
          <w:szCs w:val="24"/>
        </w:rPr>
        <w:t xml:space="preserve"> (2023) 'The best healthcare marketing books for 2026', </w:t>
      </w:r>
      <w:r w:rsidRPr="00802D92">
        <w:rPr>
          <w:rFonts w:ascii="Times New Roman" w:hAnsi="Times New Roman" w:cs="Times New Roman"/>
          <w:i/>
          <w:iCs/>
          <w:sz w:val="24"/>
          <w:szCs w:val="24"/>
        </w:rPr>
        <w:t>The Intake</w:t>
      </w:r>
      <w:r w:rsidRPr="00802D92">
        <w:rPr>
          <w:rFonts w:ascii="Times New Roman" w:hAnsi="Times New Roman" w:cs="Times New Roman"/>
          <w:sz w:val="24"/>
          <w:szCs w:val="24"/>
        </w:rPr>
        <w:t>. Available at: </w:t>
      </w:r>
      <w:hyperlink r:id="rId20" w:tgtFrame="_blank" w:history="1">
        <w:r w:rsidRPr="00802D92">
          <w:rPr>
            <w:rStyle w:val="Hyperlink"/>
            <w:rFonts w:ascii="Times New Roman" w:hAnsi="Times New Roman" w:cs="Times New Roman"/>
            <w:sz w:val="24"/>
            <w:szCs w:val="24"/>
          </w:rPr>
          <w:t>https://www.tebra.com/theintake/practice-growth/independent-practices/the-best-healthcare-marketing-books</w:t>
        </w:r>
      </w:hyperlink>
      <w:r w:rsidRPr="00802D92">
        <w:rPr>
          <w:rFonts w:ascii="Times New Roman" w:hAnsi="Times New Roman" w:cs="Times New Roman"/>
          <w:sz w:val="24"/>
          <w:szCs w:val="24"/>
        </w:rPr>
        <w:t> [Accessed 25 March 2026].​</w:t>
      </w:r>
    </w:p>
    <w:p w14:paraId="01A12FF8"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The Healthy Brand Company (2021) 'Brand Portfolio Strategy, Brand Architecture &amp; Naming Convention', </w:t>
      </w:r>
      <w:r w:rsidRPr="00802D92">
        <w:rPr>
          <w:rFonts w:ascii="Times New Roman" w:hAnsi="Times New Roman" w:cs="Times New Roman"/>
          <w:i/>
          <w:iCs/>
          <w:sz w:val="24"/>
          <w:szCs w:val="24"/>
        </w:rPr>
        <w:t>The Healthy Brand Company</w:t>
      </w:r>
      <w:r w:rsidRPr="00802D92">
        <w:rPr>
          <w:rFonts w:ascii="Times New Roman" w:hAnsi="Times New Roman" w:cs="Times New Roman"/>
          <w:sz w:val="24"/>
          <w:szCs w:val="24"/>
        </w:rPr>
        <w:t>. Available at: </w:t>
      </w:r>
      <w:hyperlink r:id="rId21" w:tgtFrame="_blank" w:history="1">
        <w:r w:rsidRPr="00802D92">
          <w:rPr>
            <w:rStyle w:val="Hyperlink"/>
            <w:rFonts w:ascii="Times New Roman" w:hAnsi="Times New Roman" w:cs="Times New Roman"/>
            <w:sz w:val="24"/>
            <w:szCs w:val="24"/>
          </w:rPr>
          <w:t>https://www.thehealthybrandcompany.com/what-we-do/brand-portfolio-architecture-naming/</w:t>
        </w:r>
      </w:hyperlink>
      <w:r w:rsidRPr="00802D92">
        <w:rPr>
          <w:rFonts w:ascii="Times New Roman" w:hAnsi="Times New Roman" w:cs="Times New Roman"/>
          <w:sz w:val="24"/>
          <w:szCs w:val="24"/>
        </w:rPr>
        <w:t> [Accessed 25 March 2026].​</w:t>
      </w:r>
    </w:p>
    <w:p w14:paraId="1FB9ED5A"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Uptake Strategies (2024) 'Pharma Strategist's Blog: Developing a Portfolio Strategy', </w:t>
      </w:r>
      <w:r w:rsidRPr="00802D92">
        <w:rPr>
          <w:rFonts w:ascii="Times New Roman" w:hAnsi="Times New Roman" w:cs="Times New Roman"/>
          <w:i/>
          <w:iCs/>
          <w:sz w:val="24"/>
          <w:szCs w:val="24"/>
        </w:rPr>
        <w:t>Uptake Strategies</w:t>
      </w:r>
      <w:r w:rsidRPr="00802D92">
        <w:rPr>
          <w:rFonts w:ascii="Times New Roman" w:hAnsi="Times New Roman" w:cs="Times New Roman"/>
          <w:sz w:val="24"/>
          <w:szCs w:val="24"/>
        </w:rPr>
        <w:t>. Available at: </w:t>
      </w:r>
      <w:hyperlink r:id="rId22" w:tgtFrame="_blank" w:history="1">
        <w:r w:rsidRPr="00802D92">
          <w:rPr>
            <w:rStyle w:val="Hyperlink"/>
            <w:rFonts w:ascii="Times New Roman" w:hAnsi="Times New Roman" w:cs="Times New Roman"/>
            <w:sz w:val="24"/>
            <w:szCs w:val="24"/>
          </w:rPr>
          <w:t>https://uptakestrategies.com/pharma-strategists-blog-developing-a-portfolio-strategy/</w:t>
        </w:r>
      </w:hyperlink>
      <w:r w:rsidRPr="00802D92">
        <w:rPr>
          <w:rFonts w:ascii="Times New Roman" w:hAnsi="Times New Roman" w:cs="Times New Roman"/>
          <w:sz w:val="24"/>
          <w:szCs w:val="24"/>
        </w:rPr>
        <w:t> [Accessed 25 March 2026].​</w:t>
      </w:r>
    </w:p>
    <w:p w14:paraId="3AD34846"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Wooldridge, B.R. and Camp, K.M. (2022) </w:t>
      </w:r>
      <w:r w:rsidRPr="00802D92">
        <w:rPr>
          <w:rFonts w:ascii="Times New Roman" w:hAnsi="Times New Roman" w:cs="Times New Roman"/>
          <w:i/>
          <w:iCs/>
          <w:sz w:val="24"/>
          <w:szCs w:val="24"/>
        </w:rPr>
        <w:t>Healthcare Marketing: Strategies for Creating Value in the Patient Experience</w:t>
      </w:r>
      <w:r w:rsidRPr="00802D92">
        <w:rPr>
          <w:rFonts w:ascii="Times New Roman" w:hAnsi="Times New Roman" w:cs="Times New Roman"/>
          <w:sz w:val="24"/>
          <w:szCs w:val="24"/>
        </w:rPr>
        <w:t xml:space="preserve">. 2nd </w:t>
      </w:r>
      <w:proofErr w:type="spellStart"/>
      <w:r w:rsidRPr="00802D92">
        <w:rPr>
          <w:rFonts w:ascii="Times New Roman" w:hAnsi="Times New Roman" w:cs="Times New Roman"/>
          <w:sz w:val="24"/>
          <w:szCs w:val="24"/>
        </w:rPr>
        <w:t>edn</w:t>
      </w:r>
      <w:proofErr w:type="spellEnd"/>
      <w:r w:rsidRPr="00802D92">
        <w:rPr>
          <w:rFonts w:ascii="Times New Roman" w:hAnsi="Times New Roman" w:cs="Times New Roman"/>
          <w:sz w:val="24"/>
          <w:szCs w:val="24"/>
        </w:rPr>
        <w:t>. Chicago: Health Administration Press.​</w:t>
      </w:r>
    </w:p>
    <w:p w14:paraId="56887BB5" w14:textId="77777777" w:rsidR="00802D92" w:rsidRPr="00802D92" w:rsidRDefault="00802D92" w:rsidP="00802D92">
      <w:pPr>
        <w:pStyle w:val="ListNumber"/>
        <w:spacing w:line="360" w:lineRule="auto"/>
        <w:jc w:val="both"/>
        <w:rPr>
          <w:rFonts w:ascii="Times New Roman" w:hAnsi="Times New Roman" w:cs="Times New Roman"/>
          <w:sz w:val="24"/>
          <w:szCs w:val="24"/>
        </w:rPr>
      </w:pPr>
      <w:proofErr w:type="spellStart"/>
      <w:r w:rsidRPr="00802D92">
        <w:rPr>
          <w:rFonts w:ascii="Times New Roman" w:hAnsi="Times New Roman" w:cs="Times New Roman"/>
          <w:sz w:val="24"/>
          <w:szCs w:val="24"/>
        </w:rPr>
        <w:t>Accelabrand</w:t>
      </w:r>
      <w:proofErr w:type="spellEnd"/>
      <w:r w:rsidRPr="00802D92">
        <w:rPr>
          <w:rFonts w:ascii="Times New Roman" w:hAnsi="Times New Roman" w:cs="Times New Roman"/>
          <w:sz w:val="24"/>
          <w:szCs w:val="24"/>
        </w:rPr>
        <w:t xml:space="preserve"> (2025) '5 Healthcare Rebranding Case Studies That Drove', </w:t>
      </w:r>
      <w:proofErr w:type="spellStart"/>
      <w:r w:rsidRPr="00802D92">
        <w:rPr>
          <w:rFonts w:ascii="Times New Roman" w:hAnsi="Times New Roman" w:cs="Times New Roman"/>
          <w:i/>
          <w:iCs/>
          <w:sz w:val="24"/>
          <w:szCs w:val="24"/>
        </w:rPr>
        <w:t>Accelabrand</w:t>
      </w:r>
      <w:proofErr w:type="spellEnd"/>
      <w:r w:rsidRPr="00802D92">
        <w:rPr>
          <w:rFonts w:ascii="Times New Roman" w:hAnsi="Times New Roman" w:cs="Times New Roman"/>
          <w:sz w:val="24"/>
          <w:szCs w:val="24"/>
        </w:rPr>
        <w:t>. Available at: </w:t>
      </w:r>
      <w:hyperlink r:id="rId23" w:tgtFrame="_blank" w:history="1">
        <w:r w:rsidRPr="00802D92">
          <w:rPr>
            <w:rStyle w:val="Hyperlink"/>
            <w:rFonts w:ascii="Times New Roman" w:hAnsi="Times New Roman" w:cs="Times New Roman"/>
            <w:sz w:val="24"/>
            <w:szCs w:val="24"/>
          </w:rPr>
          <w:t>https://accelabrand.com/5-healthcare-rebranding-case-studies/</w:t>
        </w:r>
      </w:hyperlink>
      <w:r w:rsidRPr="00802D92">
        <w:rPr>
          <w:rFonts w:ascii="Times New Roman" w:hAnsi="Times New Roman" w:cs="Times New Roman"/>
          <w:sz w:val="24"/>
          <w:szCs w:val="24"/>
        </w:rPr>
        <w:t> [Accessed 25 March 2026].​</w:t>
      </w:r>
    </w:p>
    <w:p w14:paraId="4CFEC1EB"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Agile Brand Guide (2025) 'Top 10 Digital Healthcare Marketing Books', </w:t>
      </w:r>
      <w:r w:rsidRPr="00802D92">
        <w:rPr>
          <w:rFonts w:ascii="Times New Roman" w:hAnsi="Times New Roman" w:cs="Times New Roman"/>
          <w:i/>
          <w:iCs/>
          <w:sz w:val="24"/>
          <w:szCs w:val="24"/>
        </w:rPr>
        <w:t>Agile Brand Guide</w:t>
      </w:r>
      <w:r w:rsidRPr="00802D92">
        <w:rPr>
          <w:rFonts w:ascii="Times New Roman" w:hAnsi="Times New Roman" w:cs="Times New Roman"/>
          <w:sz w:val="24"/>
          <w:szCs w:val="24"/>
        </w:rPr>
        <w:t>. Available at: </w:t>
      </w:r>
      <w:hyperlink r:id="rId24" w:tgtFrame="_blank" w:history="1">
        <w:r w:rsidRPr="00802D92">
          <w:rPr>
            <w:rStyle w:val="Hyperlink"/>
            <w:rFonts w:ascii="Times New Roman" w:hAnsi="Times New Roman" w:cs="Times New Roman"/>
            <w:sz w:val="24"/>
            <w:szCs w:val="24"/>
          </w:rPr>
          <w:t>https://agilebrandguide.com/top-10-digital-healthcare-marketing-books/</w:t>
        </w:r>
      </w:hyperlink>
      <w:r w:rsidRPr="00802D92">
        <w:rPr>
          <w:rFonts w:ascii="Times New Roman" w:hAnsi="Times New Roman" w:cs="Times New Roman"/>
          <w:sz w:val="24"/>
          <w:szCs w:val="24"/>
        </w:rPr>
        <w:t> [Accessed 25 March 2026].​</w:t>
      </w:r>
    </w:p>
    <w:p w14:paraId="6462352D" w14:textId="77777777" w:rsidR="00802D92" w:rsidRPr="00802D92" w:rsidRDefault="00802D92" w:rsidP="00802D92">
      <w:pPr>
        <w:pStyle w:val="ListNumber"/>
        <w:spacing w:line="360" w:lineRule="auto"/>
        <w:jc w:val="both"/>
        <w:rPr>
          <w:rFonts w:ascii="Times New Roman" w:hAnsi="Times New Roman" w:cs="Times New Roman"/>
          <w:sz w:val="24"/>
          <w:szCs w:val="24"/>
        </w:rPr>
      </w:pPr>
      <w:proofErr w:type="spellStart"/>
      <w:r w:rsidRPr="00802D92">
        <w:rPr>
          <w:rFonts w:ascii="Times New Roman" w:hAnsi="Times New Roman" w:cs="Times New Roman"/>
          <w:sz w:val="24"/>
          <w:szCs w:val="24"/>
        </w:rPr>
        <w:t>Capstera</w:t>
      </w:r>
      <w:proofErr w:type="spellEnd"/>
      <w:r w:rsidRPr="00802D92">
        <w:rPr>
          <w:rFonts w:ascii="Times New Roman" w:hAnsi="Times New Roman" w:cs="Times New Roman"/>
          <w:sz w:val="24"/>
          <w:szCs w:val="24"/>
        </w:rPr>
        <w:t xml:space="preserve"> (2024) '5 Key Strategies Business Architecture Brings to Pharmaceutical Companies', </w:t>
      </w:r>
      <w:proofErr w:type="spellStart"/>
      <w:r w:rsidRPr="00802D92">
        <w:rPr>
          <w:rFonts w:ascii="Times New Roman" w:hAnsi="Times New Roman" w:cs="Times New Roman"/>
          <w:i/>
          <w:iCs/>
          <w:sz w:val="24"/>
          <w:szCs w:val="24"/>
        </w:rPr>
        <w:t>Capstera</w:t>
      </w:r>
      <w:proofErr w:type="spellEnd"/>
      <w:r w:rsidRPr="00802D92">
        <w:rPr>
          <w:rFonts w:ascii="Times New Roman" w:hAnsi="Times New Roman" w:cs="Times New Roman"/>
          <w:sz w:val="24"/>
          <w:szCs w:val="24"/>
        </w:rPr>
        <w:t>. Available at: </w:t>
      </w:r>
      <w:hyperlink r:id="rId25" w:tgtFrame="_blank" w:history="1">
        <w:r w:rsidRPr="00802D92">
          <w:rPr>
            <w:rStyle w:val="Hyperlink"/>
            <w:rFonts w:ascii="Times New Roman" w:hAnsi="Times New Roman" w:cs="Times New Roman"/>
            <w:sz w:val="24"/>
            <w:szCs w:val="24"/>
          </w:rPr>
          <w:t>https://www.capstera.com/image_posts/5-key-strategies-business-architecture-brings-pharmaceutical-companies/</w:t>
        </w:r>
      </w:hyperlink>
      <w:r w:rsidRPr="00802D92">
        <w:rPr>
          <w:rFonts w:ascii="Times New Roman" w:hAnsi="Times New Roman" w:cs="Times New Roman"/>
          <w:sz w:val="24"/>
          <w:szCs w:val="24"/>
        </w:rPr>
        <w:t> [Accessed 25 March 2026].​</w:t>
      </w:r>
    </w:p>
    <w:p w14:paraId="269EF343"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Design Inc (2021) </w:t>
      </w:r>
      <w:r w:rsidRPr="00802D92">
        <w:rPr>
          <w:rFonts w:ascii="Times New Roman" w:hAnsi="Times New Roman" w:cs="Times New Roman"/>
          <w:i/>
          <w:iCs/>
          <w:sz w:val="24"/>
          <w:szCs w:val="24"/>
        </w:rPr>
        <w:t>Healthcare Portfolio</w:t>
      </w:r>
      <w:r w:rsidRPr="00802D92">
        <w:rPr>
          <w:rFonts w:ascii="Times New Roman" w:hAnsi="Times New Roman" w:cs="Times New Roman"/>
          <w:sz w:val="24"/>
          <w:szCs w:val="24"/>
        </w:rPr>
        <w:t>. Available at: </w:t>
      </w:r>
      <w:hyperlink r:id="rId26" w:tgtFrame="_blank" w:history="1">
        <w:r w:rsidRPr="00802D92">
          <w:rPr>
            <w:rStyle w:val="Hyperlink"/>
            <w:rFonts w:ascii="Times New Roman" w:hAnsi="Times New Roman" w:cs="Times New Roman"/>
            <w:sz w:val="24"/>
            <w:szCs w:val="24"/>
          </w:rPr>
          <w:t>https://www.designinc.co.uk/wp-content/uploads/2021/07/Healthcare-Portfolio.pdf</w:t>
        </w:r>
      </w:hyperlink>
      <w:r w:rsidRPr="00802D92">
        <w:rPr>
          <w:rFonts w:ascii="Times New Roman" w:hAnsi="Times New Roman" w:cs="Times New Roman"/>
          <w:sz w:val="24"/>
          <w:szCs w:val="24"/>
        </w:rPr>
        <w:t> [Accessed 25 March 2026].​</w:t>
      </w:r>
    </w:p>
    <w:p w14:paraId="3AE72B1B" w14:textId="77777777" w:rsidR="00802D92" w:rsidRPr="00802D92" w:rsidRDefault="00802D92" w:rsidP="00802D92">
      <w:pPr>
        <w:pStyle w:val="ListNumber"/>
        <w:spacing w:line="360" w:lineRule="auto"/>
        <w:jc w:val="both"/>
        <w:rPr>
          <w:rFonts w:ascii="Times New Roman" w:hAnsi="Times New Roman" w:cs="Times New Roman"/>
          <w:sz w:val="24"/>
          <w:szCs w:val="24"/>
        </w:rPr>
      </w:pPr>
      <w:r w:rsidRPr="00802D92">
        <w:rPr>
          <w:rFonts w:ascii="Times New Roman" w:hAnsi="Times New Roman" w:cs="Times New Roman"/>
          <w:sz w:val="24"/>
          <w:szCs w:val="24"/>
        </w:rPr>
        <w:t>IJNRD (2019) 'IMPACT OF BRANDING ON HEALTHCARE MARKETING', </w:t>
      </w:r>
      <w:r w:rsidRPr="00802D92">
        <w:rPr>
          <w:rFonts w:ascii="Times New Roman" w:hAnsi="Times New Roman" w:cs="Times New Roman"/>
          <w:i/>
          <w:iCs/>
          <w:sz w:val="24"/>
          <w:szCs w:val="24"/>
        </w:rPr>
        <w:t>IJNRD</w:t>
      </w:r>
      <w:r w:rsidRPr="00802D92">
        <w:rPr>
          <w:rFonts w:ascii="Times New Roman" w:hAnsi="Times New Roman" w:cs="Times New Roman"/>
          <w:sz w:val="24"/>
          <w:szCs w:val="24"/>
        </w:rPr>
        <w:t xml:space="preserve">, 4(12). Available </w:t>
      </w:r>
      <w:r w:rsidRPr="00802D92">
        <w:rPr>
          <w:rFonts w:ascii="Times New Roman" w:hAnsi="Times New Roman" w:cs="Times New Roman"/>
          <w:sz w:val="24"/>
          <w:szCs w:val="24"/>
        </w:rPr>
        <w:lastRenderedPageBreak/>
        <w:t>at: </w:t>
      </w:r>
      <w:hyperlink r:id="rId27" w:tgtFrame="_blank" w:history="1">
        <w:r w:rsidRPr="00802D92">
          <w:rPr>
            <w:rStyle w:val="Hyperlink"/>
            <w:rFonts w:ascii="Times New Roman" w:hAnsi="Times New Roman" w:cs="Times New Roman"/>
            <w:sz w:val="24"/>
            <w:szCs w:val="24"/>
          </w:rPr>
          <w:t>https://ijnrd.org/viewpaperforall.php?paper=IJNRD2407385</w:t>
        </w:r>
      </w:hyperlink>
      <w:r w:rsidRPr="00802D92">
        <w:rPr>
          <w:rFonts w:ascii="Times New Roman" w:hAnsi="Times New Roman" w:cs="Times New Roman"/>
          <w:sz w:val="24"/>
          <w:szCs w:val="24"/>
        </w:rPr>
        <w:t> [Accessed 25 March 2026].​</w:t>
      </w:r>
    </w:p>
    <w:p w14:paraId="516D7583" w14:textId="77777777" w:rsidR="00802D92" w:rsidRPr="00802D92" w:rsidRDefault="00802D92" w:rsidP="00802D92">
      <w:pPr>
        <w:pStyle w:val="ListNumber"/>
        <w:spacing w:line="360" w:lineRule="auto"/>
        <w:jc w:val="both"/>
        <w:rPr>
          <w:rFonts w:ascii="Times New Roman" w:hAnsi="Times New Roman" w:cs="Times New Roman"/>
          <w:sz w:val="24"/>
          <w:szCs w:val="24"/>
        </w:rPr>
      </w:pPr>
      <w:proofErr w:type="spellStart"/>
      <w:r w:rsidRPr="00802D92">
        <w:rPr>
          <w:rFonts w:ascii="Times New Roman" w:hAnsi="Times New Roman" w:cs="Times New Roman"/>
          <w:sz w:val="24"/>
          <w:szCs w:val="24"/>
        </w:rPr>
        <w:t>Pharmaphorum</w:t>
      </w:r>
      <w:proofErr w:type="spellEnd"/>
      <w:r w:rsidRPr="00802D92">
        <w:rPr>
          <w:rFonts w:ascii="Times New Roman" w:hAnsi="Times New Roman" w:cs="Times New Roman"/>
          <w:sz w:val="24"/>
          <w:szCs w:val="24"/>
        </w:rPr>
        <w:t xml:space="preserve"> ACR (2025) 'Strategic Patient-Centric Brand Management in Pharma', </w:t>
      </w:r>
      <w:r w:rsidRPr="00802D92">
        <w:rPr>
          <w:rFonts w:ascii="Times New Roman" w:hAnsi="Times New Roman" w:cs="Times New Roman"/>
          <w:i/>
          <w:iCs/>
          <w:sz w:val="24"/>
          <w:szCs w:val="24"/>
        </w:rPr>
        <w:t>ACR Journal</w:t>
      </w:r>
      <w:r w:rsidRPr="00802D92">
        <w:rPr>
          <w:rFonts w:ascii="Times New Roman" w:hAnsi="Times New Roman" w:cs="Times New Roman"/>
          <w:sz w:val="24"/>
          <w:szCs w:val="24"/>
        </w:rPr>
        <w:t>. Available at: </w:t>
      </w:r>
      <w:hyperlink r:id="rId28" w:tgtFrame="_blank" w:history="1">
        <w:r w:rsidRPr="00802D92">
          <w:rPr>
            <w:rStyle w:val="Hyperlink"/>
            <w:rFonts w:ascii="Times New Roman" w:hAnsi="Times New Roman" w:cs="Times New Roman"/>
            <w:sz w:val="24"/>
            <w:szCs w:val="24"/>
          </w:rPr>
          <w:t>https://acr-journal.com/article/strategic-patient-centric-brand-management-in-pharma-transforming-value-creation-through-vrio-an</w:t>
        </w:r>
      </w:hyperlink>
      <w:r w:rsidRPr="00802D92">
        <w:rPr>
          <w:rFonts w:ascii="Times New Roman" w:hAnsi="Times New Roman" w:cs="Times New Roman"/>
          <w:sz w:val="24"/>
          <w:szCs w:val="24"/>
        </w:rPr>
        <w:t> [Accessed 25 March 2026].​</w:t>
      </w:r>
    </w:p>
    <w:p w14:paraId="6F420019" w14:textId="77777777" w:rsidR="00802D92" w:rsidRPr="00802D92" w:rsidRDefault="00802D92" w:rsidP="00802D92">
      <w:pPr>
        <w:pStyle w:val="ListNumber"/>
        <w:numPr>
          <w:ilvl w:val="0"/>
          <w:numId w:val="0"/>
        </w:numPr>
        <w:spacing w:line="360" w:lineRule="auto"/>
        <w:ind w:left="360"/>
        <w:jc w:val="both"/>
        <w:rPr>
          <w:rFonts w:ascii="Times New Roman" w:hAnsi="Times New Roman" w:cs="Times New Roman"/>
          <w:sz w:val="24"/>
          <w:szCs w:val="24"/>
        </w:rPr>
      </w:pPr>
    </w:p>
    <w:p w14:paraId="4262D719" w14:textId="77777777" w:rsidR="00B57D37" w:rsidRPr="00802D92" w:rsidRDefault="00B57D37" w:rsidP="00802D92">
      <w:pPr>
        <w:rPr>
          <w:lang w:val="en-US"/>
        </w:rPr>
      </w:pPr>
    </w:p>
    <w:sectPr w:rsidR="00B57D37" w:rsidRPr="00802D92" w:rsidSect="00F5629F">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8B8AC" w14:textId="77777777" w:rsidR="004412D3" w:rsidRDefault="004412D3">
      <w:pPr>
        <w:spacing w:line="240" w:lineRule="auto"/>
      </w:pPr>
      <w:r>
        <w:separator/>
      </w:r>
    </w:p>
  </w:endnote>
  <w:endnote w:type="continuationSeparator" w:id="0">
    <w:p w14:paraId="604F3604" w14:textId="77777777" w:rsidR="004412D3" w:rsidRDefault="004412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F7AC4B" w14:textId="77777777" w:rsidR="00521C44" w:rsidRDefault="005E570F">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B57D37">
      <w:rPr>
        <w:noProof/>
        <w:color w:val="000000"/>
      </w:rPr>
      <w:t>2</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9D944" w14:textId="77777777" w:rsidR="004412D3" w:rsidRDefault="004412D3">
      <w:pPr>
        <w:spacing w:line="240" w:lineRule="auto"/>
      </w:pPr>
      <w:r>
        <w:separator/>
      </w:r>
    </w:p>
  </w:footnote>
  <w:footnote w:type="continuationSeparator" w:id="0">
    <w:p w14:paraId="220D65DD" w14:textId="77777777" w:rsidR="004412D3" w:rsidRDefault="004412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9A30ACBC"/>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4CC0E7A4"/>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2EBB70A2"/>
    <w:multiLevelType w:val="multilevel"/>
    <w:tmpl w:val="A3429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926321"/>
    <w:multiLevelType w:val="multilevel"/>
    <w:tmpl w:val="6718A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236900">
    <w:abstractNumId w:val="2"/>
  </w:num>
  <w:num w:numId="2" w16cid:durableId="1390417071">
    <w:abstractNumId w:val="1"/>
  </w:num>
  <w:num w:numId="3" w16cid:durableId="510991199">
    <w:abstractNumId w:val="0"/>
  </w:num>
  <w:num w:numId="4" w16cid:durableId="4337934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C44"/>
    <w:rsid w:val="00067157"/>
    <w:rsid w:val="00072C45"/>
    <w:rsid w:val="00094D9A"/>
    <w:rsid w:val="0010667B"/>
    <w:rsid w:val="001312B5"/>
    <w:rsid w:val="001673F9"/>
    <w:rsid w:val="00215651"/>
    <w:rsid w:val="00222CA0"/>
    <w:rsid w:val="002457F4"/>
    <w:rsid w:val="00296484"/>
    <w:rsid w:val="002F42F7"/>
    <w:rsid w:val="0031126A"/>
    <w:rsid w:val="003C0554"/>
    <w:rsid w:val="004412D3"/>
    <w:rsid w:val="00521C44"/>
    <w:rsid w:val="005852FD"/>
    <w:rsid w:val="005E183E"/>
    <w:rsid w:val="005E570F"/>
    <w:rsid w:val="005E5DDD"/>
    <w:rsid w:val="00601492"/>
    <w:rsid w:val="00697AA3"/>
    <w:rsid w:val="006A50FA"/>
    <w:rsid w:val="006C085C"/>
    <w:rsid w:val="006C4EA9"/>
    <w:rsid w:val="006D6C7B"/>
    <w:rsid w:val="006E55B8"/>
    <w:rsid w:val="0079514D"/>
    <w:rsid w:val="007F17A8"/>
    <w:rsid w:val="00802D92"/>
    <w:rsid w:val="008122BF"/>
    <w:rsid w:val="00822BD2"/>
    <w:rsid w:val="00823364"/>
    <w:rsid w:val="008853C7"/>
    <w:rsid w:val="008D076A"/>
    <w:rsid w:val="008D0931"/>
    <w:rsid w:val="00915EBC"/>
    <w:rsid w:val="009F7FD4"/>
    <w:rsid w:val="00A71975"/>
    <w:rsid w:val="00AF4C86"/>
    <w:rsid w:val="00B1293D"/>
    <w:rsid w:val="00B16553"/>
    <w:rsid w:val="00B57D37"/>
    <w:rsid w:val="00B75CF8"/>
    <w:rsid w:val="00C077E8"/>
    <w:rsid w:val="00C64E45"/>
    <w:rsid w:val="00D708C5"/>
    <w:rsid w:val="00DB0679"/>
    <w:rsid w:val="00E056A5"/>
    <w:rsid w:val="00E21011"/>
    <w:rsid w:val="00EE12D9"/>
    <w:rsid w:val="00F148E3"/>
    <w:rsid w:val="00F503DC"/>
    <w:rsid w:val="00F5629F"/>
    <w:rsid w:val="02523FE5"/>
    <w:rsid w:val="0D5D5B52"/>
    <w:rsid w:val="19091E1D"/>
    <w:rsid w:val="2012E54C"/>
    <w:rsid w:val="2EE1C1D7"/>
    <w:rsid w:val="3168F613"/>
    <w:rsid w:val="54141D9A"/>
    <w:rsid w:val="627CD691"/>
    <w:rsid w:val="6DAFD85B"/>
    <w:rsid w:val="7A1BE2F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3538D"/>
  <w15:docId w15:val="{F92C4C90-105B-4420-A483-F5DDB92B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pBdr>
        <w:top w:val="nil"/>
        <w:left w:val="nil"/>
        <w:bottom w:val="nil"/>
        <w:right w:val="nil"/>
        <w:between w:val="nil"/>
      </w:pBdr>
      <w:spacing w:after="60"/>
    </w:pPr>
    <w:rPr>
      <w:color w:val="000000"/>
      <w:sz w:val="52"/>
      <w:szCs w:val="52"/>
    </w:rPr>
  </w:style>
  <w:style w:type="table" w:customStyle="1" w:styleId="TableNormal00">
    <w:name w:val="TableNormal0"/>
    <w:rsid w:val="00A84993"/>
    <w:tblPr>
      <w:tblCellMar>
        <w:top w:w="100" w:type="dxa"/>
        <w:left w:w="100" w:type="dxa"/>
        <w:bottom w:w="100" w:type="dxa"/>
        <w:right w:w="100" w:type="dxa"/>
      </w:tblCellMar>
    </w:tblPr>
  </w:style>
  <w:style w:type="paragraph" w:customStyle="1" w:styleId="Normal1">
    <w:name w:val="Normal1"/>
    <w:rsid w:val="00A84993"/>
  </w:style>
  <w:style w:type="paragraph" w:styleId="BalloonText">
    <w:name w:val="Balloon Text"/>
    <w:basedOn w:val="Normal"/>
    <w:link w:val="BalloonTextChar"/>
    <w:uiPriority w:val="99"/>
    <w:semiHidden/>
    <w:unhideWhenUsed/>
    <w:rsid w:val="009C71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139"/>
    <w:rPr>
      <w:rFonts w:ascii="Tahoma" w:hAnsi="Tahoma" w:cs="Tahoma"/>
      <w:sz w:val="16"/>
      <w:szCs w:val="16"/>
    </w:rPr>
  </w:style>
  <w:style w:type="character" w:styleId="Hyperlink">
    <w:name w:val="Hyperlink"/>
    <w:basedOn w:val="DefaultParagraphFont"/>
    <w:uiPriority w:val="99"/>
    <w:unhideWhenUsed/>
    <w:rsid w:val="009C7139"/>
    <w:rPr>
      <w:color w:val="0000FF" w:themeColor="hyperlink"/>
      <w:u w:val="single"/>
    </w:rPr>
  </w:style>
  <w:style w:type="paragraph" w:styleId="TOC1">
    <w:name w:val="toc 1"/>
    <w:basedOn w:val="Normal"/>
    <w:next w:val="Normal"/>
    <w:autoRedefine/>
    <w:uiPriority w:val="39"/>
    <w:unhideWhenUsed/>
    <w:rsid w:val="005E3635"/>
    <w:pPr>
      <w:spacing w:before="120"/>
      <w:jc w:val="left"/>
    </w:pPr>
    <w:rPr>
      <w:rFonts w:asciiTheme="minorHAnsi" w:hAnsiTheme="minorHAnsi"/>
      <w:b/>
      <w:bCs/>
      <w:i/>
      <w:iCs/>
      <w:szCs w:val="28"/>
    </w:rPr>
  </w:style>
  <w:style w:type="paragraph" w:styleId="Subtitle">
    <w:name w:val="Subtitle"/>
    <w:basedOn w:val="Normal"/>
    <w:next w:val="Normal"/>
    <w:link w:val="SubtitleChar"/>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NoSpacing">
    <w:name w:val="No Spacing"/>
    <w:uiPriority w:val="1"/>
    <w:qFormat/>
    <w:rsid w:val="002F42F7"/>
    <w:pPr>
      <w:spacing w:line="240" w:lineRule="auto"/>
    </w:pPr>
  </w:style>
  <w:style w:type="character" w:styleId="CommentReference">
    <w:name w:val="annotation reference"/>
    <w:basedOn w:val="DefaultParagraphFont"/>
    <w:uiPriority w:val="99"/>
    <w:semiHidden/>
    <w:unhideWhenUsed/>
    <w:rsid w:val="006C085C"/>
    <w:rPr>
      <w:sz w:val="16"/>
      <w:szCs w:val="16"/>
    </w:rPr>
  </w:style>
  <w:style w:type="paragraph" w:styleId="CommentText">
    <w:name w:val="annotation text"/>
    <w:basedOn w:val="Normal"/>
    <w:link w:val="CommentTextChar"/>
    <w:uiPriority w:val="99"/>
    <w:semiHidden/>
    <w:unhideWhenUsed/>
    <w:rsid w:val="006C085C"/>
    <w:pPr>
      <w:spacing w:line="240" w:lineRule="auto"/>
    </w:pPr>
    <w:rPr>
      <w:sz w:val="20"/>
      <w:szCs w:val="20"/>
    </w:rPr>
  </w:style>
  <w:style w:type="character" w:customStyle="1" w:styleId="CommentTextChar">
    <w:name w:val="Comment Text Char"/>
    <w:basedOn w:val="DefaultParagraphFont"/>
    <w:link w:val="CommentText"/>
    <w:uiPriority w:val="99"/>
    <w:semiHidden/>
    <w:rsid w:val="006C085C"/>
    <w:rPr>
      <w:sz w:val="20"/>
      <w:szCs w:val="20"/>
    </w:rPr>
  </w:style>
  <w:style w:type="paragraph" w:styleId="CommentSubject">
    <w:name w:val="annotation subject"/>
    <w:basedOn w:val="CommentText"/>
    <w:next w:val="CommentText"/>
    <w:link w:val="CommentSubjectChar"/>
    <w:uiPriority w:val="99"/>
    <w:semiHidden/>
    <w:unhideWhenUsed/>
    <w:rsid w:val="006C085C"/>
    <w:rPr>
      <w:b/>
      <w:bCs/>
    </w:rPr>
  </w:style>
  <w:style w:type="character" w:customStyle="1" w:styleId="CommentSubjectChar">
    <w:name w:val="Comment Subject Char"/>
    <w:basedOn w:val="CommentTextChar"/>
    <w:link w:val="CommentSubject"/>
    <w:uiPriority w:val="99"/>
    <w:semiHidden/>
    <w:rsid w:val="006C085C"/>
    <w:rPr>
      <w:b/>
      <w:bCs/>
      <w:sz w:val="20"/>
      <w:szCs w:val="20"/>
    </w:rPr>
  </w:style>
  <w:style w:type="table" w:customStyle="1" w:styleId="Style53">
    <w:name w:val="_Style 53"/>
    <w:basedOn w:val="TableNormal"/>
    <w:rsid w:val="00B57D37"/>
    <w:pPr>
      <w:spacing w:after="200" w:line="276" w:lineRule="auto"/>
      <w:jc w:val="left"/>
    </w:pPr>
    <w:rPr>
      <w:rFonts w:ascii="Tahoma" w:eastAsia="Tahoma" w:hAnsi="Tahoma" w:cs="Tahoma"/>
      <w:sz w:val="20"/>
      <w:szCs w:val="20"/>
      <w:lang w:val="en-US" w:eastAsia="en-US"/>
    </w:rPr>
    <w:tblPr>
      <w:tblCellMar>
        <w:left w:w="113" w:type="dxa"/>
        <w:right w:w="113" w:type="dxa"/>
      </w:tblCellMar>
    </w:tblPr>
  </w:style>
  <w:style w:type="paragraph" w:styleId="Header">
    <w:name w:val="header"/>
    <w:basedOn w:val="Normal"/>
    <w:link w:val="HeaderChar"/>
    <w:uiPriority w:val="99"/>
    <w:unhideWhenUsed/>
    <w:rsid w:val="00B57D37"/>
    <w:pPr>
      <w:tabs>
        <w:tab w:val="center" w:pos="4513"/>
        <w:tab w:val="right" w:pos="9026"/>
      </w:tabs>
      <w:spacing w:line="240" w:lineRule="auto"/>
      <w:ind w:left="176"/>
    </w:pPr>
    <w:rPr>
      <w:rFonts w:ascii="Tahoma" w:hAnsi="Tahoma"/>
      <w:sz w:val="22"/>
      <w:szCs w:val="20"/>
      <w:lang w:val="en-GB" w:eastAsia="en-US"/>
    </w:rPr>
  </w:style>
  <w:style w:type="character" w:customStyle="1" w:styleId="HeaderChar">
    <w:name w:val="Header Char"/>
    <w:basedOn w:val="DefaultParagraphFont"/>
    <w:link w:val="Header"/>
    <w:uiPriority w:val="99"/>
    <w:rsid w:val="00B57D37"/>
    <w:rPr>
      <w:rFonts w:ascii="Tahoma" w:hAnsi="Tahoma"/>
      <w:sz w:val="22"/>
      <w:szCs w:val="20"/>
      <w:lang w:val="en-GB" w:eastAsia="en-US"/>
    </w:rPr>
  </w:style>
  <w:style w:type="table" w:styleId="TableGrid">
    <w:name w:val="Table Grid"/>
    <w:basedOn w:val="TableNormal"/>
    <w:uiPriority w:val="59"/>
    <w:rsid w:val="00B57D37"/>
    <w:pPr>
      <w:spacing w:line="240" w:lineRule="auto"/>
      <w:jc w:val="left"/>
    </w:pPr>
    <w:rPr>
      <w:rFonts w:asciiTheme="minorHAnsi" w:eastAsiaTheme="minorHAnsi" w:hAnsiTheme="minorHAnsi" w:cstheme="minorBidi"/>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57D37"/>
    <w:pPr>
      <w:spacing w:line="240" w:lineRule="auto"/>
      <w:jc w:val="left"/>
    </w:pPr>
    <w:rPr>
      <w:rFonts w:asciiTheme="minorHAnsi" w:eastAsiaTheme="minorHAnsi" w:hAnsiTheme="minorHAnsi" w:cstheme="minorBidi"/>
      <w:sz w:val="22"/>
      <w:szCs w:val="22"/>
      <w:lang w:val="en-GB"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itleChar">
    <w:name w:val="Title Char"/>
    <w:basedOn w:val="DefaultParagraphFont"/>
    <w:link w:val="Title"/>
    <w:uiPriority w:val="10"/>
    <w:rsid w:val="008122BF"/>
    <w:rPr>
      <w:color w:val="000000"/>
      <w:sz w:val="52"/>
      <w:szCs w:val="52"/>
    </w:rPr>
  </w:style>
  <w:style w:type="paragraph" w:styleId="TOCHeading">
    <w:name w:val="TOC Heading"/>
    <w:basedOn w:val="Heading1"/>
    <w:next w:val="Normal"/>
    <w:uiPriority w:val="39"/>
    <w:unhideWhenUsed/>
    <w:qFormat/>
    <w:rsid w:val="008122BF"/>
    <w:pPr>
      <w:pBdr>
        <w:top w:val="none" w:sz="0" w:space="0" w:color="auto"/>
        <w:left w:val="none" w:sz="0" w:space="0" w:color="auto"/>
        <w:bottom w:val="none" w:sz="0" w:space="0" w:color="auto"/>
        <w:right w:val="none" w:sz="0" w:space="0" w:color="auto"/>
        <w:between w:val="none" w:sz="0" w:space="0" w:color="auto"/>
      </w:pBd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2">
    <w:name w:val="toc 2"/>
    <w:basedOn w:val="Normal"/>
    <w:next w:val="Normal"/>
    <w:autoRedefine/>
    <w:uiPriority w:val="39"/>
    <w:unhideWhenUsed/>
    <w:rsid w:val="008122BF"/>
    <w:pPr>
      <w:spacing w:before="120"/>
      <w:ind w:left="240"/>
      <w:jc w:val="left"/>
    </w:pPr>
    <w:rPr>
      <w:rFonts w:asciiTheme="minorHAnsi" w:hAnsiTheme="minorHAnsi"/>
      <w:b/>
      <w:bCs/>
      <w:sz w:val="22"/>
      <w:szCs w:val="26"/>
    </w:rPr>
  </w:style>
  <w:style w:type="paragraph" w:styleId="TOC3">
    <w:name w:val="toc 3"/>
    <w:basedOn w:val="Normal"/>
    <w:next w:val="Normal"/>
    <w:autoRedefine/>
    <w:uiPriority w:val="39"/>
    <w:unhideWhenUsed/>
    <w:rsid w:val="008122BF"/>
    <w:pPr>
      <w:ind w:left="480"/>
      <w:jc w:val="left"/>
    </w:pPr>
    <w:rPr>
      <w:rFonts w:asciiTheme="minorHAnsi" w:hAnsiTheme="minorHAnsi"/>
      <w:sz w:val="20"/>
    </w:rPr>
  </w:style>
  <w:style w:type="paragraph" w:styleId="TOC4">
    <w:name w:val="toc 4"/>
    <w:basedOn w:val="Normal"/>
    <w:next w:val="Normal"/>
    <w:autoRedefine/>
    <w:uiPriority w:val="39"/>
    <w:semiHidden/>
    <w:unhideWhenUsed/>
    <w:rsid w:val="008122BF"/>
    <w:pPr>
      <w:ind w:left="720"/>
      <w:jc w:val="left"/>
    </w:pPr>
    <w:rPr>
      <w:rFonts w:asciiTheme="minorHAnsi" w:hAnsiTheme="minorHAnsi"/>
      <w:sz w:val="20"/>
    </w:rPr>
  </w:style>
  <w:style w:type="paragraph" w:styleId="TOC5">
    <w:name w:val="toc 5"/>
    <w:basedOn w:val="Normal"/>
    <w:next w:val="Normal"/>
    <w:autoRedefine/>
    <w:uiPriority w:val="39"/>
    <w:semiHidden/>
    <w:unhideWhenUsed/>
    <w:rsid w:val="008122BF"/>
    <w:pPr>
      <w:ind w:left="960"/>
      <w:jc w:val="left"/>
    </w:pPr>
    <w:rPr>
      <w:rFonts w:asciiTheme="minorHAnsi" w:hAnsiTheme="minorHAnsi"/>
      <w:sz w:val="20"/>
    </w:rPr>
  </w:style>
  <w:style w:type="paragraph" w:styleId="TOC6">
    <w:name w:val="toc 6"/>
    <w:basedOn w:val="Normal"/>
    <w:next w:val="Normal"/>
    <w:autoRedefine/>
    <w:uiPriority w:val="39"/>
    <w:semiHidden/>
    <w:unhideWhenUsed/>
    <w:rsid w:val="008122BF"/>
    <w:pPr>
      <w:ind w:left="1200"/>
      <w:jc w:val="left"/>
    </w:pPr>
    <w:rPr>
      <w:rFonts w:asciiTheme="minorHAnsi" w:hAnsiTheme="minorHAnsi"/>
      <w:sz w:val="20"/>
    </w:rPr>
  </w:style>
  <w:style w:type="paragraph" w:styleId="TOC7">
    <w:name w:val="toc 7"/>
    <w:basedOn w:val="Normal"/>
    <w:next w:val="Normal"/>
    <w:autoRedefine/>
    <w:uiPriority w:val="39"/>
    <w:semiHidden/>
    <w:unhideWhenUsed/>
    <w:rsid w:val="008122BF"/>
    <w:pPr>
      <w:ind w:left="1440"/>
      <w:jc w:val="left"/>
    </w:pPr>
    <w:rPr>
      <w:rFonts w:asciiTheme="minorHAnsi" w:hAnsiTheme="minorHAnsi"/>
      <w:sz w:val="20"/>
    </w:rPr>
  </w:style>
  <w:style w:type="paragraph" w:styleId="TOC8">
    <w:name w:val="toc 8"/>
    <w:basedOn w:val="Normal"/>
    <w:next w:val="Normal"/>
    <w:autoRedefine/>
    <w:uiPriority w:val="39"/>
    <w:semiHidden/>
    <w:unhideWhenUsed/>
    <w:rsid w:val="008122BF"/>
    <w:pPr>
      <w:ind w:left="1680"/>
      <w:jc w:val="left"/>
    </w:pPr>
    <w:rPr>
      <w:rFonts w:asciiTheme="minorHAnsi" w:hAnsiTheme="minorHAnsi"/>
      <w:sz w:val="20"/>
    </w:rPr>
  </w:style>
  <w:style w:type="paragraph" w:styleId="TOC9">
    <w:name w:val="toc 9"/>
    <w:basedOn w:val="Normal"/>
    <w:next w:val="Normal"/>
    <w:autoRedefine/>
    <w:uiPriority w:val="39"/>
    <w:semiHidden/>
    <w:unhideWhenUsed/>
    <w:rsid w:val="008122BF"/>
    <w:pPr>
      <w:ind w:left="1920"/>
      <w:jc w:val="left"/>
    </w:pPr>
    <w:rPr>
      <w:rFonts w:asciiTheme="minorHAnsi" w:hAnsiTheme="minorHAnsi"/>
      <w:sz w:val="20"/>
    </w:rPr>
  </w:style>
  <w:style w:type="character" w:styleId="UnresolvedMention">
    <w:name w:val="Unresolved Mention"/>
    <w:basedOn w:val="DefaultParagraphFont"/>
    <w:uiPriority w:val="99"/>
    <w:semiHidden/>
    <w:unhideWhenUsed/>
    <w:rsid w:val="008122BF"/>
    <w:rPr>
      <w:color w:val="605E5C"/>
      <w:shd w:val="clear" w:color="auto" w:fill="E1DFDD"/>
    </w:rPr>
  </w:style>
  <w:style w:type="character" w:customStyle="1" w:styleId="SubtitleChar">
    <w:name w:val="Subtitle Char"/>
    <w:basedOn w:val="DefaultParagraphFont"/>
    <w:link w:val="Subtitle"/>
    <w:uiPriority w:val="11"/>
    <w:rsid w:val="00072C45"/>
    <w:rPr>
      <w:rFonts w:ascii="Arial" w:eastAsia="Arial" w:hAnsi="Arial" w:cs="Arial"/>
      <w:color w:val="666666"/>
      <w:sz w:val="30"/>
      <w:szCs w:val="30"/>
    </w:rPr>
  </w:style>
  <w:style w:type="table" w:styleId="LightList">
    <w:name w:val="Light List"/>
    <w:basedOn w:val="TableNormal"/>
    <w:uiPriority w:val="61"/>
    <w:rsid w:val="00072C45"/>
    <w:pPr>
      <w:spacing w:line="240" w:lineRule="auto"/>
      <w:jc w:val="left"/>
    </w:pPr>
    <w:rPr>
      <w:rFonts w:asciiTheme="minorHAnsi" w:eastAsiaTheme="minorEastAsia" w:hAnsiTheme="minorHAnsi" w:cstheme="minorBidi"/>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Shading1-Accent1">
    <w:name w:val="Medium Shading 1 Accent 1"/>
    <w:basedOn w:val="TableNormal"/>
    <w:uiPriority w:val="63"/>
    <w:rsid w:val="00072C45"/>
    <w:pPr>
      <w:spacing w:line="240" w:lineRule="auto"/>
      <w:jc w:val="left"/>
    </w:pPr>
    <w:rPr>
      <w:rFonts w:asciiTheme="minorHAnsi" w:eastAsiaTheme="minorEastAsia" w:hAnsiTheme="minorHAnsi" w:cstheme="minorBidi"/>
      <w:sz w:val="22"/>
      <w:szCs w:val="22"/>
      <w:lang w:val="en-US" w:eastAsia="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ListBullet">
    <w:name w:val="List Bullet"/>
    <w:basedOn w:val="Normal"/>
    <w:uiPriority w:val="99"/>
    <w:unhideWhenUsed/>
    <w:rsid w:val="008853C7"/>
    <w:pPr>
      <w:numPr>
        <w:numId w:val="2"/>
      </w:numPr>
      <w:spacing w:after="200" w:line="276" w:lineRule="auto"/>
      <w:contextualSpacing/>
      <w:jc w:val="left"/>
    </w:pPr>
    <w:rPr>
      <w:rFonts w:asciiTheme="minorHAnsi" w:eastAsiaTheme="minorEastAsia" w:hAnsiTheme="minorHAnsi" w:cstheme="minorBidi"/>
      <w:sz w:val="22"/>
      <w:szCs w:val="22"/>
      <w:lang w:val="en-US" w:eastAsia="en-US"/>
    </w:rPr>
  </w:style>
  <w:style w:type="paragraph" w:styleId="ListNumber">
    <w:name w:val="List Number"/>
    <w:basedOn w:val="Normal"/>
    <w:uiPriority w:val="99"/>
    <w:unhideWhenUsed/>
    <w:rsid w:val="008853C7"/>
    <w:pPr>
      <w:numPr>
        <w:numId w:val="3"/>
      </w:numPr>
      <w:spacing w:after="200" w:line="276" w:lineRule="auto"/>
      <w:contextualSpacing/>
      <w:jc w:val="left"/>
    </w:pPr>
    <w:rPr>
      <w:rFonts w:asciiTheme="minorHAnsi" w:eastAsiaTheme="minorEastAsia" w:hAnsiTheme="minorHAnsi" w:cstheme="minorBidi"/>
      <w:sz w:val="22"/>
      <w:szCs w:val="22"/>
      <w:lang w:val="en-US" w:eastAsia="en-US"/>
    </w:rPr>
  </w:style>
  <w:style w:type="paragraph" w:styleId="Caption">
    <w:name w:val="caption"/>
    <w:basedOn w:val="Normal"/>
    <w:next w:val="Normal"/>
    <w:uiPriority w:val="35"/>
    <w:semiHidden/>
    <w:unhideWhenUsed/>
    <w:qFormat/>
    <w:rsid w:val="008853C7"/>
    <w:pPr>
      <w:spacing w:after="200" w:line="240" w:lineRule="auto"/>
      <w:jc w:val="left"/>
    </w:pPr>
    <w:rPr>
      <w:rFonts w:asciiTheme="minorHAnsi" w:eastAsiaTheme="minorEastAsia" w:hAnsiTheme="minorHAnsi" w:cstheme="minorBidi"/>
      <w:b/>
      <w:bCs/>
      <w:color w:val="4F81BD" w:themeColor="accent1"/>
      <w:sz w:val="18"/>
      <w:szCs w:val="18"/>
      <w:lang w:val="en-US" w:eastAsia="en-US"/>
    </w:rPr>
  </w:style>
  <w:style w:type="table" w:styleId="GridTable1Light">
    <w:name w:val="Grid Table 1 Light"/>
    <w:basedOn w:val="TableNormal"/>
    <w:uiPriority w:val="46"/>
    <w:rsid w:val="003C0554"/>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3C0554"/>
    <w:pPr>
      <w:spacing w:before="100" w:beforeAutospacing="1" w:after="100" w:afterAutospacing="1" w:line="240" w:lineRule="auto"/>
      <w:jc w:val="left"/>
    </w:pPr>
    <w:rPr>
      <w:lang w:eastAsia="en-US"/>
    </w:rPr>
  </w:style>
  <w:style w:type="table" w:styleId="GridTable4-Accent4">
    <w:name w:val="Grid Table 4 Accent 4"/>
    <w:basedOn w:val="TableNormal"/>
    <w:uiPriority w:val="49"/>
    <w:rsid w:val="005E5DDD"/>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LightList-Accent1">
    <w:name w:val="Light List Accent 1"/>
    <w:basedOn w:val="TableNormal"/>
    <w:uiPriority w:val="61"/>
    <w:rsid w:val="00802D92"/>
    <w:pPr>
      <w:spacing w:line="240" w:lineRule="auto"/>
      <w:jc w:val="left"/>
    </w:pPr>
    <w:rPr>
      <w:rFonts w:asciiTheme="minorHAnsi" w:eastAsiaTheme="minorEastAsia" w:hAnsiTheme="minorHAnsi" w:cstheme="minorBidi"/>
      <w:sz w:val="22"/>
      <w:szCs w:val="22"/>
      <w:lang w:val="en-US" w:eastAsia="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94311">
      <w:bodyDiv w:val="1"/>
      <w:marLeft w:val="0"/>
      <w:marRight w:val="0"/>
      <w:marTop w:val="0"/>
      <w:marBottom w:val="0"/>
      <w:divBdr>
        <w:top w:val="none" w:sz="0" w:space="0" w:color="auto"/>
        <w:left w:val="none" w:sz="0" w:space="0" w:color="auto"/>
        <w:bottom w:val="none" w:sz="0" w:space="0" w:color="auto"/>
        <w:right w:val="none" w:sz="0" w:space="0" w:color="auto"/>
      </w:divBdr>
    </w:div>
    <w:div w:id="71630858">
      <w:bodyDiv w:val="1"/>
      <w:marLeft w:val="0"/>
      <w:marRight w:val="0"/>
      <w:marTop w:val="0"/>
      <w:marBottom w:val="0"/>
      <w:divBdr>
        <w:top w:val="none" w:sz="0" w:space="0" w:color="auto"/>
        <w:left w:val="none" w:sz="0" w:space="0" w:color="auto"/>
        <w:bottom w:val="none" w:sz="0" w:space="0" w:color="auto"/>
        <w:right w:val="none" w:sz="0" w:space="0" w:color="auto"/>
      </w:divBdr>
    </w:div>
    <w:div w:id="120273515">
      <w:bodyDiv w:val="1"/>
      <w:marLeft w:val="0"/>
      <w:marRight w:val="0"/>
      <w:marTop w:val="0"/>
      <w:marBottom w:val="0"/>
      <w:divBdr>
        <w:top w:val="none" w:sz="0" w:space="0" w:color="auto"/>
        <w:left w:val="none" w:sz="0" w:space="0" w:color="auto"/>
        <w:bottom w:val="none" w:sz="0" w:space="0" w:color="auto"/>
        <w:right w:val="none" w:sz="0" w:space="0" w:color="auto"/>
      </w:divBdr>
    </w:div>
    <w:div w:id="129982536">
      <w:bodyDiv w:val="1"/>
      <w:marLeft w:val="0"/>
      <w:marRight w:val="0"/>
      <w:marTop w:val="0"/>
      <w:marBottom w:val="0"/>
      <w:divBdr>
        <w:top w:val="none" w:sz="0" w:space="0" w:color="auto"/>
        <w:left w:val="none" w:sz="0" w:space="0" w:color="auto"/>
        <w:bottom w:val="none" w:sz="0" w:space="0" w:color="auto"/>
        <w:right w:val="none" w:sz="0" w:space="0" w:color="auto"/>
      </w:divBdr>
    </w:div>
    <w:div w:id="275984466">
      <w:bodyDiv w:val="1"/>
      <w:marLeft w:val="0"/>
      <w:marRight w:val="0"/>
      <w:marTop w:val="0"/>
      <w:marBottom w:val="0"/>
      <w:divBdr>
        <w:top w:val="none" w:sz="0" w:space="0" w:color="auto"/>
        <w:left w:val="none" w:sz="0" w:space="0" w:color="auto"/>
        <w:bottom w:val="none" w:sz="0" w:space="0" w:color="auto"/>
        <w:right w:val="none" w:sz="0" w:space="0" w:color="auto"/>
      </w:divBdr>
    </w:div>
    <w:div w:id="425156716">
      <w:bodyDiv w:val="1"/>
      <w:marLeft w:val="0"/>
      <w:marRight w:val="0"/>
      <w:marTop w:val="0"/>
      <w:marBottom w:val="0"/>
      <w:divBdr>
        <w:top w:val="none" w:sz="0" w:space="0" w:color="auto"/>
        <w:left w:val="none" w:sz="0" w:space="0" w:color="auto"/>
        <w:bottom w:val="none" w:sz="0" w:space="0" w:color="auto"/>
        <w:right w:val="none" w:sz="0" w:space="0" w:color="auto"/>
      </w:divBdr>
    </w:div>
    <w:div w:id="454639108">
      <w:bodyDiv w:val="1"/>
      <w:marLeft w:val="0"/>
      <w:marRight w:val="0"/>
      <w:marTop w:val="0"/>
      <w:marBottom w:val="0"/>
      <w:divBdr>
        <w:top w:val="none" w:sz="0" w:space="0" w:color="auto"/>
        <w:left w:val="none" w:sz="0" w:space="0" w:color="auto"/>
        <w:bottom w:val="none" w:sz="0" w:space="0" w:color="auto"/>
        <w:right w:val="none" w:sz="0" w:space="0" w:color="auto"/>
      </w:divBdr>
    </w:div>
    <w:div w:id="517279375">
      <w:bodyDiv w:val="1"/>
      <w:marLeft w:val="0"/>
      <w:marRight w:val="0"/>
      <w:marTop w:val="0"/>
      <w:marBottom w:val="0"/>
      <w:divBdr>
        <w:top w:val="none" w:sz="0" w:space="0" w:color="auto"/>
        <w:left w:val="none" w:sz="0" w:space="0" w:color="auto"/>
        <w:bottom w:val="none" w:sz="0" w:space="0" w:color="auto"/>
        <w:right w:val="none" w:sz="0" w:space="0" w:color="auto"/>
      </w:divBdr>
    </w:div>
    <w:div w:id="720323361">
      <w:bodyDiv w:val="1"/>
      <w:marLeft w:val="0"/>
      <w:marRight w:val="0"/>
      <w:marTop w:val="0"/>
      <w:marBottom w:val="0"/>
      <w:divBdr>
        <w:top w:val="none" w:sz="0" w:space="0" w:color="auto"/>
        <w:left w:val="none" w:sz="0" w:space="0" w:color="auto"/>
        <w:bottom w:val="none" w:sz="0" w:space="0" w:color="auto"/>
        <w:right w:val="none" w:sz="0" w:space="0" w:color="auto"/>
      </w:divBdr>
    </w:div>
    <w:div w:id="726337466">
      <w:bodyDiv w:val="1"/>
      <w:marLeft w:val="0"/>
      <w:marRight w:val="0"/>
      <w:marTop w:val="0"/>
      <w:marBottom w:val="0"/>
      <w:divBdr>
        <w:top w:val="none" w:sz="0" w:space="0" w:color="auto"/>
        <w:left w:val="none" w:sz="0" w:space="0" w:color="auto"/>
        <w:bottom w:val="none" w:sz="0" w:space="0" w:color="auto"/>
        <w:right w:val="none" w:sz="0" w:space="0" w:color="auto"/>
      </w:divBdr>
    </w:div>
    <w:div w:id="795568777">
      <w:bodyDiv w:val="1"/>
      <w:marLeft w:val="0"/>
      <w:marRight w:val="0"/>
      <w:marTop w:val="0"/>
      <w:marBottom w:val="0"/>
      <w:divBdr>
        <w:top w:val="none" w:sz="0" w:space="0" w:color="auto"/>
        <w:left w:val="none" w:sz="0" w:space="0" w:color="auto"/>
        <w:bottom w:val="none" w:sz="0" w:space="0" w:color="auto"/>
        <w:right w:val="none" w:sz="0" w:space="0" w:color="auto"/>
      </w:divBdr>
    </w:div>
    <w:div w:id="977807387">
      <w:bodyDiv w:val="1"/>
      <w:marLeft w:val="0"/>
      <w:marRight w:val="0"/>
      <w:marTop w:val="0"/>
      <w:marBottom w:val="0"/>
      <w:divBdr>
        <w:top w:val="none" w:sz="0" w:space="0" w:color="auto"/>
        <w:left w:val="none" w:sz="0" w:space="0" w:color="auto"/>
        <w:bottom w:val="none" w:sz="0" w:space="0" w:color="auto"/>
        <w:right w:val="none" w:sz="0" w:space="0" w:color="auto"/>
      </w:divBdr>
    </w:div>
    <w:div w:id="982078701">
      <w:bodyDiv w:val="1"/>
      <w:marLeft w:val="0"/>
      <w:marRight w:val="0"/>
      <w:marTop w:val="0"/>
      <w:marBottom w:val="0"/>
      <w:divBdr>
        <w:top w:val="none" w:sz="0" w:space="0" w:color="auto"/>
        <w:left w:val="none" w:sz="0" w:space="0" w:color="auto"/>
        <w:bottom w:val="none" w:sz="0" w:space="0" w:color="auto"/>
        <w:right w:val="none" w:sz="0" w:space="0" w:color="auto"/>
      </w:divBdr>
    </w:div>
    <w:div w:id="1761900810">
      <w:bodyDiv w:val="1"/>
      <w:marLeft w:val="0"/>
      <w:marRight w:val="0"/>
      <w:marTop w:val="0"/>
      <w:marBottom w:val="0"/>
      <w:divBdr>
        <w:top w:val="none" w:sz="0" w:space="0" w:color="auto"/>
        <w:left w:val="none" w:sz="0" w:space="0" w:color="auto"/>
        <w:bottom w:val="none" w:sz="0" w:space="0" w:color="auto"/>
        <w:right w:val="none" w:sz="0" w:space="0" w:color="auto"/>
      </w:divBdr>
    </w:div>
    <w:div w:id="1967924485">
      <w:bodyDiv w:val="1"/>
      <w:marLeft w:val="0"/>
      <w:marRight w:val="0"/>
      <w:marTop w:val="0"/>
      <w:marBottom w:val="0"/>
      <w:divBdr>
        <w:top w:val="none" w:sz="0" w:space="0" w:color="auto"/>
        <w:left w:val="none" w:sz="0" w:space="0" w:color="auto"/>
        <w:bottom w:val="none" w:sz="0" w:space="0" w:color="auto"/>
        <w:right w:val="none" w:sz="0" w:space="0" w:color="auto"/>
      </w:divBdr>
    </w:div>
    <w:div w:id="20201540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nsequentlycreative.com/healthcare-portfolio-branding/" TargetMode="External"/><Relationship Id="rId18" Type="http://schemas.openxmlformats.org/officeDocument/2006/relationships/hyperlink" Target="https://www.kenan-flagler.unc.edu/news/writing-the-prescription-for-healthcare-branding/" TargetMode="External"/><Relationship Id="rId26" Type="http://schemas.openxmlformats.org/officeDocument/2006/relationships/hyperlink" Target="https://www.designinc.co.uk/wp-content/uploads/2021/07/Healthcare-Portfolio.pdf" TargetMode="External"/><Relationship Id="rId3" Type="http://schemas.openxmlformats.org/officeDocument/2006/relationships/numbering" Target="numbering.xml"/><Relationship Id="rId21" Type="http://schemas.openxmlformats.org/officeDocument/2006/relationships/hyperlink" Target="https://www.thehealthybrandcompany.com/what-we-do/brand-portfolio-architecture-naming/" TargetMode="External"/><Relationship Id="rId7" Type="http://schemas.openxmlformats.org/officeDocument/2006/relationships/footnotes" Target="footnotes.xml"/><Relationship Id="rId12" Type="http://schemas.openxmlformats.org/officeDocument/2006/relationships/hyperlink" Target="https://bcchealthcarebranding.com/ethical-hospital-branding-marketing-book/" TargetMode="External"/><Relationship Id="rId17" Type="http://schemas.openxmlformats.org/officeDocument/2006/relationships/hyperlink" Target="https://www.iqvia.com/blogs/2024/05/portfolio-management-for-established-brands" TargetMode="External"/><Relationship Id="rId25" Type="http://schemas.openxmlformats.org/officeDocument/2006/relationships/hyperlink" Target="https://www.capstera.com/image_posts/5-key-strategies-business-architecture-brings-pharmaceutical-companies/" TargetMode="External"/><Relationship Id="rId2" Type="http://schemas.openxmlformats.org/officeDocument/2006/relationships/customXml" Target="../customXml/item2.xml"/><Relationship Id="rId16" Type="http://schemas.openxmlformats.org/officeDocument/2006/relationships/hyperlink" Target="https://healthcaresuccess.com/blog/healthcare-marketing-agency/how-leading-health-systems-drive-growth-through-brand-strategy" TargetMode="External"/><Relationship Id="rId20" Type="http://schemas.openxmlformats.org/officeDocument/2006/relationships/hyperlink" Target="https://www.tebra.com/theintake/practice-growth/independent-practices/the-best-healthcare-marketing-book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ignstrategy.com/services/brand-and-portfolio-planning/" TargetMode="External"/><Relationship Id="rId24" Type="http://schemas.openxmlformats.org/officeDocument/2006/relationships/hyperlink" Target="https://agilebrandguide.com/top-10-digital-healthcare-marketing-books/" TargetMode="External"/><Relationship Id="rId5" Type="http://schemas.openxmlformats.org/officeDocument/2006/relationships/settings" Target="settings.xml"/><Relationship Id="rId15" Type="http://schemas.openxmlformats.org/officeDocument/2006/relationships/hyperlink" Target="https://pmc.ncbi.nlm.nih.gov/articles/PMC4332908/" TargetMode="External"/><Relationship Id="rId23" Type="http://schemas.openxmlformats.org/officeDocument/2006/relationships/hyperlink" Target="https://accelabrand.com/5-healthcare-rebranding-case-studies/" TargetMode="External"/><Relationship Id="rId28" Type="http://schemas.openxmlformats.org/officeDocument/2006/relationships/hyperlink" Target="https://acr-journal.com/article/strategic-patient-centric-brand-management-in-pharma-transforming-value-creation-through-vrio-an" TargetMode="External"/><Relationship Id="rId10" Type="http://schemas.openxmlformats.org/officeDocument/2006/relationships/image" Target="media/image2.png"/><Relationship Id="rId19" Type="http://schemas.openxmlformats.org/officeDocument/2006/relationships/hyperlink" Target="https://pharmaphorum.com/sales-marketing/five-step-approach-optimising-established-brands-portfolio-value"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mc.ncbi.nlm.nih.gov/articles/PMC7376459/" TargetMode="External"/><Relationship Id="rId22" Type="http://schemas.openxmlformats.org/officeDocument/2006/relationships/hyperlink" Target="https://uptakestrategies.com/pharma-strategists-blog-developing-a-portfolio-strategy/" TargetMode="External"/><Relationship Id="rId27" Type="http://schemas.openxmlformats.org/officeDocument/2006/relationships/hyperlink" Target="https://ijnrd.org/viewpaperforall.php?paper=IJNRD240738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9712DAE-3A73-2B4E-8B27-BC0C74EAC1AA}">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9N6PKy+e1wqFAJ9qba/WTP58g==">CgMxLjAyDmgubTZ2eTR0cDFrZWVzMg5oLjNrOXpqb3FhOWhjaTIOaC5vaGgzYnp4NW9lcGgyDmgucXN5M3RhbTcxZWM3Mg5oLmh4ZWpqa2FrbWJxaTIOaC5jd3R4MGZ3NTJrbmMyDmguZnUxbjF5M2V0cWJlMg5oLmZtYzU3ZGo1OWE5dDgAciExdDNqN1EyWDZKTGRjZW5PZzlFWXdmM2FHOTdFN1BVLTM=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6C2926E-4BE6-294F-86A2-1427A1A4C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3184</Words>
  <Characters>21747</Characters>
  <Application>Microsoft Office Word</Application>
  <DocSecurity>0</DocSecurity>
  <Lines>494</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Iulian Butica</cp:lastModifiedBy>
  <cp:revision>2</cp:revision>
  <dcterms:created xsi:type="dcterms:W3CDTF">2026-03-25T05:57:00Z</dcterms:created>
  <dcterms:modified xsi:type="dcterms:W3CDTF">2026-03-25T05:57:00Z</dcterms:modified>
</cp:coreProperties>
</file>