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524FB" w14:textId="4CC9E6AF" w:rsidR="00DB0D73" w:rsidRPr="000829B2" w:rsidRDefault="00DB0D73" w:rsidP="00DB0D73">
      <w:pPr>
        <w:rPr>
          <w:rFonts w:ascii="Arial" w:hAnsi="Arial" w:cs="Arial"/>
          <w:sz w:val="52"/>
          <w:szCs w:val="52"/>
        </w:rPr>
      </w:pPr>
      <w:r w:rsidRPr="000829B2">
        <w:rPr>
          <w:rFonts w:ascii="Arial" w:hAnsi="Arial" w:cs="Arial"/>
          <w:sz w:val="52"/>
          <w:szCs w:val="52"/>
        </w:rPr>
        <w:t>University of Wales Trinity Saint David</w:t>
      </w:r>
    </w:p>
    <w:p w14:paraId="3F986CE7" w14:textId="77777777" w:rsidR="00DB0D73" w:rsidRDefault="00DB0D73" w:rsidP="00DB0D73">
      <w:pPr>
        <w:jc w:val="center"/>
        <w:rPr>
          <w:rFonts w:ascii="Arial" w:hAnsi="Arial" w:cs="Arial"/>
          <w:sz w:val="52"/>
          <w:szCs w:val="52"/>
        </w:rPr>
      </w:pPr>
      <w:r w:rsidRPr="000829B2">
        <w:rPr>
          <w:rFonts w:ascii="Arial" w:hAnsi="Arial" w:cs="Arial"/>
          <w:sz w:val="52"/>
          <w:szCs w:val="52"/>
        </w:rPr>
        <w:t>School Of Engineering</w:t>
      </w:r>
    </w:p>
    <w:p w14:paraId="5596AAD7" w14:textId="77777777" w:rsidR="00DB0D73" w:rsidRDefault="00DB0D73" w:rsidP="00DB0D73">
      <w:pPr>
        <w:jc w:val="center"/>
        <w:rPr>
          <w:rFonts w:ascii="Arial" w:hAnsi="Arial" w:cs="Arial"/>
          <w:sz w:val="52"/>
          <w:szCs w:val="52"/>
        </w:rPr>
      </w:pPr>
    </w:p>
    <w:p w14:paraId="1024DA8B" w14:textId="77777777" w:rsidR="00DB0D73" w:rsidRDefault="00DB0D73" w:rsidP="00DB0D73">
      <w:pPr>
        <w:jc w:val="center"/>
        <w:rPr>
          <w:rFonts w:ascii="Arial" w:hAnsi="Arial" w:cs="Arial"/>
          <w:sz w:val="36"/>
          <w:szCs w:val="36"/>
        </w:rPr>
      </w:pPr>
    </w:p>
    <w:p w14:paraId="0E389DB0" w14:textId="06ECC1F2" w:rsidR="00DB0D73" w:rsidRPr="007E5B37" w:rsidRDefault="007E5B37" w:rsidP="00DB0D73">
      <w:pPr>
        <w:jc w:val="center"/>
        <w:rPr>
          <w:rFonts w:ascii="Arial" w:hAnsi="Arial" w:cs="Arial"/>
          <w:sz w:val="36"/>
          <w:szCs w:val="36"/>
        </w:rPr>
      </w:pPr>
      <w:r w:rsidRPr="007E5B37">
        <w:rPr>
          <w:rStyle w:val="normaltextrun"/>
          <w:rFonts w:ascii="Arial" w:hAnsi="Arial" w:cs="Arial"/>
          <w:b/>
          <w:bCs/>
          <w:color w:val="000000"/>
          <w:sz w:val="36"/>
          <w:szCs w:val="36"/>
          <w:shd w:val="clear" w:color="auto" w:fill="FFFFFF"/>
        </w:rPr>
        <w:t>Manufacturing processes and defects</w:t>
      </w:r>
      <w:r w:rsidRPr="007E5B37">
        <w:rPr>
          <w:rStyle w:val="eop"/>
          <w:rFonts w:ascii="Arial" w:hAnsi="Arial" w:cs="Arial"/>
          <w:color w:val="000000"/>
          <w:sz w:val="36"/>
          <w:szCs w:val="36"/>
          <w:shd w:val="clear" w:color="auto" w:fill="FFFFFF"/>
        </w:rPr>
        <w:t> </w:t>
      </w:r>
    </w:p>
    <w:p w14:paraId="2EBFBE27" w14:textId="0CEE9D7C" w:rsidR="00A03EF0" w:rsidRDefault="00A03EF0" w:rsidP="00DB0D73">
      <w:pPr>
        <w:jc w:val="center"/>
        <w:rPr>
          <w:rFonts w:ascii="Arial" w:hAnsi="Arial" w:cs="Arial"/>
          <w:sz w:val="36"/>
          <w:szCs w:val="36"/>
        </w:rPr>
      </w:pPr>
    </w:p>
    <w:p w14:paraId="391C642E" w14:textId="113C1327" w:rsidR="00A03EF0" w:rsidRDefault="00A03EF0" w:rsidP="00DB0D73">
      <w:pPr>
        <w:jc w:val="center"/>
        <w:rPr>
          <w:rFonts w:ascii="Arial" w:hAnsi="Arial" w:cs="Arial"/>
          <w:sz w:val="36"/>
          <w:szCs w:val="36"/>
        </w:rPr>
      </w:pPr>
    </w:p>
    <w:p w14:paraId="48B77BDC" w14:textId="77777777" w:rsidR="00A03EF0" w:rsidRDefault="00A03EF0" w:rsidP="00DB0D73">
      <w:pPr>
        <w:jc w:val="center"/>
        <w:rPr>
          <w:rFonts w:ascii="Arial" w:hAnsi="Arial" w:cs="Arial"/>
          <w:sz w:val="36"/>
          <w:szCs w:val="36"/>
        </w:rPr>
      </w:pPr>
    </w:p>
    <w:p w14:paraId="2D062D93" w14:textId="77777777" w:rsidR="00DB0D73" w:rsidRDefault="00DB0D73" w:rsidP="00DB0D73">
      <w:pPr>
        <w:jc w:val="center"/>
        <w:rPr>
          <w:rFonts w:ascii="Arial" w:hAnsi="Arial" w:cs="Arial"/>
          <w:sz w:val="36"/>
          <w:szCs w:val="36"/>
        </w:rPr>
      </w:pPr>
    </w:p>
    <w:p w14:paraId="610F2290" w14:textId="6481C5EB" w:rsidR="00DB0D73" w:rsidRDefault="007E5B37" w:rsidP="00DB0D73">
      <w:pPr>
        <w:jc w:val="center"/>
        <w:rPr>
          <w:rFonts w:ascii="Arial" w:hAnsi="Arial" w:cs="Arial"/>
          <w:sz w:val="36"/>
          <w:szCs w:val="36"/>
        </w:rPr>
      </w:pPr>
      <w:r>
        <w:rPr>
          <w:rFonts w:ascii="Arial" w:hAnsi="Arial" w:cs="Arial"/>
          <w:sz w:val="36"/>
          <w:szCs w:val="36"/>
        </w:rPr>
        <w:t xml:space="preserve">Introduction to Material Processing </w:t>
      </w:r>
    </w:p>
    <w:p w14:paraId="1CADD711" w14:textId="329DDDE6" w:rsidR="00DB0D73" w:rsidRDefault="00DB0D73" w:rsidP="00DB0D73">
      <w:pPr>
        <w:jc w:val="center"/>
        <w:rPr>
          <w:rFonts w:ascii="Arial" w:hAnsi="Arial" w:cs="Arial"/>
          <w:sz w:val="36"/>
          <w:szCs w:val="36"/>
        </w:rPr>
      </w:pPr>
      <w:r>
        <w:rPr>
          <w:rFonts w:ascii="Arial" w:hAnsi="Arial" w:cs="Arial"/>
          <w:sz w:val="36"/>
          <w:szCs w:val="36"/>
        </w:rPr>
        <w:t>AC</w:t>
      </w:r>
      <w:r w:rsidR="007E5B37">
        <w:rPr>
          <w:rFonts w:ascii="Arial" w:hAnsi="Arial" w:cs="Arial"/>
          <w:sz w:val="36"/>
          <w:szCs w:val="36"/>
        </w:rPr>
        <w:t>M</w:t>
      </w:r>
      <w:r w:rsidR="00A03EF0">
        <w:rPr>
          <w:rFonts w:ascii="Arial" w:hAnsi="Arial" w:cs="Arial"/>
          <w:sz w:val="36"/>
          <w:szCs w:val="36"/>
        </w:rPr>
        <w:t>A</w:t>
      </w:r>
      <w:r>
        <w:rPr>
          <w:rFonts w:ascii="Arial" w:hAnsi="Arial" w:cs="Arial"/>
          <w:sz w:val="36"/>
          <w:szCs w:val="36"/>
        </w:rPr>
        <w:t>400</w:t>
      </w:r>
      <w:r w:rsidR="00A03EF0">
        <w:rPr>
          <w:rFonts w:ascii="Arial" w:hAnsi="Arial" w:cs="Arial"/>
          <w:sz w:val="36"/>
          <w:szCs w:val="36"/>
        </w:rPr>
        <w:t>0</w:t>
      </w:r>
    </w:p>
    <w:p w14:paraId="5420581A" w14:textId="77777777" w:rsidR="00DB0D73" w:rsidRDefault="00DB0D73" w:rsidP="00DB0D73">
      <w:pPr>
        <w:jc w:val="center"/>
        <w:rPr>
          <w:rFonts w:ascii="Arial" w:hAnsi="Arial" w:cs="Arial"/>
          <w:sz w:val="36"/>
          <w:szCs w:val="36"/>
        </w:rPr>
      </w:pPr>
    </w:p>
    <w:p w14:paraId="77E0CEBC" w14:textId="77777777" w:rsidR="00DB0D73" w:rsidRDefault="00DB0D73" w:rsidP="00DB0D73">
      <w:pPr>
        <w:jc w:val="center"/>
        <w:rPr>
          <w:rFonts w:ascii="Arial" w:hAnsi="Arial" w:cs="Arial"/>
          <w:sz w:val="36"/>
          <w:szCs w:val="36"/>
        </w:rPr>
      </w:pPr>
    </w:p>
    <w:p w14:paraId="0667F4B7" w14:textId="77777777" w:rsidR="00DB0D73" w:rsidRDefault="00DB0D73" w:rsidP="00DB0D73">
      <w:pPr>
        <w:jc w:val="center"/>
        <w:rPr>
          <w:rFonts w:ascii="Arial" w:hAnsi="Arial" w:cs="Arial"/>
          <w:sz w:val="36"/>
          <w:szCs w:val="36"/>
        </w:rPr>
      </w:pPr>
    </w:p>
    <w:p w14:paraId="0015F1C2" w14:textId="77777777" w:rsidR="00986296" w:rsidRDefault="00DB0D73" w:rsidP="00986296">
      <w:pPr>
        <w:jc w:val="center"/>
        <w:rPr>
          <w:rFonts w:ascii="Arial" w:hAnsi="Arial" w:cs="Arial"/>
          <w:sz w:val="36"/>
          <w:szCs w:val="36"/>
        </w:rPr>
      </w:pPr>
      <w:r>
        <w:rPr>
          <w:rFonts w:ascii="Arial" w:hAnsi="Arial" w:cs="Arial"/>
          <w:sz w:val="36"/>
          <w:szCs w:val="36"/>
        </w:rPr>
        <w:t>Trystan Herdman</w:t>
      </w:r>
    </w:p>
    <w:p w14:paraId="6BFF6D3B" w14:textId="38ADD6CB" w:rsidR="00DB0D73" w:rsidRDefault="00DB0D73" w:rsidP="00986296">
      <w:pPr>
        <w:jc w:val="center"/>
        <w:rPr>
          <w:rFonts w:ascii="Arial" w:hAnsi="Arial" w:cs="Arial"/>
          <w:sz w:val="36"/>
          <w:szCs w:val="36"/>
        </w:rPr>
      </w:pPr>
      <w:r>
        <w:rPr>
          <w:rFonts w:ascii="Arial" w:hAnsi="Arial" w:cs="Arial"/>
          <w:sz w:val="36"/>
          <w:szCs w:val="36"/>
        </w:rPr>
        <w:t>2219054</w:t>
      </w:r>
    </w:p>
    <w:p w14:paraId="410E5836" w14:textId="4A6E3DBC" w:rsidR="00DB0D73" w:rsidRPr="00A36402" w:rsidRDefault="00A03EF0" w:rsidP="00986296">
      <w:pPr>
        <w:jc w:val="center"/>
        <w:rPr>
          <w:rFonts w:ascii="Arial" w:hAnsi="Arial" w:cs="Arial"/>
          <w:sz w:val="36"/>
          <w:szCs w:val="36"/>
        </w:rPr>
      </w:pPr>
      <w:r>
        <w:rPr>
          <w:rFonts w:ascii="Arial" w:hAnsi="Arial" w:cs="Arial"/>
          <w:sz w:val="36"/>
          <w:szCs w:val="36"/>
        </w:rPr>
        <w:t>31</w:t>
      </w:r>
      <w:r w:rsidR="00DB0D73">
        <w:rPr>
          <w:rFonts w:ascii="Arial" w:hAnsi="Arial" w:cs="Arial"/>
          <w:sz w:val="36"/>
          <w:szCs w:val="36"/>
        </w:rPr>
        <w:t>/</w:t>
      </w:r>
      <w:r>
        <w:rPr>
          <w:rFonts w:ascii="Arial" w:hAnsi="Arial" w:cs="Arial"/>
          <w:sz w:val="36"/>
          <w:szCs w:val="36"/>
        </w:rPr>
        <w:t>05</w:t>
      </w:r>
      <w:r w:rsidR="00DB0D73">
        <w:rPr>
          <w:rFonts w:ascii="Arial" w:hAnsi="Arial" w:cs="Arial"/>
          <w:sz w:val="36"/>
          <w:szCs w:val="36"/>
        </w:rPr>
        <w:t>/2023</w:t>
      </w:r>
    </w:p>
    <w:p w14:paraId="5369D9B8" w14:textId="5E5AD91F" w:rsidR="00DB0D73" w:rsidRDefault="00DB0D73">
      <w:pPr>
        <w:rPr>
          <w:rFonts w:ascii="Arial" w:eastAsia="Times New Roman" w:hAnsi="Arial" w:cs="Arial"/>
        </w:rPr>
      </w:pPr>
    </w:p>
    <w:p w14:paraId="7CD5A5E6" w14:textId="77777777" w:rsidR="007E5B37" w:rsidRDefault="007E5B37">
      <w:pPr>
        <w:rPr>
          <w:rFonts w:ascii="Arial" w:eastAsia="Times New Roman" w:hAnsi="Arial" w:cs="Arial"/>
        </w:rPr>
      </w:pPr>
    </w:p>
    <w:p w14:paraId="5EC481B1" w14:textId="77777777" w:rsidR="007E5B37" w:rsidRDefault="007E5B37">
      <w:pPr>
        <w:rPr>
          <w:rFonts w:ascii="Arial" w:eastAsia="Times New Roman" w:hAnsi="Arial" w:cs="Arial"/>
        </w:rPr>
      </w:pPr>
    </w:p>
    <w:p w14:paraId="0B293FA0" w14:textId="77777777" w:rsidR="007E5B37" w:rsidRDefault="007E5B37">
      <w:pPr>
        <w:rPr>
          <w:rFonts w:ascii="Arial" w:eastAsia="Times New Roman" w:hAnsi="Arial" w:cs="Arial"/>
        </w:rPr>
      </w:pPr>
    </w:p>
    <w:p w14:paraId="69723CB8" w14:textId="5E905681" w:rsidR="00DB0D73" w:rsidRDefault="00DB0D73" w:rsidP="00DB0D73">
      <w:pPr>
        <w:rPr>
          <w:rFonts w:ascii="Arial" w:eastAsia="Times New Roman" w:hAnsi="Arial" w:cs="Arial"/>
        </w:rPr>
      </w:pPr>
    </w:p>
    <w:sdt>
      <w:sdtPr>
        <w:rPr>
          <w:rFonts w:asciiTheme="minorHAnsi" w:eastAsiaTheme="minorEastAsia" w:hAnsiTheme="minorHAnsi" w:cstheme="minorBidi"/>
          <w:color w:val="auto"/>
          <w:sz w:val="22"/>
          <w:szCs w:val="22"/>
        </w:rPr>
        <w:id w:val="-1533257444"/>
        <w:docPartObj>
          <w:docPartGallery w:val="Table of Contents"/>
          <w:docPartUnique/>
        </w:docPartObj>
      </w:sdtPr>
      <w:sdtEndPr>
        <w:rPr>
          <w:b/>
          <w:bCs/>
          <w:noProof/>
        </w:rPr>
      </w:sdtEndPr>
      <w:sdtContent>
        <w:p w14:paraId="6277D454" w14:textId="334AA953" w:rsidR="00986296" w:rsidRDefault="00986296">
          <w:pPr>
            <w:pStyle w:val="TOCHeading"/>
          </w:pPr>
          <w:r>
            <w:t>Contents</w:t>
          </w:r>
        </w:p>
        <w:p w14:paraId="4FB9EB44" w14:textId="72D63453" w:rsidR="007E5B37" w:rsidRDefault="00986296">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75913018" w:history="1">
            <w:r w:rsidR="007E5B37" w:rsidRPr="00C815CB">
              <w:rPr>
                <w:rStyle w:val="Hyperlink"/>
                <w:rFonts w:eastAsia="Times New Roman"/>
                <w:noProof/>
              </w:rPr>
              <w:t>1. Introduction</w:t>
            </w:r>
            <w:r w:rsidR="007E5B37">
              <w:rPr>
                <w:noProof/>
                <w:webHidden/>
              </w:rPr>
              <w:tab/>
            </w:r>
            <w:r w:rsidR="007E5B37">
              <w:rPr>
                <w:noProof/>
                <w:webHidden/>
              </w:rPr>
              <w:fldChar w:fldCharType="begin"/>
            </w:r>
            <w:r w:rsidR="007E5B37">
              <w:rPr>
                <w:noProof/>
                <w:webHidden/>
              </w:rPr>
              <w:instrText xml:space="preserve"> PAGEREF _Toc175913018 \h </w:instrText>
            </w:r>
            <w:r w:rsidR="007E5B37">
              <w:rPr>
                <w:noProof/>
                <w:webHidden/>
              </w:rPr>
            </w:r>
            <w:r w:rsidR="007E5B37">
              <w:rPr>
                <w:noProof/>
                <w:webHidden/>
              </w:rPr>
              <w:fldChar w:fldCharType="separate"/>
            </w:r>
            <w:r w:rsidR="007E5B37">
              <w:rPr>
                <w:noProof/>
                <w:webHidden/>
              </w:rPr>
              <w:t>3</w:t>
            </w:r>
            <w:r w:rsidR="007E5B37">
              <w:rPr>
                <w:noProof/>
                <w:webHidden/>
              </w:rPr>
              <w:fldChar w:fldCharType="end"/>
            </w:r>
          </w:hyperlink>
        </w:p>
        <w:p w14:paraId="2A8376F5" w14:textId="2B917EC2" w:rsidR="007E5B37" w:rsidRDefault="00A70538">
          <w:pPr>
            <w:pStyle w:val="TOC1"/>
            <w:tabs>
              <w:tab w:val="right" w:leader="dot" w:pos="9016"/>
            </w:tabs>
            <w:rPr>
              <w:rFonts w:cstheme="minorBidi"/>
              <w:noProof/>
              <w:kern w:val="2"/>
              <w:lang w:val="en-GB" w:eastAsia="en-GB"/>
              <w14:ligatures w14:val="standardContextual"/>
            </w:rPr>
          </w:pPr>
          <w:hyperlink w:anchor="_Toc175913019" w:history="1">
            <w:r w:rsidR="007E5B37" w:rsidRPr="00C815CB">
              <w:rPr>
                <w:rStyle w:val="Hyperlink"/>
                <w:rFonts w:eastAsia="Times New Roman"/>
                <w:noProof/>
                <w:lang w:eastAsia="en-GB"/>
              </w:rPr>
              <w:t>2.Process Definitions</w:t>
            </w:r>
            <w:r w:rsidR="007E5B37">
              <w:rPr>
                <w:noProof/>
                <w:webHidden/>
              </w:rPr>
              <w:tab/>
            </w:r>
            <w:r w:rsidR="007E5B37">
              <w:rPr>
                <w:noProof/>
                <w:webHidden/>
              </w:rPr>
              <w:fldChar w:fldCharType="begin"/>
            </w:r>
            <w:r w:rsidR="007E5B37">
              <w:rPr>
                <w:noProof/>
                <w:webHidden/>
              </w:rPr>
              <w:instrText xml:space="preserve"> PAGEREF _Toc175913019 \h </w:instrText>
            </w:r>
            <w:r w:rsidR="007E5B37">
              <w:rPr>
                <w:noProof/>
                <w:webHidden/>
              </w:rPr>
            </w:r>
            <w:r w:rsidR="007E5B37">
              <w:rPr>
                <w:noProof/>
                <w:webHidden/>
              </w:rPr>
              <w:fldChar w:fldCharType="separate"/>
            </w:r>
            <w:r w:rsidR="007E5B37">
              <w:rPr>
                <w:noProof/>
                <w:webHidden/>
              </w:rPr>
              <w:t>3</w:t>
            </w:r>
            <w:r w:rsidR="007E5B37">
              <w:rPr>
                <w:noProof/>
                <w:webHidden/>
              </w:rPr>
              <w:fldChar w:fldCharType="end"/>
            </w:r>
          </w:hyperlink>
        </w:p>
        <w:p w14:paraId="10775406" w14:textId="08AAC440" w:rsidR="007E5B37" w:rsidRDefault="00A70538">
          <w:pPr>
            <w:pStyle w:val="TOC1"/>
            <w:tabs>
              <w:tab w:val="right" w:leader="dot" w:pos="9016"/>
            </w:tabs>
            <w:rPr>
              <w:rFonts w:cstheme="minorBidi"/>
              <w:noProof/>
              <w:kern w:val="2"/>
              <w:lang w:val="en-GB" w:eastAsia="en-GB"/>
              <w14:ligatures w14:val="standardContextual"/>
            </w:rPr>
          </w:pPr>
          <w:hyperlink w:anchor="_Toc175913020" w:history="1">
            <w:r w:rsidR="007E5B37" w:rsidRPr="00C815CB">
              <w:rPr>
                <w:rStyle w:val="Hyperlink"/>
                <w:rFonts w:eastAsia="Times New Roman"/>
                <w:noProof/>
                <w:lang w:eastAsia="en-GB"/>
              </w:rPr>
              <w:t>3. Applications</w:t>
            </w:r>
            <w:r w:rsidR="007E5B37">
              <w:rPr>
                <w:noProof/>
                <w:webHidden/>
              </w:rPr>
              <w:tab/>
            </w:r>
            <w:r w:rsidR="007E5B37">
              <w:rPr>
                <w:noProof/>
                <w:webHidden/>
              </w:rPr>
              <w:fldChar w:fldCharType="begin"/>
            </w:r>
            <w:r w:rsidR="007E5B37">
              <w:rPr>
                <w:noProof/>
                <w:webHidden/>
              </w:rPr>
              <w:instrText xml:space="preserve"> PAGEREF _Toc175913020 \h </w:instrText>
            </w:r>
            <w:r w:rsidR="007E5B37">
              <w:rPr>
                <w:noProof/>
                <w:webHidden/>
              </w:rPr>
            </w:r>
            <w:r w:rsidR="007E5B37">
              <w:rPr>
                <w:noProof/>
                <w:webHidden/>
              </w:rPr>
              <w:fldChar w:fldCharType="separate"/>
            </w:r>
            <w:r w:rsidR="007E5B37">
              <w:rPr>
                <w:noProof/>
                <w:webHidden/>
              </w:rPr>
              <w:t>4</w:t>
            </w:r>
            <w:r w:rsidR="007E5B37">
              <w:rPr>
                <w:noProof/>
                <w:webHidden/>
              </w:rPr>
              <w:fldChar w:fldCharType="end"/>
            </w:r>
          </w:hyperlink>
        </w:p>
        <w:p w14:paraId="4CDF1470" w14:textId="2E74DDC5" w:rsidR="007E5B37" w:rsidRDefault="00A70538">
          <w:pPr>
            <w:pStyle w:val="TOC1"/>
            <w:tabs>
              <w:tab w:val="right" w:leader="dot" w:pos="9016"/>
            </w:tabs>
            <w:rPr>
              <w:rFonts w:cstheme="minorBidi"/>
              <w:noProof/>
              <w:kern w:val="2"/>
              <w:lang w:val="en-GB" w:eastAsia="en-GB"/>
              <w14:ligatures w14:val="standardContextual"/>
            </w:rPr>
          </w:pPr>
          <w:hyperlink w:anchor="_Toc175913021" w:history="1">
            <w:r w:rsidR="007E5B37" w:rsidRPr="00C815CB">
              <w:rPr>
                <w:rStyle w:val="Hyperlink"/>
                <w:rFonts w:eastAsia="Times New Roman"/>
                <w:noProof/>
                <w:lang w:eastAsia="en-GB"/>
              </w:rPr>
              <w:t>4. Advantages and Disadvantages</w:t>
            </w:r>
            <w:r w:rsidR="007E5B37">
              <w:rPr>
                <w:noProof/>
                <w:webHidden/>
              </w:rPr>
              <w:tab/>
            </w:r>
            <w:r w:rsidR="007E5B37">
              <w:rPr>
                <w:noProof/>
                <w:webHidden/>
              </w:rPr>
              <w:fldChar w:fldCharType="begin"/>
            </w:r>
            <w:r w:rsidR="007E5B37">
              <w:rPr>
                <w:noProof/>
                <w:webHidden/>
              </w:rPr>
              <w:instrText xml:space="preserve"> PAGEREF _Toc175913021 \h </w:instrText>
            </w:r>
            <w:r w:rsidR="007E5B37">
              <w:rPr>
                <w:noProof/>
                <w:webHidden/>
              </w:rPr>
            </w:r>
            <w:r w:rsidR="007E5B37">
              <w:rPr>
                <w:noProof/>
                <w:webHidden/>
              </w:rPr>
              <w:fldChar w:fldCharType="separate"/>
            </w:r>
            <w:r w:rsidR="007E5B37">
              <w:rPr>
                <w:noProof/>
                <w:webHidden/>
              </w:rPr>
              <w:t>5</w:t>
            </w:r>
            <w:r w:rsidR="007E5B37">
              <w:rPr>
                <w:noProof/>
                <w:webHidden/>
              </w:rPr>
              <w:fldChar w:fldCharType="end"/>
            </w:r>
          </w:hyperlink>
        </w:p>
        <w:p w14:paraId="251FF79D" w14:textId="57DDB3C7" w:rsidR="007E5B37" w:rsidRDefault="00A70538">
          <w:pPr>
            <w:pStyle w:val="TOC1"/>
            <w:tabs>
              <w:tab w:val="right" w:leader="dot" w:pos="9016"/>
            </w:tabs>
            <w:rPr>
              <w:rFonts w:cstheme="minorBidi"/>
              <w:noProof/>
              <w:kern w:val="2"/>
              <w:lang w:val="en-GB" w:eastAsia="en-GB"/>
              <w14:ligatures w14:val="standardContextual"/>
            </w:rPr>
          </w:pPr>
          <w:hyperlink w:anchor="_Toc175913022" w:history="1">
            <w:r w:rsidR="007E5B37" w:rsidRPr="00C815CB">
              <w:rPr>
                <w:rStyle w:val="Hyperlink"/>
                <w:rFonts w:eastAsia="Times New Roman"/>
                <w:noProof/>
                <w:lang w:eastAsia="en-GB"/>
              </w:rPr>
              <w:t>5. Typical Microstructures</w:t>
            </w:r>
            <w:r w:rsidR="007E5B37">
              <w:rPr>
                <w:noProof/>
                <w:webHidden/>
              </w:rPr>
              <w:tab/>
            </w:r>
            <w:r w:rsidR="007E5B37">
              <w:rPr>
                <w:noProof/>
                <w:webHidden/>
              </w:rPr>
              <w:fldChar w:fldCharType="begin"/>
            </w:r>
            <w:r w:rsidR="007E5B37">
              <w:rPr>
                <w:noProof/>
                <w:webHidden/>
              </w:rPr>
              <w:instrText xml:space="preserve"> PAGEREF _Toc175913022 \h </w:instrText>
            </w:r>
            <w:r w:rsidR="007E5B37">
              <w:rPr>
                <w:noProof/>
                <w:webHidden/>
              </w:rPr>
            </w:r>
            <w:r w:rsidR="007E5B37">
              <w:rPr>
                <w:noProof/>
                <w:webHidden/>
              </w:rPr>
              <w:fldChar w:fldCharType="separate"/>
            </w:r>
            <w:r w:rsidR="007E5B37">
              <w:rPr>
                <w:noProof/>
                <w:webHidden/>
              </w:rPr>
              <w:t>6</w:t>
            </w:r>
            <w:r w:rsidR="007E5B37">
              <w:rPr>
                <w:noProof/>
                <w:webHidden/>
              </w:rPr>
              <w:fldChar w:fldCharType="end"/>
            </w:r>
          </w:hyperlink>
        </w:p>
        <w:p w14:paraId="566AFD3A" w14:textId="1D23B1DB" w:rsidR="007E5B37" w:rsidRDefault="00A70538">
          <w:pPr>
            <w:pStyle w:val="TOC1"/>
            <w:tabs>
              <w:tab w:val="right" w:leader="dot" w:pos="9016"/>
            </w:tabs>
            <w:rPr>
              <w:rFonts w:cstheme="minorBidi"/>
              <w:noProof/>
              <w:kern w:val="2"/>
              <w:lang w:val="en-GB" w:eastAsia="en-GB"/>
              <w14:ligatures w14:val="standardContextual"/>
            </w:rPr>
          </w:pPr>
          <w:hyperlink w:anchor="_Toc175913023" w:history="1">
            <w:r w:rsidR="007E5B37" w:rsidRPr="00C815CB">
              <w:rPr>
                <w:rStyle w:val="Hyperlink"/>
                <w:rFonts w:eastAsia="Times New Roman"/>
                <w:noProof/>
                <w:lang w:eastAsia="en-GB"/>
              </w:rPr>
              <w:t>6. Ultimate Tensile Strength (UTS)</w:t>
            </w:r>
            <w:r w:rsidR="007E5B37">
              <w:rPr>
                <w:noProof/>
                <w:webHidden/>
              </w:rPr>
              <w:tab/>
            </w:r>
            <w:r w:rsidR="007E5B37">
              <w:rPr>
                <w:noProof/>
                <w:webHidden/>
              </w:rPr>
              <w:fldChar w:fldCharType="begin"/>
            </w:r>
            <w:r w:rsidR="007E5B37">
              <w:rPr>
                <w:noProof/>
                <w:webHidden/>
              </w:rPr>
              <w:instrText xml:space="preserve"> PAGEREF _Toc175913023 \h </w:instrText>
            </w:r>
            <w:r w:rsidR="007E5B37">
              <w:rPr>
                <w:noProof/>
                <w:webHidden/>
              </w:rPr>
            </w:r>
            <w:r w:rsidR="007E5B37">
              <w:rPr>
                <w:noProof/>
                <w:webHidden/>
              </w:rPr>
              <w:fldChar w:fldCharType="separate"/>
            </w:r>
            <w:r w:rsidR="007E5B37">
              <w:rPr>
                <w:noProof/>
                <w:webHidden/>
              </w:rPr>
              <w:t>6</w:t>
            </w:r>
            <w:r w:rsidR="007E5B37">
              <w:rPr>
                <w:noProof/>
                <w:webHidden/>
              </w:rPr>
              <w:fldChar w:fldCharType="end"/>
            </w:r>
          </w:hyperlink>
        </w:p>
        <w:p w14:paraId="618186F0" w14:textId="4A81A7D0" w:rsidR="007E5B37" w:rsidRDefault="00A70538">
          <w:pPr>
            <w:pStyle w:val="TOC1"/>
            <w:tabs>
              <w:tab w:val="right" w:leader="dot" w:pos="9016"/>
            </w:tabs>
            <w:rPr>
              <w:rFonts w:cstheme="minorBidi"/>
              <w:noProof/>
              <w:kern w:val="2"/>
              <w:lang w:val="en-GB" w:eastAsia="en-GB"/>
              <w14:ligatures w14:val="standardContextual"/>
            </w:rPr>
          </w:pPr>
          <w:hyperlink w:anchor="_Toc175913024" w:history="1">
            <w:r w:rsidR="007E5B37" w:rsidRPr="00C815CB">
              <w:rPr>
                <w:rStyle w:val="Hyperlink"/>
                <w:rFonts w:eastAsia="Times New Roman"/>
                <w:noProof/>
                <w:lang w:eastAsia="en-GB"/>
              </w:rPr>
              <w:t>7. Common Defects</w:t>
            </w:r>
            <w:r w:rsidR="007E5B37">
              <w:rPr>
                <w:noProof/>
                <w:webHidden/>
              </w:rPr>
              <w:tab/>
            </w:r>
            <w:r w:rsidR="007E5B37">
              <w:rPr>
                <w:noProof/>
                <w:webHidden/>
              </w:rPr>
              <w:fldChar w:fldCharType="begin"/>
            </w:r>
            <w:r w:rsidR="007E5B37">
              <w:rPr>
                <w:noProof/>
                <w:webHidden/>
              </w:rPr>
              <w:instrText xml:space="preserve"> PAGEREF _Toc175913024 \h </w:instrText>
            </w:r>
            <w:r w:rsidR="007E5B37">
              <w:rPr>
                <w:noProof/>
                <w:webHidden/>
              </w:rPr>
            </w:r>
            <w:r w:rsidR="007E5B37">
              <w:rPr>
                <w:noProof/>
                <w:webHidden/>
              </w:rPr>
              <w:fldChar w:fldCharType="separate"/>
            </w:r>
            <w:r w:rsidR="007E5B37">
              <w:rPr>
                <w:noProof/>
                <w:webHidden/>
              </w:rPr>
              <w:t>7</w:t>
            </w:r>
            <w:r w:rsidR="007E5B37">
              <w:rPr>
                <w:noProof/>
                <w:webHidden/>
              </w:rPr>
              <w:fldChar w:fldCharType="end"/>
            </w:r>
          </w:hyperlink>
        </w:p>
        <w:p w14:paraId="4122A278" w14:textId="164E3397" w:rsidR="007E5B37" w:rsidRDefault="00A70538">
          <w:pPr>
            <w:pStyle w:val="TOC1"/>
            <w:tabs>
              <w:tab w:val="right" w:leader="dot" w:pos="9016"/>
            </w:tabs>
            <w:rPr>
              <w:rFonts w:cstheme="minorBidi"/>
              <w:noProof/>
              <w:kern w:val="2"/>
              <w:lang w:val="en-GB" w:eastAsia="en-GB"/>
              <w14:ligatures w14:val="standardContextual"/>
            </w:rPr>
          </w:pPr>
          <w:hyperlink w:anchor="_Toc175913025" w:history="1">
            <w:r w:rsidR="007E5B37" w:rsidRPr="00C815CB">
              <w:rPr>
                <w:rStyle w:val="Hyperlink"/>
                <w:rFonts w:eastAsia="Times New Roman"/>
                <w:noProof/>
                <w:lang w:eastAsia="en-GB"/>
              </w:rPr>
              <w:t>8. Strategies for Defect Prevention</w:t>
            </w:r>
            <w:r w:rsidR="007E5B37">
              <w:rPr>
                <w:noProof/>
                <w:webHidden/>
              </w:rPr>
              <w:tab/>
            </w:r>
            <w:r w:rsidR="007E5B37">
              <w:rPr>
                <w:noProof/>
                <w:webHidden/>
              </w:rPr>
              <w:fldChar w:fldCharType="begin"/>
            </w:r>
            <w:r w:rsidR="007E5B37">
              <w:rPr>
                <w:noProof/>
                <w:webHidden/>
              </w:rPr>
              <w:instrText xml:space="preserve"> PAGEREF _Toc175913025 \h </w:instrText>
            </w:r>
            <w:r w:rsidR="007E5B37">
              <w:rPr>
                <w:noProof/>
                <w:webHidden/>
              </w:rPr>
            </w:r>
            <w:r w:rsidR="007E5B37">
              <w:rPr>
                <w:noProof/>
                <w:webHidden/>
              </w:rPr>
              <w:fldChar w:fldCharType="separate"/>
            </w:r>
            <w:r w:rsidR="007E5B37">
              <w:rPr>
                <w:noProof/>
                <w:webHidden/>
              </w:rPr>
              <w:t>7</w:t>
            </w:r>
            <w:r w:rsidR="007E5B37">
              <w:rPr>
                <w:noProof/>
                <w:webHidden/>
              </w:rPr>
              <w:fldChar w:fldCharType="end"/>
            </w:r>
          </w:hyperlink>
        </w:p>
        <w:p w14:paraId="68BFA40B" w14:textId="15F06438" w:rsidR="007E5B37" w:rsidRDefault="00A70538">
          <w:pPr>
            <w:pStyle w:val="TOC1"/>
            <w:tabs>
              <w:tab w:val="right" w:leader="dot" w:pos="9016"/>
            </w:tabs>
            <w:rPr>
              <w:rFonts w:cstheme="minorBidi"/>
              <w:noProof/>
              <w:kern w:val="2"/>
              <w:lang w:val="en-GB" w:eastAsia="en-GB"/>
              <w14:ligatures w14:val="standardContextual"/>
            </w:rPr>
          </w:pPr>
          <w:hyperlink w:anchor="_Toc175913026" w:history="1">
            <w:r w:rsidR="007E5B37" w:rsidRPr="00C815CB">
              <w:rPr>
                <w:rStyle w:val="Hyperlink"/>
                <w:rFonts w:eastAsia="Times New Roman"/>
                <w:noProof/>
                <w:lang w:eastAsia="en-GB"/>
              </w:rPr>
              <w:t>9. Conclusion</w:t>
            </w:r>
            <w:r w:rsidR="007E5B37">
              <w:rPr>
                <w:noProof/>
                <w:webHidden/>
              </w:rPr>
              <w:tab/>
            </w:r>
            <w:r w:rsidR="007E5B37">
              <w:rPr>
                <w:noProof/>
                <w:webHidden/>
              </w:rPr>
              <w:fldChar w:fldCharType="begin"/>
            </w:r>
            <w:r w:rsidR="007E5B37">
              <w:rPr>
                <w:noProof/>
                <w:webHidden/>
              </w:rPr>
              <w:instrText xml:space="preserve"> PAGEREF _Toc175913026 \h </w:instrText>
            </w:r>
            <w:r w:rsidR="007E5B37">
              <w:rPr>
                <w:noProof/>
                <w:webHidden/>
              </w:rPr>
            </w:r>
            <w:r w:rsidR="007E5B37">
              <w:rPr>
                <w:noProof/>
                <w:webHidden/>
              </w:rPr>
              <w:fldChar w:fldCharType="separate"/>
            </w:r>
            <w:r w:rsidR="007E5B37">
              <w:rPr>
                <w:noProof/>
                <w:webHidden/>
              </w:rPr>
              <w:t>8</w:t>
            </w:r>
            <w:r w:rsidR="007E5B37">
              <w:rPr>
                <w:noProof/>
                <w:webHidden/>
              </w:rPr>
              <w:fldChar w:fldCharType="end"/>
            </w:r>
          </w:hyperlink>
        </w:p>
        <w:p w14:paraId="1B051AA8" w14:textId="1F4043FE" w:rsidR="007E5B37" w:rsidRDefault="00A70538">
          <w:pPr>
            <w:pStyle w:val="TOC1"/>
            <w:tabs>
              <w:tab w:val="right" w:leader="dot" w:pos="9016"/>
            </w:tabs>
            <w:rPr>
              <w:rFonts w:cstheme="minorBidi"/>
              <w:noProof/>
              <w:kern w:val="2"/>
              <w:lang w:val="en-GB" w:eastAsia="en-GB"/>
              <w14:ligatures w14:val="standardContextual"/>
            </w:rPr>
          </w:pPr>
          <w:hyperlink w:anchor="_Toc175913027" w:history="1">
            <w:r w:rsidR="007E5B37" w:rsidRPr="00C815CB">
              <w:rPr>
                <w:rStyle w:val="Hyperlink"/>
                <w:rFonts w:eastAsia="Times New Roman"/>
                <w:noProof/>
                <w:lang w:eastAsia="en-GB"/>
              </w:rPr>
              <w:t>References</w:t>
            </w:r>
            <w:r w:rsidR="007E5B37">
              <w:rPr>
                <w:noProof/>
                <w:webHidden/>
              </w:rPr>
              <w:tab/>
            </w:r>
            <w:r w:rsidR="007E5B37">
              <w:rPr>
                <w:noProof/>
                <w:webHidden/>
              </w:rPr>
              <w:fldChar w:fldCharType="begin"/>
            </w:r>
            <w:r w:rsidR="007E5B37">
              <w:rPr>
                <w:noProof/>
                <w:webHidden/>
              </w:rPr>
              <w:instrText xml:space="preserve"> PAGEREF _Toc175913027 \h </w:instrText>
            </w:r>
            <w:r w:rsidR="007E5B37">
              <w:rPr>
                <w:noProof/>
                <w:webHidden/>
              </w:rPr>
            </w:r>
            <w:r w:rsidR="007E5B37">
              <w:rPr>
                <w:noProof/>
                <w:webHidden/>
              </w:rPr>
              <w:fldChar w:fldCharType="separate"/>
            </w:r>
            <w:r w:rsidR="007E5B37">
              <w:rPr>
                <w:noProof/>
                <w:webHidden/>
              </w:rPr>
              <w:t>9</w:t>
            </w:r>
            <w:r w:rsidR="007E5B37">
              <w:rPr>
                <w:noProof/>
                <w:webHidden/>
              </w:rPr>
              <w:fldChar w:fldCharType="end"/>
            </w:r>
          </w:hyperlink>
        </w:p>
        <w:p w14:paraId="2A198ECE" w14:textId="2DDC5EA6" w:rsidR="00986296" w:rsidRDefault="00986296">
          <w:r>
            <w:rPr>
              <w:b/>
              <w:bCs/>
              <w:noProof/>
            </w:rPr>
            <w:fldChar w:fldCharType="end"/>
          </w:r>
        </w:p>
      </w:sdtContent>
    </w:sdt>
    <w:p w14:paraId="62536FC6" w14:textId="35F3E1C3" w:rsidR="00DB0D73" w:rsidRDefault="00DB0D73" w:rsidP="00DB0D73">
      <w:pPr>
        <w:rPr>
          <w:rFonts w:ascii="Arial" w:eastAsia="Times New Roman" w:hAnsi="Arial" w:cs="Arial"/>
        </w:rPr>
      </w:pPr>
    </w:p>
    <w:p w14:paraId="0CB1DF69" w14:textId="77777777" w:rsidR="00986296" w:rsidRDefault="00986296" w:rsidP="00DB0D73">
      <w:pPr>
        <w:rPr>
          <w:rFonts w:ascii="Arial" w:eastAsia="Times New Roman" w:hAnsi="Arial" w:cs="Arial"/>
        </w:rPr>
      </w:pPr>
    </w:p>
    <w:p w14:paraId="5AB3679A" w14:textId="77777777" w:rsidR="00986296" w:rsidRDefault="00986296" w:rsidP="00DB0D73">
      <w:pPr>
        <w:rPr>
          <w:rFonts w:ascii="Arial" w:eastAsia="Times New Roman" w:hAnsi="Arial" w:cs="Arial"/>
        </w:rPr>
      </w:pPr>
    </w:p>
    <w:p w14:paraId="4EBD2F28" w14:textId="77777777" w:rsidR="00986296" w:rsidRDefault="00986296" w:rsidP="00DB0D73">
      <w:pPr>
        <w:rPr>
          <w:rFonts w:ascii="Arial" w:eastAsia="Times New Roman" w:hAnsi="Arial" w:cs="Arial"/>
        </w:rPr>
      </w:pPr>
    </w:p>
    <w:p w14:paraId="0618B1C5" w14:textId="77777777" w:rsidR="00986296" w:rsidRDefault="00986296" w:rsidP="00DB0D73">
      <w:pPr>
        <w:rPr>
          <w:rFonts w:ascii="Arial" w:eastAsia="Times New Roman" w:hAnsi="Arial" w:cs="Arial"/>
        </w:rPr>
      </w:pPr>
    </w:p>
    <w:p w14:paraId="4F6FB6BD" w14:textId="77777777" w:rsidR="00986296" w:rsidRDefault="00986296" w:rsidP="00DB0D73">
      <w:pPr>
        <w:rPr>
          <w:rFonts w:ascii="Arial" w:eastAsia="Times New Roman" w:hAnsi="Arial" w:cs="Arial"/>
        </w:rPr>
      </w:pPr>
    </w:p>
    <w:p w14:paraId="4E515563" w14:textId="77777777" w:rsidR="00986296" w:rsidRDefault="00986296" w:rsidP="00DB0D73">
      <w:pPr>
        <w:rPr>
          <w:rFonts w:ascii="Arial" w:eastAsia="Times New Roman" w:hAnsi="Arial" w:cs="Arial"/>
        </w:rPr>
      </w:pPr>
    </w:p>
    <w:p w14:paraId="6828BFB8" w14:textId="7E4FD36D" w:rsidR="00DB0D73" w:rsidRDefault="00DB0D73" w:rsidP="00DB0D73">
      <w:pPr>
        <w:rPr>
          <w:rFonts w:ascii="Arial" w:eastAsia="Times New Roman" w:hAnsi="Arial" w:cs="Arial"/>
        </w:rPr>
      </w:pPr>
    </w:p>
    <w:p w14:paraId="13636E33" w14:textId="77777777" w:rsidR="00CF0468" w:rsidRDefault="00CF0468" w:rsidP="00DB0D73">
      <w:pPr>
        <w:rPr>
          <w:rFonts w:ascii="Arial" w:eastAsia="Times New Roman" w:hAnsi="Arial" w:cs="Arial"/>
        </w:rPr>
      </w:pPr>
    </w:p>
    <w:p w14:paraId="2A3B48DD" w14:textId="77777777" w:rsidR="00CF0468" w:rsidRDefault="00CF0468" w:rsidP="00DB0D73">
      <w:pPr>
        <w:rPr>
          <w:rFonts w:ascii="Arial" w:eastAsia="Times New Roman" w:hAnsi="Arial" w:cs="Arial"/>
        </w:rPr>
      </w:pPr>
    </w:p>
    <w:p w14:paraId="15905C44" w14:textId="77777777" w:rsidR="00CF0468" w:rsidRDefault="00CF0468" w:rsidP="00DB0D73">
      <w:pPr>
        <w:rPr>
          <w:rFonts w:ascii="Arial" w:eastAsia="Times New Roman" w:hAnsi="Arial" w:cs="Arial"/>
        </w:rPr>
      </w:pPr>
    </w:p>
    <w:p w14:paraId="2A185849" w14:textId="77777777" w:rsidR="007E5B37" w:rsidRDefault="007E5B37" w:rsidP="00DB0D73">
      <w:pPr>
        <w:rPr>
          <w:rFonts w:ascii="Arial" w:eastAsia="Times New Roman" w:hAnsi="Arial" w:cs="Arial"/>
        </w:rPr>
      </w:pPr>
    </w:p>
    <w:p w14:paraId="25AB394F" w14:textId="77777777" w:rsidR="007E5B37" w:rsidRDefault="007E5B37" w:rsidP="00DB0D73">
      <w:pPr>
        <w:rPr>
          <w:rFonts w:ascii="Arial" w:eastAsia="Times New Roman" w:hAnsi="Arial" w:cs="Arial"/>
        </w:rPr>
      </w:pPr>
    </w:p>
    <w:p w14:paraId="1B6045A1" w14:textId="77777777" w:rsidR="007E5B37" w:rsidRDefault="007E5B37" w:rsidP="00DB0D73">
      <w:pPr>
        <w:rPr>
          <w:rFonts w:ascii="Arial" w:eastAsia="Times New Roman" w:hAnsi="Arial" w:cs="Arial"/>
        </w:rPr>
      </w:pPr>
    </w:p>
    <w:p w14:paraId="7BFE42CE" w14:textId="77777777" w:rsidR="007E5B37" w:rsidRDefault="007E5B37" w:rsidP="00DB0D73">
      <w:pPr>
        <w:rPr>
          <w:rFonts w:ascii="Arial" w:eastAsia="Times New Roman" w:hAnsi="Arial" w:cs="Arial"/>
        </w:rPr>
      </w:pPr>
    </w:p>
    <w:p w14:paraId="49A2A6C4" w14:textId="77777777" w:rsidR="007E5B37" w:rsidRDefault="007E5B37" w:rsidP="00DB0D73">
      <w:pPr>
        <w:rPr>
          <w:rFonts w:ascii="Arial" w:eastAsia="Times New Roman" w:hAnsi="Arial" w:cs="Arial"/>
        </w:rPr>
      </w:pPr>
    </w:p>
    <w:p w14:paraId="4343CD8D" w14:textId="77777777" w:rsidR="00CF0468" w:rsidRDefault="00CF0468" w:rsidP="00DB0D73">
      <w:pPr>
        <w:rPr>
          <w:rFonts w:ascii="Arial" w:eastAsia="Times New Roman" w:hAnsi="Arial" w:cs="Arial"/>
        </w:rPr>
      </w:pPr>
    </w:p>
    <w:p w14:paraId="35DC3494" w14:textId="77777777" w:rsidR="00CF0468" w:rsidRDefault="00CF0468" w:rsidP="00DB0D73">
      <w:pPr>
        <w:rPr>
          <w:rFonts w:ascii="Arial" w:eastAsia="Times New Roman" w:hAnsi="Arial" w:cs="Arial"/>
        </w:rPr>
      </w:pPr>
    </w:p>
    <w:p w14:paraId="61AECFB6" w14:textId="77777777" w:rsidR="00CF0468" w:rsidRDefault="00CF0468" w:rsidP="00DB0D73">
      <w:pPr>
        <w:rPr>
          <w:rFonts w:ascii="Arial" w:eastAsia="Times New Roman" w:hAnsi="Arial" w:cs="Arial"/>
        </w:rPr>
      </w:pPr>
    </w:p>
    <w:p w14:paraId="24465B11" w14:textId="77777777" w:rsidR="00CF0468" w:rsidRDefault="00CF0468" w:rsidP="00DB0D73">
      <w:pPr>
        <w:rPr>
          <w:rFonts w:ascii="Arial" w:eastAsia="Times New Roman" w:hAnsi="Arial" w:cs="Arial"/>
        </w:rPr>
      </w:pPr>
    </w:p>
    <w:p w14:paraId="090AF994" w14:textId="77777777" w:rsidR="00CF0468" w:rsidRDefault="00CF0468" w:rsidP="00DB0D73">
      <w:pPr>
        <w:rPr>
          <w:rFonts w:ascii="Arial" w:eastAsia="Times New Roman" w:hAnsi="Arial" w:cs="Arial"/>
        </w:rPr>
      </w:pPr>
    </w:p>
    <w:p w14:paraId="752DB144" w14:textId="77777777" w:rsidR="00CF0468" w:rsidRDefault="00CF0468" w:rsidP="00DB0D73">
      <w:pPr>
        <w:rPr>
          <w:rFonts w:ascii="Arial" w:eastAsia="Times New Roman" w:hAnsi="Arial" w:cs="Arial"/>
        </w:rPr>
      </w:pPr>
    </w:p>
    <w:p w14:paraId="249A6214" w14:textId="4D9B7FC8" w:rsidR="00B66750" w:rsidRPr="00986296" w:rsidRDefault="00986296" w:rsidP="00986296">
      <w:pPr>
        <w:pStyle w:val="Heading1"/>
        <w:rPr>
          <w:rFonts w:eastAsia="Times New Roman"/>
          <w:lang w:eastAsia="en-GB"/>
        </w:rPr>
      </w:pPr>
      <w:bookmarkStart w:id="0" w:name="_Toc175913018"/>
      <w:r w:rsidRPr="00986296">
        <w:rPr>
          <w:rFonts w:eastAsia="Times New Roman"/>
        </w:rPr>
        <w:t>1.</w:t>
      </w:r>
      <w:r>
        <w:rPr>
          <w:rFonts w:eastAsia="Times New Roman"/>
        </w:rPr>
        <w:t xml:space="preserve"> </w:t>
      </w:r>
      <w:r w:rsidR="004F2907" w:rsidRPr="00986296">
        <w:rPr>
          <w:rFonts w:eastAsia="Times New Roman"/>
        </w:rPr>
        <w:t>Introduction</w:t>
      </w:r>
      <w:bookmarkEnd w:id="0"/>
    </w:p>
    <w:p w14:paraId="51B1689D"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Metals are integral to various industries, spanning from automotive and aerospace to construction and consumer goods. Their versatility arises from the ability to be manipulated into different shapes, each with distinct properties tailored to specific applications. The processes used in metal manufacturing directly influence the microstructure, mechanical properties, and overall performance of the final products. This report explores three fundamental metal manufacturing processes: forging, sand casting, and powder metallurgy, highlighting their importance in modern industry and the material properties they produce (Davis, 2005; Groover, 2010).</w:t>
      </w:r>
    </w:p>
    <w:p w14:paraId="4D56060A" w14:textId="77777777" w:rsidR="00DC01D3" w:rsidRPr="00B66750" w:rsidRDefault="00DC01D3" w:rsidP="00B66750">
      <w:pPr>
        <w:rPr>
          <w:rFonts w:ascii="Arial" w:eastAsia="Times New Roman" w:hAnsi="Arial" w:cs="Arial"/>
        </w:rPr>
      </w:pPr>
    </w:p>
    <w:p w14:paraId="708AE372" w14:textId="7233D683" w:rsidR="00B66750" w:rsidRPr="00B66750" w:rsidRDefault="00986296" w:rsidP="00986296">
      <w:pPr>
        <w:pStyle w:val="Heading1"/>
        <w:rPr>
          <w:rFonts w:eastAsia="Times New Roman"/>
          <w:lang w:eastAsia="en-GB"/>
        </w:rPr>
      </w:pPr>
      <w:bookmarkStart w:id="1" w:name="_Toc175913019"/>
      <w:r>
        <w:rPr>
          <w:rFonts w:eastAsia="Times New Roman"/>
          <w:lang w:eastAsia="en-GB"/>
        </w:rPr>
        <w:t>2.</w:t>
      </w:r>
      <w:r w:rsidR="00B66750" w:rsidRPr="00B66750">
        <w:rPr>
          <w:rFonts w:eastAsia="Times New Roman"/>
          <w:lang w:eastAsia="en-GB"/>
        </w:rPr>
        <w:t>Process Definitions</w:t>
      </w:r>
      <w:bookmarkEnd w:id="1"/>
    </w:p>
    <w:p w14:paraId="1B44710C"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2.1 Forging</w:t>
      </w:r>
    </w:p>
    <w:p w14:paraId="2BB18ABD"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Forging is among the oldest metalworking processes, with origins tracing back to ancient times. It involves shaping metal by applying localised compressive forces, typically through hammers, presses, or dies. The process starts by selecting an appropriate material based on the desired properties of the final product. The metal is then heated to a specific temperature, usually between 500°C and 1200°C, depending on the material. Heating increases the metal's malleability, making it easier to shape. Once heated, the metal undergoes deformation through compressive forces applied by a mechanical or hydraulic press, or a hammer. This force deforms the metal, aligning its grain structure along the direction of the applied force, which enhances its mechanical properties. Following this, the forged part is allowed to cool, and finishing operations such as machining or grinding are performed to achieve the desired dimensions and surface finish (Totten, 2007; </w:t>
      </w:r>
      <w:proofErr w:type="spellStart"/>
      <w:r w:rsidRPr="00B66750">
        <w:rPr>
          <w:rFonts w:ascii="Arial" w:eastAsia="Times New Roman" w:hAnsi="Arial" w:cs="Arial"/>
          <w:sz w:val="24"/>
          <w:szCs w:val="24"/>
          <w:lang w:eastAsia="en-GB"/>
        </w:rPr>
        <w:t>Altan</w:t>
      </w:r>
      <w:proofErr w:type="spellEnd"/>
      <w:r w:rsidRPr="00B66750">
        <w:rPr>
          <w:rFonts w:ascii="Arial" w:eastAsia="Times New Roman" w:hAnsi="Arial" w:cs="Arial"/>
          <w:sz w:val="24"/>
          <w:szCs w:val="24"/>
          <w:lang w:eastAsia="en-GB"/>
        </w:rPr>
        <w:t xml:space="preserve"> &amp; Taylan, 1993).</w:t>
      </w:r>
    </w:p>
    <w:p w14:paraId="55244309"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Forging is widely used in industries requiring high-strength components, such as automotive and aerospace sectors. The process is particularly suitable for manufacturing parts that must endure high stresses, such as crankshafts, gears, and connecting rods. The alignment of the grain structure during forging improves toughness, strength, and fatigue resistance, making it ideal for critical components (Totten, 2007).</w:t>
      </w:r>
    </w:p>
    <w:p w14:paraId="6B2C89F5"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2.2 Sand Casting</w:t>
      </w:r>
    </w:p>
    <w:p w14:paraId="26B5661B"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Sand casting is a traditional metal casting process involving the pouring of molten metal into a sand mould to create a desired shape. The process begins with the creation of a pattern, typically made from wood, metal, or plastic, which is an exact replica of the final product. This pattern is used to form the mould cavity by packing sand around it. The sand is mixed with a binder, such as clay or resin, to help it retain its shape. Once the mould is prepared, molten metal is poured into the cavity, filling it completely. As the metal cools, it solidifies and takes the shape of the mould. After cooling, the sand mould is broken away to reveal the casting. The final steps in the process include finishing operations, such as trimming excess material and grinding to achieve the desired surface finish (</w:t>
      </w:r>
      <w:proofErr w:type="spellStart"/>
      <w:r w:rsidRPr="00B66750">
        <w:rPr>
          <w:rFonts w:ascii="Arial" w:eastAsia="Times New Roman" w:hAnsi="Arial" w:cs="Arial"/>
          <w:sz w:val="24"/>
          <w:szCs w:val="24"/>
          <w:lang w:eastAsia="en-GB"/>
        </w:rPr>
        <w:t>Beeley</w:t>
      </w:r>
      <w:proofErr w:type="spellEnd"/>
      <w:r w:rsidRPr="00B66750">
        <w:rPr>
          <w:rFonts w:ascii="Arial" w:eastAsia="Times New Roman" w:hAnsi="Arial" w:cs="Arial"/>
          <w:sz w:val="24"/>
          <w:szCs w:val="24"/>
          <w:lang w:eastAsia="en-GB"/>
        </w:rPr>
        <w:t xml:space="preserve">, 2001; Heine, </w:t>
      </w:r>
      <w:proofErr w:type="spellStart"/>
      <w:r w:rsidRPr="00B66750">
        <w:rPr>
          <w:rFonts w:ascii="Arial" w:eastAsia="Times New Roman" w:hAnsi="Arial" w:cs="Arial"/>
          <w:sz w:val="24"/>
          <w:szCs w:val="24"/>
          <w:lang w:eastAsia="en-GB"/>
        </w:rPr>
        <w:t>Loper</w:t>
      </w:r>
      <w:proofErr w:type="spellEnd"/>
      <w:r w:rsidRPr="00B66750">
        <w:rPr>
          <w:rFonts w:ascii="Arial" w:eastAsia="Times New Roman" w:hAnsi="Arial" w:cs="Arial"/>
          <w:sz w:val="24"/>
          <w:szCs w:val="24"/>
          <w:lang w:eastAsia="en-GB"/>
        </w:rPr>
        <w:t xml:space="preserve"> &amp; Rosenthal, 1967).</w:t>
      </w:r>
    </w:p>
    <w:p w14:paraId="181AD514"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Sand casting is widely used due to its versatility and ability to produce large, complex shapes. It is commonly employed in the automotive industry for casting engine blocks, cylinder heads, and other large components. Additionally, sand casting is used in the production of artistic sculptures and architectural elements. The process is compatible with a wide range of metals, including iron, aluminium, and bronze, making it a popular choice for manufacturers (</w:t>
      </w:r>
      <w:proofErr w:type="spellStart"/>
      <w:r w:rsidRPr="00B66750">
        <w:rPr>
          <w:rFonts w:ascii="Arial" w:eastAsia="Times New Roman" w:hAnsi="Arial" w:cs="Arial"/>
          <w:sz w:val="24"/>
          <w:szCs w:val="24"/>
          <w:lang w:eastAsia="en-GB"/>
        </w:rPr>
        <w:t>Beeley</w:t>
      </w:r>
      <w:proofErr w:type="spellEnd"/>
      <w:r w:rsidRPr="00B66750">
        <w:rPr>
          <w:rFonts w:ascii="Arial" w:eastAsia="Times New Roman" w:hAnsi="Arial" w:cs="Arial"/>
          <w:sz w:val="24"/>
          <w:szCs w:val="24"/>
          <w:lang w:eastAsia="en-GB"/>
        </w:rPr>
        <w:t>, 2001).</w:t>
      </w:r>
    </w:p>
    <w:p w14:paraId="586D2DBE"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2.3 Powder Metallurgy</w:t>
      </w:r>
    </w:p>
    <w:p w14:paraId="6F80A4D1"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Powder metallurgy (PM) is a manufacturing process that involves shaping metal powders into a desired form and then heating them to bond the particles. The process begins with the production of metal powders, which can be achieved through various methods such as atomisation, reduction, or electrolytic deposition. These powders are often mixed with additives to improve their properties or to facilitate the compaction process. The powder mixture is then compacted into a die to form a "green body," which is a compacted but </w:t>
      </w:r>
      <w:proofErr w:type="spellStart"/>
      <w:r w:rsidRPr="00B66750">
        <w:rPr>
          <w:rFonts w:ascii="Arial" w:eastAsia="Times New Roman" w:hAnsi="Arial" w:cs="Arial"/>
          <w:sz w:val="24"/>
          <w:szCs w:val="24"/>
          <w:lang w:eastAsia="en-GB"/>
        </w:rPr>
        <w:t>unsintered</w:t>
      </w:r>
      <w:proofErr w:type="spellEnd"/>
      <w:r w:rsidRPr="00B66750">
        <w:rPr>
          <w:rFonts w:ascii="Arial" w:eastAsia="Times New Roman" w:hAnsi="Arial" w:cs="Arial"/>
          <w:sz w:val="24"/>
          <w:szCs w:val="24"/>
          <w:lang w:eastAsia="en-GB"/>
        </w:rPr>
        <w:t xml:space="preserve"> part. This green body is then subjected to a sintering process, where it is heated to a temperature below the metal's melting point. During sintering, the metal particles bond together, resulting in a dense and strong component. The final step may involve finishing processes, such as machining, to achieve precise dimensions and surface finish (German, 1994; Jones, 2007).</w:t>
      </w:r>
    </w:p>
    <w:p w14:paraId="353FDB1D"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Powder metallurgy is particularly advantageous for producing components with complex shapes and high material utilisation. The process is commonly used in the automotive and aerospace industries to manufacture parts such as gears, bearings, and cutting tools. Powder metallurgy is also employed in the production of hard and refractory metals, which are difficult to shape using traditional manufacturing methods (German, 1994).</w:t>
      </w:r>
    </w:p>
    <w:p w14:paraId="6DC5C4AB" w14:textId="77777777" w:rsidR="00B66750" w:rsidRPr="00B66750" w:rsidRDefault="00B66750" w:rsidP="00986296">
      <w:pPr>
        <w:pStyle w:val="Heading1"/>
        <w:rPr>
          <w:rFonts w:eastAsia="Times New Roman"/>
          <w:lang w:eastAsia="en-GB"/>
        </w:rPr>
      </w:pPr>
      <w:bookmarkStart w:id="2" w:name="_Toc175913020"/>
      <w:r w:rsidRPr="00B66750">
        <w:rPr>
          <w:rFonts w:eastAsia="Times New Roman"/>
          <w:lang w:eastAsia="en-GB"/>
        </w:rPr>
        <w:t>3. Applications</w:t>
      </w:r>
      <w:bookmarkEnd w:id="2"/>
    </w:p>
    <w:p w14:paraId="5716CBDB"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The applications of forging, sand casting, and powder metallurgy are diverse, reflecting the unique advantages of each process.</w:t>
      </w:r>
    </w:p>
    <w:p w14:paraId="20977497"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Forging</w:t>
      </w:r>
      <w:r w:rsidRPr="00B66750">
        <w:rPr>
          <w:rFonts w:ascii="Arial" w:eastAsia="Times New Roman" w:hAnsi="Arial" w:cs="Arial"/>
          <w:sz w:val="24"/>
          <w:szCs w:val="24"/>
          <w:lang w:eastAsia="en-GB"/>
        </w:rPr>
        <w:t xml:space="preserve"> is extensively used in the automotive and aerospace industries for producing high-strength components. In the automotive sector, forged parts such as crankshafts, connecting rods, and gears are essential due to their ability to withstand high stresses and fatigue. In aerospace, forging is used to manufacture critical components such as aircraft landing gear and turbine blades, where material integrity and mechanical strength are paramount (</w:t>
      </w:r>
      <w:proofErr w:type="spellStart"/>
      <w:r w:rsidRPr="00B66750">
        <w:rPr>
          <w:rFonts w:ascii="Arial" w:eastAsia="Times New Roman" w:hAnsi="Arial" w:cs="Arial"/>
          <w:sz w:val="24"/>
          <w:szCs w:val="24"/>
          <w:lang w:eastAsia="en-GB"/>
        </w:rPr>
        <w:t>Altan</w:t>
      </w:r>
      <w:proofErr w:type="spellEnd"/>
      <w:r w:rsidRPr="00B66750">
        <w:rPr>
          <w:rFonts w:ascii="Arial" w:eastAsia="Times New Roman" w:hAnsi="Arial" w:cs="Arial"/>
          <w:sz w:val="24"/>
          <w:szCs w:val="24"/>
          <w:lang w:eastAsia="en-GB"/>
        </w:rPr>
        <w:t xml:space="preserve"> &amp; Taylan, 1993).</w:t>
      </w:r>
    </w:p>
    <w:p w14:paraId="6D608B23"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Sand Casting</w:t>
      </w:r>
      <w:r w:rsidRPr="00B66750">
        <w:rPr>
          <w:rFonts w:ascii="Arial" w:eastAsia="Times New Roman" w:hAnsi="Arial" w:cs="Arial"/>
          <w:sz w:val="24"/>
          <w:szCs w:val="24"/>
          <w:lang w:eastAsia="en-GB"/>
        </w:rPr>
        <w:t xml:space="preserve"> is commonly used in the production of large and complex components that require intricate shapes. The automotive industry relies on sand casting for engine blocks, cylinder heads, and other large parts. The process is also employed in the production of artistic and architectural elements, such as sculptures and decorative metalwork. Sand casting's versatility allows it to be used with a wide range of metals, including iron, aluminium, and bronze, making it suitable for a broad range of applications (</w:t>
      </w:r>
      <w:proofErr w:type="spellStart"/>
      <w:r w:rsidRPr="00B66750">
        <w:rPr>
          <w:rFonts w:ascii="Arial" w:eastAsia="Times New Roman" w:hAnsi="Arial" w:cs="Arial"/>
          <w:sz w:val="24"/>
          <w:szCs w:val="24"/>
          <w:lang w:eastAsia="en-GB"/>
        </w:rPr>
        <w:t>Beeley</w:t>
      </w:r>
      <w:proofErr w:type="spellEnd"/>
      <w:r w:rsidRPr="00B66750">
        <w:rPr>
          <w:rFonts w:ascii="Arial" w:eastAsia="Times New Roman" w:hAnsi="Arial" w:cs="Arial"/>
          <w:sz w:val="24"/>
          <w:szCs w:val="24"/>
          <w:lang w:eastAsia="en-GB"/>
        </w:rPr>
        <w:t>, 2001).</w:t>
      </w:r>
    </w:p>
    <w:p w14:paraId="2BC6A617"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Powder Metallurgy</w:t>
      </w:r>
      <w:r w:rsidRPr="00B66750">
        <w:rPr>
          <w:rFonts w:ascii="Arial" w:eastAsia="Times New Roman" w:hAnsi="Arial" w:cs="Arial"/>
          <w:sz w:val="24"/>
          <w:szCs w:val="24"/>
          <w:lang w:eastAsia="en-GB"/>
        </w:rPr>
        <w:t xml:space="preserve"> finds its niche in producing precise and complex components with minimal waste. The process is particularly advantageous for applications where high material utilisation is critical, such as in the production of gears, bearings, and cutting tools. Powder metallurgy is also used in the production of hard and refractory metals, which are challenging to shape using conventional methods. The ability to produce parts with intricate geometries and controlled porosity makes powder metallurgy an ideal choice for specialised applications in the automotive, aerospace, and medical industries (German, 1994; Jones, 2007).</w:t>
      </w:r>
    </w:p>
    <w:p w14:paraId="7EDE9B3D" w14:textId="77777777" w:rsidR="00B66750" w:rsidRPr="00B66750" w:rsidRDefault="00B66750" w:rsidP="00986296">
      <w:pPr>
        <w:pStyle w:val="Heading1"/>
        <w:rPr>
          <w:rFonts w:eastAsia="Times New Roman"/>
          <w:lang w:eastAsia="en-GB"/>
        </w:rPr>
      </w:pPr>
      <w:bookmarkStart w:id="3" w:name="_Toc175913021"/>
      <w:r w:rsidRPr="00B66750">
        <w:rPr>
          <w:rFonts w:eastAsia="Times New Roman"/>
          <w:lang w:eastAsia="en-GB"/>
        </w:rPr>
        <w:t>4. Advantages and Disadvantages</w:t>
      </w:r>
      <w:bookmarkEnd w:id="3"/>
    </w:p>
    <w:p w14:paraId="3CF68007"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Each metal manufacturing process has its own set of advantages and disadvantages, which determine its suitability for specific applications.</w:t>
      </w:r>
    </w:p>
    <w:p w14:paraId="579A529A"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Forging</w:t>
      </w:r>
      <w:r w:rsidRPr="00B66750">
        <w:rPr>
          <w:rFonts w:ascii="Arial" w:eastAsia="Times New Roman" w:hAnsi="Arial" w:cs="Arial"/>
          <w:sz w:val="24"/>
          <w:szCs w:val="24"/>
          <w:lang w:eastAsia="en-GB"/>
        </w:rPr>
        <w:t xml:space="preserve"> is renowned for producing components with superior mechanical properties due to the alignment of the grain structure during the forging process. This results in parts with high strength, toughness, and resistance to fatigue, making forging ideal for critical applications. Additionally, forging typically results in less material waste compared to other manufacturing processes. However, the initial setup cost for forging can be high due to the expenses associated with dies and specialised equipment. Furthermore, the design limitations posed by the tooling may restrict the complexity of shapes that can be produced through forging (Totten, 2007; </w:t>
      </w:r>
      <w:proofErr w:type="spellStart"/>
      <w:r w:rsidRPr="00B66750">
        <w:rPr>
          <w:rFonts w:ascii="Arial" w:eastAsia="Times New Roman" w:hAnsi="Arial" w:cs="Arial"/>
          <w:sz w:val="24"/>
          <w:szCs w:val="24"/>
          <w:lang w:eastAsia="en-GB"/>
        </w:rPr>
        <w:t>Altan</w:t>
      </w:r>
      <w:proofErr w:type="spellEnd"/>
      <w:r w:rsidRPr="00B66750">
        <w:rPr>
          <w:rFonts w:ascii="Arial" w:eastAsia="Times New Roman" w:hAnsi="Arial" w:cs="Arial"/>
          <w:sz w:val="24"/>
          <w:szCs w:val="24"/>
          <w:lang w:eastAsia="en-GB"/>
        </w:rPr>
        <w:t xml:space="preserve"> &amp; Taylan, 1993).</w:t>
      </w:r>
    </w:p>
    <w:p w14:paraId="565FB16A"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Sand Casting</w:t>
      </w:r>
      <w:r w:rsidRPr="00B66750">
        <w:rPr>
          <w:rFonts w:ascii="Arial" w:eastAsia="Times New Roman" w:hAnsi="Arial" w:cs="Arial"/>
          <w:sz w:val="24"/>
          <w:szCs w:val="24"/>
          <w:lang w:eastAsia="en-GB"/>
        </w:rPr>
        <w:t xml:space="preserve"> is praised for its low initial tooling costs, making it an attractive option for low-volume production. The process allows for the creation of large, complex geometries and can accommodate a wide range of metals. However, sand casting has some disadvantages, including lower dimensional accuracy and surface finish compared to other methods. The process is also prone to defects such as porosity and inclusions, which can weaken the final product. Additionally, the manual labour involved in preparing moulds and pouring metal can lead to inconsistencies in the final castings (</w:t>
      </w:r>
      <w:proofErr w:type="spellStart"/>
      <w:r w:rsidRPr="00B66750">
        <w:rPr>
          <w:rFonts w:ascii="Arial" w:eastAsia="Times New Roman" w:hAnsi="Arial" w:cs="Arial"/>
          <w:sz w:val="24"/>
          <w:szCs w:val="24"/>
          <w:lang w:eastAsia="en-GB"/>
        </w:rPr>
        <w:t>Beeley</w:t>
      </w:r>
      <w:proofErr w:type="spellEnd"/>
      <w:r w:rsidRPr="00B66750">
        <w:rPr>
          <w:rFonts w:ascii="Arial" w:eastAsia="Times New Roman" w:hAnsi="Arial" w:cs="Arial"/>
          <w:sz w:val="24"/>
          <w:szCs w:val="24"/>
          <w:lang w:eastAsia="en-GB"/>
        </w:rPr>
        <w:t xml:space="preserve">, 2001; Heine, </w:t>
      </w:r>
      <w:proofErr w:type="spellStart"/>
      <w:r w:rsidRPr="00B66750">
        <w:rPr>
          <w:rFonts w:ascii="Arial" w:eastAsia="Times New Roman" w:hAnsi="Arial" w:cs="Arial"/>
          <w:sz w:val="24"/>
          <w:szCs w:val="24"/>
          <w:lang w:eastAsia="en-GB"/>
        </w:rPr>
        <w:t>Loper</w:t>
      </w:r>
      <w:proofErr w:type="spellEnd"/>
      <w:r w:rsidRPr="00B66750">
        <w:rPr>
          <w:rFonts w:ascii="Arial" w:eastAsia="Times New Roman" w:hAnsi="Arial" w:cs="Arial"/>
          <w:sz w:val="24"/>
          <w:szCs w:val="24"/>
          <w:lang w:eastAsia="en-GB"/>
        </w:rPr>
        <w:t xml:space="preserve"> &amp; Rosenthal, 1967).</w:t>
      </w:r>
    </w:p>
    <w:p w14:paraId="302616AF"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Powder Metallurgy</w:t>
      </w:r>
      <w:r w:rsidRPr="00B66750">
        <w:rPr>
          <w:rFonts w:ascii="Arial" w:eastAsia="Times New Roman" w:hAnsi="Arial" w:cs="Arial"/>
          <w:sz w:val="24"/>
          <w:szCs w:val="24"/>
          <w:lang w:eastAsia="en-GB"/>
        </w:rPr>
        <w:t xml:space="preserve"> is highly advantageous for producing complex shapes with minimal machining required. The process offers high material utilisation and can produce components with controlled porosity, which is beneficial in certain applications. However, the initial costs associated with powder metallurgy can be high, particularly for the machinery and metal powders. Additionally, the process may be limited in production size, and some methods may result in inherent porosity in the final products, potentially compromising their strength (German, 1994; Jones, 2007).</w:t>
      </w:r>
    </w:p>
    <w:p w14:paraId="404115FC" w14:textId="77777777" w:rsidR="00B66750" w:rsidRPr="00B66750" w:rsidRDefault="00B66750" w:rsidP="00986296">
      <w:pPr>
        <w:pStyle w:val="Heading1"/>
        <w:rPr>
          <w:rFonts w:eastAsia="Times New Roman"/>
          <w:lang w:eastAsia="en-GB"/>
        </w:rPr>
      </w:pPr>
      <w:bookmarkStart w:id="4" w:name="_Toc175913022"/>
      <w:r w:rsidRPr="00B66750">
        <w:rPr>
          <w:rFonts w:eastAsia="Times New Roman"/>
          <w:lang w:eastAsia="en-GB"/>
        </w:rPr>
        <w:t>5. Typical Microstructures</w:t>
      </w:r>
      <w:bookmarkEnd w:id="4"/>
    </w:p>
    <w:p w14:paraId="1BF5394B"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The microstructure of a material is a critical factor that influences its mechanical properties and overall performance. The manufacturing process used to produce the material plays a significant role in determining its microstructure.</w:t>
      </w:r>
    </w:p>
    <w:p w14:paraId="29A3B66F"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Forged Steel</w:t>
      </w:r>
      <w:r w:rsidRPr="00B66750">
        <w:rPr>
          <w:rFonts w:ascii="Arial" w:eastAsia="Times New Roman" w:hAnsi="Arial" w:cs="Arial"/>
          <w:sz w:val="24"/>
          <w:szCs w:val="24"/>
          <w:lang w:eastAsia="en-GB"/>
        </w:rPr>
        <w:t xml:space="preserve"> typically exhibits a refined microstructure characterised by elongated grains aligned along the direction of stress. This grain alignment contributes to superior toughness and fatigue resistance, making forged components highly durable and reliable. The refined microstructure also enhances the material's strength and ductility, allowing it to withstand high stresses without fracturing (Callister &amp; </w:t>
      </w:r>
      <w:proofErr w:type="spellStart"/>
      <w:r w:rsidRPr="00B66750">
        <w:rPr>
          <w:rFonts w:ascii="Arial" w:eastAsia="Times New Roman" w:hAnsi="Arial" w:cs="Arial"/>
          <w:sz w:val="24"/>
          <w:szCs w:val="24"/>
          <w:lang w:eastAsia="en-GB"/>
        </w:rPr>
        <w:t>Rethwisch</w:t>
      </w:r>
      <w:proofErr w:type="spellEnd"/>
      <w:r w:rsidRPr="00B66750">
        <w:rPr>
          <w:rFonts w:ascii="Arial" w:eastAsia="Times New Roman" w:hAnsi="Arial" w:cs="Arial"/>
          <w:sz w:val="24"/>
          <w:szCs w:val="24"/>
          <w:lang w:eastAsia="en-GB"/>
        </w:rPr>
        <w:t>, 2018).</w:t>
      </w:r>
    </w:p>
    <w:p w14:paraId="089A7F0B"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Cast Iron</w:t>
      </w:r>
      <w:r w:rsidRPr="00B66750">
        <w:rPr>
          <w:rFonts w:ascii="Arial" w:eastAsia="Times New Roman" w:hAnsi="Arial" w:cs="Arial"/>
          <w:sz w:val="24"/>
          <w:szCs w:val="24"/>
          <w:lang w:eastAsia="en-GB"/>
        </w:rPr>
        <w:t xml:space="preserve"> produced through sand casting often displays a dendritic microstructure, marked by the presence of graphite flakes. The size, shape, and distribution of these graphite flakes significantly affect the mechanical properties of cast iron. For instance, cast iron with larger and more irregular graphite flakes tends to be more brittle and less strong than cast iron with smaller and more uniform flakes. The dendritic structure of cast iron also contributes to its good wear resistance, making it suitable for applications where durability is essential (Heine, </w:t>
      </w:r>
      <w:proofErr w:type="spellStart"/>
      <w:r w:rsidRPr="00B66750">
        <w:rPr>
          <w:rFonts w:ascii="Arial" w:eastAsia="Times New Roman" w:hAnsi="Arial" w:cs="Arial"/>
          <w:sz w:val="24"/>
          <w:szCs w:val="24"/>
          <w:lang w:eastAsia="en-GB"/>
        </w:rPr>
        <w:t>Loper</w:t>
      </w:r>
      <w:proofErr w:type="spellEnd"/>
      <w:r w:rsidRPr="00B66750">
        <w:rPr>
          <w:rFonts w:ascii="Arial" w:eastAsia="Times New Roman" w:hAnsi="Arial" w:cs="Arial"/>
          <w:sz w:val="24"/>
          <w:szCs w:val="24"/>
          <w:lang w:eastAsia="en-GB"/>
        </w:rPr>
        <w:t xml:space="preserve"> &amp; Rosenthal, 1967).</w:t>
      </w:r>
    </w:p>
    <w:p w14:paraId="2A087DBF"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Powder Metallurgy</w:t>
      </w:r>
      <w:r w:rsidRPr="00B66750">
        <w:rPr>
          <w:rFonts w:ascii="Arial" w:eastAsia="Times New Roman" w:hAnsi="Arial" w:cs="Arial"/>
          <w:sz w:val="24"/>
          <w:szCs w:val="24"/>
          <w:lang w:eastAsia="en-GB"/>
        </w:rPr>
        <w:t xml:space="preserve"> products generally feature a uniform microstructure with fine grains, resulting from the sintering process. The microstructure is highly dependent on the initial powder particle size and the sintering conditions, including temperature and time. A well-controlled sintering process can produce components with high density, fine microstructure, and minimal porosity, leading to enhanced mechanical properties. However, if the sintering process is not properly controlled, the final product may exhibit residual porosity, which can compromise its strength and durability (German, 1994; </w:t>
      </w:r>
      <w:proofErr w:type="spellStart"/>
      <w:r w:rsidRPr="00B66750">
        <w:rPr>
          <w:rFonts w:ascii="Arial" w:eastAsia="Times New Roman" w:hAnsi="Arial" w:cs="Arial"/>
          <w:sz w:val="24"/>
          <w:szCs w:val="24"/>
          <w:lang w:eastAsia="en-GB"/>
        </w:rPr>
        <w:t>Polmear</w:t>
      </w:r>
      <w:proofErr w:type="spellEnd"/>
      <w:r w:rsidRPr="00B66750">
        <w:rPr>
          <w:rFonts w:ascii="Arial" w:eastAsia="Times New Roman" w:hAnsi="Arial" w:cs="Arial"/>
          <w:sz w:val="24"/>
          <w:szCs w:val="24"/>
          <w:lang w:eastAsia="en-GB"/>
        </w:rPr>
        <w:t>, 2006).</w:t>
      </w:r>
    </w:p>
    <w:p w14:paraId="22CCDD6F" w14:textId="77777777" w:rsidR="00B66750" w:rsidRPr="00B66750" w:rsidRDefault="00B66750" w:rsidP="00986296">
      <w:pPr>
        <w:pStyle w:val="Heading1"/>
        <w:rPr>
          <w:rFonts w:eastAsia="Times New Roman"/>
          <w:lang w:eastAsia="en-GB"/>
        </w:rPr>
      </w:pPr>
      <w:bookmarkStart w:id="5" w:name="_Toc175913023"/>
      <w:r w:rsidRPr="00B66750">
        <w:rPr>
          <w:rFonts w:eastAsia="Times New Roman"/>
          <w:lang w:eastAsia="en-GB"/>
        </w:rPr>
        <w:t>6. Ultimate Tensile Strength (UTS)</w:t>
      </w:r>
      <w:bookmarkEnd w:id="5"/>
    </w:p>
    <w:p w14:paraId="2857A505"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Ultimate tensile strength (UTS) is a key measure of a material's ability to withstand tension before breaking. The UTS of metal components varies depending on the manufacturing process and the specific alloy used.</w:t>
      </w:r>
    </w:p>
    <w:p w14:paraId="45628569"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Forged Steel</w:t>
      </w:r>
      <w:r w:rsidRPr="00B66750">
        <w:rPr>
          <w:rFonts w:ascii="Arial" w:eastAsia="Times New Roman" w:hAnsi="Arial" w:cs="Arial"/>
          <w:sz w:val="24"/>
          <w:szCs w:val="24"/>
          <w:lang w:eastAsia="en-GB"/>
        </w:rPr>
        <w:t xml:space="preserve"> generally exhibits a high UTS, ranging from 500 to 2000 MPa, depending on factors such as alloy composition, forging temperature, and heat treatment. The high UTS of forged steel is due to the refined microstructure and grain alignment achieved during the forging process, which enhances the material's strength and resistance to deformation (Totten, 2007).</w:t>
      </w:r>
    </w:p>
    <w:p w14:paraId="6FA4E9C1"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Cast Iron</w:t>
      </w:r>
      <w:r w:rsidRPr="00B66750">
        <w:rPr>
          <w:rFonts w:ascii="Arial" w:eastAsia="Times New Roman" w:hAnsi="Arial" w:cs="Arial"/>
          <w:sz w:val="24"/>
          <w:szCs w:val="24"/>
          <w:lang w:eastAsia="en-GB"/>
        </w:rPr>
        <w:t xml:space="preserve">, produced through sand casting, typically has a UTS ranging from 200 to 700 MPa. The lower UTS of cast iron compared to forged steel is attributed to its brittle nature and the presence of graphite flakes in its microstructure. The size and shape of the graphite flakes can further influence the UTS, with finer flakes generally resulting in higher tensile strength (Heine, </w:t>
      </w:r>
      <w:proofErr w:type="spellStart"/>
      <w:r w:rsidRPr="00B66750">
        <w:rPr>
          <w:rFonts w:ascii="Arial" w:eastAsia="Times New Roman" w:hAnsi="Arial" w:cs="Arial"/>
          <w:sz w:val="24"/>
          <w:szCs w:val="24"/>
          <w:lang w:eastAsia="en-GB"/>
        </w:rPr>
        <w:t>Loper</w:t>
      </w:r>
      <w:proofErr w:type="spellEnd"/>
      <w:r w:rsidRPr="00B66750">
        <w:rPr>
          <w:rFonts w:ascii="Arial" w:eastAsia="Times New Roman" w:hAnsi="Arial" w:cs="Arial"/>
          <w:sz w:val="24"/>
          <w:szCs w:val="24"/>
          <w:lang w:eastAsia="en-GB"/>
        </w:rPr>
        <w:t xml:space="preserve"> &amp; Rosenthal, 1967).</w:t>
      </w:r>
    </w:p>
    <w:p w14:paraId="24A87E70"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Aluminium Alloys</w:t>
      </w:r>
      <w:r w:rsidRPr="00B66750">
        <w:rPr>
          <w:rFonts w:ascii="Arial" w:eastAsia="Times New Roman" w:hAnsi="Arial" w:cs="Arial"/>
          <w:sz w:val="24"/>
          <w:szCs w:val="24"/>
          <w:lang w:eastAsia="en-GB"/>
        </w:rPr>
        <w:t xml:space="preserve"> produced through powder metallurgy can achieve UTS values ranging from 250 to 600 MPa, depending on the specific alloy and processing conditions. The fine, uniform microstructure achieved through powder metallurgy contributes to the high UTS of these components. However, the presence of residual porosity can reduce the UTS, highlighting the importance of controlling the sintering process to optimise material properties (German, 1994; </w:t>
      </w:r>
      <w:proofErr w:type="spellStart"/>
      <w:r w:rsidRPr="00B66750">
        <w:rPr>
          <w:rFonts w:ascii="Arial" w:eastAsia="Times New Roman" w:hAnsi="Arial" w:cs="Arial"/>
          <w:sz w:val="24"/>
          <w:szCs w:val="24"/>
          <w:lang w:eastAsia="en-GB"/>
        </w:rPr>
        <w:t>Polmear</w:t>
      </w:r>
      <w:proofErr w:type="spellEnd"/>
      <w:r w:rsidRPr="00B66750">
        <w:rPr>
          <w:rFonts w:ascii="Arial" w:eastAsia="Times New Roman" w:hAnsi="Arial" w:cs="Arial"/>
          <w:sz w:val="24"/>
          <w:szCs w:val="24"/>
          <w:lang w:eastAsia="en-GB"/>
        </w:rPr>
        <w:t>, 2006).</w:t>
      </w:r>
    </w:p>
    <w:p w14:paraId="6F0742C3" w14:textId="77777777" w:rsidR="00B66750" w:rsidRPr="00B66750" w:rsidRDefault="00B66750" w:rsidP="00986296">
      <w:pPr>
        <w:pStyle w:val="Heading1"/>
        <w:rPr>
          <w:rFonts w:eastAsia="Times New Roman"/>
          <w:lang w:eastAsia="en-GB"/>
        </w:rPr>
      </w:pPr>
      <w:bookmarkStart w:id="6" w:name="_Toc175913024"/>
      <w:r w:rsidRPr="00B66750">
        <w:rPr>
          <w:rFonts w:eastAsia="Times New Roman"/>
          <w:lang w:eastAsia="en-GB"/>
        </w:rPr>
        <w:t>7. Common Defects</w:t>
      </w:r>
      <w:bookmarkEnd w:id="6"/>
    </w:p>
    <w:p w14:paraId="049915E6"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Each metal manufacturing process is susceptible to specific defects that can compromise the quality and performance of the final product.</w:t>
      </w:r>
    </w:p>
    <w:p w14:paraId="7FE9D11F"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Forging Defects</w:t>
      </w:r>
      <w:r w:rsidRPr="00B66750">
        <w:rPr>
          <w:rFonts w:ascii="Arial" w:eastAsia="Times New Roman" w:hAnsi="Arial" w:cs="Arial"/>
          <w:sz w:val="24"/>
          <w:szCs w:val="24"/>
          <w:lang w:eastAsia="en-GB"/>
        </w:rPr>
        <w:t xml:space="preserve"> include laps, cracks, and inclusions. Laps occur when the metal folds over itself during forging, creating weak spots. Cracks can form due to excessive strain or improper heating, leading to brittle failure. Inclusions, which are non-metallic materials trapped within the metal, can also weaken the forged part and lead to failure under stress. Proper control of the forging process, including material selection, heating, and deformation, is essential to minimise these defects (</w:t>
      </w:r>
      <w:proofErr w:type="spellStart"/>
      <w:r w:rsidRPr="00B66750">
        <w:rPr>
          <w:rFonts w:ascii="Arial" w:eastAsia="Times New Roman" w:hAnsi="Arial" w:cs="Arial"/>
          <w:sz w:val="24"/>
          <w:szCs w:val="24"/>
          <w:lang w:eastAsia="en-GB"/>
        </w:rPr>
        <w:t>Altan</w:t>
      </w:r>
      <w:proofErr w:type="spellEnd"/>
      <w:r w:rsidRPr="00B66750">
        <w:rPr>
          <w:rFonts w:ascii="Arial" w:eastAsia="Times New Roman" w:hAnsi="Arial" w:cs="Arial"/>
          <w:sz w:val="24"/>
          <w:szCs w:val="24"/>
          <w:lang w:eastAsia="en-GB"/>
        </w:rPr>
        <w:t xml:space="preserve"> &amp; Taylan, 1993; Totten, 2007).</w:t>
      </w:r>
    </w:p>
    <w:p w14:paraId="480897C9"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Sand Casting Defects</w:t>
      </w:r>
      <w:r w:rsidRPr="00B66750">
        <w:rPr>
          <w:rFonts w:ascii="Arial" w:eastAsia="Times New Roman" w:hAnsi="Arial" w:cs="Arial"/>
          <w:sz w:val="24"/>
          <w:szCs w:val="24"/>
          <w:lang w:eastAsia="en-GB"/>
        </w:rPr>
        <w:t xml:space="preserve"> include porosity, sand inclusions, and misruns. Porosity occurs when gas is trapped in the molten metal, leading to small voids within the casting. Sand inclusions result from sand particles becoming embedded in the metal, causing weak points. Misruns occur when the molten metal does not completely fill the mould, leading to incomplete or defective castings. These defects can be minimised by improving mould design, controlling pouring temperature, and using degassing techniques to remove trapped gases (</w:t>
      </w:r>
      <w:proofErr w:type="spellStart"/>
      <w:r w:rsidRPr="00B66750">
        <w:rPr>
          <w:rFonts w:ascii="Arial" w:eastAsia="Times New Roman" w:hAnsi="Arial" w:cs="Arial"/>
          <w:sz w:val="24"/>
          <w:szCs w:val="24"/>
          <w:lang w:eastAsia="en-GB"/>
        </w:rPr>
        <w:t>Beeley</w:t>
      </w:r>
      <w:proofErr w:type="spellEnd"/>
      <w:r w:rsidRPr="00B66750">
        <w:rPr>
          <w:rFonts w:ascii="Arial" w:eastAsia="Times New Roman" w:hAnsi="Arial" w:cs="Arial"/>
          <w:sz w:val="24"/>
          <w:szCs w:val="24"/>
          <w:lang w:eastAsia="en-GB"/>
        </w:rPr>
        <w:t xml:space="preserve">, 2001; Heine, </w:t>
      </w:r>
      <w:proofErr w:type="spellStart"/>
      <w:r w:rsidRPr="00B66750">
        <w:rPr>
          <w:rFonts w:ascii="Arial" w:eastAsia="Times New Roman" w:hAnsi="Arial" w:cs="Arial"/>
          <w:sz w:val="24"/>
          <w:szCs w:val="24"/>
          <w:lang w:eastAsia="en-GB"/>
        </w:rPr>
        <w:t>Loper</w:t>
      </w:r>
      <w:proofErr w:type="spellEnd"/>
      <w:r w:rsidRPr="00B66750">
        <w:rPr>
          <w:rFonts w:ascii="Arial" w:eastAsia="Times New Roman" w:hAnsi="Arial" w:cs="Arial"/>
          <w:sz w:val="24"/>
          <w:szCs w:val="24"/>
          <w:lang w:eastAsia="en-GB"/>
        </w:rPr>
        <w:t xml:space="preserve"> &amp; Rosenthal, 1967).</w:t>
      </w:r>
    </w:p>
    <w:p w14:paraId="0CB3C7E0"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b/>
          <w:bCs/>
          <w:sz w:val="24"/>
          <w:szCs w:val="24"/>
          <w:lang w:eastAsia="en-GB"/>
        </w:rPr>
        <w:t>Powder Metallurgy Defects</w:t>
      </w:r>
      <w:r w:rsidRPr="00B66750">
        <w:rPr>
          <w:rFonts w:ascii="Arial" w:eastAsia="Times New Roman" w:hAnsi="Arial" w:cs="Arial"/>
          <w:sz w:val="24"/>
          <w:szCs w:val="24"/>
          <w:lang w:eastAsia="en-GB"/>
        </w:rPr>
        <w:t xml:space="preserve"> include porosity, segregation, and cracking during sintering. Porosity, while sometimes beneficial for certain applications, can reduce the strength and durability of the final product. Segregation occurs when different powder particles separate during compaction, leading to non-uniform properties. Cracking can occur during sintering if the green body is not properly compacted or if the heating rate is too rapid. Careful control of the powder mixing, compaction, and sintering processes is essential to minimise these defects and produce high-quality components (German, 1994; Jones, 2007).</w:t>
      </w:r>
    </w:p>
    <w:p w14:paraId="68078549" w14:textId="77777777" w:rsidR="00B66750" w:rsidRPr="00B66750" w:rsidRDefault="00B66750" w:rsidP="00986296">
      <w:pPr>
        <w:pStyle w:val="Heading1"/>
        <w:rPr>
          <w:rFonts w:eastAsia="Times New Roman"/>
          <w:lang w:eastAsia="en-GB"/>
        </w:rPr>
      </w:pPr>
      <w:bookmarkStart w:id="7" w:name="_Toc175913025"/>
      <w:r w:rsidRPr="00B66750">
        <w:rPr>
          <w:rFonts w:eastAsia="Times New Roman"/>
          <w:lang w:eastAsia="en-GB"/>
        </w:rPr>
        <w:t>8. Strategies for Defect Prevention</w:t>
      </w:r>
      <w:bookmarkEnd w:id="7"/>
    </w:p>
    <w:p w14:paraId="0391221B"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Preventing defects in metal manufacturing processes is critical for ensuring the quality and reliability of the final products.</w:t>
      </w:r>
    </w:p>
    <w:p w14:paraId="71D61E74"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In </w:t>
      </w:r>
      <w:r w:rsidRPr="00B66750">
        <w:rPr>
          <w:rFonts w:ascii="Arial" w:eastAsia="Times New Roman" w:hAnsi="Arial" w:cs="Arial"/>
          <w:b/>
          <w:bCs/>
          <w:sz w:val="24"/>
          <w:szCs w:val="24"/>
          <w:lang w:eastAsia="en-GB"/>
        </w:rPr>
        <w:t>Forging</w:t>
      </w:r>
      <w:r w:rsidRPr="00B66750">
        <w:rPr>
          <w:rFonts w:ascii="Arial" w:eastAsia="Times New Roman" w:hAnsi="Arial" w:cs="Arial"/>
          <w:sz w:val="24"/>
          <w:szCs w:val="24"/>
          <w:lang w:eastAsia="en-GB"/>
        </w:rPr>
        <w:t>, defect prevention strategies include optimising die design, ensuring proper material selection, and maintaining precise control over heating and deformation processes. By carefully designing the dies, manufacturers can ensure that the metal flows smoothly during forging, reducing the risk of laps and cracks. Additionally, selecting clean, high-quality materials and controlling the heating process can minimise the risk of inclusions and other defects (</w:t>
      </w:r>
      <w:proofErr w:type="spellStart"/>
      <w:r w:rsidRPr="00B66750">
        <w:rPr>
          <w:rFonts w:ascii="Arial" w:eastAsia="Times New Roman" w:hAnsi="Arial" w:cs="Arial"/>
          <w:sz w:val="24"/>
          <w:szCs w:val="24"/>
          <w:lang w:eastAsia="en-GB"/>
        </w:rPr>
        <w:t>Altan</w:t>
      </w:r>
      <w:proofErr w:type="spellEnd"/>
      <w:r w:rsidRPr="00B66750">
        <w:rPr>
          <w:rFonts w:ascii="Arial" w:eastAsia="Times New Roman" w:hAnsi="Arial" w:cs="Arial"/>
          <w:sz w:val="24"/>
          <w:szCs w:val="24"/>
          <w:lang w:eastAsia="en-GB"/>
        </w:rPr>
        <w:t xml:space="preserve"> &amp; Taylan, 1993; Totten, 2007).</w:t>
      </w:r>
    </w:p>
    <w:p w14:paraId="3E5B2E45"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For </w:t>
      </w:r>
      <w:r w:rsidRPr="00B66750">
        <w:rPr>
          <w:rFonts w:ascii="Arial" w:eastAsia="Times New Roman" w:hAnsi="Arial" w:cs="Arial"/>
          <w:b/>
          <w:bCs/>
          <w:sz w:val="24"/>
          <w:szCs w:val="24"/>
          <w:lang w:eastAsia="en-GB"/>
        </w:rPr>
        <w:t>Sand Casting</w:t>
      </w:r>
      <w:r w:rsidRPr="00B66750">
        <w:rPr>
          <w:rFonts w:ascii="Arial" w:eastAsia="Times New Roman" w:hAnsi="Arial" w:cs="Arial"/>
          <w:sz w:val="24"/>
          <w:szCs w:val="24"/>
          <w:lang w:eastAsia="en-GB"/>
        </w:rPr>
        <w:t>, defect prevention strategies include improving mould design, controlling the pouring temperature, and using degassing techniques. Proper mould design is essential to ensure that the molten metal flows evenly and completely fills the mould cavity. Controlling the pouring temperature is also important, as it helps prevent porosity and other defects caused by gas entrapment. Degassing techniques, such as vacuum or inert gas purging, can be used to remove trapped gases from the molten metal before pouring, reducing the risk of porosity (</w:t>
      </w:r>
      <w:proofErr w:type="spellStart"/>
      <w:r w:rsidRPr="00B66750">
        <w:rPr>
          <w:rFonts w:ascii="Arial" w:eastAsia="Times New Roman" w:hAnsi="Arial" w:cs="Arial"/>
          <w:sz w:val="24"/>
          <w:szCs w:val="24"/>
          <w:lang w:eastAsia="en-GB"/>
        </w:rPr>
        <w:t>Beeley</w:t>
      </w:r>
      <w:proofErr w:type="spellEnd"/>
      <w:r w:rsidRPr="00B66750">
        <w:rPr>
          <w:rFonts w:ascii="Arial" w:eastAsia="Times New Roman" w:hAnsi="Arial" w:cs="Arial"/>
          <w:sz w:val="24"/>
          <w:szCs w:val="24"/>
          <w:lang w:eastAsia="en-GB"/>
        </w:rPr>
        <w:t xml:space="preserve">, 2001; Heine, </w:t>
      </w:r>
      <w:proofErr w:type="spellStart"/>
      <w:r w:rsidRPr="00B66750">
        <w:rPr>
          <w:rFonts w:ascii="Arial" w:eastAsia="Times New Roman" w:hAnsi="Arial" w:cs="Arial"/>
          <w:sz w:val="24"/>
          <w:szCs w:val="24"/>
          <w:lang w:eastAsia="en-GB"/>
        </w:rPr>
        <w:t>Loper</w:t>
      </w:r>
      <w:proofErr w:type="spellEnd"/>
      <w:r w:rsidRPr="00B66750">
        <w:rPr>
          <w:rFonts w:ascii="Arial" w:eastAsia="Times New Roman" w:hAnsi="Arial" w:cs="Arial"/>
          <w:sz w:val="24"/>
          <w:szCs w:val="24"/>
          <w:lang w:eastAsia="en-GB"/>
        </w:rPr>
        <w:t xml:space="preserve"> &amp; Rosenthal, 1967).</w:t>
      </w:r>
    </w:p>
    <w:p w14:paraId="4B0AD6B8"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In </w:t>
      </w:r>
      <w:r w:rsidRPr="00B66750">
        <w:rPr>
          <w:rFonts w:ascii="Arial" w:eastAsia="Times New Roman" w:hAnsi="Arial" w:cs="Arial"/>
          <w:b/>
          <w:bCs/>
          <w:sz w:val="24"/>
          <w:szCs w:val="24"/>
          <w:lang w:eastAsia="en-GB"/>
        </w:rPr>
        <w:t>Powder Metallurgy</w:t>
      </w:r>
      <w:r w:rsidRPr="00B66750">
        <w:rPr>
          <w:rFonts w:ascii="Arial" w:eastAsia="Times New Roman" w:hAnsi="Arial" w:cs="Arial"/>
          <w:sz w:val="24"/>
          <w:szCs w:val="24"/>
          <w:lang w:eastAsia="en-GB"/>
        </w:rPr>
        <w:t>, defect prevention strategies include controlling the powder mixing, compaction, and sintering processes. Ensuring a homogeneous mixture of powder particles helps prevent segregation and ensures uniform properties in the final product. Proper compaction is also crucial for reducing porosity and ensuring that the green body has sufficient strength to withstand handling and sintering. During sintering, careful control of the heating rate and temperature helps prevent cracking and ensures that the metal particles bond together effectively, resulting in a dense and strong component (German, 1994; Jones, 2007).</w:t>
      </w:r>
    </w:p>
    <w:p w14:paraId="79DC3FE2" w14:textId="77777777" w:rsidR="00B66750" w:rsidRPr="00B66750" w:rsidRDefault="00B66750" w:rsidP="00B66750">
      <w:pPr>
        <w:rPr>
          <w:rFonts w:ascii="Arial" w:eastAsia="Times New Roman" w:hAnsi="Arial" w:cs="Arial"/>
          <w:sz w:val="24"/>
          <w:szCs w:val="24"/>
          <w:lang w:eastAsia="en-GB"/>
        </w:rPr>
      </w:pPr>
    </w:p>
    <w:p w14:paraId="118BC8A6" w14:textId="77777777" w:rsidR="00B66750" w:rsidRPr="00B66750" w:rsidRDefault="00B66750" w:rsidP="00986296">
      <w:pPr>
        <w:pStyle w:val="Heading1"/>
        <w:rPr>
          <w:rFonts w:eastAsia="Times New Roman"/>
          <w:lang w:eastAsia="en-GB"/>
        </w:rPr>
      </w:pPr>
      <w:bookmarkStart w:id="8" w:name="_Toc175913026"/>
      <w:r w:rsidRPr="00B66750">
        <w:rPr>
          <w:rFonts w:eastAsia="Times New Roman"/>
          <w:lang w:eastAsia="en-GB"/>
        </w:rPr>
        <w:t>9. Conclusion</w:t>
      </w:r>
      <w:bookmarkEnd w:id="8"/>
    </w:p>
    <w:p w14:paraId="3A9D5269"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The choice of metal manufacturing process has a profound impact on the properties, performance, and quality of the final product. Forging, sand casting, and powder metallurgy are three fundamental processes that offer distinct advantages and challenges, making them suitable for different applications. Forging is ideal for producing high-strength components with superior mechanical properties, while sand casting is versatile and cost-effective for producing large and complex shapes. Powder metallurgy excels in producing precise, complex components with minimal waste and controlled porosity.</w:t>
      </w:r>
    </w:p>
    <w:p w14:paraId="406F5246" w14:textId="77777777" w:rsid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By understanding the intricacies of these manufacturing processes, including their microstructural characteristics, ultimate tensile strength, and common defects, manufacturers can make informed decisions to optimise product quality and performance. Implementing defect prevention strategies is crucial for minimising manufacturing defects and ensuring the reliability of metal components in demanding industrial applications.</w:t>
      </w:r>
    </w:p>
    <w:p w14:paraId="205ADD82" w14:textId="77777777" w:rsidR="007E5B37" w:rsidRDefault="007E5B37" w:rsidP="00B66750">
      <w:pPr>
        <w:rPr>
          <w:rFonts w:ascii="Arial" w:eastAsia="Times New Roman" w:hAnsi="Arial" w:cs="Arial"/>
          <w:sz w:val="24"/>
          <w:szCs w:val="24"/>
          <w:lang w:eastAsia="en-GB"/>
        </w:rPr>
      </w:pPr>
    </w:p>
    <w:p w14:paraId="1F49423E" w14:textId="77777777" w:rsidR="007E5B37" w:rsidRDefault="007E5B37" w:rsidP="00B66750">
      <w:pPr>
        <w:rPr>
          <w:rFonts w:ascii="Arial" w:eastAsia="Times New Roman" w:hAnsi="Arial" w:cs="Arial"/>
          <w:sz w:val="24"/>
          <w:szCs w:val="24"/>
          <w:lang w:eastAsia="en-GB"/>
        </w:rPr>
      </w:pPr>
    </w:p>
    <w:p w14:paraId="1B52FA49" w14:textId="77777777" w:rsidR="007E5B37" w:rsidRDefault="007E5B37" w:rsidP="00B66750">
      <w:pPr>
        <w:rPr>
          <w:rFonts w:ascii="Arial" w:eastAsia="Times New Roman" w:hAnsi="Arial" w:cs="Arial"/>
          <w:sz w:val="24"/>
          <w:szCs w:val="24"/>
          <w:lang w:eastAsia="en-GB"/>
        </w:rPr>
      </w:pPr>
    </w:p>
    <w:p w14:paraId="32E15BBB" w14:textId="77777777" w:rsidR="007E5B37" w:rsidRDefault="007E5B37" w:rsidP="00B66750">
      <w:pPr>
        <w:rPr>
          <w:rFonts w:ascii="Arial" w:eastAsia="Times New Roman" w:hAnsi="Arial" w:cs="Arial"/>
          <w:sz w:val="24"/>
          <w:szCs w:val="24"/>
          <w:lang w:eastAsia="en-GB"/>
        </w:rPr>
      </w:pPr>
    </w:p>
    <w:p w14:paraId="4090A6DF" w14:textId="77777777" w:rsidR="007E5B37" w:rsidRPr="00B66750" w:rsidRDefault="007E5B37" w:rsidP="00B66750">
      <w:pPr>
        <w:rPr>
          <w:rFonts w:ascii="Arial" w:eastAsia="Times New Roman" w:hAnsi="Arial" w:cs="Arial"/>
          <w:sz w:val="24"/>
          <w:szCs w:val="24"/>
          <w:lang w:eastAsia="en-GB"/>
        </w:rPr>
      </w:pPr>
    </w:p>
    <w:p w14:paraId="09B40FE4" w14:textId="77777777" w:rsidR="00B66750" w:rsidRPr="00B66750" w:rsidRDefault="00B66750" w:rsidP="007E5B37">
      <w:pPr>
        <w:pStyle w:val="Heading1"/>
        <w:rPr>
          <w:rFonts w:eastAsia="Times New Roman"/>
          <w:lang w:eastAsia="en-GB"/>
        </w:rPr>
      </w:pPr>
      <w:bookmarkStart w:id="9" w:name="_Toc175913027"/>
      <w:r w:rsidRPr="00B66750">
        <w:rPr>
          <w:rFonts w:eastAsia="Times New Roman"/>
          <w:lang w:eastAsia="en-GB"/>
        </w:rPr>
        <w:t>References</w:t>
      </w:r>
      <w:bookmarkEnd w:id="9"/>
    </w:p>
    <w:p w14:paraId="5BD243BE" w14:textId="77777777" w:rsidR="00B66750" w:rsidRPr="00B66750" w:rsidRDefault="00B66750" w:rsidP="00B66750">
      <w:pPr>
        <w:rPr>
          <w:rFonts w:ascii="Arial" w:eastAsia="Times New Roman" w:hAnsi="Arial" w:cs="Arial"/>
          <w:sz w:val="24"/>
          <w:szCs w:val="24"/>
          <w:lang w:eastAsia="en-GB"/>
        </w:rPr>
      </w:pPr>
      <w:proofErr w:type="spellStart"/>
      <w:r w:rsidRPr="00B66750">
        <w:rPr>
          <w:rFonts w:ascii="Arial" w:eastAsia="Times New Roman" w:hAnsi="Arial" w:cs="Arial"/>
          <w:sz w:val="24"/>
          <w:szCs w:val="24"/>
          <w:lang w:eastAsia="en-GB"/>
        </w:rPr>
        <w:t>Altan</w:t>
      </w:r>
      <w:proofErr w:type="spellEnd"/>
      <w:r w:rsidRPr="00B66750">
        <w:rPr>
          <w:rFonts w:ascii="Arial" w:eastAsia="Times New Roman" w:hAnsi="Arial" w:cs="Arial"/>
          <w:sz w:val="24"/>
          <w:szCs w:val="24"/>
          <w:lang w:eastAsia="en-GB"/>
        </w:rPr>
        <w:t xml:space="preserve">, T., &amp; Taylan, M. (1993). </w:t>
      </w:r>
      <w:r w:rsidRPr="00B66750">
        <w:rPr>
          <w:rFonts w:ascii="Arial" w:eastAsia="Times New Roman" w:hAnsi="Arial" w:cs="Arial"/>
          <w:i/>
          <w:iCs/>
          <w:sz w:val="24"/>
          <w:szCs w:val="24"/>
          <w:lang w:eastAsia="en-GB"/>
        </w:rPr>
        <w:t>Metal Forming: Fundamentals and Applications</w:t>
      </w:r>
      <w:r w:rsidRPr="00B66750">
        <w:rPr>
          <w:rFonts w:ascii="Arial" w:eastAsia="Times New Roman" w:hAnsi="Arial" w:cs="Arial"/>
          <w:sz w:val="24"/>
          <w:szCs w:val="24"/>
          <w:lang w:eastAsia="en-GB"/>
        </w:rPr>
        <w:t>. ASM International.</w:t>
      </w:r>
    </w:p>
    <w:p w14:paraId="2C7DA66B" w14:textId="77777777" w:rsidR="00B66750" w:rsidRPr="00B66750" w:rsidRDefault="00B66750" w:rsidP="00B66750">
      <w:pPr>
        <w:rPr>
          <w:rFonts w:ascii="Arial" w:eastAsia="Times New Roman" w:hAnsi="Arial" w:cs="Arial"/>
          <w:sz w:val="24"/>
          <w:szCs w:val="24"/>
          <w:lang w:eastAsia="en-GB"/>
        </w:rPr>
      </w:pPr>
      <w:proofErr w:type="spellStart"/>
      <w:r w:rsidRPr="00B66750">
        <w:rPr>
          <w:rFonts w:ascii="Arial" w:eastAsia="Times New Roman" w:hAnsi="Arial" w:cs="Arial"/>
          <w:sz w:val="24"/>
          <w:szCs w:val="24"/>
          <w:lang w:eastAsia="en-GB"/>
        </w:rPr>
        <w:t>Beeley</w:t>
      </w:r>
      <w:proofErr w:type="spellEnd"/>
      <w:r w:rsidRPr="00B66750">
        <w:rPr>
          <w:rFonts w:ascii="Arial" w:eastAsia="Times New Roman" w:hAnsi="Arial" w:cs="Arial"/>
          <w:sz w:val="24"/>
          <w:szCs w:val="24"/>
          <w:lang w:eastAsia="en-GB"/>
        </w:rPr>
        <w:t xml:space="preserve">, P.R. (2001). </w:t>
      </w:r>
      <w:r w:rsidRPr="00B66750">
        <w:rPr>
          <w:rFonts w:ascii="Arial" w:eastAsia="Times New Roman" w:hAnsi="Arial" w:cs="Arial"/>
          <w:i/>
          <w:iCs/>
          <w:sz w:val="24"/>
          <w:szCs w:val="24"/>
          <w:lang w:eastAsia="en-GB"/>
        </w:rPr>
        <w:t>Foundry Technology</w:t>
      </w:r>
      <w:r w:rsidRPr="00B66750">
        <w:rPr>
          <w:rFonts w:ascii="Arial" w:eastAsia="Times New Roman" w:hAnsi="Arial" w:cs="Arial"/>
          <w:sz w:val="24"/>
          <w:szCs w:val="24"/>
          <w:lang w:eastAsia="en-GB"/>
        </w:rPr>
        <w:t xml:space="preserve"> (2nd ed.). Butterworth-Heinemann.</w:t>
      </w:r>
    </w:p>
    <w:p w14:paraId="6B661AE7" w14:textId="77777777" w:rsidR="00B66750" w:rsidRPr="00B66750" w:rsidRDefault="00B66750" w:rsidP="00B66750">
      <w:pPr>
        <w:rPr>
          <w:rFonts w:ascii="Arial" w:eastAsia="Times New Roman" w:hAnsi="Arial" w:cs="Arial"/>
          <w:sz w:val="24"/>
          <w:szCs w:val="24"/>
          <w:lang w:eastAsia="en-GB"/>
        </w:rPr>
      </w:pPr>
      <w:proofErr w:type="spellStart"/>
      <w:r w:rsidRPr="00B66750">
        <w:rPr>
          <w:rFonts w:ascii="Arial" w:eastAsia="Times New Roman" w:hAnsi="Arial" w:cs="Arial"/>
          <w:sz w:val="24"/>
          <w:szCs w:val="24"/>
          <w:lang w:val="de-DE" w:eastAsia="en-GB"/>
        </w:rPr>
        <w:t>Callister</w:t>
      </w:r>
      <w:proofErr w:type="spellEnd"/>
      <w:r w:rsidRPr="00B66750">
        <w:rPr>
          <w:rFonts w:ascii="Arial" w:eastAsia="Times New Roman" w:hAnsi="Arial" w:cs="Arial"/>
          <w:sz w:val="24"/>
          <w:szCs w:val="24"/>
          <w:lang w:val="de-DE" w:eastAsia="en-GB"/>
        </w:rPr>
        <w:t xml:space="preserve">, W.D., &amp; Rethwisch, D.G. (2018). </w:t>
      </w:r>
      <w:r w:rsidRPr="00B66750">
        <w:rPr>
          <w:rFonts w:ascii="Arial" w:eastAsia="Times New Roman" w:hAnsi="Arial" w:cs="Arial"/>
          <w:i/>
          <w:iCs/>
          <w:sz w:val="24"/>
          <w:szCs w:val="24"/>
          <w:lang w:eastAsia="en-GB"/>
        </w:rPr>
        <w:t>Materials Science and Engineering: An Introduction</w:t>
      </w:r>
      <w:r w:rsidRPr="00B66750">
        <w:rPr>
          <w:rFonts w:ascii="Arial" w:eastAsia="Times New Roman" w:hAnsi="Arial" w:cs="Arial"/>
          <w:sz w:val="24"/>
          <w:szCs w:val="24"/>
          <w:lang w:eastAsia="en-GB"/>
        </w:rPr>
        <w:t xml:space="preserve"> (10th ed.). Wiley.</w:t>
      </w:r>
    </w:p>
    <w:p w14:paraId="47230D6C"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Davis, J.R. (2005). </w:t>
      </w:r>
      <w:r w:rsidRPr="00B66750">
        <w:rPr>
          <w:rFonts w:ascii="Arial" w:eastAsia="Times New Roman" w:hAnsi="Arial" w:cs="Arial"/>
          <w:i/>
          <w:iCs/>
          <w:sz w:val="24"/>
          <w:szCs w:val="24"/>
          <w:lang w:eastAsia="en-GB"/>
        </w:rPr>
        <w:t>Metals Handbook: Volume 14B, Metalworking: Sheet Forming</w:t>
      </w:r>
      <w:r w:rsidRPr="00B66750">
        <w:rPr>
          <w:rFonts w:ascii="Arial" w:eastAsia="Times New Roman" w:hAnsi="Arial" w:cs="Arial"/>
          <w:sz w:val="24"/>
          <w:szCs w:val="24"/>
          <w:lang w:eastAsia="en-GB"/>
        </w:rPr>
        <w:t>. ASM International.</w:t>
      </w:r>
    </w:p>
    <w:p w14:paraId="26C6CBAB"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German, R.M. (1994). </w:t>
      </w:r>
      <w:r w:rsidRPr="00B66750">
        <w:rPr>
          <w:rFonts w:ascii="Arial" w:eastAsia="Times New Roman" w:hAnsi="Arial" w:cs="Arial"/>
          <w:i/>
          <w:iCs/>
          <w:sz w:val="24"/>
          <w:szCs w:val="24"/>
          <w:lang w:eastAsia="en-GB"/>
        </w:rPr>
        <w:t>Powder Metallurgy Science</w:t>
      </w:r>
      <w:r w:rsidRPr="00B66750">
        <w:rPr>
          <w:rFonts w:ascii="Arial" w:eastAsia="Times New Roman" w:hAnsi="Arial" w:cs="Arial"/>
          <w:sz w:val="24"/>
          <w:szCs w:val="24"/>
          <w:lang w:eastAsia="en-GB"/>
        </w:rPr>
        <w:t xml:space="preserve"> (2nd ed.). Metal Powder Industries Federation.</w:t>
      </w:r>
    </w:p>
    <w:p w14:paraId="33801406"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Groover, M.P. (2010). </w:t>
      </w:r>
      <w:r w:rsidRPr="00B66750">
        <w:rPr>
          <w:rFonts w:ascii="Arial" w:eastAsia="Times New Roman" w:hAnsi="Arial" w:cs="Arial"/>
          <w:i/>
          <w:iCs/>
          <w:sz w:val="24"/>
          <w:szCs w:val="24"/>
          <w:lang w:eastAsia="en-GB"/>
        </w:rPr>
        <w:t>Fundamentals of Modern Manufacturing: Materials, Processes, and Systems</w:t>
      </w:r>
      <w:r w:rsidRPr="00B66750">
        <w:rPr>
          <w:rFonts w:ascii="Arial" w:eastAsia="Times New Roman" w:hAnsi="Arial" w:cs="Arial"/>
          <w:sz w:val="24"/>
          <w:szCs w:val="24"/>
          <w:lang w:eastAsia="en-GB"/>
        </w:rPr>
        <w:t xml:space="preserve"> (4th ed.). Wiley.</w:t>
      </w:r>
    </w:p>
    <w:p w14:paraId="538CE6CC" w14:textId="77777777" w:rsidR="00B66750" w:rsidRPr="00B66750" w:rsidRDefault="00B66750" w:rsidP="00B66750">
      <w:pPr>
        <w:rPr>
          <w:rFonts w:ascii="Arial" w:eastAsia="Times New Roman" w:hAnsi="Arial" w:cs="Arial"/>
          <w:sz w:val="24"/>
          <w:szCs w:val="24"/>
          <w:lang w:eastAsia="en-GB"/>
        </w:rPr>
      </w:pPr>
      <w:r w:rsidRPr="007E5B37">
        <w:rPr>
          <w:rFonts w:ascii="Arial" w:eastAsia="Times New Roman" w:hAnsi="Arial" w:cs="Arial"/>
          <w:sz w:val="24"/>
          <w:szCs w:val="24"/>
          <w:lang w:eastAsia="en-GB"/>
        </w:rPr>
        <w:t xml:space="preserve">Heine, R.W., </w:t>
      </w:r>
      <w:proofErr w:type="spellStart"/>
      <w:r w:rsidRPr="007E5B37">
        <w:rPr>
          <w:rFonts w:ascii="Arial" w:eastAsia="Times New Roman" w:hAnsi="Arial" w:cs="Arial"/>
          <w:sz w:val="24"/>
          <w:szCs w:val="24"/>
          <w:lang w:eastAsia="en-GB"/>
        </w:rPr>
        <w:t>Loper</w:t>
      </w:r>
      <w:proofErr w:type="spellEnd"/>
      <w:r w:rsidRPr="007E5B37">
        <w:rPr>
          <w:rFonts w:ascii="Arial" w:eastAsia="Times New Roman" w:hAnsi="Arial" w:cs="Arial"/>
          <w:sz w:val="24"/>
          <w:szCs w:val="24"/>
          <w:lang w:eastAsia="en-GB"/>
        </w:rPr>
        <w:t xml:space="preserve">, C.R., &amp; Rosenthal, P.C. (1967). </w:t>
      </w:r>
      <w:r w:rsidRPr="00B66750">
        <w:rPr>
          <w:rFonts w:ascii="Arial" w:eastAsia="Times New Roman" w:hAnsi="Arial" w:cs="Arial"/>
          <w:i/>
          <w:iCs/>
          <w:sz w:val="24"/>
          <w:szCs w:val="24"/>
          <w:lang w:eastAsia="en-GB"/>
        </w:rPr>
        <w:t>Principles of Metal Casting</w:t>
      </w:r>
      <w:r w:rsidRPr="00B66750">
        <w:rPr>
          <w:rFonts w:ascii="Arial" w:eastAsia="Times New Roman" w:hAnsi="Arial" w:cs="Arial"/>
          <w:sz w:val="24"/>
          <w:szCs w:val="24"/>
          <w:lang w:eastAsia="en-GB"/>
        </w:rPr>
        <w:t>. McGraw-Hill.</w:t>
      </w:r>
    </w:p>
    <w:p w14:paraId="5F7EF7EC"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Jones, W.D. (2007). </w:t>
      </w:r>
      <w:r w:rsidRPr="00B66750">
        <w:rPr>
          <w:rFonts w:ascii="Arial" w:eastAsia="Times New Roman" w:hAnsi="Arial" w:cs="Arial"/>
          <w:i/>
          <w:iCs/>
          <w:sz w:val="24"/>
          <w:szCs w:val="24"/>
          <w:lang w:eastAsia="en-GB"/>
        </w:rPr>
        <w:t>Fundamentals of Powder Metallurgy</w:t>
      </w:r>
      <w:r w:rsidRPr="00B66750">
        <w:rPr>
          <w:rFonts w:ascii="Arial" w:eastAsia="Times New Roman" w:hAnsi="Arial" w:cs="Arial"/>
          <w:sz w:val="24"/>
          <w:szCs w:val="24"/>
          <w:lang w:eastAsia="en-GB"/>
        </w:rPr>
        <w:t xml:space="preserve"> (2nd ed.). Butterworth-Heinemann.</w:t>
      </w:r>
    </w:p>
    <w:p w14:paraId="24FA1471" w14:textId="77777777" w:rsidR="00B66750" w:rsidRPr="00B66750" w:rsidRDefault="00B66750" w:rsidP="00B66750">
      <w:pPr>
        <w:rPr>
          <w:rFonts w:ascii="Arial" w:eastAsia="Times New Roman" w:hAnsi="Arial" w:cs="Arial"/>
          <w:sz w:val="24"/>
          <w:szCs w:val="24"/>
          <w:lang w:eastAsia="en-GB"/>
        </w:rPr>
      </w:pPr>
      <w:proofErr w:type="spellStart"/>
      <w:r w:rsidRPr="00B66750">
        <w:rPr>
          <w:rFonts w:ascii="Arial" w:eastAsia="Times New Roman" w:hAnsi="Arial" w:cs="Arial"/>
          <w:sz w:val="24"/>
          <w:szCs w:val="24"/>
          <w:lang w:eastAsia="en-GB"/>
        </w:rPr>
        <w:t>Polmear</w:t>
      </w:r>
      <w:proofErr w:type="spellEnd"/>
      <w:r w:rsidRPr="00B66750">
        <w:rPr>
          <w:rFonts w:ascii="Arial" w:eastAsia="Times New Roman" w:hAnsi="Arial" w:cs="Arial"/>
          <w:sz w:val="24"/>
          <w:szCs w:val="24"/>
          <w:lang w:eastAsia="en-GB"/>
        </w:rPr>
        <w:t xml:space="preserve">, I.J. (2006). </w:t>
      </w:r>
      <w:r w:rsidRPr="00B66750">
        <w:rPr>
          <w:rFonts w:ascii="Arial" w:eastAsia="Times New Roman" w:hAnsi="Arial" w:cs="Arial"/>
          <w:i/>
          <w:iCs/>
          <w:sz w:val="24"/>
          <w:szCs w:val="24"/>
          <w:lang w:eastAsia="en-GB"/>
        </w:rPr>
        <w:t>Light Alloys: From Traditional Alloys to Nanocrystals</w:t>
      </w:r>
      <w:r w:rsidRPr="00B66750">
        <w:rPr>
          <w:rFonts w:ascii="Arial" w:eastAsia="Times New Roman" w:hAnsi="Arial" w:cs="Arial"/>
          <w:sz w:val="24"/>
          <w:szCs w:val="24"/>
          <w:lang w:eastAsia="en-GB"/>
        </w:rPr>
        <w:t xml:space="preserve"> (4th ed.). Butterworth-Heinemann.</w:t>
      </w:r>
    </w:p>
    <w:p w14:paraId="28EF089F" w14:textId="77777777" w:rsidR="00B66750" w:rsidRPr="00B66750" w:rsidRDefault="00B66750" w:rsidP="00B66750">
      <w:pPr>
        <w:rPr>
          <w:rFonts w:ascii="Arial" w:eastAsia="Times New Roman" w:hAnsi="Arial" w:cs="Arial"/>
          <w:sz w:val="24"/>
          <w:szCs w:val="24"/>
          <w:lang w:eastAsia="en-GB"/>
        </w:rPr>
      </w:pPr>
      <w:r w:rsidRPr="00B66750">
        <w:rPr>
          <w:rFonts w:ascii="Arial" w:eastAsia="Times New Roman" w:hAnsi="Arial" w:cs="Arial"/>
          <w:sz w:val="24"/>
          <w:szCs w:val="24"/>
          <w:lang w:eastAsia="en-GB"/>
        </w:rPr>
        <w:t xml:space="preserve">Totten, G.E. (2007). </w:t>
      </w:r>
      <w:r w:rsidRPr="00B66750">
        <w:rPr>
          <w:rFonts w:ascii="Arial" w:eastAsia="Times New Roman" w:hAnsi="Arial" w:cs="Arial"/>
          <w:i/>
          <w:iCs/>
          <w:sz w:val="24"/>
          <w:szCs w:val="24"/>
          <w:lang w:eastAsia="en-GB"/>
        </w:rPr>
        <w:t>Steel Heat Treatment: Metallurgy and Technologies</w:t>
      </w:r>
      <w:r w:rsidRPr="00B66750">
        <w:rPr>
          <w:rFonts w:ascii="Arial" w:eastAsia="Times New Roman" w:hAnsi="Arial" w:cs="Arial"/>
          <w:sz w:val="24"/>
          <w:szCs w:val="24"/>
          <w:lang w:eastAsia="en-GB"/>
        </w:rPr>
        <w:t xml:space="preserve"> (2nd ed.). CRC Press.</w:t>
      </w:r>
    </w:p>
    <w:p w14:paraId="7CAFF52F" w14:textId="77777777" w:rsidR="00FC3586" w:rsidRPr="00B66750" w:rsidRDefault="00FC3586" w:rsidP="00B66750">
      <w:pPr>
        <w:rPr>
          <w:rStyle w:val="Strong"/>
          <w:rFonts w:ascii="Arial" w:hAnsi="Arial" w:cs="Arial"/>
          <w:b w:val="0"/>
          <w:bCs w:val="0"/>
        </w:rPr>
      </w:pPr>
    </w:p>
    <w:sectPr w:rsidR="00FC3586" w:rsidRPr="00B66750">
      <w:footerReference w:type="even" r:id="rId8"/>
      <w:footerReference w:type="default" r:id="rId9"/>
      <w:foot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76FA6" w14:textId="77777777" w:rsidR="00A70538" w:rsidRDefault="00A70538" w:rsidP="00DC01D3">
      <w:r>
        <w:separator/>
      </w:r>
    </w:p>
  </w:endnote>
  <w:endnote w:type="continuationSeparator" w:id="0">
    <w:p w14:paraId="6B345A74" w14:textId="77777777" w:rsidR="00A70538" w:rsidRDefault="00A70538" w:rsidP="00DC0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6A930" w14:textId="77777777" w:rsidR="00DC01D3" w:rsidRDefault="00DC01D3">
    <w:pPr>
      <w:pStyle w:val="Footer"/>
    </w:pPr>
    <w:r>
      <w:rPr>
        <w:noProof/>
      </w:rPr>
      <mc:AlternateContent>
        <mc:Choice Requires="wps">
          <w:drawing>
            <wp:anchor distT="0" distB="0" distL="0" distR="0" simplePos="0" relativeHeight="251659264" behindDoc="0" locked="0" layoutInCell="1" allowOverlap="1" wp14:anchorId="16098C1D" wp14:editId="0750F068">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CCE33EF" w14:textId="77777777" w:rsidR="00DC01D3" w:rsidRPr="00DC01D3" w:rsidRDefault="00DC01D3">
                          <w:pPr>
                            <w:rPr>
                              <w:rFonts w:eastAsia="Calibri"/>
                              <w:noProof/>
                              <w:color w:val="000000"/>
                              <w:sz w:val="16"/>
                              <w:szCs w:val="16"/>
                            </w:rPr>
                          </w:pPr>
                          <w:r w:rsidRPr="00DC01D3">
                            <w:rPr>
                              <w:rFonts w:eastAsia="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6098C1D"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CCE33EF" w14:textId="77777777" w:rsidR="00DC01D3" w:rsidRPr="00DC01D3" w:rsidRDefault="00DC01D3">
                    <w:pPr>
                      <w:rPr>
                        <w:rFonts w:eastAsia="Calibri"/>
                        <w:noProof/>
                        <w:color w:val="000000"/>
                        <w:sz w:val="16"/>
                        <w:szCs w:val="16"/>
                      </w:rPr>
                    </w:pPr>
                    <w:r w:rsidRPr="00DC01D3">
                      <w:rPr>
                        <w:rFonts w:eastAsia="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166269"/>
      <w:docPartObj>
        <w:docPartGallery w:val="Page Numbers (Bottom of Page)"/>
        <w:docPartUnique/>
      </w:docPartObj>
    </w:sdtPr>
    <w:sdtEndPr>
      <w:rPr>
        <w:noProof/>
      </w:rPr>
    </w:sdtEndPr>
    <w:sdtContent>
      <w:p w14:paraId="188E160C" w14:textId="2DD90F43" w:rsidR="00B66750" w:rsidRDefault="00B667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77988F" w14:textId="5E4E7422" w:rsidR="00DC01D3" w:rsidRDefault="00DC01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A56B5" w14:textId="77777777" w:rsidR="00DC01D3" w:rsidRDefault="00DC01D3">
    <w:pPr>
      <w:pStyle w:val="Footer"/>
    </w:pPr>
    <w:r>
      <w:rPr>
        <w:noProof/>
      </w:rPr>
      <mc:AlternateContent>
        <mc:Choice Requires="wps">
          <w:drawing>
            <wp:anchor distT="0" distB="0" distL="0" distR="0" simplePos="0" relativeHeight="251658240" behindDoc="0" locked="0" layoutInCell="1" allowOverlap="1" wp14:anchorId="7FE0325D" wp14:editId="56F92779">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F6C3961" w14:textId="77777777" w:rsidR="00DC01D3" w:rsidRPr="00DC01D3" w:rsidRDefault="00DC01D3">
                          <w:pPr>
                            <w:rPr>
                              <w:rFonts w:eastAsia="Calibri"/>
                              <w:noProof/>
                              <w:color w:val="000000"/>
                              <w:sz w:val="16"/>
                              <w:szCs w:val="16"/>
                            </w:rPr>
                          </w:pPr>
                          <w:r w:rsidRPr="00DC01D3">
                            <w:rPr>
                              <w:rFonts w:eastAsia="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FE0325D"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2F6C3961" w14:textId="77777777" w:rsidR="00DC01D3" w:rsidRPr="00DC01D3" w:rsidRDefault="00DC01D3">
                    <w:pPr>
                      <w:rPr>
                        <w:rFonts w:eastAsia="Calibri"/>
                        <w:noProof/>
                        <w:color w:val="000000"/>
                        <w:sz w:val="16"/>
                        <w:szCs w:val="16"/>
                      </w:rPr>
                    </w:pPr>
                    <w:r w:rsidRPr="00DC01D3">
                      <w:rPr>
                        <w:rFonts w:eastAsia="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25084" w14:textId="77777777" w:rsidR="00A70538" w:rsidRDefault="00A70538" w:rsidP="00DC01D3">
      <w:r>
        <w:separator/>
      </w:r>
    </w:p>
  </w:footnote>
  <w:footnote w:type="continuationSeparator" w:id="0">
    <w:p w14:paraId="78143585" w14:textId="77777777" w:rsidR="00A70538" w:rsidRDefault="00A70538" w:rsidP="00DC01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A38B3"/>
    <w:multiLevelType w:val="multilevel"/>
    <w:tmpl w:val="C4C08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E27BE"/>
    <w:multiLevelType w:val="multilevel"/>
    <w:tmpl w:val="B2EED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372B8D"/>
    <w:multiLevelType w:val="multilevel"/>
    <w:tmpl w:val="FD7E8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BD098D"/>
    <w:multiLevelType w:val="multilevel"/>
    <w:tmpl w:val="0F0CC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177303"/>
    <w:multiLevelType w:val="multilevel"/>
    <w:tmpl w:val="24760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7637C7"/>
    <w:multiLevelType w:val="hybridMultilevel"/>
    <w:tmpl w:val="B9244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3C4169"/>
    <w:multiLevelType w:val="multilevel"/>
    <w:tmpl w:val="5770D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836F3E"/>
    <w:multiLevelType w:val="multilevel"/>
    <w:tmpl w:val="CB6C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6906167">
    <w:abstractNumId w:val="3"/>
  </w:num>
  <w:num w:numId="2" w16cid:durableId="2129348702">
    <w:abstractNumId w:val="4"/>
  </w:num>
  <w:num w:numId="3" w16cid:durableId="847256584">
    <w:abstractNumId w:val="0"/>
  </w:num>
  <w:num w:numId="4" w16cid:durableId="1931505409">
    <w:abstractNumId w:val="1"/>
  </w:num>
  <w:num w:numId="5" w16cid:durableId="394428405">
    <w:abstractNumId w:val="6"/>
  </w:num>
  <w:num w:numId="6" w16cid:durableId="809327230">
    <w:abstractNumId w:val="2"/>
  </w:num>
  <w:num w:numId="7" w16cid:durableId="611057743">
    <w:abstractNumId w:val="7"/>
  </w:num>
  <w:num w:numId="8" w16cid:durableId="4866288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1D3"/>
    <w:rsid w:val="00082415"/>
    <w:rsid w:val="000A1C96"/>
    <w:rsid w:val="000C02F3"/>
    <w:rsid w:val="000D6854"/>
    <w:rsid w:val="00130B3A"/>
    <w:rsid w:val="001C70CD"/>
    <w:rsid w:val="002714B5"/>
    <w:rsid w:val="0029570B"/>
    <w:rsid w:val="002A7AD9"/>
    <w:rsid w:val="002B649A"/>
    <w:rsid w:val="00373307"/>
    <w:rsid w:val="00393A3C"/>
    <w:rsid w:val="003B5D89"/>
    <w:rsid w:val="003D433E"/>
    <w:rsid w:val="004055C6"/>
    <w:rsid w:val="00473FF5"/>
    <w:rsid w:val="004C1562"/>
    <w:rsid w:val="004E4388"/>
    <w:rsid w:val="004F2907"/>
    <w:rsid w:val="00573810"/>
    <w:rsid w:val="0059684B"/>
    <w:rsid w:val="005C2F27"/>
    <w:rsid w:val="006165D5"/>
    <w:rsid w:val="00657D23"/>
    <w:rsid w:val="00674709"/>
    <w:rsid w:val="006B3F3A"/>
    <w:rsid w:val="006C33C6"/>
    <w:rsid w:val="006F130B"/>
    <w:rsid w:val="00757E70"/>
    <w:rsid w:val="00781F3A"/>
    <w:rsid w:val="00787A72"/>
    <w:rsid w:val="007918FC"/>
    <w:rsid w:val="007C31F1"/>
    <w:rsid w:val="007E5B37"/>
    <w:rsid w:val="00814CF8"/>
    <w:rsid w:val="008240B3"/>
    <w:rsid w:val="0084222A"/>
    <w:rsid w:val="008A3A37"/>
    <w:rsid w:val="008E08BA"/>
    <w:rsid w:val="00964A2D"/>
    <w:rsid w:val="00971E5F"/>
    <w:rsid w:val="00986296"/>
    <w:rsid w:val="009C443B"/>
    <w:rsid w:val="00A03EF0"/>
    <w:rsid w:val="00A35062"/>
    <w:rsid w:val="00A519C4"/>
    <w:rsid w:val="00A70538"/>
    <w:rsid w:val="00AA58C2"/>
    <w:rsid w:val="00AC4C17"/>
    <w:rsid w:val="00AF2D04"/>
    <w:rsid w:val="00B66750"/>
    <w:rsid w:val="00B74E51"/>
    <w:rsid w:val="00B873E9"/>
    <w:rsid w:val="00BB33D4"/>
    <w:rsid w:val="00BD3910"/>
    <w:rsid w:val="00C57B5B"/>
    <w:rsid w:val="00CB7B94"/>
    <w:rsid w:val="00CE7271"/>
    <w:rsid w:val="00CF0468"/>
    <w:rsid w:val="00CF5282"/>
    <w:rsid w:val="00CF7693"/>
    <w:rsid w:val="00D3475F"/>
    <w:rsid w:val="00D82624"/>
    <w:rsid w:val="00DB0D73"/>
    <w:rsid w:val="00DC01D3"/>
    <w:rsid w:val="00DD21B3"/>
    <w:rsid w:val="00E24A0F"/>
    <w:rsid w:val="00E54D4C"/>
    <w:rsid w:val="00F20B64"/>
    <w:rsid w:val="00F25B40"/>
    <w:rsid w:val="00FC3586"/>
    <w:rsid w:val="00FE0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7F887"/>
  <w15:chartTrackingRefBased/>
  <w15:docId w15:val="{0C1007FE-A1F0-431D-8FCB-423FCD2E1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750"/>
  </w:style>
  <w:style w:type="paragraph" w:styleId="Heading1">
    <w:name w:val="heading 1"/>
    <w:basedOn w:val="Normal"/>
    <w:next w:val="Normal"/>
    <w:link w:val="Heading1Char"/>
    <w:uiPriority w:val="9"/>
    <w:qFormat/>
    <w:rsid w:val="00B6675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6675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6675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675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6675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6675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6675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6675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6675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75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B667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6675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675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6675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6675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6675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6675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66750"/>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B6675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6675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6675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66750"/>
    <w:rPr>
      <w:rFonts w:asciiTheme="majorHAnsi" w:eastAsiaTheme="majorEastAsia" w:hAnsiTheme="majorHAnsi" w:cstheme="majorBidi"/>
      <w:color w:val="4472C4" w:themeColor="accent1"/>
      <w:sz w:val="28"/>
      <w:szCs w:val="28"/>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6750"/>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B66750"/>
    <w:pPr>
      <w:spacing w:after="0" w:line="240" w:lineRule="auto"/>
    </w:pPr>
  </w:style>
  <w:style w:type="character" w:styleId="SubtleEmphasis">
    <w:name w:val="Subtle Emphasis"/>
    <w:basedOn w:val="DefaultParagraphFont"/>
    <w:uiPriority w:val="19"/>
    <w:qFormat/>
    <w:rsid w:val="00B66750"/>
    <w:rPr>
      <w:i/>
      <w:iCs/>
      <w:color w:val="595959" w:themeColor="text1" w:themeTint="A6"/>
    </w:rPr>
  </w:style>
  <w:style w:type="character" w:styleId="IntenseEmphasis">
    <w:name w:val="Intense Emphasis"/>
    <w:basedOn w:val="DefaultParagraphFont"/>
    <w:uiPriority w:val="21"/>
    <w:qFormat/>
    <w:rsid w:val="00B66750"/>
    <w:rPr>
      <w:b/>
      <w:bCs/>
      <w:i/>
      <w:iCs/>
    </w:rPr>
  </w:style>
  <w:style w:type="paragraph" w:styleId="IntenseQuote">
    <w:name w:val="Intense Quote"/>
    <w:basedOn w:val="Normal"/>
    <w:next w:val="Normal"/>
    <w:link w:val="IntenseQuoteChar"/>
    <w:uiPriority w:val="30"/>
    <w:qFormat/>
    <w:rsid w:val="00B6675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66750"/>
    <w:rPr>
      <w:rFonts w:asciiTheme="majorHAnsi" w:eastAsiaTheme="majorEastAsia" w:hAnsiTheme="majorHAnsi" w:cstheme="majorBidi"/>
      <w:color w:val="44546A" w:themeColor="text2"/>
      <w:spacing w:val="-6"/>
      <w:sz w:val="32"/>
      <w:szCs w:val="32"/>
    </w:rPr>
  </w:style>
  <w:style w:type="character" w:styleId="SubtleReference">
    <w:name w:val="Subtle Reference"/>
    <w:basedOn w:val="DefaultParagraphFont"/>
    <w:uiPriority w:val="31"/>
    <w:qFormat/>
    <w:rsid w:val="00B6675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66750"/>
    <w:rPr>
      <w:b/>
      <w:bCs/>
      <w:smallCaps/>
      <w:color w:val="44546A" w:themeColor="text2"/>
      <w:u w:val="single"/>
    </w:rPr>
  </w:style>
  <w:style w:type="character" w:styleId="BookTitle">
    <w:name w:val="Book Title"/>
    <w:basedOn w:val="DefaultParagraphFont"/>
    <w:uiPriority w:val="33"/>
    <w:qFormat/>
    <w:rsid w:val="00B66750"/>
    <w:rPr>
      <w:b/>
      <w:bCs/>
      <w:smallCaps/>
      <w:spacing w:val="10"/>
    </w:rPr>
  </w:style>
  <w:style w:type="paragraph" w:styleId="ListParagraph">
    <w:name w:val="List Paragraph"/>
    <w:basedOn w:val="Normal"/>
    <w:uiPriority w:val="34"/>
    <w:qFormat/>
    <w:rsid w:val="00373307"/>
    <w:pPr>
      <w:ind w:left="720"/>
      <w:contextualSpacing/>
    </w:pPr>
  </w:style>
  <w:style w:type="character" w:styleId="Strong">
    <w:name w:val="Strong"/>
    <w:basedOn w:val="DefaultParagraphFont"/>
    <w:uiPriority w:val="22"/>
    <w:qFormat/>
    <w:rsid w:val="00B66750"/>
    <w:rPr>
      <w:b/>
      <w:bCs/>
    </w:rPr>
  </w:style>
  <w:style w:type="paragraph" w:styleId="Header">
    <w:name w:val="header"/>
    <w:basedOn w:val="Normal"/>
    <w:link w:val="HeaderChar"/>
    <w:uiPriority w:val="99"/>
    <w:unhideWhenUsed/>
    <w:rsid w:val="00DC01D3"/>
    <w:pPr>
      <w:tabs>
        <w:tab w:val="center" w:pos="4513"/>
        <w:tab w:val="right" w:pos="9026"/>
      </w:tabs>
    </w:pPr>
    <w:rPr>
      <w:rFonts w:ascii="Arial" w:hAnsi="Arial"/>
    </w:rPr>
  </w:style>
  <w:style w:type="character" w:customStyle="1" w:styleId="HeaderChar">
    <w:name w:val="Header Char"/>
    <w:basedOn w:val="DefaultParagraphFont"/>
    <w:link w:val="Header"/>
    <w:uiPriority w:val="99"/>
    <w:rsid w:val="00DC01D3"/>
    <w:rPr>
      <w:rFonts w:ascii="Arial" w:hAnsi="Arial"/>
    </w:rPr>
  </w:style>
  <w:style w:type="paragraph" w:styleId="Footer">
    <w:name w:val="footer"/>
    <w:basedOn w:val="Normal"/>
    <w:link w:val="FooterChar"/>
    <w:uiPriority w:val="99"/>
    <w:unhideWhenUsed/>
    <w:rsid w:val="00DC01D3"/>
    <w:pPr>
      <w:tabs>
        <w:tab w:val="center" w:pos="4513"/>
        <w:tab w:val="right" w:pos="9026"/>
      </w:tabs>
    </w:pPr>
    <w:rPr>
      <w:rFonts w:ascii="Arial" w:hAnsi="Arial"/>
    </w:rPr>
  </w:style>
  <w:style w:type="character" w:customStyle="1" w:styleId="FooterChar">
    <w:name w:val="Footer Char"/>
    <w:basedOn w:val="DefaultParagraphFont"/>
    <w:link w:val="Footer"/>
    <w:uiPriority w:val="99"/>
    <w:rsid w:val="00DC01D3"/>
    <w:rPr>
      <w:rFonts w:ascii="Arial" w:hAnsi="Arial"/>
    </w:rPr>
  </w:style>
  <w:style w:type="paragraph" w:styleId="Caption">
    <w:name w:val="caption"/>
    <w:basedOn w:val="Normal"/>
    <w:next w:val="Normal"/>
    <w:uiPriority w:val="35"/>
    <w:unhideWhenUsed/>
    <w:qFormat/>
    <w:rsid w:val="00B66750"/>
    <w:pPr>
      <w:spacing w:line="240" w:lineRule="auto"/>
    </w:pPr>
    <w:rPr>
      <w:b/>
      <w:bCs/>
      <w:smallCaps/>
      <w:color w:val="44546A" w:themeColor="text2"/>
    </w:rPr>
  </w:style>
  <w:style w:type="character" w:styleId="Hyperlink">
    <w:name w:val="Hyperlink"/>
    <w:basedOn w:val="DefaultParagraphFont"/>
    <w:uiPriority w:val="99"/>
    <w:unhideWhenUsed/>
    <w:rsid w:val="00573810"/>
    <w:rPr>
      <w:color w:val="0000FF"/>
      <w:u w:val="single"/>
    </w:rPr>
  </w:style>
  <w:style w:type="paragraph" w:styleId="TOC2">
    <w:name w:val="toc 2"/>
    <w:basedOn w:val="Normal"/>
    <w:next w:val="Normal"/>
    <w:autoRedefine/>
    <w:uiPriority w:val="39"/>
    <w:unhideWhenUsed/>
    <w:rsid w:val="000C02F3"/>
    <w:pPr>
      <w:spacing w:after="100"/>
      <w:ind w:left="216"/>
    </w:pPr>
    <w:rPr>
      <w:rFonts w:cs="Times New Roman"/>
      <w:lang w:val="en-US"/>
    </w:rPr>
  </w:style>
  <w:style w:type="paragraph" w:styleId="TOC1">
    <w:name w:val="toc 1"/>
    <w:basedOn w:val="Normal"/>
    <w:next w:val="Normal"/>
    <w:autoRedefine/>
    <w:uiPriority w:val="39"/>
    <w:unhideWhenUsed/>
    <w:rsid w:val="00DB0D73"/>
    <w:pPr>
      <w:spacing w:after="100"/>
    </w:pPr>
    <w:rPr>
      <w:rFonts w:cs="Times New Roman"/>
      <w:lang w:val="en-US"/>
    </w:rPr>
  </w:style>
  <w:style w:type="paragraph" w:styleId="TOC3">
    <w:name w:val="toc 3"/>
    <w:basedOn w:val="Normal"/>
    <w:next w:val="Normal"/>
    <w:autoRedefine/>
    <w:uiPriority w:val="39"/>
    <w:unhideWhenUsed/>
    <w:rsid w:val="000C02F3"/>
    <w:pPr>
      <w:spacing w:after="100"/>
      <w:ind w:left="446"/>
    </w:pPr>
    <w:rPr>
      <w:rFonts w:cs="Times New Roman"/>
      <w:b/>
      <w:bCs/>
      <w:lang w:val="en-US"/>
    </w:rPr>
  </w:style>
  <w:style w:type="paragraph" w:styleId="TableofFigures">
    <w:name w:val="table of figures"/>
    <w:basedOn w:val="Normal"/>
    <w:next w:val="Normal"/>
    <w:uiPriority w:val="99"/>
    <w:unhideWhenUsed/>
    <w:rsid w:val="000C02F3"/>
  </w:style>
  <w:style w:type="character" w:customStyle="1" w:styleId="normaltextrun">
    <w:name w:val="normaltextrun"/>
    <w:basedOn w:val="DefaultParagraphFont"/>
    <w:rsid w:val="00A03EF0"/>
  </w:style>
  <w:style w:type="character" w:customStyle="1" w:styleId="eop">
    <w:name w:val="eop"/>
    <w:basedOn w:val="DefaultParagraphFont"/>
    <w:rsid w:val="00A03EF0"/>
  </w:style>
  <w:style w:type="character" w:styleId="Emphasis">
    <w:name w:val="Emphasis"/>
    <w:basedOn w:val="DefaultParagraphFont"/>
    <w:uiPriority w:val="20"/>
    <w:qFormat/>
    <w:rsid w:val="00B66750"/>
    <w:rPr>
      <w:i/>
      <w:iCs/>
    </w:rPr>
  </w:style>
  <w:style w:type="paragraph" w:styleId="Quote">
    <w:name w:val="Quote"/>
    <w:basedOn w:val="Normal"/>
    <w:next w:val="Normal"/>
    <w:link w:val="QuoteChar"/>
    <w:uiPriority w:val="29"/>
    <w:qFormat/>
    <w:rsid w:val="00B6675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66750"/>
    <w:rPr>
      <w:color w:val="44546A" w:themeColor="text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196092">
      <w:bodyDiv w:val="1"/>
      <w:marLeft w:val="0"/>
      <w:marRight w:val="0"/>
      <w:marTop w:val="0"/>
      <w:marBottom w:val="0"/>
      <w:divBdr>
        <w:top w:val="none" w:sz="0" w:space="0" w:color="auto"/>
        <w:left w:val="none" w:sz="0" w:space="0" w:color="auto"/>
        <w:bottom w:val="none" w:sz="0" w:space="0" w:color="auto"/>
        <w:right w:val="none" w:sz="0" w:space="0" w:color="auto"/>
      </w:divBdr>
    </w:div>
    <w:div w:id="789739331">
      <w:bodyDiv w:val="1"/>
      <w:marLeft w:val="0"/>
      <w:marRight w:val="0"/>
      <w:marTop w:val="0"/>
      <w:marBottom w:val="0"/>
      <w:divBdr>
        <w:top w:val="none" w:sz="0" w:space="0" w:color="auto"/>
        <w:left w:val="none" w:sz="0" w:space="0" w:color="auto"/>
        <w:bottom w:val="none" w:sz="0" w:space="0" w:color="auto"/>
        <w:right w:val="none" w:sz="0" w:space="0" w:color="auto"/>
      </w:divBdr>
    </w:div>
    <w:div w:id="921256456">
      <w:bodyDiv w:val="1"/>
      <w:marLeft w:val="0"/>
      <w:marRight w:val="0"/>
      <w:marTop w:val="0"/>
      <w:marBottom w:val="0"/>
      <w:divBdr>
        <w:top w:val="none" w:sz="0" w:space="0" w:color="auto"/>
        <w:left w:val="none" w:sz="0" w:space="0" w:color="auto"/>
        <w:bottom w:val="none" w:sz="0" w:space="0" w:color="auto"/>
        <w:right w:val="none" w:sz="0" w:space="0" w:color="auto"/>
      </w:divBdr>
    </w:div>
    <w:div w:id="1336305429">
      <w:bodyDiv w:val="1"/>
      <w:marLeft w:val="0"/>
      <w:marRight w:val="0"/>
      <w:marTop w:val="0"/>
      <w:marBottom w:val="0"/>
      <w:divBdr>
        <w:top w:val="none" w:sz="0" w:space="0" w:color="auto"/>
        <w:left w:val="none" w:sz="0" w:space="0" w:color="auto"/>
        <w:bottom w:val="none" w:sz="0" w:space="0" w:color="auto"/>
        <w:right w:val="none" w:sz="0" w:space="0" w:color="auto"/>
      </w:divBdr>
    </w:div>
    <w:div w:id="1508835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40C111-E9C3-4BD6-BEE5-2485939F2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2839</Words>
  <Characters>16185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Herdman, Trystan</dc:creator>
  <cp:keywords/>
  <dc:description/>
  <cp:lastModifiedBy>Herdman, Trystan</cp:lastModifiedBy>
  <cp:revision>3</cp:revision>
  <dcterms:created xsi:type="dcterms:W3CDTF">2024-08-28T15:21:00Z</dcterms:created>
  <dcterms:modified xsi:type="dcterms:W3CDTF">2024-08-30T11:23:00Z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2023-05-30T16:44:42Z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cb2ce4f5-005d-4a64-a36b-1bcf5e27c935</vt:lpwstr>
  </property>
  <property fmtid="{D5CDD505-2E9C-101B-9397-08002B2CF9AE}" pid="11" name="MSIP_Label_73aa366c-74b9-492b-a1b9-5472c41e7d31_ContentBits">
    <vt:lpwstr>2</vt:lpwstr>
  </property>
</Properties>
</file>