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270EEB" w:rsidRDefault="00563B58" w:rsidP="00E6298B">
      <w:pPr>
        <w:ind w:right="107"/>
        <w:rPr>
          <w:sz w:val="24"/>
          <w:szCs w:val="24"/>
        </w:rPr>
      </w:pPr>
    </w:p>
    <w:p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563B58" w:rsidRPr="00270EEB" w:rsidRDefault="00563B58" w:rsidP="00E6298B">
      <w:pPr>
        <w:ind w:right="107"/>
        <w:rPr>
          <w:sz w:val="24"/>
          <w:szCs w:val="24"/>
        </w:rPr>
      </w:pPr>
    </w:p>
    <w:p w:rsidR="00563B58" w:rsidRPr="00270EEB" w:rsidRDefault="00563B58" w:rsidP="00E6298B">
      <w:pPr>
        <w:ind w:right="107"/>
        <w:rPr>
          <w:sz w:val="24"/>
          <w:szCs w:val="24"/>
        </w:rPr>
      </w:pPr>
    </w:p>
    <w:p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rsidR="00270EEB" w:rsidRPr="007B491F" w:rsidRDefault="00270EEB" w:rsidP="00E6298B">
      <w:pPr>
        <w:overflowPunct/>
        <w:autoSpaceDE/>
        <w:autoSpaceDN/>
        <w:adjustRightInd/>
        <w:ind w:right="107"/>
        <w:textAlignment w:val="auto"/>
        <w:rPr>
          <w:b/>
          <w:color w:val="auto"/>
          <w:sz w:val="44"/>
        </w:rPr>
      </w:pPr>
    </w:p>
    <w:p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00E6298B">
      <w:pPr>
        <w:overflowPunct/>
        <w:autoSpaceDE/>
        <w:autoSpaceDN/>
        <w:adjustRightInd/>
        <w:ind w:right="107"/>
        <w:textAlignment w:val="auto"/>
        <w:rPr>
          <w:b/>
          <w:color w:val="auto"/>
          <w:sz w:val="44"/>
        </w:rPr>
      </w:pPr>
    </w:p>
    <w:p w:rsidR="00F927A1" w:rsidRDefault="00F927A1" w:rsidP="00E6298B">
      <w:pPr>
        <w:overflowPunct/>
        <w:autoSpaceDE/>
        <w:autoSpaceDN/>
        <w:adjustRightInd/>
        <w:ind w:right="107"/>
        <w:textAlignment w:val="auto"/>
        <w:rPr>
          <w:b/>
          <w:color w:val="auto"/>
          <w:sz w:val="44"/>
        </w:rPr>
      </w:pPr>
    </w:p>
    <w:p w:rsidR="008F22BD" w:rsidRDefault="008F22BD" w:rsidP="00E6298B">
      <w:pPr>
        <w:overflowPunct/>
        <w:autoSpaceDE/>
        <w:autoSpaceDN/>
        <w:adjustRightInd/>
        <w:ind w:right="107"/>
        <w:textAlignment w:val="auto"/>
        <w:rPr>
          <w:b/>
          <w:color w:val="auto"/>
          <w:sz w:val="44"/>
        </w:rPr>
      </w:pPr>
    </w:p>
    <w:p w:rsidR="008F22BD" w:rsidRDefault="008F22BD" w:rsidP="00E6298B">
      <w:pPr>
        <w:overflowPunct/>
        <w:autoSpaceDE/>
        <w:autoSpaceDN/>
        <w:adjustRightInd/>
        <w:ind w:right="107"/>
        <w:textAlignment w:val="auto"/>
        <w:rPr>
          <w:b/>
          <w:color w:val="auto"/>
          <w:sz w:val="44"/>
        </w:rPr>
      </w:pPr>
    </w:p>
    <w:p w:rsidR="008F22BD" w:rsidRPr="007B491F" w:rsidRDefault="008F22BD" w:rsidP="00E6298B">
      <w:pPr>
        <w:overflowPunct/>
        <w:autoSpaceDE/>
        <w:autoSpaceDN/>
        <w:adjustRightInd/>
        <w:ind w:right="107"/>
        <w:textAlignment w:val="auto"/>
        <w:rPr>
          <w:b/>
          <w:color w:val="auto"/>
          <w:sz w:val="44"/>
        </w:rPr>
      </w:pPr>
    </w:p>
    <w:p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rsidR="006B718C" w:rsidRDefault="006B718C" w:rsidP="00E6298B">
      <w:pPr>
        <w:overflowPunct/>
        <w:autoSpaceDE/>
        <w:autoSpaceDN/>
        <w:adjustRightInd/>
        <w:ind w:right="107"/>
        <w:textAlignment w:val="auto"/>
        <w:rPr>
          <w:b/>
          <w:color w:val="auto"/>
          <w:sz w:val="36"/>
        </w:rPr>
      </w:pPr>
    </w:p>
    <w:p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575A8F" w:rsidRPr="007B491F" w:rsidRDefault="00575A8F" w:rsidP="00E6298B">
      <w:pPr>
        <w:overflowPunct/>
        <w:autoSpaceDE/>
        <w:autoSpaceDN/>
        <w:adjustRightInd/>
        <w:ind w:right="107"/>
        <w:textAlignment w:val="auto"/>
        <w:rPr>
          <w:b/>
          <w:color w:val="auto"/>
          <w:sz w:val="44"/>
        </w:rPr>
      </w:pPr>
    </w:p>
    <w:p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rsidTr="00E6298B">
        <w:tc>
          <w:tcPr>
            <w:tcW w:w="9493" w:type="dxa"/>
            <w:shd w:val="clear" w:color="auto" w:fill="auto"/>
          </w:tcPr>
          <w:p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402382">
              <w:rPr>
                <w:b/>
                <w:color w:val="auto"/>
                <w:sz w:val="32"/>
              </w:rPr>
              <w:t>: Alex Simon Roberts</w:t>
            </w:r>
          </w:p>
          <w:p w:rsidR="00575A8F" w:rsidRDefault="00575A8F" w:rsidP="00E6298B">
            <w:pPr>
              <w:overflowPunct/>
              <w:autoSpaceDE/>
              <w:autoSpaceDN/>
              <w:adjustRightInd/>
              <w:ind w:right="107"/>
              <w:textAlignment w:val="auto"/>
              <w:rPr>
                <w:b/>
                <w:color w:val="auto"/>
                <w:sz w:val="32"/>
              </w:rPr>
            </w:pPr>
          </w:p>
          <w:p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rsidR="00575A8F" w:rsidRDefault="00402382" w:rsidP="00E6298B">
            <w:pPr>
              <w:overflowPunct/>
              <w:autoSpaceDE/>
              <w:autoSpaceDN/>
              <w:adjustRightInd/>
              <w:ind w:right="107"/>
              <w:textAlignment w:val="auto"/>
              <w:rPr>
                <w:b/>
                <w:color w:val="auto"/>
                <w:sz w:val="32"/>
              </w:rPr>
            </w:pPr>
            <w:r>
              <w:rPr>
                <w:b/>
                <w:color w:val="auto"/>
                <w:sz w:val="32"/>
              </w:rPr>
              <w:t>2016392</w:t>
            </w:r>
          </w:p>
          <w:p w:rsidR="00575A8F" w:rsidRDefault="00575A8F" w:rsidP="00E6298B">
            <w:pPr>
              <w:overflowPunct/>
              <w:autoSpaceDE/>
              <w:autoSpaceDN/>
              <w:adjustRightInd/>
              <w:ind w:right="107"/>
              <w:textAlignment w:val="auto"/>
              <w:rPr>
                <w:b/>
                <w:color w:val="auto"/>
                <w:sz w:val="32"/>
              </w:rPr>
            </w:pPr>
          </w:p>
          <w:p w:rsidR="00575A8F" w:rsidRPr="008F22BD" w:rsidRDefault="00575A8F" w:rsidP="00E6298B">
            <w:pPr>
              <w:overflowPunct/>
              <w:autoSpaceDE/>
              <w:autoSpaceDN/>
              <w:adjustRightInd/>
              <w:ind w:right="107"/>
              <w:textAlignment w:val="auto"/>
              <w:rPr>
                <w:b/>
                <w:color w:val="auto"/>
                <w:sz w:val="32"/>
              </w:rPr>
            </w:pPr>
          </w:p>
        </w:tc>
      </w:tr>
    </w:tbl>
    <w:p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rsidR="00575A8F" w:rsidRDefault="00575A8F" w:rsidP="00E6298B">
      <w:pPr>
        <w:overflowPunct/>
        <w:autoSpaceDE/>
        <w:autoSpaceDN/>
        <w:adjustRightInd/>
        <w:ind w:right="107"/>
        <w:textAlignment w:val="auto"/>
        <w:rPr>
          <w:b/>
          <w:color w:val="auto"/>
          <w:sz w:val="36"/>
        </w:rPr>
      </w:pPr>
    </w:p>
    <w:p w:rsidR="00F927A1" w:rsidRPr="00E7374A" w:rsidRDefault="00F927A1" w:rsidP="00E6298B">
      <w:pPr>
        <w:overflowPunct/>
        <w:autoSpaceDE/>
        <w:autoSpaceDN/>
        <w:adjustRightInd/>
        <w:ind w:right="107"/>
        <w:textAlignment w:val="auto"/>
        <w:rPr>
          <w:b/>
          <w:color w:val="auto"/>
          <w:sz w:val="36"/>
        </w:rPr>
      </w:pPr>
    </w:p>
    <w:p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rsidR="00575A8F" w:rsidRDefault="00575A8F" w:rsidP="00E6298B">
      <w:pPr>
        <w:overflowPunct/>
        <w:autoSpaceDE/>
        <w:autoSpaceDN/>
        <w:adjustRightInd/>
        <w:ind w:right="107"/>
        <w:textAlignment w:val="auto"/>
        <w:rPr>
          <w:b/>
          <w:i/>
          <w:color w:val="auto"/>
          <w:sz w:val="24"/>
        </w:rPr>
      </w:pPr>
    </w:p>
    <w:p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rsidR="7560A895" w:rsidRDefault="7560A895" w:rsidP="7560A895">
      <w:pPr>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rsidR="008B28E7" w:rsidRPr="00270EEB" w:rsidRDefault="008B28E7" w:rsidP="00E6298B">
      <w:pPr>
        <w:ind w:right="107"/>
        <w:rPr>
          <w:sz w:val="24"/>
          <w:szCs w:val="24"/>
        </w:rPr>
      </w:pPr>
    </w:p>
    <w:p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rsidR="0040668F" w:rsidRPr="00270EEB" w:rsidRDefault="0040668F" w:rsidP="00E6298B">
      <w:pPr>
        <w:ind w:right="107"/>
        <w:jc w:val="both"/>
        <w:rPr>
          <w:b/>
          <w:sz w:val="24"/>
          <w:szCs w:val="24"/>
        </w:rPr>
      </w:pPr>
    </w:p>
    <w:p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rsidR="28A9B94D" w:rsidRDefault="28A9B94D" w:rsidP="28A9B94D">
      <w:pPr>
        <w:jc w:val="both"/>
        <w:rPr>
          <w:rFonts w:eastAsia="Arial"/>
          <w:color w:val="000000" w:themeColor="text1"/>
          <w:sz w:val="24"/>
          <w:szCs w:val="24"/>
        </w:rPr>
      </w:pPr>
    </w:p>
    <w:p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rsidR="009D25B4" w:rsidRPr="00270EEB" w:rsidRDefault="009D25B4" w:rsidP="00E6298B">
      <w:pPr>
        <w:ind w:right="107"/>
        <w:jc w:val="both"/>
        <w:rPr>
          <w:sz w:val="24"/>
          <w:szCs w:val="24"/>
        </w:rPr>
      </w:pPr>
    </w:p>
    <w:p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rsidR="28A9B94D" w:rsidRDefault="28A9B94D" w:rsidP="28A9B94D">
      <w:pPr>
        <w:pStyle w:val="ListParagraph"/>
        <w:numPr>
          <w:ilvl w:val="0"/>
          <w:numId w:val="49"/>
        </w:numPr>
        <w:ind w:right="107"/>
        <w:jc w:val="both"/>
        <w:rPr>
          <w:sz w:val="24"/>
          <w:szCs w:val="24"/>
        </w:rPr>
      </w:pPr>
      <w:r w:rsidRPr="28A9B94D">
        <w:rPr>
          <w:sz w:val="24"/>
          <w:szCs w:val="24"/>
        </w:rPr>
        <w:t>Problem Solving</w:t>
      </w:r>
    </w:p>
    <w:p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rsidR="28A9B94D" w:rsidRDefault="28A9B94D" w:rsidP="28A9B94D">
      <w:pPr>
        <w:pStyle w:val="ListParagraph"/>
        <w:numPr>
          <w:ilvl w:val="0"/>
          <w:numId w:val="49"/>
        </w:numPr>
        <w:ind w:right="107"/>
        <w:jc w:val="both"/>
        <w:rPr>
          <w:sz w:val="24"/>
          <w:szCs w:val="24"/>
        </w:rPr>
      </w:pPr>
      <w:r w:rsidRPr="28A9B94D">
        <w:rPr>
          <w:sz w:val="24"/>
          <w:szCs w:val="24"/>
        </w:rPr>
        <w:t>Public Protection.</w:t>
      </w:r>
    </w:p>
    <w:p w:rsidR="009D25B4" w:rsidRPr="00270EEB" w:rsidRDefault="009D25B4" w:rsidP="00E6298B">
      <w:pPr>
        <w:numPr>
          <w:ilvl w:val="12"/>
          <w:numId w:val="0"/>
        </w:numPr>
        <w:ind w:right="107"/>
        <w:jc w:val="both"/>
        <w:rPr>
          <w:sz w:val="24"/>
          <w:szCs w:val="24"/>
          <w:highlight w:val="yellow"/>
        </w:rPr>
      </w:pPr>
    </w:p>
    <w:p w:rsidR="009D25B4" w:rsidRDefault="009D25B4" w:rsidP="7560A895">
      <w:pPr>
        <w:ind w:right="107"/>
        <w:jc w:val="both"/>
        <w:rPr>
          <w:b/>
          <w:sz w:val="24"/>
          <w:szCs w:val="24"/>
        </w:rPr>
      </w:pPr>
    </w:p>
    <w:p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b/>
          <w:bCs/>
          <w:color w:val="000000" w:themeColor="text1"/>
          <w:sz w:val="24"/>
          <w:szCs w:val="24"/>
        </w:rPr>
        <w:t>How should the workbook be presented?</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6A581E81" w:rsidRDefault="00A01E3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b/>
          <w:bCs/>
          <w:color w:val="000000" w:themeColor="text1"/>
          <w:sz w:val="24"/>
          <w:szCs w:val="24"/>
        </w:rPr>
        <w:t>How is the workbook assessed?</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Once submitted your workbook will be assessed and marked independently.</w:t>
      </w:r>
    </w:p>
    <w:p w:rsidR="6A581E81" w:rsidRDefault="6A581E81" w:rsidP="6A581E81">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rPr>
          <w:rFonts w:eastAsia="Arial"/>
          <w:color w:val="000000" w:themeColor="text1"/>
          <w:sz w:val="24"/>
          <w:szCs w:val="24"/>
        </w:rPr>
      </w:pPr>
      <w:r>
        <w:br w:type="page"/>
      </w: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rsidR="7560A895" w:rsidRDefault="7560A895" w:rsidP="7560A895">
      <w:pPr>
        <w:jc w:val="both"/>
        <w:rPr>
          <w:rFonts w:eastAsia="Arial"/>
          <w:color w:val="000000" w:themeColor="text1"/>
          <w:sz w:val="24"/>
          <w:szCs w:val="24"/>
        </w:rPr>
      </w:pP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rsidR="7560A895" w:rsidRDefault="7560A895" w:rsidP="7560A895">
      <w:pPr>
        <w:ind w:left="360"/>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7560A895" w:rsidRDefault="7560A895" w:rsidP="7560A895">
      <w:pPr>
        <w:ind w:left="360"/>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rPr>
          <w:rFonts w:eastAsia="Arial"/>
          <w:color w:val="000000" w:themeColor="text1"/>
          <w:sz w:val="24"/>
          <w:szCs w:val="24"/>
        </w:rPr>
      </w:pPr>
      <w:r>
        <w:br w:type="page"/>
      </w: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rsidR="7560A895" w:rsidRDefault="7560A895" w:rsidP="7560A895">
      <w:pPr>
        <w:jc w:val="both"/>
        <w:rPr>
          <w:rFonts w:eastAsia="Arial"/>
          <w:color w:val="000000" w:themeColor="text1"/>
          <w:sz w:val="24"/>
          <w:szCs w:val="24"/>
        </w:rPr>
      </w:pPr>
    </w:p>
    <w:p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rsidR="7560A895" w:rsidRDefault="7560A895" w:rsidP="7560A895">
      <w:pPr>
        <w:ind w:right="107"/>
        <w:jc w:val="both"/>
        <w:rPr>
          <w:b/>
          <w:bCs/>
          <w:sz w:val="24"/>
          <w:szCs w:val="24"/>
        </w:rPr>
      </w:pPr>
    </w:p>
    <w:p w:rsidR="00AD6ECE" w:rsidRPr="00270EEB" w:rsidRDefault="00AD6ECE" w:rsidP="00E6298B">
      <w:pPr>
        <w:ind w:right="107"/>
        <w:jc w:val="both"/>
        <w:rPr>
          <w:b/>
          <w:sz w:val="24"/>
          <w:szCs w:val="24"/>
        </w:rPr>
      </w:pPr>
      <w:r w:rsidRPr="00270EEB">
        <w:rPr>
          <w:b/>
          <w:sz w:val="24"/>
          <w:szCs w:val="24"/>
        </w:rPr>
        <w:t xml:space="preserve">Contents </w:t>
      </w:r>
    </w:p>
    <w:p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rsidTr="2E5ED9CE">
        <w:tc>
          <w:tcPr>
            <w:tcW w:w="1497" w:type="dxa"/>
            <w:shd w:val="clear" w:color="auto" w:fill="auto"/>
          </w:tcPr>
          <w:p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rsidR="00AD6ECE" w:rsidRPr="00270EEB" w:rsidRDefault="00AD6ECE" w:rsidP="00E6298B">
            <w:pPr>
              <w:ind w:right="107"/>
              <w:jc w:val="both"/>
              <w:rPr>
                <w:b/>
                <w:color w:val="auto"/>
                <w:sz w:val="24"/>
                <w:szCs w:val="24"/>
              </w:rPr>
            </w:pPr>
            <w:r>
              <w:rPr>
                <w:b/>
                <w:color w:val="auto"/>
                <w:sz w:val="24"/>
                <w:szCs w:val="24"/>
              </w:rPr>
              <w:t xml:space="preserve">Area of Professional Practice </w:t>
            </w:r>
          </w:p>
          <w:p w:rsidR="00AD6ECE" w:rsidRPr="00270EEB" w:rsidRDefault="00AD6ECE" w:rsidP="00E6298B">
            <w:pPr>
              <w:ind w:right="107"/>
              <w:jc w:val="both"/>
              <w:rPr>
                <w:b/>
                <w:color w:val="auto"/>
                <w:sz w:val="24"/>
                <w:szCs w:val="24"/>
              </w:rPr>
            </w:pPr>
          </w:p>
        </w:tc>
        <w:tc>
          <w:tcPr>
            <w:tcW w:w="1602" w:type="dxa"/>
          </w:tcPr>
          <w:p w:rsidR="00AD6ECE" w:rsidRDefault="00AD6ECE" w:rsidP="00E6298B">
            <w:pPr>
              <w:ind w:right="107"/>
              <w:jc w:val="both"/>
              <w:rPr>
                <w:b/>
                <w:color w:val="auto"/>
                <w:sz w:val="24"/>
                <w:szCs w:val="24"/>
              </w:rPr>
            </w:pPr>
            <w:r>
              <w:rPr>
                <w:b/>
                <w:color w:val="auto"/>
                <w:sz w:val="24"/>
                <w:szCs w:val="24"/>
              </w:rPr>
              <w:t>Word count</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rsidR="00AD6ECE" w:rsidRDefault="00AD6ECE" w:rsidP="00E6298B">
            <w:pPr>
              <w:ind w:right="107"/>
              <w:jc w:val="both"/>
              <w:rPr>
                <w:b/>
                <w:sz w:val="24"/>
                <w:szCs w:val="24"/>
              </w:rPr>
            </w:pPr>
            <w:r>
              <w:rPr>
                <w:b/>
                <w:sz w:val="24"/>
                <w:szCs w:val="24"/>
              </w:rPr>
              <w:t>Wellbeing and Resilience</w:t>
            </w:r>
          </w:p>
          <w:p w:rsidR="00AD6ECE" w:rsidRPr="00F6513F" w:rsidRDefault="00AD6ECE" w:rsidP="00E6298B">
            <w:pPr>
              <w:ind w:right="107"/>
              <w:jc w:val="both"/>
              <w:rPr>
                <w:b/>
                <w:sz w:val="24"/>
                <w:szCs w:val="24"/>
              </w:rPr>
            </w:pPr>
          </w:p>
        </w:tc>
        <w:tc>
          <w:tcPr>
            <w:tcW w:w="1602" w:type="dxa"/>
          </w:tcPr>
          <w:p w:rsidR="00AD6ECE" w:rsidRPr="003C4D7B" w:rsidRDefault="28A9B94D" w:rsidP="28A9B94D">
            <w:pPr>
              <w:rPr>
                <w:b/>
                <w:bCs/>
              </w:rPr>
            </w:pPr>
            <w:r w:rsidRPr="28A9B94D">
              <w:rPr>
                <w:b/>
                <w:bCs/>
              </w:rPr>
              <w:t>1500</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AD6ECE" w:rsidRPr="00F6513F" w:rsidRDefault="00AD6ECE" w:rsidP="00E6298B">
            <w:pPr>
              <w:ind w:right="107"/>
              <w:jc w:val="both"/>
              <w:rPr>
                <w:b/>
                <w:color w:val="auto"/>
                <w:sz w:val="24"/>
                <w:szCs w:val="24"/>
              </w:rPr>
            </w:pPr>
          </w:p>
        </w:tc>
        <w:tc>
          <w:tcPr>
            <w:tcW w:w="1602" w:type="dxa"/>
          </w:tcPr>
          <w:p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rsidR="00AD6ECE" w:rsidRDefault="00AD6ECE" w:rsidP="00E6298B">
            <w:pPr>
              <w:ind w:right="107"/>
              <w:jc w:val="both"/>
              <w:rPr>
                <w:b/>
                <w:sz w:val="24"/>
                <w:szCs w:val="24"/>
              </w:rPr>
            </w:pPr>
            <w:r>
              <w:rPr>
                <w:b/>
                <w:sz w:val="24"/>
                <w:szCs w:val="24"/>
              </w:rPr>
              <w:t xml:space="preserve">Criminal Justice, Valuing difference and inclusion </w:t>
            </w:r>
          </w:p>
          <w:p w:rsidR="00AD6ECE" w:rsidRPr="007B5CB2" w:rsidRDefault="00AD6ECE" w:rsidP="00E6298B">
            <w:pPr>
              <w:ind w:right="107"/>
              <w:jc w:val="both"/>
              <w:rPr>
                <w:b/>
                <w:sz w:val="24"/>
                <w:szCs w:val="24"/>
              </w:rPr>
            </w:pPr>
          </w:p>
        </w:tc>
        <w:tc>
          <w:tcPr>
            <w:tcW w:w="1602" w:type="dxa"/>
          </w:tcPr>
          <w:p w:rsidR="00AD6ECE" w:rsidRPr="003C4D7B" w:rsidRDefault="28A9B94D" w:rsidP="28A9B94D">
            <w:pPr>
              <w:ind w:right="107"/>
              <w:jc w:val="both"/>
              <w:rPr>
                <w:b/>
                <w:bCs/>
                <w:sz w:val="24"/>
                <w:szCs w:val="24"/>
              </w:rPr>
            </w:pPr>
            <w:r w:rsidRPr="28A9B94D">
              <w:rPr>
                <w:b/>
                <w:bCs/>
                <w:sz w:val="24"/>
                <w:szCs w:val="24"/>
              </w:rPr>
              <w:t>2500</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rsidR="00AD6ECE" w:rsidRPr="007B5CB2" w:rsidRDefault="00AD6ECE" w:rsidP="00E6298B">
            <w:pPr>
              <w:ind w:right="107"/>
              <w:jc w:val="both"/>
              <w:rPr>
                <w:b/>
                <w:sz w:val="24"/>
                <w:szCs w:val="24"/>
              </w:rPr>
            </w:pPr>
          </w:p>
        </w:tc>
        <w:tc>
          <w:tcPr>
            <w:tcW w:w="1602" w:type="dxa"/>
          </w:tcPr>
          <w:p w:rsidR="00AD6ECE" w:rsidRPr="003C4D7B" w:rsidRDefault="28A9B94D" w:rsidP="28A9B94D">
            <w:pPr>
              <w:ind w:right="107"/>
              <w:jc w:val="both"/>
              <w:rPr>
                <w:b/>
                <w:bCs/>
                <w:sz w:val="24"/>
                <w:szCs w:val="24"/>
              </w:rPr>
            </w:pPr>
            <w:r w:rsidRPr="28A9B94D">
              <w:rPr>
                <w:b/>
                <w:bCs/>
                <w:sz w:val="24"/>
                <w:szCs w:val="24"/>
              </w:rPr>
              <w:t>2500</w:t>
            </w:r>
          </w:p>
        </w:tc>
      </w:tr>
      <w:tr w:rsidR="00AD6ECE" w:rsidRPr="00270EEB" w:rsidTr="2E5ED9CE">
        <w:trPr>
          <w:trHeight w:val="81"/>
        </w:trPr>
        <w:tc>
          <w:tcPr>
            <w:tcW w:w="1497" w:type="dxa"/>
            <w:shd w:val="clear" w:color="auto" w:fill="auto"/>
          </w:tcPr>
          <w:p w:rsidR="00AD6ECE" w:rsidRPr="007B5CB2" w:rsidRDefault="00AD6ECE" w:rsidP="00E6298B">
            <w:pPr>
              <w:ind w:right="107"/>
              <w:jc w:val="both"/>
              <w:rPr>
                <w:color w:val="auto"/>
                <w:sz w:val="24"/>
                <w:szCs w:val="24"/>
              </w:rPr>
            </w:pPr>
          </w:p>
        </w:tc>
        <w:tc>
          <w:tcPr>
            <w:tcW w:w="6015" w:type="dxa"/>
            <w:shd w:val="clear" w:color="auto" w:fill="auto"/>
          </w:tcPr>
          <w:p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rsidR="00AD6ECE" w:rsidRPr="00F40CB5" w:rsidRDefault="00AD6ECE" w:rsidP="00E6298B">
            <w:pPr>
              <w:spacing w:line="360" w:lineRule="auto"/>
              <w:ind w:right="107"/>
              <w:jc w:val="both"/>
              <w:rPr>
                <w:b/>
                <w:color w:val="auto"/>
                <w:sz w:val="24"/>
                <w:szCs w:val="24"/>
              </w:rPr>
            </w:pPr>
          </w:p>
        </w:tc>
      </w:tr>
      <w:tr w:rsidR="28A9B94D" w:rsidTr="2E5ED9CE">
        <w:trPr>
          <w:trHeight w:val="81"/>
        </w:trPr>
        <w:tc>
          <w:tcPr>
            <w:tcW w:w="1497" w:type="dxa"/>
            <w:shd w:val="clear" w:color="auto" w:fill="auto"/>
          </w:tcPr>
          <w:p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rsidTr="2E5ED9CE">
        <w:trPr>
          <w:trHeight w:val="81"/>
        </w:trPr>
        <w:tc>
          <w:tcPr>
            <w:tcW w:w="1497" w:type="dxa"/>
            <w:shd w:val="clear" w:color="auto" w:fill="auto"/>
          </w:tcPr>
          <w:p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rsidTr="2E5ED9CE">
        <w:trPr>
          <w:trHeight w:val="81"/>
        </w:trPr>
        <w:tc>
          <w:tcPr>
            <w:tcW w:w="1497" w:type="dxa"/>
            <w:shd w:val="clear" w:color="auto" w:fill="auto"/>
          </w:tcPr>
          <w:p w:rsidR="28A9B94D" w:rsidRDefault="28A9B94D" w:rsidP="28A9B94D">
            <w:pPr>
              <w:jc w:val="both"/>
              <w:rPr>
                <w:color w:val="auto"/>
                <w:sz w:val="24"/>
                <w:szCs w:val="24"/>
              </w:rPr>
            </w:pPr>
          </w:p>
        </w:tc>
        <w:tc>
          <w:tcPr>
            <w:tcW w:w="6015" w:type="dxa"/>
            <w:shd w:val="clear" w:color="auto" w:fill="auto"/>
          </w:tcPr>
          <w:p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rsidR="28A9B94D" w:rsidRDefault="28A9B94D" w:rsidP="28A9B94D">
            <w:pPr>
              <w:spacing w:line="360" w:lineRule="auto"/>
              <w:jc w:val="both"/>
              <w:rPr>
                <w:b/>
                <w:bCs/>
                <w:color w:val="auto"/>
                <w:sz w:val="24"/>
                <w:szCs w:val="24"/>
              </w:rPr>
            </w:pPr>
          </w:p>
        </w:tc>
      </w:tr>
    </w:tbl>
    <w:p w:rsidR="00AD6ECE" w:rsidRDefault="00AD6ECE" w:rsidP="00E6298B">
      <w:pPr>
        <w:ind w:right="107"/>
        <w:jc w:val="center"/>
        <w:rPr>
          <w:b/>
          <w:sz w:val="24"/>
          <w:szCs w:val="24"/>
        </w:rPr>
      </w:pPr>
    </w:p>
    <w:p w:rsidR="00AD6ECE" w:rsidRDefault="00AD6ECE" w:rsidP="00E6298B">
      <w:pPr>
        <w:ind w:right="107"/>
        <w:jc w:val="center"/>
        <w:rPr>
          <w:b/>
          <w:sz w:val="24"/>
          <w:szCs w:val="24"/>
        </w:rPr>
      </w:pPr>
    </w:p>
    <w:p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rsidR="000A469A" w:rsidRPr="00270EEB" w:rsidRDefault="000A469A" w:rsidP="00E6298B">
      <w:pPr>
        <w:ind w:right="107"/>
        <w:jc w:val="both"/>
        <w:rPr>
          <w:b/>
          <w:sz w:val="24"/>
          <w:szCs w:val="24"/>
        </w:rPr>
      </w:pPr>
    </w:p>
    <w:p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rsidR="004046F0" w:rsidRPr="00270EEB" w:rsidRDefault="004046F0" w:rsidP="00E6298B">
      <w:pPr>
        <w:ind w:right="107"/>
        <w:jc w:val="both"/>
        <w:rPr>
          <w:b/>
          <w:sz w:val="24"/>
          <w:szCs w:val="24"/>
        </w:rPr>
      </w:pPr>
    </w:p>
    <w:p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rsidTr="28A9B94D">
        <w:tc>
          <w:tcPr>
            <w:tcW w:w="10278" w:type="dxa"/>
            <w:shd w:val="clear" w:color="auto" w:fill="auto"/>
          </w:tcPr>
          <w:p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rsidR="00CB143A" w:rsidRPr="00003990" w:rsidRDefault="00CB143A" w:rsidP="00E6298B">
            <w:pPr>
              <w:ind w:right="107"/>
              <w:jc w:val="both"/>
              <w:rPr>
                <w:b/>
                <w:sz w:val="24"/>
                <w:szCs w:val="24"/>
              </w:rPr>
            </w:pPr>
          </w:p>
          <w:p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rsidR="00025650" w:rsidRDefault="00025650" w:rsidP="00E6298B">
      <w:pPr>
        <w:ind w:right="107"/>
        <w:jc w:val="both"/>
        <w:rPr>
          <w:b/>
          <w:sz w:val="24"/>
          <w:szCs w:val="24"/>
        </w:rPr>
      </w:pPr>
    </w:p>
    <w:p w:rsidR="00AA666E" w:rsidRPr="00025650" w:rsidRDefault="00025650" w:rsidP="00E6298B">
      <w:pPr>
        <w:ind w:right="107"/>
        <w:jc w:val="both"/>
        <w:rPr>
          <w:b/>
          <w:sz w:val="24"/>
          <w:szCs w:val="24"/>
        </w:rPr>
      </w:pPr>
      <w:r w:rsidRPr="00025650">
        <w:rPr>
          <w:b/>
          <w:sz w:val="24"/>
          <w:szCs w:val="24"/>
        </w:rPr>
        <w:t>ANSWER:</w:t>
      </w:r>
    </w:p>
    <w:p w:rsidR="00FF7784" w:rsidRPr="00270EEB" w:rsidRDefault="00FF7784" w:rsidP="00E6298B">
      <w:pPr>
        <w:ind w:right="107"/>
        <w:jc w:val="both"/>
        <w:rPr>
          <w:sz w:val="24"/>
          <w:szCs w:val="24"/>
        </w:rPr>
      </w:pPr>
    </w:p>
    <w:p w:rsidR="00C53A55" w:rsidRPr="00900D1B" w:rsidRDefault="00C53A55" w:rsidP="00C53A55">
      <w:r w:rsidRPr="00900D1B">
        <w:t xml:space="preserve">This question relates to coping strategies employed during the initial phase of police training in order to build upon and manage resilience and stress levels.  I therefore intend to cover the strategies I use in general life to manage stress and build resilience, comparing those used during the initial stage of police training, discussing </w:t>
      </w:r>
      <w:r>
        <w:t>the similarities, methodologies and</w:t>
      </w:r>
      <w:r w:rsidRPr="00900D1B">
        <w:t xml:space="preserve"> benefits </w:t>
      </w:r>
      <w:r>
        <w:t>of each.</w:t>
      </w:r>
    </w:p>
    <w:p w:rsidR="00C53A55" w:rsidRPr="00900D1B" w:rsidRDefault="00C53A55" w:rsidP="00C53A55"/>
    <w:p w:rsidR="00C53A55" w:rsidRPr="00900D1B" w:rsidRDefault="00C53A55" w:rsidP="00C53A55">
      <w:r w:rsidRPr="00900D1B">
        <w:t>Prior to going into detail regarding the individual strategies and my personal circumstances, I feel it is beneficial at this juncture to gain an understanding as to what constitutes both stress and resilience and the impact both can have on a person’s body and mind.</w:t>
      </w:r>
    </w:p>
    <w:p w:rsidR="00C53A55" w:rsidRPr="00900D1B" w:rsidRDefault="00C53A55" w:rsidP="00C53A55"/>
    <w:p w:rsidR="00C53A55" w:rsidRPr="00900D1B" w:rsidRDefault="00C53A55" w:rsidP="00C53A55">
      <w:r w:rsidRPr="00900D1B">
        <w:t xml:space="preserve">Stress is a natural reaction, as natural as breathing or sweating, as such it is the bodies way of coping with situations or factors outside of its control.  </w:t>
      </w:r>
    </w:p>
    <w:p w:rsidR="00C53A55" w:rsidRPr="00900D1B" w:rsidRDefault="00C53A55" w:rsidP="00C53A55"/>
    <w:p w:rsidR="00C53A55" w:rsidRPr="00900D1B" w:rsidRDefault="00C53A55" w:rsidP="00C53A55">
      <w:pPr>
        <w:ind w:left="720"/>
        <w:rPr>
          <w:rFonts w:cstheme="minorHAnsi"/>
          <w:u w:val="single"/>
        </w:rPr>
      </w:pPr>
      <w:r w:rsidRPr="00900D1B">
        <w:rPr>
          <w:rFonts w:cstheme="minorHAnsi"/>
        </w:rPr>
        <w:t>Stress is a response to demands placed upon the body independent of the stressors' nature. Various stressor types that are associated with potential threat can induce stress (</w:t>
      </w:r>
      <w:bookmarkStart w:id="0" w:name="bbb0790"/>
      <w:r w:rsidRPr="00900D1B">
        <w:rPr>
          <w:rFonts w:cstheme="minorHAnsi"/>
        </w:rPr>
        <w:fldChar w:fldCharType="begin"/>
      </w:r>
      <w:r w:rsidRPr="00900D1B">
        <w:rPr>
          <w:rFonts w:cstheme="minorHAnsi"/>
        </w:rPr>
        <w:instrText xml:space="preserve"> HYPERLINK "https://www-sciencedirect-com.ezproxy.uwtsd.ac.uk/science/article/pii/S1053811915005649" \l "bb0790" </w:instrText>
      </w:r>
      <w:r w:rsidRPr="00900D1B">
        <w:rPr>
          <w:rFonts w:cstheme="minorHAnsi"/>
        </w:rPr>
        <w:fldChar w:fldCharType="separate"/>
      </w:r>
      <w:r w:rsidRPr="00900D1B">
        <w:rPr>
          <w:rStyle w:val="Hyperlink"/>
          <w:rFonts w:cstheme="minorHAnsi"/>
          <w:color w:val="auto"/>
        </w:rPr>
        <w:t>Selye, 1998</w:t>
      </w:r>
      <w:r w:rsidRPr="00900D1B">
        <w:rPr>
          <w:rFonts w:cstheme="minorHAnsi"/>
        </w:rPr>
        <w:fldChar w:fldCharType="end"/>
      </w:r>
      <w:bookmarkEnd w:id="0"/>
      <w:r w:rsidRPr="00900D1B">
        <w:rPr>
          <w:rFonts w:cstheme="minorHAnsi"/>
        </w:rPr>
        <w:t>; reprinted from 1936)….Thus, the stress response is linked to a state of arousal and hypermobilization of the body's normal activation and emotion system (</w:t>
      </w:r>
      <w:bookmarkStart w:id="1" w:name="bbb0380"/>
      <w:r w:rsidRPr="00900D1B">
        <w:rPr>
          <w:rFonts w:cstheme="minorHAnsi"/>
        </w:rPr>
        <w:fldChar w:fldCharType="begin"/>
      </w:r>
      <w:r w:rsidRPr="00900D1B">
        <w:rPr>
          <w:rFonts w:cstheme="minorHAnsi"/>
        </w:rPr>
        <w:instrText xml:space="preserve"> HYPERLINK "https://www-sciencedirect-com.ezproxy.uwtsd.ac.uk/science/article/pii/S1053811915005649" \l "bb0380" </w:instrText>
      </w:r>
      <w:r w:rsidRPr="00900D1B">
        <w:rPr>
          <w:rFonts w:cstheme="minorHAnsi"/>
        </w:rPr>
        <w:fldChar w:fldCharType="separate"/>
      </w:r>
      <w:r w:rsidRPr="00900D1B">
        <w:rPr>
          <w:rStyle w:val="Hyperlink"/>
          <w:rFonts w:cstheme="minorHAnsi"/>
          <w:color w:val="auto"/>
        </w:rPr>
        <w:t>Hennessy and Levine, 1979</w:t>
      </w:r>
      <w:r w:rsidRPr="00900D1B">
        <w:rPr>
          <w:rFonts w:cstheme="minorHAnsi"/>
        </w:rPr>
        <w:fldChar w:fldCharType="end"/>
      </w:r>
      <w:bookmarkEnd w:id="1"/>
      <w:r w:rsidRPr="00900D1B">
        <w:rPr>
          <w:rFonts w:cstheme="minorHAnsi"/>
        </w:rPr>
        <w:t>, </w:t>
      </w:r>
      <w:hyperlink r:id="rId14" w:anchor="bb0465" w:history="1">
        <w:r w:rsidRPr="00900D1B">
          <w:rPr>
            <w:rStyle w:val="Hyperlink"/>
            <w:rFonts w:cstheme="minorHAnsi"/>
            <w:color w:val="auto"/>
          </w:rPr>
          <w:t>Koob, 2009</w:t>
        </w:r>
      </w:hyperlink>
      <w:r w:rsidRPr="00900D1B">
        <w:rPr>
          <w:rFonts w:cstheme="minorHAnsi"/>
        </w:rPr>
        <w:t xml:space="preserve">). </w:t>
      </w:r>
      <w:r w:rsidRPr="00900D1B">
        <w:rPr>
          <w:rFonts w:cstheme="minorHAnsi"/>
        </w:rPr>
        <w:tab/>
      </w:r>
      <w:r w:rsidR="00F06F63">
        <w:rPr>
          <w:rFonts w:cstheme="minorHAnsi"/>
        </w:rPr>
        <w:tab/>
      </w:r>
      <w:r w:rsidR="00F06F63">
        <w:rPr>
          <w:rFonts w:cstheme="minorHAnsi"/>
        </w:rPr>
        <w:tab/>
      </w:r>
      <w:r w:rsidR="00F06F63">
        <w:rPr>
          <w:rFonts w:cstheme="minorHAnsi"/>
        </w:rPr>
        <w:tab/>
      </w:r>
      <w:r w:rsidR="00F06F63">
        <w:rPr>
          <w:rFonts w:cstheme="minorHAnsi"/>
        </w:rPr>
        <w:tab/>
      </w:r>
      <w:r w:rsidR="00F06F63">
        <w:rPr>
          <w:rFonts w:cstheme="minorHAnsi"/>
        </w:rPr>
        <w:tab/>
      </w:r>
      <w:r w:rsidR="00F06F63">
        <w:rPr>
          <w:rFonts w:cstheme="minorHAnsi"/>
        </w:rPr>
        <w:tab/>
      </w:r>
      <w:r w:rsidR="00F06F63">
        <w:rPr>
          <w:rFonts w:cstheme="minorHAnsi"/>
        </w:rPr>
        <w:tab/>
      </w:r>
      <w:r w:rsidR="00F06F63">
        <w:rPr>
          <w:rFonts w:cstheme="minorHAnsi"/>
        </w:rPr>
        <w:tab/>
      </w:r>
      <w:r w:rsidR="00F06F63">
        <w:rPr>
          <w:rFonts w:cstheme="minorHAnsi"/>
        </w:rPr>
        <w:tab/>
      </w:r>
      <w:r w:rsidRPr="00900D1B">
        <w:rPr>
          <w:rFonts w:cstheme="minorHAnsi"/>
        </w:rPr>
        <w:t>(</w:t>
      </w:r>
      <w:r w:rsidR="004B3CFC">
        <w:rPr>
          <w:rFonts w:cstheme="minorHAnsi"/>
        </w:rPr>
        <w:t>Kogler et al</w:t>
      </w:r>
      <w:r w:rsidRPr="00900D1B">
        <w:rPr>
          <w:rFonts w:cstheme="minorHAnsi"/>
        </w:rPr>
        <w:t xml:space="preserve"> 2015, p.235-251).</w:t>
      </w:r>
    </w:p>
    <w:p w:rsidR="00C53A55" w:rsidRPr="00900D1B" w:rsidRDefault="00C53A55" w:rsidP="00C53A55">
      <w:pPr>
        <w:rPr>
          <w:rFonts w:cstheme="minorHAnsi"/>
          <w:u w:val="single"/>
        </w:rPr>
      </w:pPr>
    </w:p>
    <w:p w:rsidR="00C53A55" w:rsidRPr="00900D1B" w:rsidRDefault="00C53A55" w:rsidP="00C53A55">
      <w:pPr>
        <w:rPr>
          <w:rFonts w:cstheme="minorHAnsi"/>
        </w:rPr>
      </w:pPr>
      <w:r>
        <w:rPr>
          <w:rFonts w:cstheme="minorHAnsi"/>
        </w:rPr>
        <w:t>Resil</w:t>
      </w:r>
      <w:r w:rsidRPr="00900D1B">
        <w:rPr>
          <w:rFonts w:cstheme="minorHAnsi"/>
        </w:rPr>
        <w:t>ience on the other hand can be best described as being “the ordinary human adaptive response to tragedy, not extraordinary.  It is lack of resilience which is abnormal.” (Masten AS 2001 p.227-238).</w:t>
      </w:r>
    </w:p>
    <w:p w:rsidR="00C53A55" w:rsidRPr="00900D1B" w:rsidRDefault="00C53A55" w:rsidP="00C53A55">
      <w:pPr>
        <w:rPr>
          <w:rFonts w:cstheme="minorHAnsi"/>
        </w:rPr>
      </w:pPr>
    </w:p>
    <w:p w:rsidR="00C53A55" w:rsidRPr="00900D1B" w:rsidRDefault="00C53A55" w:rsidP="00C53A55">
      <w:r w:rsidRPr="00900D1B">
        <w:rPr>
          <w:rFonts w:cstheme="minorHAnsi"/>
        </w:rPr>
        <w:t xml:space="preserve">Having gained a brief understanding of both stress and resilience, we can now turn to my personal circumstances, which undeniably changed significantly in the 18 month process from initial application through to completion of initial police training in that, </w:t>
      </w:r>
      <w:r w:rsidRPr="00900D1B">
        <w:t>not only had society found itself in the midst of a global pandemic unprecedented in modern times, but also, my wife fell pregnant with our first who child due two months into initial training.  This undoubtedly placed significant stress on our relationship from worrying about household finances, as, not only were we going to feel the impact of my taking a reduction in salary to start training, but also an unexpected reduction in my wife’s salary for the same period, though to the more mundane worry about having to cope with learning new skills whilst dealing with a profound lack of sleep.</w:t>
      </w:r>
    </w:p>
    <w:p w:rsidR="00C53A55" w:rsidRPr="00900D1B" w:rsidRDefault="00C53A55" w:rsidP="00C53A55"/>
    <w:p w:rsidR="00C53A55" w:rsidRPr="00900D1B" w:rsidRDefault="00C53A55" w:rsidP="00C53A55">
      <w:r w:rsidRPr="00900D1B">
        <w:t>I attended Swansea University between 2003 and 2007 where I read Law at undergraduate level and also completed a Post-graduate Diploma in Legal Practice which were subjects that required significant independent learning which helped to build strong time management and prioritisation skills but also improved my resilience levels.  Since leaving University I have worked in a variety of highly regulated, customer facing sectors such as banking and insurance, with my most recent employment being as a team leader in a busy call centre environment for the 7 years immediately prior to joining South Wales Police.  Whilst this life experience I am sure will stand me in good stead for dealing with the day to day requirements of my new career, it has meant that I am longer out of education that most of my cohort and this brought its own worries, such as whether I would be able to keep up with the work load and whether the skills I honed at university would still be of use.</w:t>
      </w:r>
    </w:p>
    <w:p w:rsidR="00C53A55" w:rsidRPr="00900D1B" w:rsidRDefault="00C53A55" w:rsidP="00C53A55"/>
    <w:p w:rsidR="00C53A55" w:rsidRPr="00900D1B" w:rsidRDefault="00C53A55" w:rsidP="00C53A55">
      <w:pPr>
        <w:rPr>
          <w:rFonts w:cstheme="minorHAnsi"/>
          <w:u w:val="single"/>
        </w:rPr>
      </w:pPr>
      <w:r w:rsidRPr="00900D1B">
        <w:rPr>
          <w:rFonts w:cstheme="minorHAnsi"/>
        </w:rPr>
        <w:t>As we are living in unprecedented times, (Götmann and Bechtoldt 2021 p.110695), confirmed what was widely suspected and reported in the media, stating that “Mental well-being significantly declined during the early stages of the COVID-19 pandemic in…the United Kingdom (O’Connor et al., 2020). These effects were found in work and family contexts (Mohring ¨ et al., 2020</w:t>
      </w:r>
      <w:r w:rsidRPr="00900D1B">
        <w:rPr>
          <w:rFonts w:cstheme="minorHAnsi"/>
          <w:u w:val="single"/>
        </w:rPr>
        <w:t>)</w:t>
      </w:r>
      <w:r w:rsidRPr="00900D1B">
        <w:rPr>
          <w:rFonts w:cstheme="minorHAnsi"/>
        </w:rPr>
        <w:t xml:space="preserve">.”          </w:t>
      </w:r>
    </w:p>
    <w:p w:rsidR="00C53A55" w:rsidRPr="00900D1B" w:rsidRDefault="00C53A55" w:rsidP="00C53A55"/>
    <w:p w:rsidR="00C53A55" w:rsidRPr="00900D1B" w:rsidRDefault="00C53A55" w:rsidP="00C53A55">
      <w:pPr>
        <w:rPr>
          <w:rFonts w:cstheme="minorHAnsi"/>
        </w:rPr>
      </w:pPr>
      <w:r w:rsidRPr="00900D1B">
        <w:t xml:space="preserve">I feel that the further life experience I have gained has allowed me to understand and develop several coping strategies.  </w:t>
      </w:r>
      <w:r w:rsidRPr="00900D1B">
        <w:rPr>
          <w:rFonts w:cstheme="minorHAnsi"/>
        </w:rPr>
        <w:t>(Götmann and Bechtoldt 2021 p.110695) define coping “thoughts and behaviours that people use to manage the internal and external demands of situations that are appraised as stressful” (</w:t>
      </w:r>
      <w:bookmarkStart w:id="2" w:name="bbb0095"/>
      <w:r w:rsidRPr="00900D1B">
        <w:rPr>
          <w:rFonts w:cstheme="minorHAnsi"/>
        </w:rPr>
        <w:fldChar w:fldCharType="begin"/>
      </w:r>
      <w:r w:rsidRPr="00900D1B">
        <w:rPr>
          <w:rFonts w:cstheme="minorHAnsi"/>
        </w:rPr>
        <w:instrText xml:space="preserve"> HYPERLINK "https://www.sciencedirect.com/science/article/pii/S0191886921000702?via%3Dihub" \l "bb0095" </w:instrText>
      </w:r>
      <w:r w:rsidRPr="00900D1B">
        <w:rPr>
          <w:rFonts w:cstheme="minorHAnsi"/>
        </w:rPr>
        <w:fldChar w:fldCharType="separate"/>
      </w:r>
      <w:r w:rsidRPr="00900D1B">
        <w:rPr>
          <w:rFonts w:cstheme="minorHAnsi"/>
          <w:u w:val="single"/>
        </w:rPr>
        <w:t>Folkman &amp; Moskowitz, 2004, p. 746</w:t>
      </w:r>
      <w:r w:rsidRPr="00900D1B">
        <w:rPr>
          <w:rFonts w:cstheme="minorHAnsi"/>
        </w:rPr>
        <w:fldChar w:fldCharType="end"/>
      </w:r>
      <w:bookmarkEnd w:id="2"/>
      <w:r w:rsidRPr="00900D1B">
        <w:rPr>
          <w:rFonts w:cstheme="minorHAnsi"/>
        </w:rPr>
        <w:t>). </w:t>
      </w:r>
    </w:p>
    <w:p w:rsidR="00C53A55" w:rsidRPr="00900D1B" w:rsidRDefault="00C53A55" w:rsidP="00C53A55">
      <w:pPr>
        <w:rPr>
          <w:rFonts w:cstheme="minorHAnsi"/>
        </w:rPr>
      </w:pPr>
    </w:p>
    <w:p w:rsidR="00C53A55" w:rsidRPr="00900D1B" w:rsidRDefault="00C53A55" w:rsidP="00C53A55">
      <w:r w:rsidRPr="00900D1B">
        <w:t xml:space="preserve">The main coping strategy I utilise is to focus on controlling the </w:t>
      </w:r>
      <w:r w:rsidR="00B30D7B">
        <w:t>“</w:t>
      </w:r>
      <w:r w:rsidRPr="00900D1B">
        <w:t>controllables</w:t>
      </w:r>
      <w:r w:rsidR="00B30D7B">
        <w:t>”</w:t>
      </w:r>
      <w:r w:rsidRPr="00900D1B">
        <w:t>, or to put it another way, to concentrate my efforts on those things that I can control and not to spend time worrying about those I can’t, thereby affording me a more focussed mind</w:t>
      </w:r>
      <w:r>
        <w:t>-</w:t>
      </w:r>
      <w:r w:rsidRPr="00900D1B">
        <w:t>set and a reduction in stress.  A practical example from my initial training would be in the weeks running up to the final exam, my colleagues were stressing about the subjects left to cover, worrying about the amount of information that would need to be absorbed in a short period of time.  I refused to worry about this, as there was nothing I could do to change the situation and worrying about it would only cause more stress for both myself and the team and therefore served no valid purpose.</w:t>
      </w:r>
    </w:p>
    <w:p w:rsidR="00C53A55" w:rsidRPr="00900D1B" w:rsidRDefault="00C53A55" w:rsidP="00C53A55"/>
    <w:p w:rsidR="00C53A55" w:rsidRPr="00900D1B" w:rsidRDefault="00C53A55" w:rsidP="00C53A55">
      <w:r w:rsidRPr="00900D1B">
        <w:t xml:space="preserve">The benefit of this particular coping mechanism is that it can be used </w:t>
      </w:r>
      <w:r>
        <w:t>in all aspects of life, from major</w:t>
      </w:r>
      <w:r w:rsidRPr="00900D1B">
        <w:t xml:space="preserve"> life events, such as I experienced earlier this year, to the everyday things, such as not wasting time worrying about the weather on the wee</w:t>
      </w:r>
      <w:r>
        <w:t>kend as nothing I can do can change the weather</w:t>
      </w:r>
      <w:r w:rsidRPr="00900D1B">
        <w:t>.</w:t>
      </w:r>
    </w:p>
    <w:p w:rsidR="00C53A55" w:rsidRPr="00900D1B" w:rsidRDefault="00C53A55" w:rsidP="00C53A55"/>
    <w:p w:rsidR="00C53A55" w:rsidRPr="00900D1B" w:rsidRDefault="00C53A55" w:rsidP="00C53A55">
      <w:r w:rsidRPr="00900D1B">
        <w:t xml:space="preserve">I am passionate about living in the moment and can often be heard lamenting those that spend their time experiencing life through a screen, whether that is updating social media whilst in the gym, after all, if it isn’t on social media then it didn’t happen, or </w:t>
      </w:r>
      <w:r>
        <w:t xml:space="preserve">viewing and </w:t>
      </w:r>
      <w:r w:rsidRPr="00900D1B">
        <w:t>recording events that are happening live in front of them on their screen for posterity.  This has</w:t>
      </w:r>
      <w:r>
        <w:t xml:space="preserve"> more</w:t>
      </w:r>
      <w:r w:rsidRPr="00900D1B">
        <w:t xml:space="preserve"> recently been termed mindfulness. </w:t>
      </w:r>
    </w:p>
    <w:p w:rsidR="00C53A55" w:rsidRPr="00900D1B" w:rsidRDefault="00C53A55" w:rsidP="00C53A55"/>
    <w:p w:rsidR="00C53A55" w:rsidRPr="00900D1B" w:rsidRDefault="00C53A55" w:rsidP="00C53A55">
      <w:pPr>
        <w:ind w:left="720"/>
        <w:rPr>
          <w:rFonts w:cstheme="minorHAnsi"/>
        </w:rPr>
      </w:pPr>
      <w:r w:rsidRPr="00900D1B">
        <w:rPr>
          <w:rFonts w:cstheme="minorHAnsi"/>
        </w:rPr>
        <w:t>Mindfulness is a higher-order construct that encompasses two facets (</w:t>
      </w:r>
      <w:bookmarkStart w:id="3" w:name="bbb0065"/>
      <w:r w:rsidRPr="00900D1B">
        <w:rPr>
          <w:rFonts w:cstheme="minorHAnsi"/>
        </w:rPr>
        <w:fldChar w:fldCharType="begin"/>
      </w:r>
      <w:r w:rsidRPr="00900D1B">
        <w:rPr>
          <w:rFonts w:cstheme="minorHAnsi"/>
        </w:rPr>
        <w:instrText xml:space="preserve"> HYPERLINK "https://www.sciencedirect.com/science/article/pii/S0191886921000702?via%3Dihub" \l "bb0065" </w:instrText>
      </w:r>
      <w:r w:rsidRPr="00900D1B">
        <w:rPr>
          <w:rFonts w:cstheme="minorHAnsi"/>
        </w:rPr>
        <w:fldChar w:fldCharType="separate"/>
      </w:r>
      <w:r w:rsidRPr="00900D1B">
        <w:rPr>
          <w:rStyle w:val="Hyperlink"/>
          <w:rFonts w:cstheme="minorHAnsi"/>
          <w:color w:val="auto"/>
        </w:rPr>
        <w:t>Creswell, 2017</w:t>
      </w:r>
      <w:r w:rsidRPr="00900D1B">
        <w:rPr>
          <w:rFonts w:cstheme="minorHAnsi"/>
        </w:rPr>
        <w:fldChar w:fldCharType="end"/>
      </w:r>
      <w:bookmarkEnd w:id="3"/>
      <w:r w:rsidRPr="00900D1B">
        <w:rPr>
          <w:rFonts w:cstheme="minorHAnsi"/>
        </w:rPr>
        <w:t>): awareness of the present moment (e.g. through bodily sensations) and an orientation towards experience, that is, an attitude characterized by curiosity, openness, and non-judgment.</w:t>
      </w:r>
      <w:r w:rsidRPr="00900D1B">
        <w:rPr>
          <w:rFonts w:cstheme="minorHAnsi"/>
        </w:rPr>
        <w:tab/>
      </w:r>
      <w:r w:rsidRPr="00900D1B">
        <w:rPr>
          <w:rFonts w:cstheme="minorHAnsi"/>
        </w:rPr>
        <w:tab/>
      </w:r>
      <w:r w:rsidRPr="00900D1B">
        <w:rPr>
          <w:rFonts w:cstheme="minorHAnsi"/>
        </w:rPr>
        <w:tab/>
      </w:r>
      <w:r w:rsidRPr="00900D1B">
        <w:rPr>
          <w:rFonts w:cstheme="minorHAnsi"/>
        </w:rPr>
        <w:tab/>
      </w:r>
      <w:r w:rsidR="00B30D7B">
        <w:rPr>
          <w:rFonts w:cstheme="minorHAnsi"/>
        </w:rPr>
        <w:tab/>
      </w:r>
      <w:r w:rsidR="00B30D7B">
        <w:rPr>
          <w:rFonts w:cstheme="minorHAnsi"/>
        </w:rPr>
        <w:tab/>
      </w:r>
      <w:r w:rsidR="00B30D7B">
        <w:rPr>
          <w:rFonts w:cstheme="minorHAnsi"/>
        </w:rPr>
        <w:tab/>
      </w:r>
      <w:r w:rsidR="00B30D7B">
        <w:rPr>
          <w:rFonts w:cstheme="minorHAnsi"/>
        </w:rPr>
        <w:tab/>
      </w:r>
      <w:r w:rsidR="00B30D7B">
        <w:rPr>
          <w:rFonts w:cstheme="minorHAnsi"/>
        </w:rPr>
        <w:tab/>
      </w:r>
      <w:r w:rsidR="00B30D7B">
        <w:rPr>
          <w:rFonts w:cstheme="minorHAnsi"/>
        </w:rPr>
        <w:tab/>
      </w:r>
      <w:r w:rsidR="00B30D7B">
        <w:rPr>
          <w:rFonts w:cstheme="minorHAnsi"/>
        </w:rPr>
        <w:tab/>
      </w:r>
      <w:r w:rsidRPr="00900D1B">
        <w:rPr>
          <w:rFonts w:cstheme="minorHAnsi"/>
        </w:rPr>
        <w:t>(Götmann and Bechtoldt 2021 p.110695)</w:t>
      </w:r>
    </w:p>
    <w:p w:rsidR="00C53A55" w:rsidRPr="00900D1B" w:rsidRDefault="00C53A55" w:rsidP="00C53A55"/>
    <w:p w:rsidR="00C53A55" w:rsidRDefault="00C53A55" w:rsidP="00C53A55">
      <w:pPr>
        <w:rPr>
          <w:rFonts w:cstheme="minorHAnsi"/>
        </w:rPr>
      </w:pPr>
      <w:r w:rsidRPr="00900D1B">
        <w:rPr>
          <w:rFonts w:cstheme="minorHAnsi"/>
        </w:rPr>
        <w:t xml:space="preserve">Whilst I am by no means an expert in the process, I feel that taking the time to experience things as they unfold and not needing the constant support or </w:t>
      </w:r>
      <w:r>
        <w:rPr>
          <w:rFonts w:cstheme="minorHAnsi"/>
        </w:rPr>
        <w:t>reassurance of my peers allows me</w:t>
      </w:r>
      <w:r w:rsidRPr="00900D1B">
        <w:rPr>
          <w:rFonts w:cstheme="minorHAnsi"/>
        </w:rPr>
        <w:t xml:space="preserve"> to really appreciate the little things that happen every day and to be grateful </w:t>
      </w:r>
      <w:r>
        <w:rPr>
          <w:rFonts w:cstheme="minorHAnsi"/>
        </w:rPr>
        <w:t>that my</w:t>
      </w:r>
      <w:r w:rsidRPr="00900D1B">
        <w:rPr>
          <w:rFonts w:cstheme="minorHAnsi"/>
        </w:rPr>
        <w:t xml:space="preserve"> hand in life allows these experiences</w:t>
      </w:r>
      <w:r>
        <w:rPr>
          <w:rFonts w:cstheme="minorHAnsi"/>
        </w:rPr>
        <w:t xml:space="preserve"> to happen</w:t>
      </w:r>
      <w:r w:rsidRPr="00900D1B">
        <w:rPr>
          <w:rFonts w:cstheme="minorHAnsi"/>
        </w:rPr>
        <w:t>.</w:t>
      </w:r>
      <w:r>
        <w:rPr>
          <w:rFonts w:cstheme="minorHAnsi"/>
        </w:rPr>
        <w:t xml:space="preserve">  I take great solace from quiet reflection and am a voracious reader, I am already trying to instil this into my daughter, and one of the most rewarding and highly anticipated times of my day is sitting down with her and reading her a story.  During my initial training, when I was struggling with a deadline or feeling that I don’t fully grasp a subject or even now when I am in the middle of a particularly demanding day, knowing that a few hours hard work and concentration will allow me time to sit and relax with my daughter is a great motivator. </w:t>
      </w:r>
    </w:p>
    <w:p w:rsidR="00C53A55" w:rsidRDefault="00C53A55" w:rsidP="00C53A55">
      <w:pPr>
        <w:rPr>
          <w:rFonts w:cstheme="minorHAnsi"/>
        </w:rPr>
      </w:pPr>
    </w:p>
    <w:p w:rsidR="00C53A55" w:rsidRDefault="00C53A55" w:rsidP="00C53A55">
      <w:pPr>
        <w:rPr>
          <w:rFonts w:cstheme="minorHAnsi"/>
        </w:rPr>
      </w:pPr>
      <w:r>
        <w:rPr>
          <w:rFonts w:cstheme="minorHAnsi"/>
        </w:rPr>
        <w:t>Throughout my previous careers I have been exposed to Change Curve (Kubler-Ross 1960) and I have found it an excellent tool to understand how change impacts both my mind-set and those around me.  Originally developed to explain how a person would progress through stages of grief, it is nevertheless useful on small scale everyday changes, as, undoubtedly people progress through the same feelings and emotions, just on a correspondingly smaller scale.  I have found that I react well to change and progress through the change curve at a rapid rate.  Having an understanding that the feelings I am experiencing are both normal and transient enables me to quickly gather my thoughts and accept that change is inevitable.  When faced with more significant changes, understanding where I am on the change curve is of great comfort as I know just how far my mind-set has to go before I can move on in a positive manner.</w:t>
      </w:r>
    </w:p>
    <w:p w:rsidR="00C53A55" w:rsidRDefault="00C53A55" w:rsidP="00C53A55">
      <w:pPr>
        <w:rPr>
          <w:rFonts w:cstheme="minorHAnsi"/>
        </w:rPr>
      </w:pPr>
    </w:p>
    <w:p w:rsidR="00C53A55" w:rsidRPr="00BF3692" w:rsidRDefault="00C53A55" w:rsidP="00C53A55">
      <w:pPr>
        <w:rPr>
          <w:rFonts w:cstheme="minorHAnsi"/>
        </w:rPr>
      </w:pPr>
      <w:r>
        <w:rPr>
          <w:rFonts w:cstheme="minorHAnsi"/>
        </w:rPr>
        <w:t xml:space="preserve">In conclusion, throughout my lifetime, I have developed several methods of coping with stressful situations enabling me to build significant reserves of resilience which can be employed in times of need.  The methods highlighted above are not necessarily mutually exclusive, they work perfectly well individually, however, when two or more combine, such as controlling the </w:t>
      </w:r>
      <w:r w:rsidR="00B30D7B">
        <w:rPr>
          <w:rFonts w:cstheme="minorHAnsi"/>
        </w:rPr>
        <w:t>“</w:t>
      </w:r>
      <w:r>
        <w:rPr>
          <w:rFonts w:cstheme="minorHAnsi"/>
        </w:rPr>
        <w:t>controllables</w:t>
      </w:r>
      <w:r w:rsidR="00B30D7B">
        <w:rPr>
          <w:rFonts w:cstheme="minorHAnsi"/>
        </w:rPr>
        <w:t>”</w:t>
      </w:r>
      <w:r>
        <w:rPr>
          <w:rFonts w:cstheme="minorHAnsi"/>
        </w:rPr>
        <w:t xml:space="preserve"> and understanding of the change curve, it allows me to react in a positive manner to any such circumstance that is presented to me.  </w:t>
      </w:r>
      <w:r w:rsidR="00B30D7B">
        <w:rPr>
          <w:rFonts w:cstheme="minorHAnsi"/>
        </w:rPr>
        <w:t xml:space="preserve">What is common to all of the abovementioned methods is clarity of thought and the ability to take a mental step backwards allowing me time to digest what is happening and to react in a calm and measured approach. </w:t>
      </w:r>
      <w:r>
        <w:rPr>
          <w:rFonts w:cstheme="minorHAnsi"/>
        </w:rPr>
        <w:t>This ability has undoubtedly served me well in my training to date and will, with continued application, serve me will in times to come.</w:t>
      </w:r>
    </w:p>
    <w:p w:rsidR="00FF7784" w:rsidRPr="00270EEB" w:rsidRDefault="00B30D7B" w:rsidP="00106B67">
      <w:pPr>
        <w:ind w:left="7200" w:right="107" w:firstLine="720"/>
        <w:jc w:val="both"/>
        <w:rPr>
          <w:sz w:val="24"/>
          <w:szCs w:val="24"/>
        </w:rPr>
      </w:pPr>
      <w:r>
        <w:t>1410</w:t>
      </w:r>
      <w:r w:rsidR="00C53A55" w:rsidRPr="00C53A55">
        <w:t xml:space="preserve"> words.</w:t>
      </w:r>
    </w:p>
    <w:p w:rsidR="000F7ECD" w:rsidRPr="00270EEB" w:rsidRDefault="000F7ECD" w:rsidP="00E6298B">
      <w:pPr>
        <w:ind w:right="107"/>
        <w:jc w:val="both"/>
        <w:rPr>
          <w:sz w:val="24"/>
          <w:szCs w:val="24"/>
        </w:rPr>
        <w:sectPr w:rsidR="000F7ECD" w:rsidRPr="00270EEB" w:rsidSect="00AD022F">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titlePg/>
          <w:docGrid w:linePitch="272"/>
        </w:sectPr>
      </w:pPr>
    </w:p>
    <w:p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rsidR="004046F0" w:rsidRPr="00270EEB" w:rsidRDefault="004046F0"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3B2A14" w:rsidRPr="00270EEB" w:rsidRDefault="003B2A14" w:rsidP="00E6298B">
      <w:pPr>
        <w:ind w:right="107"/>
        <w:jc w:val="both"/>
        <w:rPr>
          <w:sz w:val="24"/>
          <w:szCs w:val="24"/>
        </w:rPr>
      </w:pPr>
    </w:p>
    <w:p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025650" w:rsidRPr="00270EEB" w:rsidRDefault="00025650" w:rsidP="00E6298B">
      <w:pPr>
        <w:ind w:right="107"/>
        <w:jc w:val="both"/>
        <w:rPr>
          <w:sz w:val="24"/>
          <w:szCs w:val="24"/>
        </w:rPr>
      </w:pPr>
    </w:p>
    <w:p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rsidTr="28A9B94D">
        <w:tc>
          <w:tcPr>
            <w:tcW w:w="10188" w:type="dxa"/>
            <w:shd w:val="clear" w:color="auto" w:fill="auto"/>
          </w:tcPr>
          <w:p w:rsidR="003B2A14" w:rsidRDefault="003B2A14" w:rsidP="00E6298B">
            <w:pPr>
              <w:ind w:right="107"/>
              <w:rPr>
                <w:sz w:val="24"/>
                <w:szCs w:val="24"/>
              </w:rPr>
            </w:pPr>
          </w:p>
          <w:p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rsidR="003B2A14" w:rsidRDefault="003B2A14" w:rsidP="00E6298B">
            <w:pPr>
              <w:ind w:right="107"/>
              <w:rPr>
                <w:sz w:val="24"/>
                <w:szCs w:val="24"/>
              </w:rPr>
            </w:pPr>
          </w:p>
          <w:p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rsidR="003B2A14" w:rsidRDefault="003B2A14" w:rsidP="00E6298B">
            <w:pPr>
              <w:ind w:right="107"/>
              <w:jc w:val="both"/>
              <w:rPr>
                <w:sz w:val="24"/>
                <w:szCs w:val="24"/>
              </w:rPr>
            </w:pPr>
          </w:p>
          <w:p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rsidR="003B2A14" w:rsidRDefault="003B2A14" w:rsidP="00E6298B">
            <w:pPr>
              <w:ind w:right="107"/>
              <w:jc w:val="both"/>
              <w:rPr>
                <w:sz w:val="24"/>
                <w:szCs w:val="24"/>
              </w:rPr>
            </w:pPr>
          </w:p>
          <w:p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3B2A14" w:rsidRDefault="003B2A14" w:rsidP="00E6298B">
            <w:pPr>
              <w:ind w:right="107"/>
              <w:jc w:val="both"/>
              <w:rPr>
                <w:sz w:val="24"/>
                <w:szCs w:val="24"/>
              </w:rPr>
            </w:pPr>
          </w:p>
          <w:p w:rsidR="003B2A14" w:rsidRPr="00270EEB" w:rsidRDefault="003B2A14" w:rsidP="00E6298B">
            <w:pPr>
              <w:ind w:right="107"/>
              <w:jc w:val="both"/>
              <w:rPr>
                <w:sz w:val="24"/>
                <w:szCs w:val="24"/>
              </w:rPr>
            </w:pPr>
          </w:p>
          <w:p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3B2A14" w:rsidRPr="00270EEB" w:rsidRDefault="003B2A14" w:rsidP="00E6298B">
      <w:pPr>
        <w:ind w:right="107"/>
        <w:jc w:val="both"/>
        <w:rPr>
          <w:sz w:val="24"/>
          <w:szCs w:val="24"/>
        </w:rPr>
      </w:pPr>
    </w:p>
    <w:p w:rsidR="003B2A14" w:rsidRPr="00450C83" w:rsidRDefault="003B2A14" w:rsidP="00E6298B">
      <w:pPr>
        <w:ind w:right="107"/>
        <w:jc w:val="both"/>
        <w:rPr>
          <w:b/>
          <w:sz w:val="24"/>
          <w:szCs w:val="24"/>
        </w:rPr>
      </w:pPr>
      <w:r w:rsidRPr="00450C83">
        <w:rPr>
          <w:b/>
          <w:sz w:val="24"/>
          <w:szCs w:val="24"/>
        </w:rPr>
        <w:t>ANSWER:</w:t>
      </w:r>
    </w:p>
    <w:p w:rsidR="00AA666E" w:rsidRPr="00270EEB" w:rsidRDefault="00AA666E" w:rsidP="00E6298B">
      <w:pPr>
        <w:ind w:right="107"/>
        <w:jc w:val="both"/>
        <w:rPr>
          <w:sz w:val="24"/>
          <w:szCs w:val="24"/>
        </w:rPr>
      </w:pPr>
    </w:p>
    <w:p w:rsidR="00D52B63" w:rsidRDefault="00D52B63" w:rsidP="00D52B63">
      <w:pPr>
        <w:rPr>
          <w:rFonts w:asciiTheme="minorHAnsi" w:hAnsiTheme="minorHAnsi" w:cstheme="minorBidi"/>
          <w:color w:val="auto"/>
        </w:rPr>
      </w:pPr>
      <w:r>
        <w:t xml:space="preserve">This question relates to describing the process for determining whether the use of force was necessary in a conflict situation, critically evaluating the thought process involved and reflecting upon the outcome of the situation, focussing on key areas of the National Policing Curriculum around communication skills, managing conflict and valuing difference and inclusion. I therefore intend to cover, using the Gibbs Process of Reflection, my actions in a given policing incident, the thought process(es) I used to determine the relevant course of action, the outcome of the incident and how I have developed as an officer following a period of reflection. </w:t>
      </w:r>
    </w:p>
    <w:p w:rsidR="00D52B63" w:rsidRDefault="00D52B63" w:rsidP="00D52B63"/>
    <w:p w:rsidR="00D52B63" w:rsidRDefault="00D52B63" w:rsidP="00D52B63">
      <w:r>
        <w:t>Prior to discussing the particular incident in detail, I feel it would be beneficial to first gain an understanding as to what constitutes conflict.</w:t>
      </w:r>
    </w:p>
    <w:p w:rsidR="00D52B63" w:rsidRDefault="00D52B63" w:rsidP="00D52B63"/>
    <w:p w:rsidR="00D52B63" w:rsidRDefault="00D52B63" w:rsidP="00D52B63">
      <w:pPr>
        <w:ind w:left="720"/>
        <w:rPr>
          <w:rFonts w:cstheme="minorHAnsi"/>
          <w:shd w:val="clear" w:color="auto" w:fill="FFFFFF"/>
        </w:rPr>
      </w:pPr>
      <w:r>
        <w:rPr>
          <w:rFonts w:cstheme="minorHAnsi"/>
          <w:shd w:val="clear" w:color="auto" w:fill="FFFFFF"/>
        </w:rPr>
        <w:t>Whenever two individuals opine in different ways, a conflict arises. In a layman’s language conflict is nothing but a fight either between two individuals or among group members. No two individuals can think alike and there is definitely a difference in their thought process as well as their understanding. Disagreements among individuals lead to conflicts and fights. </w:t>
      </w:r>
      <w:r>
        <w:rPr>
          <w:rFonts w:cstheme="minorHAnsi"/>
          <w:bCs/>
          <w:shd w:val="clear" w:color="auto" w:fill="FFFFFF"/>
        </w:rPr>
        <w:t>Conflict arises whenever individuals have different values, opinions, needs, interests and are unable to find a middle way</w:t>
      </w:r>
      <w:r>
        <w:rPr>
          <w:rFonts w:cstheme="minorHAnsi"/>
          <w:shd w:val="clear" w:color="auto" w:fill="FFFFFF"/>
        </w:rPr>
        <w:t>.</w:t>
      </w:r>
      <w:r>
        <w:rPr>
          <w:rFonts w:cstheme="minorHAnsi"/>
          <w:shd w:val="clear" w:color="auto" w:fill="FFFFFF"/>
        </w:rPr>
        <w:tab/>
      </w:r>
      <w:r w:rsidR="00F06F63">
        <w:rPr>
          <w:rFonts w:cstheme="minorHAnsi"/>
          <w:shd w:val="clear" w:color="auto" w:fill="FFFFFF"/>
        </w:rPr>
        <w:tab/>
      </w:r>
      <w:r w:rsidR="00F06F63">
        <w:rPr>
          <w:rFonts w:cstheme="minorHAnsi"/>
          <w:shd w:val="clear" w:color="auto" w:fill="FFFFFF"/>
        </w:rPr>
        <w:tab/>
      </w:r>
      <w:r w:rsidR="00F06F63">
        <w:rPr>
          <w:rFonts w:cstheme="minorHAnsi"/>
          <w:shd w:val="clear" w:color="auto" w:fill="FFFFFF"/>
        </w:rPr>
        <w:tab/>
      </w:r>
      <w:r w:rsidR="00F06F63">
        <w:rPr>
          <w:rFonts w:cstheme="minorHAnsi"/>
          <w:shd w:val="clear" w:color="auto" w:fill="FFFFFF"/>
        </w:rPr>
        <w:tab/>
      </w:r>
      <w:r w:rsidR="00F06F63">
        <w:rPr>
          <w:rFonts w:cstheme="minorHAnsi"/>
          <w:shd w:val="clear" w:color="auto" w:fill="FFFFFF"/>
        </w:rPr>
        <w:tab/>
      </w:r>
      <w:r w:rsidR="00F06F63">
        <w:rPr>
          <w:rFonts w:cstheme="minorHAnsi"/>
          <w:shd w:val="clear" w:color="auto" w:fill="FFFFFF"/>
        </w:rPr>
        <w:tab/>
      </w:r>
      <w:r w:rsidR="00F06F63">
        <w:rPr>
          <w:rFonts w:cstheme="minorHAnsi"/>
          <w:shd w:val="clear" w:color="auto" w:fill="FFFFFF"/>
        </w:rPr>
        <w:tab/>
      </w:r>
      <w:r w:rsidR="00F06F63">
        <w:rPr>
          <w:rFonts w:cstheme="minorHAnsi"/>
          <w:shd w:val="clear" w:color="auto" w:fill="FFFFFF"/>
        </w:rPr>
        <w:tab/>
      </w:r>
      <w:r>
        <w:rPr>
          <w:rFonts w:cstheme="minorHAnsi"/>
          <w:shd w:val="clear" w:color="auto" w:fill="FFFFFF"/>
        </w:rPr>
        <w:t>(</w:t>
      </w:r>
      <w:r>
        <w:t>Management Study Guide 2021)</w:t>
      </w:r>
    </w:p>
    <w:p w:rsidR="00D52B63" w:rsidRDefault="00D52B63" w:rsidP="00D52B63">
      <w:pPr>
        <w:rPr>
          <w:rFonts w:cstheme="minorBidi"/>
          <w:color w:val="auto"/>
        </w:rPr>
      </w:pPr>
    </w:p>
    <w:p w:rsidR="00D52B63" w:rsidRDefault="00D52B63" w:rsidP="00D52B63">
      <w:r>
        <w:t>An understanding of the basic human reaction to conflict is also beneficial.  Roffey describes the influence of what is termed “people issues” in conflict:</w:t>
      </w:r>
    </w:p>
    <w:p w:rsidR="00D52B63" w:rsidRDefault="00D52B63" w:rsidP="00D52B63"/>
    <w:p w:rsidR="00D52B63" w:rsidRDefault="00D52B63" w:rsidP="00D52B63">
      <w:pPr>
        <w:ind w:left="720"/>
      </w:pPr>
      <w:r>
        <w:t>‘People issues’ arise from the parties themselves.  People matter to each other so the relationship is worth fighting over.  Issues arise out of differing needs, goals, intentions or expectations, apparent incompatibility or interference, erupting into struggles that matter.  Most people find conflict deeply stressful and react with typical stress responses: fight, flight tending others or befriending allies (Taylor 2006)…There is often a stark contrast between the intention behind an action and its results…Positive intentions can go awry, however, and may be badly expressed, misinterpreted or poorly received.  Sometimes the consequences of actions are not at all what was desired.</w:t>
      </w:r>
      <w:r>
        <w:tab/>
        <w:t>(Roffey Positive Relationships Evidence Based Practice Across the World 2012)</w:t>
      </w:r>
    </w:p>
    <w:p w:rsidR="00D52B63" w:rsidRDefault="00D52B63" w:rsidP="00D52B63"/>
    <w:p w:rsidR="00D52B63" w:rsidRDefault="00D52B63" w:rsidP="00D52B63">
      <w:r>
        <w:t>When dealing with conflict resolution, Roffey advises that:</w:t>
      </w:r>
    </w:p>
    <w:p w:rsidR="00D52B63" w:rsidRDefault="00D52B63" w:rsidP="00D52B63"/>
    <w:p w:rsidR="00D52B63" w:rsidRDefault="00D52B63" w:rsidP="00D52B63">
      <w:pPr>
        <w:ind w:left="720"/>
      </w:pPr>
      <w:r>
        <w:t>…Useful distinctions are between friendly and hostile intent, and between intended and unintended consequences.  Ii actions are amicably and positively motivated, event negative or hurtful effect can be overlooked or forgiven; if actions have a hostile tone, they will escalate conflict, or the relationship may deteriorate.  Conflict resolution begins with a willingness to understand actual intentions and often requires acknowledging unintended, but nonetheless hurtful, consequences of actions, even if they were positively motivated.</w:t>
      </w:r>
      <w:r>
        <w:tab/>
        <w:t>(Roffey Positive Relationships Evidence Based Practice Across the World 2012)</w:t>
      </w:r>
    </w:p>
    <w:p w:rsidR="00D52B63" w:rsidRDefault="00D52B63" w:rsidP="00D52B63"/>
    <w:p w:rsidR="00D52B63" w:rsidRDefault="00D52B63" w:rsidP="00D52B63">
      <w:r>
        <w:t xml:space="preserve">This is particularly important to understand from a policing perspective, as we are often called when a relationship, be that intimate, familial, or casual has deteriorated to the point where actions have been taken, not always with a positive intention, which require an immediate police interception.  </w:t>
      </w:r>
    </w:p>
    <w:p w:rsidR="00D52B63" w:rsidRDefault="00D52B63" w:rsidP="00D52B63"/>
    <w:p w:rsidR="00D52B63" w:rsidRDefault="00D52B63" w:rsidP="00D52B63">
      <w:r>
        <w:t>In these circumstances it is vitally important for police officers to be efficient and effective communicators, indeed, one of the most potent weapons in an officers arsenal is the ability to modify their communication tactics in an instant, depending on a variety of factors such as the age of parties involved, location, mental capacity, impact factors such as alcohol or drugs and the need for instructions to be immediately obeyed, all whilst actively listening to those involved, the control room radio and maintaining situational awareness.  There are many factors to effective communication:</w:t>
      </w:r>
    </w:p>
    <w:p w:rsidR="00D52B63" w:rsidRDefault="00D52B63" w:rsidP="00D52B63">
      <w:pPr>
        <w:rPr>
          <w:rFonts w:cstheme="minorHAnsi"/>
        </w:rPr>
      </w:pPr>
    </w:p>
    <w:p w:rsidR="00D52B63" w:rsidRDefault="00D52B63" w:rsidP="00D52B63">
      <w:pPr>
        <w:ind w:left="720"/>
        <w:rPr>
          <w:rFonts w:cstheme="minorHAnsi"/>
        </w:rPr>
      </w:pPr>
      <w:r>
        <w:rPr>
          <w:rFonts w:cstheme="minorHAnsi"/>
          <w:shd w:val="clear" w:color="auto" w:fill="FFFFFF"/>
        </w:rPr>
        <w:t>Understanding the importance of everything from voice, posture, poise, and tactfulness when dealing with…clients or customers is key to… success… effective communication is critical for moving a team toward resolution and consensus.   (The Elements of Effective Communication 2000 p.45-46)</w:t>
      </w:r>
    </w:p>
    <w:p w:rsidR="00D52B63" w:rsidRDefault="00D52B63" w:rsidP="00D52B63">
      <w:pPr>
        <w:rPr>
          <w:rFonts w:cstheme="minorBidi"/>
        </w:rPr>
      </w:pPr>
    </w:p>
    <w:p w:rsidR="00D52B63" w:rsidRDefault="00D52B63" w:rsidP="00D52B63">
      <w:r>
        <w:t>The reader may be forgiven for questioning how the above reference relates to policing, however, I would argue that all those who turn to the police in times of need are not only utilising our services, in effect becoming our customers, but all parties involved, be they victims, witnesses or suspects form part of a larger, albeit unofficial team that need to establish clear and effective lines of communication in order to move a given situation towards resolution.  This is particularly important when officers utilise a process known as restorative justice, which is a largely community led process where all parties agree upon a resolution and work together to ensure it is brought about.</w:t>
      </w:r>
    </w:p>
    <w:p w:rsidR="00D52B63" w:rsidRDefault="00D52B63" w:rsidP="00D52B63"/>
    <w:p w:rsidR="00D52B63" w:rsidRDefault="00D52B63" w:rsidP="00D52B63">
      <w:pPr>
        <w:rPr>
          <w:rFonts w:cstheme="minorHAnsi"/>
        </w:rPr>
      </w:pPr>
      <w:r>
        <w:rPr>
          <w:rFonts w:cstheme="minorHAnsi"/>
        </w:rPr>
        <w:t>When dealing with people, my overriding objective is to find some common ground, whether that is commenting on the recent weather, through to complimenting them on their pets or the décor of the property, thus allowing me to overcome initial barriers to communication that a police presence may present, such as reluctance to engage through fear or an ingrained mistrust of the police as a whole.  It is important to note that I understand that there are several other subjects that could be broached in these circumstances, such as sport, politics or religion, which most people have strong opinions over, however, the potential for matters to escalate exponentially by an officer saying the wrong thing, or choosing to support the wrong team is such that I choose to stay away from such topics.</w:t>
      </w:r>
    </w:p>
    <w:p w:rsidR="00D52B63" w:rsidRDefault="00D52B63" w:rsidP="00D52B63">
      <w:pPr>
        <w:rPr>
          <w:rFonts w:eastAsiaTheme="minorHAnsi" w:cstheme="minorBidi"/>
          <w:lang w:eastAsia="en-US"/>
        </w:rPr>
      </w:pPr>
    </w:p>
    <w:p w:rsidR="00D52B63" w:rsidRDefault="00D52B63" w:rsidP="00D52B63">
      <w:r>
        <w:t>A fundamental skill in dealing with any given policing situation is the ability to build rapport, however, as Alison and Alison state:</w:t>
      </w:r>
    </w:p>
    <w:p w:rsidR="00D52B63" w:rsidRDefault="00D52B63" w:rsidP="00D52B63">
      <w:pPr>
        <w:rPr>
          <w:rFonts w:cstheme="minorHAnsi"/>
        </w:rPr>
      </w:pPr>
    </w:p>
    <w:p w:rsidR="00D52B63" w:rsidRDefault="00D52B63" w:rsidP="00D52B63">
      <w:pPr>
        <w:ind w:left="720"/>
        <w:rPr>
          <w:rFonts w:cstheme="minorHAnsi"/>
        </w:rPr>
      </w:pPr>
      <w:r>
        <w:rPr>
          <w:rStyle w:val="Strong"/>
          <w:rFonts w:cstheme="minorHAnsi"/>
          <w:b w:val="0"/>
          <w:bdr w:val="none" w:sz="0" w:space="0" w:color="auto" w:frame="1"/>
        </w:rPr>
        <w:t>Rapport</w:t>
      </w:r>
      <w:r>
        <w:rPr>
          <w:rFonts w:cstheme="minorHAnsi"/>
        </w:rPr>
        <w:t> has proven a difficult concept to define, let alone measure (see </w:t>
      </w:r>
      <w:hyperlink r:id="rId21" w:anchor="c81" w:history="1">
        <w:r>
          <w:rPr>
            <w:rStyle w:val="Hyperlink"/>
            <w:rFonts w:cstheme="minorHAnsi"/>
            <w:color w:val="auto"/>
            <w:bdr w:val="none" w:sz="0" w:space="0" w:color="auto" w:frame="1"/>
          </w:rPr>
          <w:t>Vallano &amp; Schrieber Compo, 2015</w:t>
        </w:r>
      </w:hyperlink>
      <w:r>
        <w:rPr>
          <w:rFonts w:cstheme="minorHAnsi"/>
        </w:rPr>
        <w:t>, for a comprehensive review). It can broadly be considered the interpersonal relationship or connection between interviewer and interviewee established over the course of their interaction (</w:t>
      </w:r>
      <w:hyperlink r:id="rId22" w:anchor="c20" w:history="1">
        <w:r>
          <w:rPr>
            <w:rStyle w:val="Hyperlink"/>
            <w:rFonts w:cstheme="minorHAnsi"/>
            <w:color w:val="auto"/>
            <w:bdr w:val="none" w:sz="0" w:space="0" w:color="auto" w:frame="1"/>
          </w:rPr>
          <w:t>Evans et al., 2010</w:t>
        </w:r>
      </w:hyperlink>
      <w:r>
        <w:rPr>
          <w:rFonts w:cstheme="minorHAnsi"/>
        </w:rPr>
        <w:t>; </w:t>
      </w:r>
      <w:hyperlink r:id="rId23" w:anchor="c36" w:history="1">
        <w:r>
          <w:rPr>
            <w:rStyle w:val="Hyperlink"/>
            <w:rFonts w:cstheme="minorHAnsi"/>
            <w:color w:val="auto"/>
            <w:bdr w:val="none" w:sz="0" w:space="0" w:color="auto" w:frame="1"/>
          </w:rPr>
          <w:t>Kelly, Miller, Redlich, &amp; Kleinman, 2013</w:t>
        </w:r>
      </w:hyperlink>
      <w:r>
        <w:rPr>
          <w:rFonts w:cstheme="minorHAnsi"/>
        </w:rPr>
        <w:t>). It is based on a reciprocal understanding of one another in terms of respect, empathy, and trust (</w:t>
      </w:r>
      <w:hyperlink r:id="rId24" w:anchor="c59" w:history="1">
        <w:r>
          <w:rPr>
            <w:rStyle w:val="Hyperlink"/>
            <w:rFonts w:cstheme="minorHAnsi"/>
            <w:color w:val="auto"/>
            <w:bdr w:val="none" w:sz="0" w:space="0" w:color="auto" w:frame="1"/>
          </w:rPr>
          <w:t>O’Toole, 2016</w:t>
        </w:r>
      </w:hyperlink>
      <w:r>
        <w:rPr>
          <w:rFonts w:cstheme="minorHAnsi"/>
        </w:rPr>
        <w:t>) and may be felt by one party but not the other at various points. It may evolve and change in depth and feeling over the course of an interaction (</w:t>
      </w:r>
      <w:hyperlink r:id="rId25" w:anchor="c31" w:history="1">
        <w:r>
          <w:rPr>
            <w:rStyle w:val="Hyperlink"/>
            <w:rFonts w:cstheme="minorHAnsi"/>
            <w:color w:val="auto"/>
            <w:bdr w:val="none" w:sz="0" w:space="0" w:color="auto" w:frame="1"/>
          </w:rPr>
          <w:t>Hall, Roter, Blanch, &amp; Frankel, 2009</w:t>
        </w:r>
      </w:hyperlink>
      <w:r>
        <w:rPr>
          <w:rFonts w:cstheme="minorHAnsi"/>
        </w:rPr>
        <w:t>)… According to </w:t>
      </w:r>
      <w:hyperlink r:id="rId26" w:anchor="c56" w:history="1">
        <w:r>
          <w:rPr>
            <w:rStyle w:val="Hyperlink"/>
            <w:rFonts w:cstheme="minorHAnsi"/>
            <w:color w:val="auto"/>
            <w:bdr w:val="none" w:sz="0" w:space="0" w:color="auto" w:frame="1"/>
          </w:rPr>
          <w:t>Mulqueen, Kahn, and Kirkpatrick (2012)</w:t>
        </w:r>
      </w:hyperlink>
      <w:r>
        <w:rPr>
          <w:rFonts w:cstheme="minorHAnsi"/>
        </w:rPr>
        <w:t> successful communicators are competent…and versatile (they identify which behaviors to use and when)… Versatility is the ability to be flexible in selecting an appropriate manner to communicate, to be empathic and to manage relationships effectively (</w:t>
      </w:r>
      <w:hyperlink r:id="rId27" w:anchor="c56" w:history="1">
        <w:r>
          <w:rPr>
            <w:rStyle w:val="Hyperlink"/>
            <w:rFonts w:cstheme="minorHAnsi"/>
            <w:color w:val="auto"/>
            <w:bdr w:val="none" w:sz="0" w:space="0" w:color="auto" w:frame="1"/>
          </w:rPr>
          <w:t>Mulqueen et al., 2012</w:t>
        </w:r>
      </w:hyperlink>
      <w:r>
        <w:rPr>
          <w:rFonts w:cstheme="minorHAnsi"/>
        </w:rPr>
        <w:t>). Being versatile allows one to adopt a variety of behaviors, to understand other people’s perspectives and experiences, value different opinions and treat others with support and respect (</w:t>
      </w:r>
      <w:hyperlink r:id="rId28" w:anchor="c56" w:history="1">
        <w:r>
          <w:rPr>
            <w:rStyle w:val="Hyperlink"/>
            <w:rFonts w:cstheme="minorHAnsi"/>
            <w:color w:val="auto"/>
            <w:bdr w:val="none" w:sz="0" w:space="0" w:color="auto" w:frame="1"/>
          </w:rPr>
          <w:t>Mulqueen et al., 2012</w:t>
        </w:r>
      </w:hyperlink>
      <w:r>
        <w:rPr>
          <w:rFonts w:cstheme="minorHAnsi"/>
        </w:rPr>
        <w:t>)</w:t>
      </w:r>
      <w:r>
        <w:rPr>
          <w:rFonts w:cstheme="minorHAnsi"/>
        </w:rPr>
        <w:tab/>
      </w:r>
      <w:r>
        <w:rPr>
          <w:rFonts w:cstheme="minorHAnsi"/>
        </w:rPr>
        <w:tab/>
      </w:r>
      <w:r w:rsidR="00F06F63">
        <w:rPr>
          <w:rFonts w:cstheme="minorHAnsi"/>
        </w:rPr>
        <w:tab/>
      </w:r>
      <w:r w:rsidR="00F06F63">
        <w:rPr>
          <w:rFonts w:cstheme="minorHAnsi"/>
        </w:rPr>
        <w:tab/>
      </w:r>
      <w:r w:rsidR="00F06F63">
        <w:rPr>
          <w:rFonts w:cstheme="minorHAnsi"/>
        </w:rPr>
        <w:tab/>
      </w:r>
      <w:r w:rsidR="00F06F63">
        <w:rPr>
          <w:rFonts w:cstheme="minorHAnsi"/>
        </w:rPr>
        <w:tab/>
      </w:r>
      <w:r>
        <w:rPr>
          <w:rFonts w:cstheme="minorHAnsi"/>
        </w:rPr>
        <w:t>(Alison, L. and Alison, E. 2017 pp. 266–277.)</w:t>
      </w:r>
    </w:p>
    <w:p w:rsidR="00D52B63" w:rsidRDefault="00D52B63" w:rsidP="00D52B63">
      <w:pPr>
        <w:rPr>
          <w:rFonts w:cstheme="minorHAnsi"/>
        </w:rPr>
      </w:pPr>
    </w:p>
    <w:p w:rsidR="00D52B63" w:rsidRDefault="00D52B63" w:rsidP="00D52B63">
      <w:pPr>
        <w:rPr>
          <w:rFonts w:eastAsiaTheme="minorHAnsi" w:cstheme="minorHAnsi"/>
          <w:lang w:eastAsia="en-US"/>
        </w:rPr>
      </w:pPr>
      <w:r>
        <w:rPr>
          <w:rFonts w:cstheme="minorHAnsi"/>
        </w:rPr>
        <w:t>However, those learned in the science of effective communication and skilled in the art of rapport building are often best placed to get to the heart of any given situation and are able to break down the barriers erected when people become ensconced within the drama triangle which, as Lac and Donaldson state requires an understanding of three fundamental roles:</w:t>
      </w:r>
    </w:p>
    <w:p w:rsidR="00D52B63" w:rsidRPr="0031522B" w:rsidRDefault="00D52B63" w:rsidP="00D52B63">
      <w:pPr>
        <w:rPr>
          <w:rFonts w:cstheme="minorHAnsi"/>
          <w:color w:val="auto"/>
        </w:rPr>
      </w:pPr>
    </w:p>
    <w:p w:rsidR="00D52B63" w:rsidRDefault="00D52B63" w:rsidP="00D52B63">
      <w:pPr>
        <w:ind w:left="720"/>
        <w:rPr>
          <w:rFonts w:cstheme="minorHAnsi"/>
          <w:color w:val="333333"/>
          <w:shd w:val="clear" w:color="auto" w:fill="FFFFFF"/>
        </w:rPr>
      </w:pPr>
      <w:r w:rsidRPr="0031522B">
        <w:rPr>
          <w:rFonts w:cstheme="minorHAnsi"/>
          <w:color w:val="auto"/>
          <w:shd w:val="clear" w:color="auto" w:fill="FFFFFF"/>
        </w:rPr>
        <w:t>…</w:t>
      </w:r>
      <w:r w:rsidRPr="00F06F63">
        <w:rPr>
          <w:rFonts w:cstheme="minorHAnsi"/>
          <w:i/>
          <w:color w:val="auto"/>
        </w:rPr>
        <w:t xml:space="preserve">Persecutors </w:t>
      </w:r>
      <w:r w:rsidRPr="00F06F63">
        <w:rPr>
          <w:rFonts w:cstheme="minorHAnsi"/>
          <w:color w:val="auto"/>
        </w:rPr>
        <w:t>deem themselves to be always correct and are prone to pointing the finger at others…Persecutors tend to experience and express feelings of anger, irritation, and rage toward others (</w:t>
      </w:r>
      <w:hyperlink r:id="rId29" w:history="1">
        <w:r w:rsidRPr="00F06F63">
          <w:rPr>
            <w:rStyle w:val="Hyperlink"/>
            <w:rFonts w:cstheme="minorHAnsi"/>
            <w:color w:val="auto"/>
            <w:u w:val="none"/>
          </w:rPr>
          <w:t>Shmelev, 2015</w:t>
        </w:r>
      </w:hyperlink>
      <w:r w:rsidRPr="00F06F63">
        <w:rPr>
          <w:rFonts w:cstheme="minorHAnsi"/>
          <w:color w:val="auto"/>
        </w:rPr>
        <w:t>)…</w:t>
      </w:r>
      <w:r w:rsidRPr="00F06F63">
        <w:rPr>
          <w:rFonts w:cstheme="minorHAnsi"/>
          <w:i/>
          <w:iCs/>
          <w:color w:val="auto"/>
        </w:rPr>
        <w:t xml:space="preserve"> Rescuers</w:t>
      </w:r>
      <w:r w:rsidRPr="00F06F63">
        <w:rPr>
          <w:rFonts w:cstheme="minorHAnsi"/>
          <w:color w:val="auto"/>
        </w:rPr>
        <w:t> are personified by the elevated need or desire to help others…</w:t>
      </w:r>
      <w:r w:rsidRPr="00F06F63">
        <w:rPr>
          <w:rFonts w:cstheme="minorHAnsi"/>
          <w:i/>
          <w:iCs/>
          <w:color w:val="auto"/>
        </w:rPr>
        <w:t xml:space="preserve"> Victims</w:t>
      </w:r>
      <w:r w:rsidRPr="00F06F63">
        <w:rPr>
          <w:rFonts w:cstheme="minorHAnsi"/>
          <w:color w:val="auto"/>
        </w:rPr>
        <w:t> communicate helplessness and oppression and perceive that primarily undesirable and uncontrollable events have happened…to them (</w:t>
      </w:r>
      <w:hyperlink r:id="rId30" w:history="1">
        <w:r w:rsidRPr="00F06F63">
          <w:rPr>
            <w:rStyle w:val="Hyperlink"/>
            <w:rFonts w:cstheme="minorHAnsi"/>
            <w:color w:val="auto"/>
            <w:u w:val="none"/>
          </w:rPr>
          <w:t>Burgess, 2005</w:t>
        </w:r>
      </w:hyperlink>
      <w:r w:rsidRPr="00F06F63">
        <w:rPr>
          <w:rFonts w:cstheme="minorHAnsi"/>
          <w:color w:val="auto"/>
        </w:rPr>
        <w:t>; </w:t>
      </w:r>
      <w:hyperlink r:id="rId31" w:history="1">
        <w:r w:rsidRPr="00F06F63">
          <w:rPr>
            <w:rStyle w:val="Hyperlink"/>
            <w:rFonts w:cstheme="minorHAnsi"/>
            <w:color w:val="auto"/>
            <w:u w:val="none"/>
          </w:rPr>
          <w:t>Carr, 1989</w:t>
        </w:r>
      </w:hyperlink>
      <w:r w:rsidRPr="00F06F63">
        <w:rPr>
          <w:rFonts w:cstheme="minorHAnsi"/>
          <w:color w:val="auto"/>
        </w:rPr>
        <w:t>; </w:t>
      </w:r>
      <w:hyperlink r:id="rId32" w:history="1">
        <w:r w:rsidRPr="00F06F63">
          <w:rPr>
            <w:rStyle w:val="Hyperlink"/>
            <w:rFonts w:cstheme="minorHAnsi"/>
            <w:color w:val="auto"/>
            <w:u w:val="none"/>
          </w:rPr>
          <w:t>McKimm &amp; Forrest, 2010</w:t>
        </w:r>
      </w:hyperlink>
      <w:r w:rsidRPr="00F06F63">
        <w:rPr>
          <w:rFonts w:cstheme="minorHAnsi"/>
          <w:color w:val="auto"/>
        </w:rPr>
        <w:t>)…Victimhood yields painful emotional experiences, including anxiety, fear, hopelessness, and sadness (</w:t>
      </w:r>
      <w:hyperlink r:id="rId33" w:history="1">
        <w:r w:rsidRPr="00F06F63">
          <w:rPr>
            <w:rStyle w:val="Hyperlink"/>
            <w:rFonts w:cstheme="minorHAnsi"/>
            <w:color w:val="auto"/>
            <w:u w:val="none"/>
          </w:rPr>
          <w:t>Shmelev, 2015</w:t>
        </w:r>
      </w:hyperlink>
      <w:r w:rsidRPr="00F06F63">
        <w:rPr>
          <w:rFonts w:cstheme="minorHAnsi"/>
          <w:color w:val="auto"/>
        </w:rPr>
        <w:t>). In the dynamic of the drama triangle, every conflict scenario requires a person adopting the Victim role, because Victims receive blame from the Persecutor and help from the Rescuer (</w:t>
      </w:r>
      <w:hyperlink r:id="rId34" w:history="1">
        <w:r w:rsidRPr="00F06F63">
          <w:rPr>
            <w:rStyle w:val="Hyperlink"/>
            <w:rFonts w:cstheme="minorHAnsi"/>
            <w:color w:val="auto"/>
            <w:u w:val="none"/>
          </w:rPr>
          <w:t>Karpman, 1968</w:t>
        </w:r>
      </w:hyperlink>
      <w:r w:rsidRPr="00F06F63">
        <w:rPr>
          <w:rFonts w:cstheme="minorHAnsi"/>
          <w:color w:val="auto"/>
        </w:rPr>
        <w:t xml:space="preserve">).     </w:t>
      </w:r>
      <w:r w:rsidR="00F06F63" w:rsidRPr="00F06F63">
        <w:rPr>
          <w:rFonts w:cstheme="minorHAnsi"/>
          <w:color w:val="auto"/>
        </w:rPr>
        <w:tab/>
      </w:r>
      <w:r w:rsidR="00F06F63" w:rsidRPr="00F06F63">
        <w:rPr>
          <w:rFonts w:cstheme="minorHAnsi"/>
          <w:color w:val="auto"/>
        </w:rPr>
        <w:tab/>
      </w:r>
      <w:r w:rsidRPr="00F06F63">
        <w:rPr>
          <w:rFonts w:cstheme="minorHAnsi"/>
          <w:color w:val="auto"/>
        </w:rPr>
        <w:t xml:space="preserve"> (</w:t>
      </w:r>
      <w:r w:rsidRPr="00F06F63">
        <w:rPr>
          <w:rFonts w:cstheme="minorHAnsi"/>
          <w:color w:val="auto"/>
          <w:shd w:val="clear" w:color="auto" w:fill="FFFFFF"/>
        </w:rPr>
        <w:t>Lac A. and Donaldson C. D. 2020)</w:t>
      </w:r>
    </w:p>
    <w:p w:rsidR="00D52B63" w:rsidRDefault="00D52B63" w:rsidP="00D52B63">
      <w:pPr>
        <w:rPr>
          <w:rFonts w:cstheme="minorHAnsi"/>
          <w:color w:val="auto"/>
        </w:rPr>
      </w:pPr>
    </w:p>
    <w:p w:rsidR="00D52B63" w:rsidRDefault="00D52B63" w:rsidP="00D52B63">
      <w:pPr>
        <w:rPr>
          <w:rFonts w:cstheme="minorHAnsi"/>
        </w:rPr>
      </w:pPr>
      <w:r>
        <w:rPr>
          <w:rFonts w:cstheme="minorHAnsi"/>
        </w:rPr>
        <w:t>This is particularly relevant to policing and whilst the above is useful, I feel it is also potentially narrow.  Officers must understand that such roles are not mutually exclusive, indeed, throughout the course of an investigation, a person may take on one or more of these roles at any given time.  Indeed, the more complex the investigation, the greater the propensity for one person to have taken on any or all of these roles.</w:t>
      </w:r>
    </w:p>
    <w:p w:rsidR="00D52B63" w:rsidRDefault="00D52B63" w:rsidP="00D52B63">
      <w:pPr>
        <w:rPr>
          <w:rFonts w:cstheme="minorHAnsi"/>
        </w:rPr>
      </w:pPr>
    </w:p>
    <w:p w:rsidR="00D52B63" w:rsidRDefault="00D52B63" w:rsidP="00D52B63">
      <w:pPr>
        <w:rPr>
          <w:rFonts w:cstheme="minorHAnsi"/>
        </w:rPr>
      </w:pPr>
      <w:r>
        <w:rPr>
          <w:rFonts w:cstheme="minorHAnsi"/>
        </w:rPr>
        <w:t xml:space="preserve">Having gained an understanding of the terms conflict and rapport, and having completed an overview of the key elements of communication it now falls to examine the incident in detail and the decisions made therein. </w:t>
      </w:r>
    </w:p>
    <w:p w:rsidR="00D52B63" w:rsidRDefault="00D52B63" w:rsidP="00D52B63">
      <w:pPr>
        <w:rPr>
          <w:rFonts w:cstheme="minorHAnsi"/>
        </w:rPr>
      </w:pPr>
    </w:p>
    <w:p w:rsidR="00D52B63" w:rsidRDefault="00D52B63" w:rsidP="00D52B63">
      <w:pPr>
        <w:rPr>
          <w:rFonts w:cstheme="minorHAnsi"/>
        </w:rPr>
      </w:pPr>
      <w:r>
        <w:rPr>
          <w:rFonts w:cstheme="minorHAnsi"/>
        </w:rPr>
        <w:t xml:space="preserve">My colleague and I were called to an emergency response to deal with an aggressive male who was refusing to leave the family home, having had an argument with and physically assaulting his partner.  Upon attending the property we were immediately confronted the male who presented as agitated and extremely intoxicated.  Immediate consideration of the male indicated that he was of large build and had the potential, if matters escalated to pose a threat to officer safety.   </w:t>
      </w:r>
    </w:p>
    <w:p w:rsidR="00D52B63" w:rsidRDefault="00D52B63" w:rsidP="00D52B63">
      <w:pPr>
        <w:rPr>
          <w:rFonts w:cstheme="minorHAnsi"/>
        </w:rPr>
      </w:pPr>
    </w:p>
    <w:p w:rsidR="00D52B63" w:rsidRDefault="00D52B63" w:rsidP="00D52B63">
      <w:pPr>
        <w:rPr>
          <w:rFonts w:cstheme="minorHAnsi"/>
        </w:rPr>
      </w:pPr>
      <w:r>
        <w:rPr>
          <w:rFonts w:cstheme="minorHAnsi"/>
        </w:rPr>
        <w:t xml:space="preserve">We both attempted to engage with the male, advising why we were at the property, however it was clear from the outset that the he was not prepared to engage with my colleague as when asked by the male what his name was, he provided his surname and collar number, which the male did not react well to.  Sensing this, I automatically provided my first name which seemed to placate the male and de-escalate the situation.  As a result, he chose to direct further questions towards me personally, in a calm manner using my name, to which I responded in kind, using his name.  </w:t>
      </w:r>
    </w:p>
    <w:p w:rsidR="00D52B63" w:rsidRDefault="00D52B63" w:rsidP="00D52B63">
      <w:pPr>
        <w:rPr>
          <w:rFonts w:cstheme="minorHAnsi"/>
        </w:rPr>
      </w:pPr>
    </w:p>
    <w:p w:rsidR="00D52B63" w:rsidRDefault="00D52B63" w:rsidP="00D52B63">
      <w:pPr>
        <w:rPr>
          <w:rFonts w:cstheme="minorHAnsi"/>
        </w:rPr>
      </w:pPr>
      <w:r>
        <w:rPr>
          <w:rFonts w:cstheme="minorHAnsi"/>
        </w:rPr>
        <w:t>Making reference to the National Decision Model (NDM), which is a tool utilised by officers to carry out dynamic risk assessments based on all available information at a given point in time, with particular emphasis placed on the police code of ethics and learning from experiences, I took the decision to continue to engage with the male who was now presenting as calm and compliant, whilst my colleague spoke with the reporting person.   It must be noted that I did not relax my situational awareness choosing to stand outside of immediate striking distance in what is termed the personal zone, manoeuvring the person so that the wall of the house was to his back, effectively cutting off any means of escape, whilst ensuring my colleague was close enough to provide assistance if needed.</w:t>
      </w:r>
    </w:p>
    <w:p w:rsidR="00D52B63" w:rsidRDefault="00D52B63" w:rsidP="00D52B63">
      <w:pPr>
        <w:rPr>
          <w:rFonts w:cstheme="minorHAnsi"/>
        </w:rPr>
      </w:pPr>
    </w:p>
    <w:p w:rsidR="00D52B63" w:rsidRDefault="00D52B63" w:rsidP="00D52B63">
      <w:pPr>
        <w:rPr>
          <w:rFonts w:cstheme="minorHAnsi"/>
        </w:rPr>
      </w:pPr>
      <w:r>
        <w:rPr>
          <w:rFonts w:cstheme="minorHAnsi"/>
        </w:rPr>
        <w:t>Using some well-placed open questions which form part of the cone of questioning (along with probing and closed questions), I engaged with the male and asked him to explain what had gone on over the course of the afternoon.   He was relatively open in his response and stated that he had consumed significant amounts of alcohol over the course of two or more days as he had discovered that his partner had been exchanging explicit pictures and text messages with a mutual friend which resulting in a physical altercation with his partner and his turning to alcohol.</w:t>
      </w:r>
    </w:p>
    <w:p w:rsidR="00D52B63" w:rsidRDefault="00D52B63" w:rsidP="00D52B63">
      <w:pPr>
        <w:rPr>
          <w:rFonts w:cstheme="minorHAnsi"/>
        </w:rPr>
      </w:pPr>
    </w:p>
    <w:p w:rsidR="00D52B63" w:rsidRDefault="00D52B63" w:rsidP="00D52B63">
      <w:pPr>
        <w:rPr>
          <w:rFonts w:cstheme="minorHAnsi"/>
        </w:rPr>
      </w:pPr>
      <w:r>
        <w:rPr>
          <w:rFonts w:cstheme="minorHAnsi"/>
        </w:rPr>
        <w:t>At this point, from the comments provided by the male I felt that we had sufficient grounds to arrest him on suspicion of assault, however, there were two factors that needed to be addressed before taking this step, namely, an understanding of the account provided by the reporting person, including the extent of any injuries sustained which would impact directly upon the offence committed, and secondly, the issue of officer safety.  Wisely I chose to wait for my colleague to finish his discussion with the reporting person and confer with him prior to taking any further action so as to ensure that any decisions made were done in good time and with due consideration, what we in the police refer to as “slow time”.</w:t>
      </w:r>
    </w:p>
    <w:p w:rsidR="00D52B63" w:rsidRDefault="00D52B63" w:rsidP="00D52B63">
      <w:pPr>
        <w:rPr>
          <w:rFonts w:cstheme="minorHAnsi"/>
        </w:rPr>
      </w:pPr>
    </w:p>
    <w:p w:rsidR="00D52B63" w:rsidRDefault="00D52B63" w:rsidP="00D52B63">
      <w:pPr>
        <w:rPr>
          <w:rFonts w:cstheme="minorHAnsi"/>
        </w:rPr>
      </w:pPr>
      <w:r>
        <w:rPr>
          <w:rFonts w:cstheme="minorHAnsi"/>
        </w:rPr>
        <w:t>Throughout my conversation with the male, I made sure to engage in active listening, made regular eye contact and showed empathy surrounding his disclosed alcohol dependency.  The male attempted to engage me in a line of communication regarding the behaviour of his partner, however, I took the most prudent course of action in these circumstances and chose to stay quiet rather than inflame the situation further.</w:t>
      </w:r>
    </w:p>
    <w:p w:rsidR="00D52B63" w:rsidRDefault="00D52B63" w:rsidP="00D52B63">
      <w:pPr>
        <w:rPr>
          <w:rFonts w:cstheme="minorHAnsi"/>
        </w:rPr>
      </w:pPr>
    </w:p>
    <w:p w:rsidR="00D52B63" w:rsidRDefault="00D52B63" w:rsidP="00D52B63">
      <w:pPr>
        <w:rPr>
          <w:rFonts w:cstheme="minorHAnsi"/>
        </w:rPr>
      </w:pPr>
      <w:r>
        <w:rPr>
          <w:rFonts w:cstheme="minorHAnsi"/>
        </w:rPr>
        <w:t xml:space="preserve">A consultation with my colleague out of earshot of the male indicated that the reporting person had sustained a level of injury commensurate with the offence of Assault Occasioning Actual Bodily Harm in line with </w:t>
      </w:r>
      <w:r w:rsidRPr="00F06F63">
        <w:rPr>
          <w:rFonts w:cstheme="minorHAnsi"/>
          <w:i/>
        </w:rPr>
        <w:t>S.47 Offences Against the Person Act 1861</w:t>
      </w:r>
      <w:r>
        <w:rPr>
          <w:rFonts w:cstheme="minorHAnsi"/>
        </w:rPr>
        <w:t xml:space="preserve"> and a decision was made to arrest the male, as South Wales Police policy dictates that positive action must be taken in all instance of domestic violence.  It was at this point, having complied with all requirements for a lawful arrest, due to the nature of the offence and having an understanding that the male had previously demonstrated aggression towards my colleague, I chose to handcuff the male to the rear.  I engaged the male in conversation and advised that for everyone’s safety we would need to place him in handcuffs.  This brief explanation resulted in the male voluntarily placing his hands to the rear, thus the use of force required was minimal.  A further example, if one were needed, that effective communication can make our job significantly easier.  I have no doubt that if I simply approached him and attempted to handcuff without an explanation, significant force would have been required to achieve the aim, which is not at all desirable. </w:t>
      </w:r>
    </w:p>
    <w:p w:rsidR="00D52B63" w:rsidRDefault="00D52B63" w:rsidP="00D52B63">
      <w:pPr>
        <w:rPr>
          <w:rFonts w:cstheme="minorHAnsi"/>
        </w:rPr>
      </w:pPr>
    </w:p>
    <w:p w:rsidR="00D52B63" w:rsidRDefault="00D52B63" w:rsidP="00D52B63">
      <w:pPr>
        <w:rPr>
          <w:rFonts w:cstheme="minorHAnsi"/>
        </w:rPr>
      </w:pPr>
      <w:r>
        <w:rPr>
          <w:rFonts w:cstheme="minorHAnsi"/>
        </w:rPr>
        <w:t xml:space="preserve">As with all decisions in policing, I made reference to the NDM, understanding not only that I had the power to place the male in handcuffs but that, in doing so I must ensure that my decision was justifiable and proportionate taking into account all available factors.  The police use the mnemonic JPLANE to assist officers in making such decisions which illustrates that all decisions must be justified, proportionate, lawful, accountable, necessary and ethical.  I feel that effective communication and rapport building in this instance enabled me to de-escalate a potentially volatile situation, ensuring that the eventual use of force was the minimal amount practicable and necessary given the circumstances.  </w:t>
      </w:r>
    </w:p>
    <w:p w:rsidR="00D52B63" w:rsidRDefault="00D52B63" w:rsidP="00D52B63">
      <w:pPr>
        <w:rPr>
          <w:rFonts w:cstheme="minorHAnsi"/>
        </w:rPr>
      </w:pPr>
    </w:p>
    <w:p w:rsidR="00D52B63" w:rsidRDefault="00D52B63" w:rsidP="00D52B63">
      <w:pPr>
        <w:rPr>
          <w:rFonts w:cstheme="minorHAnsi"/>
        </w:rPr>
      </w:pPr>
      <w:r>
        <w:rPr>
          <w:rFonts w:cstheme="minorHAnsi"/>
        </w:rPr>
        <w:t xml:space="preserve">It now falls, following Gibbs’ Reflective Cycle to reflect upon my feelings during the incident and reflect on my performance, describing what I have learned and how I will implement these learnings in the future.  </w:t>
      </w:r>
    </w:p>
    <w:p w:rsidR="00D52B63" w:rsidRDefault="00D52B63" w:rsidP="00D52B63">
      <w:pPr>
        <w:rPr>
          <w:rFonts w:eastAsiaTheme="minorHAnsi" w:cstheme="minorBidi"/>
          <w:lang w:eastAsia="en-US"/>
        </w:rPr>
      </w:pPr>
    </w:p>
    <w:p w:rsidR="00D52B63" w:rsidRDefault="00D52B63" w:rsidP="00D52B63">
      <w:r>
        <w:t>At the time I was feeling a healthy amount of nervous anticipation, not so much that it impaired my abilities, but enough to ensure that I maintained situational awareness whilst ensuring my focus was on achieving the best outcome for all parties.  I feel this will be key throughout my policing career, as, if one becomes complacent it can lead to mistakes and due to the nature of our roles, this could have significant consequences for officer safety and public perception of the police.</w:t>
      </w:r>
    </w:p>
    <w:p w:rsidR="00D52B63" w:rsidRDefault="00D52B63" w:rsidP="00D52B63"/>
    <w:p w:rsidR="00D52B63" w:rsidRDefault="00D52B63" w:rsidP="00D52B63">
      <w:r>
        <w:t>Being young in service, I find I spend significant amounts of time reflecting upon and evaluating my performance in given situations, analysing what worked and what didn’t work so that I may learn from the experiences and improve in future.  Indeed, this is a key element of the NDM so its importance can not be overstated.  In this instance, I feel that my actions, whilst different from that of my colleague were the best option available to me.  Indeed, it may be argued that my inexperience was to some advantage here, as, in civilian life, when someone asks your name, you generally provide your first name, hence, it felt natural in this instance to do the same.  Looking back, perhaps I should have taken slightly longer to think about the circumstances we were presented with and attempted to engage rational thought process rather than acting on learned behaviour or societal norms.  This is something that I have discussed with colleagues and with a view to the future will endeavour to put into place not least to ensure officers and families are safeguarded.</w:t>
      </w:r>
    </w:p>
    <w:p w:rsidR="00D52B63" w:rsidRDefault="00D52B63" w:rsidP="00D52B63"/>
    <w:p w:rsidR="00D52B63" w:rsidRDefault="00D52B63" w:rsidP="00D52B63">
      <w:r>
        <w:t>This incident has taught me valuable lessons, in that, no two people will read a situation in the same way, be they officers or members of the public.  Actions that may seem reasonable and necessary to those with experience of such matters, may not be seen as such by victims or offenders.  Similarly, actions taken on impulse, whilst well intended, may not be the best course of action in reality.  Where possible, officers should seek to give themselves time to fully consider all options available to them, evaluating the benefits and drawbacks, whilst ensuring officer safety and safety of the public are paramount, after all, the first duty of an officer is to preserve life.</w:t>
      </w:r>
    </w:p>
    <w:p w:rsidR="00D52B63" w:rsidRDefault="00D52B63" w:rsidP="00D52B63"/>
    <w:p w:rsidR="00D52B63" w:rsidRDefault="00D52B63" w:rsidP="00D52B63">
      <w:r>
        <w:t>In conclusion, in this time of increased public scrutiny and with the prevalence of social media, officers must be aware that they are under constant surveillance and it is more important than ever that we use effective communication skills, be they verbal, non-verbal or tactical questioning to achieve the best outcome possible, whilst explaining our actions so that those in the vicinity understand what is happening.</w:t>
      </w:r>
    </w:p>
    <w:p w:rsidR="00AA666E" w:rsidRPr="00D52B63" w:rsidRDefault="00D52B63" w:rsidP="00E6298B">
      <w:pPr>
        <w:ind w:right="107"/>
        <w:jc w:val="both"/>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691E4A">
        <w:t>2</w:t>
      </w:r>
      <w:r w:rsidRPr="00D52B63">
        <w:t>7</w:t>
      </w:r>
      <w:r w:rsidR="00691E4A">
        <w:t>4</w:t>
      </w:r>
      <w:r w:rsidRPr="00D52B63">
        <w:t>9 words</w:t>
      </w:r>
      <w:r>
        <w:t>.</w:t>
      </w:r>
    </w:p>
    <w:p w:rsidR="00AA666E" w:rsidRPr="00270EEB" w:rsidRDefault="00AA666E"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AA666E" w:rsidRPr="00270EEB" w:rsidRDefault="00AA666E" w:rsidP="00E6298B">
      <w:pPr>
        <w:ind w:right="107"/>
        <w:jc w:val="both"/>
        <w:rPr>
          <w:sz w:val="24"/>
          <w:szCs w:val="24"/>
        </w:rPr>
      </w:pPr>
    </w:p>
    <w:p w:rsidR="00AA666E" w:rsidRPr="00025650" w:rsidRDefault="00AA666E" w:rsidP="00E6298B">
      <w:pPr>
        <w:ind w:right="107"/>
        <w:jc w:val="both"/>
        <w:rPr>
          <w:b/>
          <w:sz w:val="24"/>
          <w:szCs w:val="24"/>
        </w:rPr>
      </w:pPr>
    </w:p>
    <w:p w:rsidR="00025650" w:rsidRDefault="00025650" w:rsidP="00E6298B">
      <w:pPr>
        <w:ind w:right="107"/>
      </w:pPr>
      <w:r>
        <w:br w:type="page"/>
      </w:r>
    </w:p>
    <w:p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rsidR="00AA37BB" w:rsidRDefault="00AA37BB"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AA37BB" w:rsidRDefault="00AA37BB" w:rsidP="00E6298B">
      <w:pPr>
        <w:ind w:right="107"/>
        <w:jc w:val="both"/>
        <w:rPr>
          <w:b/>
          <w:sz w:val="24"/>
          <w:szCs w:val="24"/>
        </w:rPr>
      </w:pPr>
      <w:r>
        <w:rPr>
          <w:b/>
          <w:sz w:val="24"/>
          <w:szCs w:val="24"/>
        </w:rPr>
        <w:t xml:space="preserve">Criminal Justice, Valuing difference and inclusion </w:t>
      </w:r>
    </w:p>
    <w:p w:rsidR="00112751" w:rsidRDefault="00112751" w:rsidP="00E6298B">
      <w:pPr>
        <w:ind w:right="107"/>
        <w:jc w:val="both"/>
        <w:rPr>
          <w:sz w:val="24"/>
          <w:szCs w:val="24"/>
          <w:highlight w:val="yellow"/>
        </w:rPr>
      </w:pPr>
    </w:p>
    <w:p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112751" w:rsidRDefault="00112751" w:rsidP="00E6298B">
      <w:pPr>
        <w:ind w:right="107"/>
        <w:jc w:val="both"/>
        <w:rPr>
          <w:b/>
          <w:sz w:val="24"/>
          <w:szCs w:val="24"/>
          <w:u w:val="single"/>
        </w:rPr>
      </w:pPr>
    </w:p>
    <w:p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rsidTr="28A9B94D">
        <w:tc>
          <w:tcPr>
            <w:tcW w:w="10188" w:type="dxa"/>
            <w:shd w:val="clear" w:color="auto" w:fill="auto"/>
          </w:tcPr>
          <w:p w:rsidR="00112751" w:rsidRPr="00025650" w:rsidRDefault="00112751" w:rsidP="00E6298B">
            <w:pPr>
              <w:ind w:right="107"/>
              <w:rPr>
                <w:b/>
                <w:sz w:val="24"/>
                <w:szCs w:val="24"/>
              </w:rPr>
            </w:pPr>
            <w:r w:rsidRPr="00025650">
              <w:rPr>
                <w:b/>
                <w:sz w:val="24"/>
                <w:szCs w:val="24"/>
              </w:rPr>
              <w:t xml:space="preserve"> </w:t>
            </w:r>
          </w:p>
          <w:p w:rsidR="00112751" w:rsidRDefault="00112751" w:rsidP="00E6298B">
            <w:pPr>
              <w:ind w:right="107"/>
              <w:rPr>
                <w:sz w:val="24"/>
                <w:szCs w:val="24"/>
              </w:rPr>
            </w:pPr>
          </w:p>
          <w:p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rsidR="00112751" w:rsidRDefault="00112751" w:rsidP="00E6298B">
            <w:pPr>
              <w:ind w:right="107"/>
              <w:rPr>
                <w:sz w:val="24"/>
                <w:szCs w:val="24"/>
              </w:rPr>
            </w:pPr>
          </w:p>
          <w:p w:rsidR="00112751" w:rsidRDefault="00112751" w:rsidP="28A9B94D">
            <w:pPr>
              <w:ind w:right="107"/>
              <w:rPr>
                <w:sz w:val="24"/>
                <w:szCs w:val="24"/>
              </w:rPr>
            </w:pPr>
          </w:p>
          <w:p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rsidR="00112751" w:rsidRDefault="00112751" w:rsidP="00E6298B">
            <w:pPr>
              <w:ind w:right="107"/>
              <w:rPr>
                <w:sz w:val="24"/>
                <w:szCs w:val="24"/>
              </w:rPr>
            </w:pPr>
          </w:p>
          <w:p w:rsidR="00112751" w:rsidRDefault="00112751" w:rsidP="00E6298B">
            <w:pPr>
              <w:ind w:right="107"/>
              <w:jc w:val="both"/>
              <w:rPr>
                <w:sz w:val="24"/>
                <w:szCs w:val="24"/>
              </w:rPr>
            </w:pPr>
          </w:p>
          <w:p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112751" w:rsidRPr="00270EEB" w:rsidRDefault="00112751" w:rsidP="00E6298B">
            <w:pPr>
              <w:ind w:right="107"/>
              <w:rPr>
                <w:sz w:val="24"/>
                <w:szCs w:val="24"/>
              </w:rPr>
            </w:pPr>
          </w:p>
          <w:p w:rsidR="00112751" w:rsidRPr="00270EEB" w:rsidRDefault="00112751" w:rsidP="00E6298B">
            <w:pPr>
              <w:ind w:right="107"/>
              <w:jc w:val="both"/>
              <w:rPr>
                <w:sz w:val="24"/>
                <w:szCs w:val="24"/>
              </w:rPr>
            </w:pPr>
          </w:p>
          <w:p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rsidR="00112751" w:rsidRPr="00270EEB" w:rsidRDefault="00112751" w:rsidP="00E6298B">
            <w:pPr>
              <w:ind w:right="107"/>
              <w:jc w:val="both"/>
              <w:rPr>
                <w:sz w:val="24"/>
                <w:szCs w:val="24"/>
              </w:rPr>
            </w:pPr>
          </w:p>
        </w:tc>
      </w:tr>
    </w:tbl>
    <w:p w:rsidR="00112751" w:rsidRPr="00270EEB" w:rsidRDefault="00112751" w:rsidP="00E6298B">
      <w:pPr>
        <w:ind w:right="107"/>
        <w:jc w:val="both"/>
        <w:rPr>
          <w:sz w:val="24"/>
          <w:szCs w:val="24"/>
        </w:rPr>
      </w:pPr>
    </w:p>
    <w:p w:rsidR="00112751" w:rsidRPr="00450C83" w:rsidRDefault="00112751" w:rsidP="00E6298B">
      <w:pPr>
        <w:ind w:right="107"/>
        <w:jc w:val="both"/>
        <w:rPr>
          <w:b/>
          <w:sz w:val="24"/>
          <w:szCs w:val="24"/>
        </w:rPr>
      </w:pPr>
      <w:r w:rsidRPr="00450C83">
        <w:rPr>
          <w:b/>
          <w:sz w:val="24"/>
          <w:szCs w:val="24"/>
        </w:rPr>
        <w:t>ANSWER:</w:t>
      </w:r>
    </w:p>
    <w:p w:rsidR="00112751" w:rsidRPr="00270EEB" w:rsidRDefault="00112751" w:rsidP="00E6298B">
      <w:pPr>
        <w:ind w:right="107"/>
        <w:jc w:val="both"/>
        <w:rPr>
          <w:sz w:val="24"/>
          <w:szCs w:val="24"/>
        </w:rPr>
      </w:pPr>
    </w:p>
    <w:p w:rsidR="001111EE" w:rsidRPr="005B12DD" w:rsidRDefault="001111EE" w:rsidP="001111EE">
      <w:r w:rsidRPr="005B12DD">
        <w:t>This question relates to officer responsibilities and procedures when dealing with victims and witnesses through the criminal justice system, specifically in light of relevant Codes of Practice, critically evaluating the thought process involved and reflecting upon the outcome of the situation, focussing on key areas of the National Policing Curriculum around criminal justice and valuing difference and inclusion. I therefore intend to cover, using the Gibbs Process of Reflection, my actions in a given policing incident, the thought process(es) I used to determine the relevant course of action</w:t>
      </w:r>
      <w:r>
        <w:t xml:space="preserve"> and how I have developed as an officer from the experience</w:t>
      </w:r>
      <w:r w:rsidRPr="005B12DD">
        <w:t>.</w:t>
      </w:r>
    </w:p>
    <w:p w:rsidR="001111EE" w:rsidRPr="005B12DD" w:rsidRDefault="001111EE" w:rsidP="001111EE"/>
    <w:p w:rsidR="001111EE" w:rsidRDefault="001111EE" w:rsidP="001111EE">
      <w:r w:rsidRPr="005B12DD">
        <w:t>Prior to discussing the particular incident in detail, I feel it would be beneficial to first gain an understanding as to what constitutes</w:t>
      </w:r>
      <w:r>
        <w:t xml:space="preserve"> both victims and witnesses so that one can better understand the subtle differences between each.  The Code of Practice for Victims of Crime defines a victim as:</w:t>
      </w:r>
    </w:p>
    <w:p w:rsidR="001111EE" w:rsidRDefault="001111EE" w:rsidP="001111EE"/>
    <w:p w:rsidR="001111EE" w:rsidRDefault="001111EE" w:rsidP="001111EE">
      <w:pPr>
        <w:ind w:left="720"/>
      </w:pPr>
      <w:r>
        <w:t>… a person who has suffered harm, including physical, mental or emotional harm or economic loss which was directly caused by a criminal offence; a close relative (or a nominated family spokesperson) of a person whose death was directly caused by a criminal offence…a parent or guardian of the victim if the victim is under 18 years of age; or a nominated family spokesperson if the victim has a mental impairment or has been so badly injured because of a criminal offence that they are unable to communicate or lacks the capacity to do so…</w:t>
      </w:r>
      <w:r>
        <w:tab/>
      </w:r>
      <w:r>
        <w:tab/>
      </w:r>
      <w:r>
        <w:tab/>
      </w:r>
      <w:r>
        <w:tab/>
      </w:r>
      <w:r w:rsidR="00F06F63">
        <w:tab/>
      </w:r>
      <w:r w:rsidR="00F06F63">
        <w:tab/>
      </w:r>
      <w:r w:rsidR="00F06F63">
        <w:tab/>
      </w:r>
      <w:r w:rsidR="00F06F63">
        <w:tab/>
      </w:r>
      <w:r w:rsidR="00F06F63">
        <w:tab/>
      </w:r>
      <w:r w:rsidR="00F06F63">
        <w:tab/>
      </w:r>
      <w:r w:rsidR="00F06F63">
        <w:tab/>
      </w:r>
      <w:r w:rsidR="00F06F63">
        <w:tab/>
      </w:r>
      <w:r w:rsidR="00F06F63">
        <w:tab/>
      </w:r>
      <w:r w:rsidR="00F06F63">
        <w:tab/>
      </w:r>
      <w:r>
        <w:t>(Ministry of Justice 2020)</w:t>
      </w:r>
    </w:p>
    <w:p w:rsidR="001111EE" w:rsidRDefault="001111EE" w:rsidP="001111EE"/>
    <w:p w:rsidR="001111EE" w:rsidRPr="005B12DD" w:rsidRDefault="001111EE" w:rsidP="001111EE">
      <w:r>
        <w:t>The Code of Practice goes further and places a positive obligation upon entities such as the police stating “all service providers must have the victim’s best interests as their primary consideration and take the victim’s age, maturity, views, needs and concerns fully into account.”  Ministry of Justice 2020.</w:t>
      </w:r>
    </w:p>
    <w:p w:rsidR="001111EE" w:rsidRDefault="001111EE" w:rsidP="001111EE"/>
    <w:p w:rsidR="001111EE" w:rsidRDefault="001111EE" w:rsidP="001111EE">
      <w:r>
        <w:t>Furthermore, the Code of Practice sets out twelve unassailable rights that all victims possess:</w:t>
      </w:r>
    </w:p>
    <w:p w:rsidR="001111EE" w:rsidRDefault="001111EE" w:rsidP="001111EE">
      <w:pPr>
        <w:ind w:firstLine="720"/>
      </w:pPr>
    </w:p>
    <w:p w:rsidR="001111EE" w:rsidRDefault="001111EE" w:rsidP="001111EE">
      <w:pPr>
        <w:ind w:left="720"/>
      </w:pPr>
      <w:r>
        <w:t>…To be able to understand and to be understood.  To have the details of the crime recorded without unjustified delay.  To be provided with information when reporting the crime.  To be referred to services that support victims and have services and support tailored to your needs.  To be provided with information about compensation.  To be provided with information about the investigation and prosecution.  To make a Victim Personal Statement.  To be given information about the trial, trial process and your role as a witness.  To be given information about the outcome of the case and any appeals.  To be paid expenses and have property returned.  To be given information about the offender following a conviction.  To make a complaint about your Rights not being met.</w:t>
      </w:r>
      <w:r>
        <w:tab/>
      </w:r>
      <w:r>
        <w:tab/>
      </w:r>
      <w:r w:rsidR="00F06F63">
        <w:tab/>
      </w:r>
      <w:r w:rsidR="00F06F63">
        <w:tab/>
      </w:r>
      <w:r w:rsidR="00F06F63">
        <w:tab/>
      </w:r>
      <w:r w:rsidR="00F06F63">
        <w:tab/>
      </w:r>
      <w:r w:rsidR="00F06F63">
        <w:tab/>
      </w:r>
      <w:r w:rsidR="00F06F63">
        <w:tab/>
      </w:r>
      <w:r w:rsidR="00F06F63">
        <w:tab/>
      </w:r>
      <w:r w:rsidR="00F06F63">
        <w:tab/>
      </w:r>
      <w:r>
        <w:t>(Ministry of Justice 2020)</w:t>
      </w:r>
    </w:p>
    <w:p w:rsidR="001111EE" w:rsidRDefault="001111EE" w:rsidP="001111EE"/>
    <w:p w:rsidR="001111EE" w:rsidRDefault="001111EE" w:rsidP="001111EE">
      <w:r>
        <w:t>An alternative, but equally enlightening definition of a victim is provided by Lac and Donaldson when making reference to the Drama Triangle, indicating:</w:t>
      </w:r>
    </w:p>
    <w:p w:rsidR="001111EE" w:rsidRDefault="001111EE" w:rsidP="001111EE"/>
    <w:p w:rsidR="001111EE" w:rsidRPr="00202DDA" w:rsidRDefault="001111EE" w:rsidP="001111EE">
      <w:pPr>
        <w:ind w:left="720"/>
        <w:rPr>
          <w:color w:val="333333"/>
          <w:sz w:val="21"/>
          <w:szCs w:val="21"/>
          <w:shd w:val="clear" w:color="auto" w:fill="FFFFFF"/>
        </w:rPr>
      </w:pPr>
      <w:r w:rsidRPr="005D7658">
        <w:rPr>
          <w:rFonts w:cstheme="minorHAnsi"/>
          <w:iCs/>
        </w:rPr>
        <w:t>Victims</w:t>
      </w:r>
      <w:r w:rsidRPr="005D7658">
        <w:rPr>
          <w:rFonts w:cstheme="minorHAnsi"/>
        </w:rPr>
        <w:t> </w:t>
      </w:r>
      <w:r w:rsidRPr="008C2ADF">
        <w:rPr>
          <w:rFonts w:cstheme="minorHAnsi"/>
        </w:rPr>
        <w:t xml:space="preserve">communicate helplessness and oppression and perceive that primarily undesirable and </w:t>
      </w:r>
      <w:r w:rsidRPr="005D7658">
        <w:rPr>
          <w:rFonts w:cstheme="minorHAnsi"/>
          <w:color w:val="auto"/>
        </w:rPr>
        <w:t>uncontrollable events have happened and will happen to them (</w:t>
      </w:r>
      <w:hyperlink r:id="rId35" w:history="1">
        <w:r w:rsidRPr="005D7658">
          <w:rPr>
            <w:rStyle w:val="Hyperlink"/>
            <w:rFonts w:cstheme="minorHAnsi"/>
            <w:color w:val="auto"/>
          </w:rPr>
          <w:t>Burgess, 2005</w:t>
        </w:r>
      </w:hyperlink>
      <w:r w:rsidRPr="005D7658">
        <w:rPr>
          <w:rFonts w:cstheme="minorHAnsi"/>
          <w:color w:val="auto"/>
        </w:rPr>
        <w:t>; </w:t>
      </w:r>
      <w:hyperlink r:id="rId36" w:history="1">
        <w:r w:rsidRPr="005D7658">
          <w:rPr>
            <w:rStyle w:val="Hyperlink"/>
            <w:rFonts w:cstheme="minorHAnsi"/>
            <w:color w:val="auto"/>
          </w:rPr>
          <w:t>Carr, 1989</w:t>
        </w:r>
      </w:hyperlink>
      <w:r w:rsidRPr="005D7658">
        <w:rPr>
          <w:rFonts w:cstheme="minorHAnsi"/>
          <w:color w:val="auto"/>
        </w:rPr>
        <w:t>; </w:t>
      </w:r>
      <w:hyperlink r:id="rId37" w:history="1">
        <w:r w:rsidRPr="005D7658">
          <w:rPr>
            <w:rStyle w:val="Hyperlink"/>
            <w:rFonts w:cstheme="minorHAnsi"/>
            <w:color w:val="auto"/>
          </w:rPr>
          <w:t>McKimm &amp; Forrest, 2010</w:t>
        </w:r>
      </w:hyperlink>
      <w:r w:rsidRPr="005D7658">
        <w:rPr>
          <w:rFonts w:cstheme="minorHAnsi"/>
          <w:color w:val="auto"/>
        </w:rPr>
        <w:t>). Although people assuming this role may or may not be actual victims, these individuals believe that they are unable to make decisions, have difficulties solving their problems, and perceive powerlessness against others (</w:t>
      </w:r>
      <w:hyperlink r:id="rId38" w:history="1">
        <w:r w:rsidRPr="005D7658">
          <w:rPr>
            <w:rStyle w:val="Hyperlink"/>
            <w:rFonts w:cstheme="minorHAnsi"/>
            <w:color w:val="auto"/>
          </w:rPr>
          <w:t>McMahon, 2005</w:t>
        </w:r>
      </w:hyperlink>
      <w:r w:rsidRPr="005D7658">
        <w:rPr>
          <w:rFonts w:cstheme="minorHAnsi"/>
          <w:color w:val="auto"/>
        </w:rPr>
        <w:t>). They are characterized by negative feelings and depressed states. Victimhood yields painful emotional experiences, including anxiety, fear, hopelessness, and sadness (</w:t>
      </w:r>
      <w:hyperlink r:id="rId39" w:history="1">
        <w:r w:rsidRPr="005D7658">
          <w:rPr>
            <w:rStyle w:val="Hyperlink"/>
            <w:rFonts w:cstheme="minorHAnsi"/>
            <w:color w:val="auto"/>
          </w:rPr>
          <w:t>Shmelev, 2015</w:t>
        </w:r>
      </w:hyperlink>
      <w:r w:rsidRPr="005D7658">
        <w:rPr>
          <w:rFonts w:cstheme="minorHAnsi"/>
          <w:color w:val="auto"/>
        </w:rPr>
        <w:t>). In the dynamic of the drama triangle, every conflict scenario requires a person adopting the Victim role, because Victims receive blame from the Persecutor and help from the Rescuer (</w:t>
      </w:r>
      <w:hyperlink r:id="rId40" w:history="1">
        <w:r w:rsidRPr="005D7658">
          <w:rPr>
            <w:rStyle w:val="Hyperlink"/>
            <w:rFonts w:cstheme="minorHAnsi"/>
            <w:color w:val="auto"/>
          </w:rPr>
          <w:t>Karpman, 1968</w:t>
        </w:r>
      </w:hyperlink>
      <w:r w:rsidRPr="005D7658">
        <w:rPr>
          <w:rFonts w:cstheme="minorHAnsi"/>
          <w:color w:val="auto"/>
        </w:rPr>
        <w:t>).</w:t>
      </w:r>
      <w:r w:rsidRPr="005D7658">
        <w:rPr>
          <w:rFonts w:cstheme="minorHAnsi"/>
          <w:color w:val="auto"/>
        </w:rPr>
        <w:tab/>
      </w:r>
      <w:r>
        <w:rPr>
          <w:rFonts w:cstheme="minorHAnsi"/>
        </w:rPr>
        <w:tab/>
        <w:t>(</w:t>
      </w:r>
      <w:r>
        <w:rPr>
          <w:color w:val="333333"/>
          <w:sz w:val="21"/>
          <w:szCs w:val="21"/>
          <w:shd w:val="clear" w:color="auto" w:fill="FFFFFF"/>
        </w:rPr>
        <w:t>Lac, A. and Donaldson, C. D. 2020)</w:t>
      </w:r>
    </w:p>
    <w:p w:rsidR="001111EE" w:rsidRDefault="001111EE" w:rsidP="001111EE">
      <w:pPr>
        <w:rPr>
          <w:rFonts w:cstheme="minorHAnsi"/>
          <w:shd w:val="clear" w:color="auto" w:fill="FFFFFF"/>
        </w:rPr>
      </w:pPr>
    </w:p>
    <w:p w:rsidR="001111EE" w:rsidRDefault="001111EE" w:rsidP="001111EE">
      <w:pPr>
        <w:rPr>
          <w:rFonts w:cstheme="minorHAnsi"/>
        </w:rPr>
      </w:pPr>
      <w:r>
        <w:rPr>
          <w:rFonts w:cstheme="minorHAnsi"/>
          <w:shd w:val="clear" w:color="auto" w:fill="FFFFFF"/>
        </w:rPr>
        <w:t>Cheng and Nunn</w:t>
      </w:r>
      <w:r w:rsidRPr="00DA0B9D">
        <w:rPr>
          <w:rFonts w:cstheme="minorHAnsi"/>
          <w:shd w:val="clear" w:color="auto" w:fill="FFFFFF"/>
        </w:rPr>
        <w:t xml:space="preserve"> 2019</w:t>
      </w:r>
      <w:r>
        <w:rPr>
          <w:rFonts w:cstheme="minorHAnsi"/>
          <w:shd w:val="clear" w:color="auto" w:fill="FFFFFF"/>
        </w:rPr>
        <w:t xml:space="preserve"> illustrate that a</w:t>
      </w:r>
      <w:r w:rsidRPr="00DA0B9D">
        <w:rPr>
          <w:rFonts w:cstheme="minorHAnsi"/>
        </w:rPr>
        <w:t xml:space="preserve"> witness differs from a victim in</w:t>
      </w:r>
      <w:r>
        <w:rPr>
          <w:rFonts w:cstheme="minorHAnsi"/>
        </w:rPr>
        <w:t xml:space="preserve"> that:</w:t>
      </w:r>
    </w:p>
    <w:p w:rsidR="001111EE" w:rsidRDefault="001111EE" w:rsidP="001111EE">
      <w:pPr>
        <w:rPr>
          <w:rFonts w:cstheme="minorHAnsi"/>
        </w:rPr>
      </w:pPr>
    </w:p>
    <w:p w:rsidR="001111EE" w:rsidRDefault="001111EE" w:rsidP="001111EE">
      <w:pPr>
        <w:ind w:left="720"/>
        <w:rPr>
          <w:rFonts w:cstheme="minorHAnsi"/>
          <w:shd w:val="clear" w:color="auto" w:fill="FFFFFF"/>
        </w:rPr>
      </w:pPr>
      <w:r w:rsidRPr="00DA0B9D">
        <w:rPr>
          <w:rFonts w:cstheme="minorHAnsi"/>
        </w:rPr>
        <w:t>… witness is the fo</w:t>
      </w:r>
      <w:r>
        <w:rPr>
          <w:rFonts w:cstheme="minorHAnsi"/>
        </w:rPr>
        <w:t>cal point of the modern trial.</w:t>
      </w:r>
      <w:r w:rsidRPr="00DA0B9D">
        <w:rPr>
          <w:rFonts w:cstheme="minorHAnsi"/>
        </w:rPr>
        <w:t xml:space="preserve"> In determining guilt or innocence, liability or the absence thereof, factfinders often turn to the witness-box to receive and weigh information from knowledgeable persons. Did a defendant possess the requisite mens rea for a particular crime?...Witnesses relay eyewitness accounts of the events in question, providing factfinders pertinent, first</w:t>
      </w:r>
      <w:r>
        <w:rPr>
          <w:rFonts w:cstheme="minorHAnsi"/>
        </w:rPr>
        <w:t xml:space="preserve"> </w:t>
      </w:r>
      <w:r w:rsidRPr="00DA0B9D">
        <w:rPr>
          <w:rFonts w:cstheme="minorHAnsi"/>
        </w:rPr>
        <w:t>hand information. They offer opinions about character-claims that an individual is trustworthy or dis</w:t>
      </w:r>
      <w:r>
        <w:rPr>
          <w:rFonts w:cstheme="minorHAnsi"/>
        </w:rPr>
        <w:t>honest, aggressive or peaceful…</w:t>
      </w:r>
      <w:r w:rsidRPr="00DA0B9D">
        <w:rPr>
          <w:rFonts w:cstheme="minorHAnsi"/>
        </w:rPr>
        <w:t>in many cases, they are the conduit through which certain forms of admissible hearsay enter the courtroom, informing factfinders of a third party's excited utterance or dying declaration.</w:t>
      </w:r>
      <w:r w:rsidRPr="00DA0B9D">
        <w:rPr>
          <w:rFonts w:cstheme="minorHAnsi"/>
        </w:rPr>
        <w:tab/>
      </w:r>
      <w:r w:rsidRPr="00DA0B9D">
        <w:rPr>
          <w:rFonts w:cstheme="minorHAnsi"/>
        </w:rPr>
        <w:tab/>
      </w:r>
      <w:r>
        <w:rPr>
          <w:rFonts w:cstheme="minorHAnsi"/>
        </w:rPr>
        <w:tab/>
      </w:r>
      <w:r>
        <w:rPr>
          <w:rFonts w:cstheme="minorHAnsi"/>
        </w:rPr>
        <w:tab/>
      </w:r>
      <w:r>
        <w:rPr>
          <w:rFonts w:cstheme="minorHAnsi"/>
        </w:rPr>
        <w:tab/>
      </w:r>
      <w:r w:rsidRPr="00DA0B9D">
        <w:rPr>
          <w:rFonts w:cstheme="minorHAnsi"/>
        </w:rPr>
        <w:t>(</w:t>
      </w:r>
      <w:r w:rsidRPr="00DA0B9D">
        <w:rPr>
          <w:rFonts w:cstheme="minorHAnsi"/>
          <w:shd w:val="clear" w:color="auto" w:fill="FFFFFF"/>
        </w:rPr>
        <w:t>Cheng, E.K and Nunn, G.A 2019 pp. 1077-1124)</w:t>
      </w:r>
    </w:p>
    <w:p w:rsidR="001111EE" w:rsidRDefault="001111EE" w:rsidP="001111EE">
      <w:pPr>
        <w:rPr>
          <w:rFonts w:cstheme="minorHAnsi"/>
          <w:shd w:val="clear" w:color="auto" w:fill="FFFFFF"/>
        </w:rPr>
      </w:pPr>
    </w:p>
    <w:p w:rsidR="001111EE" w:rsidRDefault="001111EE" w:rsidP="001111EE">
      <w:pPr>
        <w:rPr>
          <w:rFonts w:cstheme="minorHAnsi"/>
          <w:shd w:val="clear" w:color="auto" w:fill="FFFFFF"/>
        </w:rPr>
      </w:pPr>
      <w:r>
        <w:rPr>
          <w:rFonts w:cstheme="minorHAnsi"/>
          <w:shd w:val="clear" w:color="auto" w:fill="FFFFFF"/>
        </w:rPr>
        <w:t>It is important for officers to be aware that the roles of victim and witness are not mutually exclusive, indeed it is possible for a person to be both witness and victim.  This is very often the case when faced with instances of domestic violence.  Furthermore, it is possible that a person may take on the role of victim, witness and/or suspect, moving through each role as an investigation progresses.  Frequently, officers are presented with a case of domestic violence where one party has physically assaulted another, and in these instances it would be all too easy for an officer to simply assign the role(s) of victim and witness to the recipient of the physical attack and the role of suspect or aggressor to the perpetrator of the violence.  However, that would be too simplistic, it is all too real a possibility that the person who has struck the other has been a long standing victim of crime, encompassing anything from domestic violence to coercive control and has simply reached the end of their patience, or even have attempted to escape their oppressor, resulting in a physical altercation, so it is incumbent upon officers to keep an open mind in all cases.</w:t>
      </w:r>
    </w:p>
    <w:p w:rsidR="001111EE" w:rsidRDefault="001111EE" w:rsidP="001111EE">
      <w:pPr>
        <w:rPr>
          <w:rFonts w:cstheme="minorHAnsi"/>
          <w:shd w:val="clear" w:color="auto" w:fill="FFFFFF"/>
        </w:rPr>
      </w:pPr>
    </w:p>
    <w:p w:rsidR="001111EE" w:rsidRDefault="001111EE" w:rsidP="001111EE">
      <w:pPr>
        <w:rPr>
          <w:rFonts w:cstheme="minorHAnsi"/>
          <w:shd w:val="clear" w:color="auto" w:fill="FFFFFF"/>
        </w:rPr>
      </w:pPr>
      <w:r>
        <w:rPr>
          <w:rFonts w:cstheme="minorHAnsi"/>
          <w:shd w:val="clear" w:color="auto" w:fill="FFFFFF"/>
        </w:rPr>
        <w:t>Whilst victim rights are dealt with under the Code of Practice detailed above, witness’ rights, unless they are deemed to be victims of crime also, are set out in the Witness Charter, whilst not legally binding, the Charter sets out best practice for police forces when dealing with witnesses, detailing special measures that can be set in place for specific categories of witness, namely vulnerable or intimidated persons:</w:t>
      </w:r>
    </w:p>
    <w:p w:rsidR="001111EE" w:rsidRDefault="001111EE" w:rsidP="001111EE">
      <w:pPr>
        <w:rPr>
          <w:rFonts w:cstheme="minorHAnsi"/>
          <w:shd w:val="clear" w:color="auto" w:fill="FFFFFF"/>
        </w:rPr>
      </w:pPr>
    </w:p>
    <w:p w:rsidR="001111EE" w:rsidRDefault="001111EE" w:rsidP="001111EE">
      <w:pPr>
        <w:ind w:left="720"/>
        <w:rPr>
          <w:rFonts w:cstheme="minorHAnsi"/>
          <w:shd w:val="clear" w:color="auto" w:fill="FFFFFF"/>
        </w:rPr>
      </w:pPr>
      <w:r>
        <w:t xml:space="preserve">Everyone under 18 years is considered to be vulnerable. You may also be considered to be vulnerable if: the quality of your evidence is likely to be affected as a result of a mental disorder…you have a significant impairment of intelligence and social functioning; or you have a physical disability or are suffering from a physical disorder. You are automatically considered to be intimidated if you are a victim of a sexual offence or of human trafficking, or if you are a witness to a gun or knife offence…you may also be considered to be an intimidated witness if the quality of your evidence is likely to be affected by your fear or distress about testifying in court.  </w:t>
      </w:r>
      <w:r>
        <w:tab/>
      </w:r>
      <w:r>
        <w:tab/>
        <w:t>(Ministry of Justice 2013)</w:t>
      </w:r>
    </w:p>
    <w:p w:rsidR="001111EE" w:rsidRDefault="001111EE" w:rsidP="001111EE">
      <w:pPr>
        <w:rPr>
          <w:rFonts w:cstheme="minorHAnsi"/>
          <w:shd w:val="clear" w:color="auto" w:fill="FFFFFF"/>
        </w:rPr>
      </w:pPr>
    </w:p>
    <w:p w:rsidR="001111EE" w:rsidRDefault="001111EE" w:rsidP="001111EE">
      <w:pPr>
        <w:rPr>
          <w:rFonts w:cstheme="minorHAnsi"/>
          <w:shd w:val="clear" w:color="auto" w:fill="FFFFFF"/>
        </w:rPr>
      </w:pPr>
      <w:r>
        <w:rPr>
          <w:rFonts w:cstheme="minorHAnsi"/>
          <w:shd w:val="clear" w:color="auto" w:fill="FFFFFF"/>
        </w:rPr>
        <w:t xml:space="preserve">Ford highlights that </w:t>
      </w:r>
      <w:r w:rsidRPr="002D4595">
        <w:rPr>
          <w:rFonts w:cstheme="minorHAnsi"/>
          <w:shd w:val="clear" w:color="auto" w:fill="FFFFFF"/>
        </w:rPr>
        <w:t>So</w:t>
      </w:r>
      <w:r>
        <w:rPr>
          <w:rFonts w:cstheme="minorHAnsi"/>
          <w:shd w:val="clear" w:color="auto" w:fill="FFFFFF"/>
        </w:rPr>
        <w:t>uth Wales Police advocate as best practice a further definition of vulnerability</w:t>
      </w:r>
      <w:r w:rsidRPr="002D4595">
        <w:rPr>
          <w:rFonts w:cstheme="minorHAnsi"/>
          <w:shd w:val="clear" w:color="auto" w:fill="FFFFFF"/>
        </w:rPr>
        <w:t>, stating “</w:t>
      </w:r>
      <w:r w:rsidRPr="00D27F0F">
        <w:rPr>
          <w:rFonts w:cstheme="minorHAnsi"/>
          <w:shd w:val="clear" w:color="auto" w:fill="FFFFFF"/>
        </w:rPr>
        <w:t>a person is vulnerable if, as a result of their situation or circumstances they are unable to take care of or protect themselves from harm or exploitation.</w:t>
      </w:r>
      <w:r>
        <w:rPr>
          <w:rFonts w:cstheme="minorHAnsi"/>
          <w:shd w:val="clear" w:color="auto" w:fill="FFFFFF"/>
        </w:rPr>
        <w:t>”    (Ford 2019)</w:t>
      </w:r>
    </w:p>
    <w:p w:rsidR="001111EE" w:rsidRDefault="001111EE" w:rsidP="001111EE">
      <w:pPr>
        <w:rPr>
          <w:rFonts w:cstheme="minorHAnsi"/>
        </w:rPr>
      </w:pPr>
    </w:p>
    <w:p w:rsidR="001111EE" w:rsidRDefault="001111EE" w:rsidP="001111EE">
      <w:pPr>
        <w:rPr>
          <w:rFonts w:cstheme="minorHAnsi"/>
        </w:rPr>
      </w:pPr>
      <w:r>
        <w:rPr>
          <w:rFonts w:cstheme="minorHAnsi"/>
        </w:rPr>
        <w:t>When officers are faced with instances involving vulnerable people, be they children or adults alike, in line with the Codes of Practice above, there are several agencies with which we work closely to safeguard their needs.  An example of this is Live Fear Free Helpline, a Welsh Government backed organisation that offers advice and support to victims and/or their family members of sexual offences, domestic violence or modern slavery.  Indeed, when officers find themselves dealing with matters involving one or more of the above, we are positively encouraged to highlight the service to victims and update our records to show that a recommendation has been made along with the decision of the victim and their rationale for the same.</w:t>
      </w:r>
    </w:p>
    <w:p w:rsidR="001111EE" w:rsidRDefault="001111EE" w:rsidP="001111EE">
      <w:pPr>
        <w:rPr>
          <w:rFonts w:cstheme="minorHAnsi"/>
        </w:rPr>
      </w:pPr>
    </w:p>
    <w:p w:rsidR="001111EE" w:rsidRDefault="001111EE" w:rsidP="001111EE">
      <w:pPr>
        <w:rPr>
          <w:rFonts w:cstheme="minorHAnsi"/>
        </w:rPr>
      </w:pPr>
      <w:r>
        <w:rPr>
          <w:rFonts w:cstheme="minorHAnsi"/>
        </w:rPr>
        <w:t xml:space="preserve">As the first obligation of all police officers is to preserve life, when presented with an incident involving a vulnerable person and in all instances of domestic violence, officers are required to complete a risk assessment, known as a public protection notice (PPN) to ensure that the relevant parties are safeguarded and all necessary partner agencies are aware of the potential risks posed to the subject of the PPN, which is a key component of the Partnership Orientated Policing model.  A PPN requires officers to liaise with the victim(s) and ask relevant questions to understand the background to the current incident and gain an insight into their needs moving forwards.  There are various categories of PPN, all with different question sets, ranging from vulnerable adult or child at risk, through to domestic violence victims.  Furthermore, if officers were to note a domestic violence victim as high risk, the case would automatically be progressed to a Multi-Agency Risk Assessment Conference (MARAC) where agencies such as the police, housing services, education authority and social services come together to ensure effective sharing of information and safeguarding opportunities are explored.  </w:t>
      </w:r>
    </w:p>
    <w:p w:rsidR="001111EE" w:rsidRDefault="001111EE" w:rsidP="001111EE">
      <w:pPr>
        <w:rPr>
          <w:rFonts w:cstheme="minorHAnsi"/>
        </w:rPr>
      </w:pPr>
    </w:p>
    <w:p w:rsidR="001111EE" w:rsidRDefault="001111EE" w:rsidP="001111EE">
      <w:pPr>
        <w:rPr>
          <w:rFonts w:cstheme="minorHAnsi"/>
        </w:rPr>
      </w:pPr>
      <w:r>
        <w:rPr>
          <w:rFonts w:cstheme="minorHAnsi"/>
        </w:rPr>
        <w:t xml:space="preserve">Further methods of safeguarding available to officers range from implementing enhanced patrol strategies, such as cuckoo watch (used to target county lines gangs to exploiting vulnerable people in their own homes) ensuring a visible police presence in the area, through to installing domestic violence alarms in homes to enable a rapid response, to target hardening all in an attempt to disrupt criminality as advanced by Cohen and Felson in the Routine Activity Theory. </w:t>
      </w:r>
    </w:p>
    <w:p w:rsidR="001111EE" w:rsidRDefault="001111EE" w:rsidP="001111EE">
      <w:pPr>
        <w:rPr>
          <w:rFonts w:cstheme="minorHAnsi"/>
        </w:rPr>
      </w:pPr>
    </w:p>
    <w:p w:rsidR="001111EE" w:rsidRDefault="001111EE" w:rsidP="001111EE">
      <w:pPr>
        <w:rPr>
          <w:rFonts w:cstheme="minorHAnsi"/>
        </w:rPr>
      </w:pPr>
      <w:r>
        <w:rPr>
          <w:rFonts w:cstheme="minorHAnsi"/>
        </w:rPr>
        <w:t>Having gained an understanding of what constitutes both victims and witnesses, the definition of vulnerability and an overview of some of the key safeguarding measures utilised by South Wales Police, to support victims and witnesses, it now falls to discuss a particular incident in detail.</w:t>
      </w:r>
    </w:p>
    <w:p w:rsidR="001111EE" w:rsidRDefault="001111EE" w:rsidP="001111EE">
      <w:pPr>
        <w:rPr>
          <w:rFonts w:cstheme="minorHAnsi"/>
        </w:rPr>
      </w:pPr>
    </w:p>
    <w:p w:rsidR="001111EE" w:rsidRDefault="001111EE" w:rsidP="001111EE">
      <w:pPr>
        <w:rPr>
          <w:rFonts w:cstheme="minorHAnsi"/>
        </w:rPr>
      </w:pPr>
      <w:r>
        <w:rPr>
          <w:rFonts w:cstheme="minorHAnsi"/>
        </w:rPr>
        <w:t xml:space="preserve">My colleague and I were called to attend an emergency response early one morning, following a call from a male stating that his partner had assaulted him.  Control were able to advise that the male in question possessed a firearms licence, albeit it a different address, but no other information was available as no previous instances of domestic violence had been noted between the parties. </w:t>
      </w:r>
    </w:p>
    <w:p w:rsidR="001111EE" w:rsidRDefault="001111EE" w:rsidP="001111EE">
      <w:pPr>
        <w:rPr>
          <w:rFonts w:cstheme="minorHAnsi"/>
        </w:rPr>
      </w:pPr>
    </w:p>
    <w:p w:rsidR="001111EE" w:rsidRDefault="001111EE" w:rsidP="001111EE">
      <w:pPr>
        <w:rPr>
          <w:rFonts w:cstheme="minorHAnsi"/>
        </w:rPr>
      </w:pPr>
      <w:r>
        <w:rPr>
          <w:rFonts w:cstheme="minorHAnsi"/>
        </w:rPr>
        <w:t>This was an interesting case and indeed my first where the male party was claiming to be the victim of domestic abuse.  It is all too easy for officers to succumb to unconscious bias in matters of domestic violence, assuming that the male will be the perpetrator, as this is generally what is portrayed in the media and conforms with historic societal norms, however, what is clear in modern society is that this could not be further from the truth.  Officers must be aware that domestic violence can take myriad forms and is not simply one person striking another in a fit of rage.  Nevertheless, irrespective of the perceived victim, officers must attend all instances with an open mind, following the old maxim of ABC – assume nothing, believe nothing, challenge everything – until such time as they are in possession of the facts, or as many as are available to them at the time.</w:t>
      </w:r>
    </w:p>
    <w:p w:rsidR="001111EE" w:rsidRDefault="001111EE" w:rsidP="001111EE">
      <w:pPr>
        <w:rPr>
          <w:rFonts w:cstheme="minorHAnsi"/>
        </w:rPr>
      </w:pPr>
    </w:p>
    <w:p w:rsidR="001111EE" w:rsidRDefault="001111EE" w:rsidP="001111EE">
      <w:pPr>
        <w:rPr>
          <w:rFonts w:cstheme="minorHAnsi"/>
        </w:rPr>
      </w:pPr>
      <w:r>
        <w:rPr>
          <w:rFonts w:cstheme="minorHAnsi"/>
        </w:rPr>
        <w:t>Upon attending the address, having separated the parties and spoken with the male, whilst my colleague spoke with his partner, it became apparent that having consumed alcohol the previous evening, an argument ensued between the parties and they spent the night in separate dwellings.  The following morning, when the female partner returned to the address, which she owned, a physical altercation took place firstly in the bedroom and then moved downstairs where the male was once again assaulted, however this time he was holding a small child in his arms and chose to retaliate by grabbing her in order to protect the child.  No injuries were visible to either the male or the child.</w:t>
      </w:r>
    </w:p>
    <w:p w:rsidR="001111EE" w:rsidRDefault="001111EE" w:rsidP="001111EE">
      <w:pPr>
        <w:rPr>
          <w:rFonts w:cstheme="minorHAnsi"/>
        </w:rPr>
      </w:pPr>
    </w:p>
    <w:p w:rsidR="001111EE" w:rsidRDefault="001111EE" w:rsidP="001111EE">
      <w:pPr>
        <w:rPr>
          <w:rFonts w:cstheme="minorHAnsi"/>
        </w:rPr>
      </w:pPr>
      <w:r>
        <w:rPr>
          <w:rFonts w:cstheme="minorHAnsi"/>
        </w:rPr>
        <w:t xml:space="preserve">As a result of the disclosures and considering the various safeguarding needs present, namely those of child welfare, domestic violence victim and access to firearms (albeit at a different address), despite the males’ reluctance to support a prosecution, in light of the </w:t>
      </w:r>
      <w:r w:rsidRPr="00A229F6">
        <w:rPr>
          <w:rFonts w:cstheme="minorHAnsi"/>
        </w:rPr>
        <w:t>South Wales Police</w:t>
      </w:r>
      <w:r>
        <w:rPr>
          <w:rFonts w:cstheme="minorHAnsi"/>
        </w:rPr>
        <w:t xml:space="preserve"> policy of positive action in domestic violence matters, I felt that separating the parties in this instance would be insufficient to ensure the safety of all parties involved.  As such, having considered the situation in line with the National Decision Model, I made the decision to arrest the female on suspicion of common assault under the </w:t>
      </w:r>
      <w:r w:rsidRPr="00F06F63">
        <w:rPr>
          <w:rFonts w:cstheme="minorHAnsi"/>
          <w:i/>
        </w:rPr>
        <w:t>S.39 Criminal Justice Act 1988</w:t>
      </w:r>
      <w:r>
        <w:rPr>
          <w:rFonts w:cstheme="minorHAnsi"/>
        </w:rPr>
        <w:t>.  However, due to the behaviours exhibited by the female from the time of arrival of police and her distress and worry about her career and standing in the community, I used my discretion and chose not to place her in handcuffs, as to do so was both unnecessary and unjustifiable given the circumstances, undoubtedly exacerbating an already stressful situation for her.</w:t>
      </w:r>
    </w:p>
    <w:p w:rsidR="001111EE" w:rsidRDefault="001111EE" w:rsidP="001111EE">
      <w:pPr>
        <w:rPr>
          <w:rFonts w:cstheme="minorHAnsi"/>
        </w:rPr>
      </w:pPr>
    </w:p>
    <w:p w:rsidR="001111EE" w:rsidRDefault="001111EE" w:rsidP="001111EE">
      <w:pPr>
        <w:rPr>
          <w:rFonts w:cstheme="minorHAnsi"/>
        </w:rPr>
      </w:pPr>
      <w:r>
        <w:rPr>
          <w:rFonts w:cstheme="minorHAnsi"/>
        </w:rPr>
        <w:t xml:space="preserve">Following the arrest, further safeguarding steps were taken with the male including discussion of the Live Fear Free Helpline and the offer to complete the domestic abuse (DASH) PPN, which were refused.  Whilst </w:t>
      </w:r>
      <w:r w:rsidRPr="002A37BE">
        <w:rPr>
          <w:rFonts w:cstheme="minorHAnsi"/>
        </w:rPr>
        <w:t>South Wales Police</w:t>
      </w:r>
      <w:r>
        <w:rPr>
          <w:rFonts w:cstheme="minorHAnsi"/>
        </w:rPr>
        <w:t xml:space="preserve"> will offer all victims of domestic abuse the chance to complete the relevant DASH assessment, it is a voluntary undertaking, all officers can do is highlight the benefits to the relevant party and advise that the information will be treated in strictest confidence.  That being said, in line with force policy, officers will always complete a PPN for domestic violence matters with their personal observations, irrespective of whether the parties consent to do so personally.</w:t>
      </w:r>
    </w:p>
    <w:p w:rsidR="001111EE" w:rsidRDefault="001111EE" w:rsidP="001111EE">
      <w:pPr>
        <w:rPr>
          <w:rFonts w:cstheme="minorHAnsi"/>
        </w:rPr>
      </w:pPr>
    </w:p>
    <w:p w:rsidR="001111EE" w:rsidRDefault="001111EE" w:rsidP="001111EE">
      <w:pPr>
        <w:rPr>
          <w:rFonts w:cstheme="minorHAnsi"/>
        </w:rPr>
      </w:pPr>
      <w:r>
        <w:rPr>
          <w:rFonts w:cstheme="minorHAnsi"/>
        </w:rPr>
        <w:t xml:space="preserve">Furthermore, in order to comply with the Code of Practice, the victim was updated throughout the course of the investigation, with the relevant entries made in the </w:t>
      </w:r>
      <w:r w:rsidRPr="002A37BE">
        <w:rPr>
          <w:rFonts w:cstheme="minorHAnsi"/>
        </w:rPr>
        <w:t>South Wales Police</w:t>
      </w:r>
      <w:r>
        <w:rPr>
          <w:rFonts w:cstheme="minorHAnsi"/>
        </w:rPr>
        <w:t xml:space="preserve"> case management system, including when the suspect was released from custody and when the decision was made to take no further action as neither party were willing to assist the investigation.</w:t>
      </w:r>
    </w:p>
    <w:p w:rsidR="001111EE" w:rsidRDefault="001111EE" w:rsidP="001111EE">
      <w:pPr>
        <w:rPr>
          <w:rFonts w:cstheme="minorHAnsi"/>
        </w:rPr>
      </w:pPr>
    </w:p>
    <w:p w:rsidR="001111EE" w:rsidRDefault="001111EE" w:rsidP="001111EE">
      <w:pPr>
        <w:rPr>
          <w:rFonts w:cstheme="minorHAnsi"/>
        </w:rPr>
      </w:pPr>
      <w:r>
        <w:rPr>
          <w:rFonts w:cstheme="minorHAnsi"/>
        </w:rPr>
        <w:t>The victim was asked if he would like to complete a victim personal statement which would allow him the opportunity to explain to the court how the incident has impacted him, however this was refused.</w:t>
      </w:r>
    </w:p>
    <w:p w:rsidR="001111EE" w:rsidRDefault="001111EE" w:rsidP="001111EE">
      <w:pPr>
        <w:rPr>
          <w:rFonts w:cstheme="minorHAnsi"/>
        </w:rPr>
      </w:pPr>
    </w:p>
    <w:p w:rsidR="001111EE" w:rsidRDefault="001111EE" w:rsidP="001111EE">
      <w:pPr>
        <w:rPr>
          <w:rFonts w:cstheme="minorHAnsi"/>
        </w:rPr>
      </w:pPr>
      <w:r>
        <w:rPr>
          <w:rFonts w:cstheme="minorHAnsi"/>
        </w:rPr>
        <w:t>It is important to note that whilst the female was arrested, I maintained the position that she could just as easily be a victim in this as the male and was certainly a witness, a further example if one were needed that the roles of victim, witness and suspect are not always mutually exclusive, indeed, during further investigation of the offence it became apparent that the female had suffered scratch marks to the neck and chest area but refused to co-operate with police.  It is for this reason that officers must comply with standards of professional behaviour at all times, not least of which the standard of honesty and integrity and that of authority, respect and courtesy, ensuring that everyone is treated with the same level of respect regardless of their situation.</w:t>
      </w:r>
    </w:p>
    <w:p w:rsidR="001111EE" w:rsidRDefault="001111EE" w:rsidP="001111EE">
      <w:pPr>
        <w:rPr>
          <w:rFonts w:cstheme="minorHAnsi"/>
        </w:rPr>
      </w:pPr>
    </w:p>
    <w:p w:rsidR="001111EE" w:rsidRDefault="001111EE" w:rsidP="001111EE">
      <w:pPr>
        <w:rPr>
          <w:rFonts w:cstheme="minorHAnsi"/>
        </w:rPr>
      </w:pPr>
      <w:r>
        <w:rPr>
          <w:rFonts w:cstheme="minorHAnsi"/>
        </w:rPr>
        <w:t xml:space="preserve">It now falls, following Gibbs’ Reflective Cycle to reflect upon my feelings during the incident and upon my performance, describing what I have learned and how I will implement these learnings in the future.  </w:t>
      </w:r>
    </w:p>
    <w:p w:rsidR="001111EE" w:rsidRDefault="001111EE" w:rsidP="001111EE">
      <w:pPr>
        <w:rPr>
          <w:rFonts w:cstheme="minorHAnsi"/>
        </w:rPr>
      </w:pPr>
    </w:p>
    <w:p w:rsidR="001111EE" w:rsidRDefault="001111EE" w:rsidP="001111EE">
      <w:pPr>
        <w:rPr>
          <w:rFonts w:cstheme="minorHAnsi"/>
        </w:rPr>
      </w:pPr>
      <w:r>
        <w:rPr>
          <w:rFonts w:cstheme="minorHAnsi"/>
        </w:rPr>
        <w:t>At the time, I recall feeling slightly uneasy about arresting one party over the other, when both parties had clearly disclosed offences, albeit one party having done so in self-defence, however having a more experienced colleague available with whom to discuss various options at the time and also to conduct a debrief with following the event made the decision easier.  As does having a thorough understanding of force policy in relation to domestic violence.</w:t>
      </w:r>
    </w:p>
    <w:p w:rsidR="001111EE" w:rsidRDefault="001111EE" w:rsidP="001111EE">
      <w:pPr>
        <w:rPr>
          <w:rFonts w:cstheme="minorHAnsi"/>
        </w:rPr>
      </w:pPr>
    </w:p>
    <w:p w:rsidR="001111EE" w:rsidRDefault="001111EE" w:rsidP="001111EE">
      <w:pPr>
        <w:rPr>
          <w:rFonts w:cstheme="minorHAnsi"/>
        </w:rPr>
      </w:pPr>
      <w:r>
        <w:rPr>
          <w:rFonts w:cstheme="minorHAnsi"/>
        </w:rPr>
        <w:t>Despite being aware of unconscious bias, I wonder if it nevertheless played a part in my initial unease and as I reflected on my performance, as all officers should do, in line with the requirements of the NDM, I questioned myself later as to whether I would have felt uneasy if the female had been the person who acted in self-defence.  Undoubtedly, the safest course of action in order to de-escalate the situation and ensure no further harm could come to any persons whilst tensions were high and the parties were under the influence of alcohol was to arrest the initial aggressor, and it was this knowledge, coupled with the fact that I acted in line with policing behaviours that allayed my concerns.  Furthermore, I have no doubt that my actions were justifiable and ethical complying with all requirements of the police mnemonic JPLANE, for ethical decision making, which is a further source of confidence.</w:t>
      </w:r>
    </w:p>
    <w:p w:rsidR="001111EE" w:rsidRDefault="001111EE" w:rsidP="001111EE">
      <w:pPr>
        <w:rPr>
          <w:rFonts w:cstheme="minorHAnsi"/>
        </w:rPr>
      </w:pPr>
    </w:p>
    <w:p w:rsidR="001111EE" w:rsidRDefault="001111EE" w:rsidP="001111EE">
      <w:pPr>
        <w:rPr>
          <w:rFonts w:cstheme="minorHAnsi"/>
        </w:rPr>
      </w:pPr>
      <w:r>
        <w:rPr>
          <w:rFonts w:cstheme="minorHAnsi"/>
        </w:rPr>
        <w:t>In conclusion, I consider this incident to be a fantastic learning opportunity, moving forwards I have learned to put my faith in my training and utilise the experience gained, understanding that, provided my actions comply with JPLANE requirements, I have utilised the NDM effectively and above all, I treat all parties involved, whether victim, witness or suspect with honesty, integrity, respect and courtesy, ensuring their rights are upheld throughout then, there is no reason to feel uneasy about decisions made.</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2749 words.</w:t>
      </w:r>
    </w:p>
    <w:p w:rsidR="001111EE" w:rsidRDefault="001111EE" w:rsidP="001111EE">
      <w:pPr>
        <w:rPr>
          <w:rFonts w:cstheme="minorHAnsi"/>
        </w:rPr>
      </w:pPr>
    </w:p>
    <w:p w:rsidR="001111EE" w:rsidRDefault="001111EE" w:rsidP="001111EE">
      <w:pPr>
        <w:rPr>
          <w:rFonts w:cstheme="minorHAnsi"/>
        </w:rPr>
      </w:pPr>
    </w:p>
    <w:p w:rsidR="001111EE" w:rsidRPr="00DA0B9D" w:rsidRDefault="001111EE" w:rsidP="001111EE">
      <w:pPr>
        <w:rPr>
          <w:rFonts w:cstheme="minorHAnsi"/>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025650" w:rsidRDefault="00025650" w:rsidP="00E6298B">
      <w:pPr>
        <w:ind w:right="107"/>
        <w:jc w:val="both"/>
        <w:rPr>
          <w:b/>
          <w:sz w:val="24"/>
          <w:szCs w:val="24"/>
        </w:rPr>
      </w:pPr>
    </w:p>
    <w:p w:rsidR="00AA666E" w:rsidRPr="000B1E96" w:rsidRDefault="00025650" w:rsidP="00E6298B">
      <w:pPr>
        <w:ind w:right="107"/>
      </w:pPr>
      <w:r>
        <w:br w:type="page"/>
      </w:r>
    </w:p>
    <w:p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rsidR="006C7CA5" w:rsidRPr="00270EEB" w:rsidRDefault="006C7CA5"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rsidR="006C7CA5" w:rsidRDefault="006C7CA5" w:rsidP="00E6298B">
      <w:pPr>
        <w:ind w:right="107"/>
        <w:jc w:val="both"/>
        <w:rPr>
          <w:sz w:val="24"/>
          <w:szCs w:val="24"/>
          <w:highlight w:val="yellow"/>
        </w:rPr>
      </w:pPr>
    </w:p>
    <w:p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6C7CA5" w:rsidRPr="00270EEB" w:rsidRDefault="006C7CA5" w:rsidP="00E6298B">
      <w:pPr>
        <w:ind w:right="107"/>
        <w:jc w:val="both"/>
        <w:rPr>
          <w:sz w:val="24"/>
          <w:szCs w:val="24"/>
        </w:rPr>
      </w:pPr>
    </w:p>
    <w:p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rsidTr="28A9B94D">
        <w:tc>
          <w:tcPr>
            <w:tcW w:w="10188" w:type="dxa"/>
            <w:shd w:val="clear" w:color="auto" w:fill="auto"/>
          </w:tcPr>
          <w:p w:rsidR="006C7CA5" w:rsidRDefault="006C7CA5" w:rsidP="00E6298B">
            <w:pPr>
              <w:pStyle w:val="TableParagraph"/>
              <w:tabs>
                <w:tab w:val="left" w:pos="355"/>
              </w:tabs>
              <w:ind w:left="0" w:right="107"/>
              <w:rPr>
                <w:rFonts w:eastAsia="Times New Roman"/>
                <w:color w:val="000000"/>
                <w:sz w:val="24"/>
                <w:szCs w:val="24"/>
                <w:lang w:bidi="ar-SA"/>
              </w:rPr>
            </w:pPr>
          </w:p>
          <w:p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rsidR="006C7CA5" w:rsidRDefault="006C7CA5" w:rsidP="00E6298B">
            <w:pPr>
              <w:ind w:right="107"/>
              <w:jc w:val="both"/>
              <w:rPr>
                <w:sz w:val="24"/>
                <w:szCs w:val="24"/>
              </w:rPr>
            </w:pPr>
          </w:p>
          <w:p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rsidR="006C7CA5" w:rsidRDefault="006C7CA5" w:rsidP="00E6298B">
            <w:pPr>
              <w:ind w:right="107"/>
              <w:jc w:val="both"/>
              <w:rPr>
                <w:sz w:val="24"/>
                <w:szCs w:val="24"/>
              </w:rPr>
            </w:pPr>
          </w:p>
          <w:p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rsidR="006C7CA5" w:rsidRPr="00270EEB" w:rsidRDefault="006C7CA5" w:rsidP="00E6298B">
            <w:pPr>
              <w:ind w:right="107"/>
              <w:rPr>
                <w:sz w:val="24"/>
                <w:szCs w:val="24"/>
              </w:rPr>
            </w:pPr>
          </w:p>
          <w:p w:rsidR="006C7CA5" w:rsidRPr="00270EEB" w:rsidRDefault="006C7CA5" w:rsidP="00E6298B">
            <w:pPr>
              <w:ind w:right="107"/>
              <w:jc w:val="both"/>
              <w:rPr>
                <w:sz w:val="24"/>
                <w:szCs w:val="24"/>
              </w:rPr>
            </w:pPr>
          </w:p>
          <w:p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6C7CA5" w:rsidRPr="00270EEB" w:rsidRDefault="006C7CA5" w:rsidP="00E6298B">
      <w:pPr>
        <w:ind w:right="107"/>
        <w:jc w:val="both"/>
        <w:rPr>
          <w:sz w:val="24"/>
          <w:szCs w:val="24"/>
        </w:rPr>
      </w:pPr>
    </w:p>
    <w:p w:rsidR="006C7CA5" w:rsidRPr="00450C83" w:rsidRDefault="006C7CA5" w:rsidP="00E6298B">
      <w:pPr>
        <w:ind w:right="107"/>
        <w:jc w:val="both"/>
        <w:rPr>
          <w:b/>
          <w:sz w:val="24"/>
          <w:szCs w:val="24"/>
        </w:rPr>
      </w:pPr>
      <w:r w:rsidRPr="00450C83">
        <w:rPr>
          <w:b/>
          <w:sz w:val="24"/>
          <w:szCs w:val="24"/>
        </w:rPr>
        <w:t>ANSWER:</w:t>
      </w:r>
    </w:p>
    <w:p w:rsidR="006C7CA5" w:rsidRPr="00270EEB" w:rsidRDefault="006C7CA5" w:rsidP="00E6298B">
      <w:pPr>
        <w:ind w:right="107"/>
        <w:jc w:val="both"/>
        <w:rPr>
          <w:sz w:val="24"/>
          <w:szCs w:val="24"/>
        </w:rPr>
      </w:pPr>
    </w:p>
    <w:p w:rsidR="003E60C0" w:rsidRDefault="003E60C0" w:rsidP="003E60C0">
      <w:r w:rsidRPr="00900D1B">
        <w:t>This question relates to</w:t>
      </w:r>
      <w:r>
        <w:t xml:space="preserve"> evaluating</w:t>
      </w:r>
      <w:r w:rsidRPr="00520937">
        <w:rPr>
          <w:rFonts w:cstheme="minorHAnsi"/>
        </w:rPr>
        <w:t xml:space="preserve"> the role of discretion in the decision-making process</w:t>
      </w:r>
      <w:r>
        <w:t xml:space="preserve"> and reflecting upon the implementation of the National Decision Model (NDM) in said process, focussing on key areas of the National Policing Curriculum around </w:t>
      </w:r>
      <w:r w:rsidRPr="001B4931">
        <w:t>decision making and discretion,</w:t>
      </w:r>
      <w:r>
        <w:t xml:space="preserve"> conducting investigations and criminal justice (managing offenders).</w:t>
      </w:r>
      <w:r w:rsidRPr="00900D1B">
        <w:t xml:space="preserve"> </w:t>
      </w:r>
      <w:r>
        <w:t xml:space="preserve"> </w:t>
      </w:r>
      <w:r w:rsidRPr="00900D1B">
        <w:t>I therefore intend to cover</w:t>
      </w:r>
      <w:r>
        <w:t xml:space="preserve">, using the Gibbs Process of Reflection, my actions in a given policing incident, the thought process(es) I used to determine the relevant course of action, the outcome of the incident and how I have developed as an officer following a period of reflection. </w:t>
      </w:r>
    </w:p>
    <w:p w:rsidR="003E60C0" w:rsidRDefault="003E60C0" w:rsidP="003E60C0"/>
    <w:p w:rsidR="003E60C0" w:rsidRDefault="003E60C0" w:rsidP="003E60C0">
      <w:r>
        <w:t>Prior to discussing the particular incident in detail, I feel it would be beneficial to first gain an understanding as to some of the key aspects of the question, firstly, what constitutes discretion.  Whilst prima facie, discretion would appear simple to describe in layman’s terms, Hart states:</w:t>
      </w:r>
    </w:p>
    <w:p w:rsidR="003E60C0" w:rsidRDefault="003E60C0" w:rsidP="003E60C0"/>
    <w:p w:rsidR="003E60C0" w:rsidRDefault="003E60C0" w:rsidP="003E60C0">
      <w:pPr>
        <w:ind w:left="720"/>
      </w:pPr>
      <w:r>
        <w:t>It might of course be the case that the term discretion is hopelessly vague and used by the courts and jurisitic writers in an entirely haphazard fashion: if this were the case, the only observation which we could make about the meaning of the term discretion would be just this…It is worthwhile, I think, remembering that discretion is after all the name of an intellectual virtue: it is a near-synonym for practical wisdom or sagacity or prudence; it is the power of discerning or distinguishing what in various fields is appropriate to be done and etymologically connected with the notion of discerning.    Hart (2013) pp 652 - 665</w:t>
      </w:r>
    </w:p>
    <w:p w:rsidR="003E60C0" w:rsidRDefault="003E60C0" w:rsidP="003E60C0"/>
    <w:p w:rsidR="003E60C0" w:rsidRDefault="003E60C0" w:rsidP="003E60C0">
      <w:r>
        <w:t>Whilst this is an enlightening description, it undoubtedly highlights an inherent issue with discretion, that of the fallible nature of human beings.   It is entirely possible that one person, given the same set of facts or circumstances as another would be capable of reaching considerably different decisions based upon learned behaviours and/or prior experience.  As Hart states:</w:t>
      </w:r>
    </w:p>
    <w:p w:rsidR="003E60C0" w:rsidRDefault="003E60C0" w:rsidP="003E60C0"/>
    <w:p w:rsidR="003E60C0" w:rsidRDefault="003E60C0" w:rsidP="003E60C0">
      <w:pPr>
        <w:ind w:left="720"/>
      </w:pPr>
      <w:r>
        <w:t>It is therefore understood that if what officials are to do is not rigidly determined by specific rules but a choice is left to them, they will choose responsibly having regard to their office and not indulge fancy or mere whim.</w:t>
      </w:r>
      <w:r>
        <w:tab/>
      </w:r>
      <w:r>
        <w:tab/>
        <w:t>Hart (2013) pp 652 - 665</w:t>
      </w:r>
    </w:p>
    <w:p w:rsidR="003E60C0" w:rsidRDefault="003E60C0" w:rsidP="003E60C0"/>
    <w:p w:rsidR="003E60C0" w:rsidRPr="003A7F37" w:rsidRDefault="003E60C0" w:rsidP="003E60C0">
      <w:pPr>
        <w:rPr>
          <w:rFonts w:cstheme="minorHAnsi"/>
        </w:rPr>
      </w:pPr>
      <w:r w:rsidRPr="003A7F37">
        <w:rPr>
          <w:rFonts w:cstheme="minorHAnsi"/>
        </w:rPr>
        <w:t xml:space="preserve">As such, it is incumbent upon each officer to be aware of the </w:t>
      </w:r>
      <w:r>
        <w:rPr>
          <w:rFonts w:cstheme="minorHAnsi"/>
        </w:rPr>
        <w:t>existence</w:t>
      </w:r>
      <w:r w:rsidRPr="003A7F37">
        <w:rPr>
          <w:rFonts w:cstheme="minorHAnsi"/>
        </w:rPr>
        <w:t xml:space="preserve"> of </w:t>
      </w:r>
      <w:r>
        <w:rPr>
          <w:rFonts w:cstheme="minorHAnsi"/>
        </w:rPr>
        <w:t xml:space="preserve">both conscious and </w:t>
      </w:r>
      <w:r w:rsidRPr="003A7F37">
        <w:rPr>
          <w:rFonts w:cstheme="minorHAnsi"/>
        </w:rPr>
        <w:t>unconscious bias</w:t>
      </w:r>
      <w:r>
        <w:rPr>
          <w:rFonts w:cstheme="minorHAnsi"/>
        </w:rPr>
        <w:t>.  Whilst one may be aware of conscious bias and therefore able to a certain degree to take steps to prevent such bias impacting decisions, unconscious bias can be far more difficult to understand and its existence more damaging to both individuals and organisations.  This notion has been brought to the fore by the Black Lives Matter movement in recent times.</w:t>
      </w:r>
    </w:p>
    <w:p w:rsidR="003E60C0" w:rsidRPr="003A7F37" w:rsidRDefault="003E60C0" w:rsidP="003E60C0">
      <w:pPr>
        <w:rPr>
          <w:rFonts w:cstheme="minorHAnsi"/>
        </w:rPr>
      </w:pPr>
    </w:p>
    <w:p w:rsidR="003E60C0" w:rsidRDefault="003E60C0" w:rsidP="003E60C0">
      <w:pPr>
        <w:ind w:left="720"/>
      </w:pPr>
      <w:r w:rsidRPr="0031522B">
        <w:rPr>
          <w:rStyle w:val="Strong"/>
          <w:rFonts w:cstheme="minorHAnsi"/>
          <w:b w:val="0"/>
          <w:bdr w:val="none" w:sz="0" w:space="0" w:color="auto" w:frame="1"/>
          <w:shd w:val="clear" w:color="auto" w:fill="FFFFFF"/>
        </w:rPr>
        <w:t>Unconscious biases</w:t>
      </w:r>
      <w:r w:rsidRPr="003A7F37">
        <w:rPr>
          <w:rFonts w:cstheme="minorHAnsi"/>
          <w:shd w:val="clear" w:color="auto" w:fill="FFFFFF"/>
        </w:rPr>
        <w:t> are social stereotypes about certain groups of people that individuals form outside their own conscious awareness. Everyone holds unconscious beliefs about various social and identity groups, and these biases stem from one’s tendency to organize social worlds by categorizing…Unconscious bias is far more prevalent than conscious prejudice and often incompatible with one’s conscious values. Certain scenarios can activate unconscious attitudes and beliefs.</w:t>
      </w:r>
      <w:r>
        <w:rPr>
          <w:rFonts w:cstheme="minorHAnsi"/>
          <w:shd w:val="clear" w:color="auto" w:fill="FFFFFF"/>
        </w:rPr>
        <w:tab/>
      </w:r>
      <w:r>
        <w:rPr>
          <w:rFonts w:cstheme="minorHAnsi"/>
          <w:shd w:val="clear" w:color="auto" w:fill="FFFFFF"/>
        </w:rPr>
        <w:tab/>
        <w:t>(</w:t>
      </w:r>
      <w:r>
        <w:t>University of California, San Francisco 2021)</w:t>
      </w:r>
    </w:p>
    <w:p w:rsidR="003E60C0" w:rsidRDefault="003E60C0" w:rsidP="003E60C0"/>
    <w:p w:rsidR="003E60C0" w:rsidRDefault="003E60C0" w:rsidP="003E60C0">
      <w:r>
        <w:t>It must also be understood that several other forms of bias exist, ranging from source bias, where a person is biased towards one source of information, so much so that they treat information from that source as correct without taking the time to fact check the contents, through to bias by association and bias by perception, where a person can be discriminated against by their association with or perceived membership of a particular group.  Of these further forms of bias, arguably the most prevalent, especially in the millennial generation, is source bias and the proclivity for so called “fake news” to spread unchallenged through various social media platforms.</w:t>
      </w:r>
    </w:p>
    <w:p w:rsidR="003E60C0" w:rsidRDefault="003E60C0" w:rsidP="003E60C0"/>
    <w:p w:rsidR="003E60C0" w:rsidRDefault="003E60C0" w:rsidP="003E60C0">
      <w:pPr>
        <w:rPr>
          <w:rFonts w:cstheme="minorHAnsi"/>
          <w:color w:val="333333"/>
        </w:rPr>
      </w:pPr>
      <w:r>
        <w:rPr>
          <w:rFonts w:cstheme="minorHAnsi"/>
          <w:shd w:val="clear" w:color="auto" w:fill="FFFFFF"/>
        </w:rPr>
        <w:t xml:space="preserve">A further element of this question, which intrinsically links to the question of bias, requires one to have an understanding of officer obligations under the </w:t>
      </w:r>
      <w:r w:rsidRPr="00F06F63">
        <w:rPr>
          <w:i/>
        </w:rPr>
        <w:t>Criminal Procedure and Investigations Act 1996</w:t>
      </w:r>
      <w:r>
        <w:t xml:space="preserve"> (CPIA).  The College of Policing, referencing the Code of Practice to the aforementioned act principally indicates “i</w:t>
      </w:r>
      <w:r w:rsidRPr="00AD78E9">
        <w:rPr>
          <w:rFonts w:cstheme="minorHAnsi"/>
          <w:color w:val="333333"/>
        </w:rPr>
        <w:t>nvestigators conducting an investigation should impartially follow all reasonable lines of enquiry to gather material which points both towards and away from a suspect.</w:t>
      </w:r>
      <w:r>
        <w:rPr>
          <w:rFonts w:cstheme="minorHAnsi"/>
          <w:color w:val="333333"/>
        </w:rPr>
        <w:t xml:space="preserve">”   College of Policing (2020).  </w:t>
      </w:r>
    </w:p>
    <w:p w:rsidR="003E60C0" w:rsidRDefault="003E60C0" w:rsidP="003E60C0">
      <w:pPr>
        <w:rPr>
          <w:rFonts w:cstheme="minorHAnsi"/>
          <w:color w:val="333333"/>
        </w:rPr>
      </w:pPr>
    </w:p>
    <w:p w:rsidR="003E60C0" w:rsidRDefault="003E60C0" w:rsidP="003E60C0">
      <w:pPr>
        <w:rPr>
          <w:rFonts w:cstheme="minorHAnsi"/>
          <w:color w:val="333333"/>
        </w:rPr>
      </w:pPr>
      <w:r>
        <w:rPr>
          <w:rFonts w:cstheme="minorHAnsi"/>
          <w:color w:val="333333"/>
        </w:rPr>
        <w:t>Further, said Code of Practice:</w:t>
      </w:r>
    </w:p>
    <w:p w:rsidR="003E60C0" w:rsidRDefault="003E60C0" w:rsidP="003E60C0">
      <w:pPr>
        <w:rPr>
          <w:rFonts w:cstheme="minorHAnsi"/>
          <w:color w:val="333333"/>
        </w:rPr>
      </w:pPr>
    </w:p>
    <w:p w:rsidR="003E60C0" w:rsidRDefault="003E60C0" w:rsidP="003E60C0">
      <w:pPr>
        <w:ind w:left="720"/>
      </w:pPr>
      <w:r>
        <w:t>…sets out the manner in which police officers are to record, retain and reveal to the prosecutor material obtained in a criminal investigation and which may be relevant to the investigation, and related matters…</w:t>
      </w:r>
      <w:r w:rsidRPr="00AD78E9">
        <w:t xml:space="preserve"> </w:t>
      </w:r>
      <w:r>
        <w:t>material may be relevant to an investigation if it appears to an investigator, or to the officer in charge of an investigation, or to the disclosure officer, that it has some bearing on any offence under investigation or any person being investigated, or on the surrounding circumstances of the case, unless it is incapable of having any impact on the case.</w:t>
      </w:r>
      <w:r>
        <w:tab/>
      </w:r>
      <w:r>
        <w:tab/>
      </w:r>
      <w:r w:rsidRPr="00F06F63">
        <w:rPr>
          <w:i/>
        </w:rPr>
        <w:t>Criminal Procedure and Investigations Act 1996</w:t>
      </w:r>
      <w:r>
        <w:t xml:space="preserve"> (section 23(1)) Code of Practice</w:t>
      </w:r>
    </w:p>
    <w:p w:rsidR="003E60C0" w:rsidRDefault="003E60C0" w:rsidP="003E60C0"/>
    <w:p w:rsidR="003E60C0" w:rsidRDefault="003E60C0" w:rsidP="003E60C0">
      <w:r>
        <w:t xml:space="preserve">An additional aspect of this question, requires an understanding as to the background to and the constituent elements of the NDM.  The NDM, introduced in 2012 is a tool intended to be used by officers and police staff when faced with the requirement to make a decision and is particularly useful when considering a decision to arrest or use force.  The NDM is a cyclical tool that has at its core, the police code of ethics, requiring officers, at all stages of the decision making process to make reference to this fundamental and infallible code of behaviours.  The other elements of the cycle are (i) information and intelligence, requiring officers to have a full understanding of the all available information before progressing, (ii) assessment, requiring officers to appreciate the threat(s) and risk(s) involved, (iii) powers and policies, requiring officers to be abreast of the myriad powers available in any given situation, (iv) options, encouraging and requiring officers to have contingency plans in place before taking action, (v) action and finally (vi) review. </w:t>
      </w:r>
    </w:p>
    <w:p w:rsidR="003E60C0" w:rsidRDefault="003E60C0" w:rsidP="003E60C0"/>
    <w:p w:rsidR="003E60C0" w:rsidRDefault="003E60C0" w:rsidP="003E60C0">
      <w:r>
        <w:t xml:space="preserve">Some of the powers and/or options available to officers range from words of advice, through to restorative justice, voluntary attendance interviews, penalty notices for disorder/traffic offence reports and of course arrest.  It is important that officers are fully aware of all available options for disposal of a matter as it is not always necessary, proportionate or justifiable to arrest a person.  Indeed, Code of Practice G of </w:t>
      </w:r>
      <w:r w:rsidRPr="00F06F63">
        <w:rPr>
          <w:i/>
        </w:rPr>
        <w:t>Police and Criminal Evidence Act 1984</w:t>
      </w:r>
      <w:r>
        <w:t xml:space="preserve"> states “the use of the power [arrest] must be fully justified and officers exercising the power should consider if the necessary objectives can be met by other, less intrusive means.”  It is therefore incumbent upon officers to consider and indeed implement various disposal methods when the circumstances allow.  Conversely, it must be noted that in certain circumstances, owing to the nature of the offence, arrest is the only viable option for officers to ensure that all parties are safeguarded.</w:t>
      </w:r>
    </w:p>
    <w:p w:rsidR="003E60C0" w:rsidRDefault="003E60C0" w:rsidP="003E60C0"/>
    <w:p w:rsidR="003E60C0" w:rsidRDefault="003E60C0" w:rsidP="003E60C0">
      <w:r>
        <w:t>The review stage of the NDM is arguably one of the most important in the cycle, as, only by evaluating individual and team performance and having thorough debriefs, can an officer improve their practical decision making skills.</w:t>
      </w:r>
    </w:p>
    <w:p w:rsidR="003E60C0" w:rsidRDefault="003E60C0" w:rsidP="003E60C0"/>
    <w:p w:rsidR="003E60C0" w:rsidRDefault="003E60C0" w:rsidP="003E60C0">
      <w:r>
        <w:t xml:space="preserve">The reader may be forgiven, having regard to the above description, for thinking that the NDM is a rigid process, completely at odds with the previously discussed notion of discretion, however, this </w:t>
      </w:r>
      <w:r w:rsidRPr="004E37A2">
        <w:rPr>
          <w:color w:val="auto"/>
        </w:rPr>
        <w:t xml:space="preserve">position </w:t>
      </w:r>
      <w:r>
        <w:t xml:space="preserve">would be incorrect.  The NDM is a dynamic process, capable of being updated in real time as further information comes to light.  Indeed, each aspect of the process is intrinsically linked to the others, such that, for example, if an action is taken, resulting in unintended consequences, the new information is quickly assimilated by the officer(s), giving rise to further options, powers and ultimate action(s).  </w:t>
      </w:r>
    </w:p>
    <w:p w:rsidR="003E60C0" w:rsidRPr="003474BE" w:rsidRDefault="003E60C0" w:rsidP="003E60C0">
      <w:pPr>
        <w:rPr>
          <w:color w:val="auto"/>
        </w:rPr>
      </w:pPr>
    </w:p>
    <w:p w:rsidR="003E60C0" w:rsidRPr="003474BE" w:rsidRDefault="003E60C0" w:rsidP="003E60C0">
      <w:pPr>
        <w:rPr>
          <w:color w:val="auto"/>
        </w:rPr>
      </w:pPr>
      <w:r w:rsidRPr="003474BE">
        <w:rPr>
          <w:rFonts w:cstheme="minorHAnsi"/>
          <w:color w:val="auto"/>
        </w:rPr>
        <w:t xml:space="preserve">In addition to the NDM, police officers use the mnemonic JPLANE to assist in making such decisions which indicates that all decisions must be justified, proportionate, lawful, accountable, necessary and ethical given the circumstances presented.  </w:t>
      </w:r>
    </w:p>
    <w:p w:rsidR="003E60C0" w:rsidRDefault="003E60C0" w:rsidP="003E60C0">
      <w:pPr>
        <w:rPr>
          <w:rFonts w:cstheme="minorHAnsi"/>
          <w:color w:val="333333"/>
        </w:rPr>
      </w:pPr>
    </w:p>
    <w:p w:rsidR="003E60C0" w:rsidRDefault="003E60C0" w:rsidP="003E60C0">
      <w:pPr>
        <w:rPr>
          <w:rFonts w:cstheme="minorHAnsi"/>
          <w:color w:val="333333"/>
        </w:rPr>
      </w:pPr>
      <w:r>
        <w:rPr>
          <w:rFonts w:cstheme="minorHAnsi"/>
          <w:color w:val="333333"/>
        </w:rPr>
        <w:t xml:space="preserve">Furthermore, the </w:t>
      </w:r>
      <w:r w:rsidRPr="00F06F63">
        <w:rPr>
          <w:rFonts w:cstheme="minorHAnsi"/>
          <w:i/>
          <w:color w:val="333333"/>
        </w:rPr>
        <w:t>Equality Act 2010</w:t>
      </w:r>
      <w:r>
        <w:rPr>
          <w:rFonts w:cstheme="minorHAnsi"/>
          <w:color w:val="333333"/>
        </w:rPr>
        <w:t xml:space="preserve"> makes it illegal for police officers to discriminate against a person based upon one of the protected characteristics of marriage/civil partnership, disability, race, gender reassignment, religion, age, maternity/pregnancy, sex or sexual orientation.</w:t>
      </w:r>
    </w:p>
    <w:p w:rsidR="003E60C0" w:rsidRDefault="003E60C0" w:rsidP="003E60C0">
      <w:pPr>
        <w:rPr>
          <w:rFonts w:cstheme="minorHAnsi"/>
          <w:color w:val="333333"/>
        </w:rPr>
      </w:pPr>
    </w:p>
    <w:p w:rsidR="003E60C0" w:rsidRDefault="003E60C0" w:rsidP="003E60C0">
      <w:pPr>
        <w:rPr>
          <w:rFonts w:cstheme="minorHAnsi"/>
          <w:color w:val="333333"/>
        </w:rPr>
      </w:pPr>
      <w:r>
        <w:rPr>
          <w:rFonts w:cstheme="minorHAnsi"/>
          <w:color w:val="333333"/>
        </w:rPr>
        <w:t>Having gained an understanding of the key elements of the question, it now falls to consider a relevant policing incident in detail.</w:t>
      </w:r>
    </w:p>
    <w:p w:rsidR="003E60C0" w:rsidRDefault="003E60C0" w:rsidP="003E60C0">
      <w:pPr>
        <w:rPr>
          <w:rFonts w:cstheme="minorHAnsi"/>
          <w:color w:val="333333"/>
        </w:rPr>
      </w:pPr>
    </w:p>
    <w:p w:rsidR="003E60C0" w:rsidRDefault="003E60C0" w:rsidP="003E60C0">
      <w:r>
        <w:t>My colleague and I were tasked by control to attend a multi-vehicle road traffic collision on a busy B road in the morning rush hour.  Upon attending the scene, it was apparent that three vehicles had been involved in a concertina collision, with minor damage noted to all vehicles.  No injuries were noted to the occupants of any vehicle.</w:t>
      </w:r>
    </w:p>
    <w:p w:rsidR="003E60C0" w:rsidRDefault="003E60C0" w:rsidP="003E60C0"/>
    <w:p w:rsidR="003E60C0" w:rsidRDefault="003E60C0" w:rsidP="003E60C0">
      <w:r>
        <w:t>At this point, it is worth indicating that the front vehicle, which was a Ford Transit, was being driven by a middle-aged male, clearly on his way to work, with the middle vehicle, an aging hatchback, driven by a middle-aged female with her teenage daughter on board, clearly on the school run.  Whereas the vehicle at the rear, an equally aging modified hatchback was driven by a young male.</w:t>
      </w:r>
    </w:p>
    <w:p w:rsidR="003E60C0" w:rsidRDefault="003E60C0" w:rsidP="003E60C0"/>
    <w:p w:rsidR="003E60C0" w:rsidRPr="003A7F37" w:rsidRDefault="003E60C0" w:rsidP="003E60C0">
      <w:pPr>
        <w:rPr>
          <w:rFonts w:cstheme="minorHAnsi"/>
        </w:rPr>
      </w:pPr>
      <w:r>
        <w:t xml:space="preserve">Initial disclosures provided by the front two vehicles indicated that the rear vehicle, which had allegedly been driven erratically, was at fault for the accident as both vehicles felt one impact.  Indeed, the front vehicle stated that he was required to stop his vehicle to react to traffic in front of him, with the middle vehicle following suit, bringing the vehicle to a stop with no issue, when the rear vehicle collided into the stationary vehicle in front, shunting it into another vehicle. Examination of the rear vehicle indicated that the front offside tyre was defective and whilst </w:t>
      </w:r>
      <w:r>
        <w:rPr>
          <w:rFonts w:cstheme="minorHAnsi"/>
        </w:rPr>
        <w:t>communication with the driver proved difficult due to the male’s apparent intoxication, it was established that he did not possess a UK driving licence, apparently driving on an international licence.</w:t>
      </w:r>
    </w:p>
    <w:p w:rsidR="003E60C0" w:rsidRDefault="003E60C0" w:rsidP="003E60C0"/>
    <w:p w:rsidR="003E60C0" w:rsidRDefault="003E60C0" w:rsidP="003E60C0">
      <w:r>
        <w:t>This was a particularly interesting incident, as from something that appeared rather innocuous and straight forward at the outset, seve</w:t>
      </w:r>
      <w:r w:rsidR="0023532C">
        <w:t>ral fundamental policing principl</w:t>
      </w:r>
      <w:r>
        <w:t xml:space="preserve">es required practical implementation chief among which being, identification of and taking steps to nullify any conscious or unconscious bias, discretion and information management under the CPIA. </w:t>
      </w:r>
    </w:p>
    <w:p w:rsidR="003E60C0" w:rsidRDefault="003E60C0" w:rsidP="003E60C0"/>
    <w:p w:rsidR="003E60C0" w:rsidRDefault="003E60C0" w:rsidP="003E60C0">
      <w:r>
        <w:t xml:space="preserve">Having previously discussed in some detail unconscious bias, it is clear that this is a case where, even with the best of intentions, one could be susceptible to favouring a particular parties’ position over another, as a reasonable cross-section of the motoring society was represented here, or worse, falling prey to the traditional societal views that younger/inexperienced drivers of modified vehicles like to drive fast and tend to cause accidents, whereas middle-aged male drivers are seen to be more cautious and therefore less blameworthy.  One may also be possessed of the somewhat antiquated view that female drivers tend to possess lower skill levels than those of male counterparts and are therefore somehow blameworthy.  Of course, if an officer were to be swayed by any of the above positions, it would undoubtedly have a considerably damaging impact on the impartiality of the investigation and could lead to mistakes being made and ultimately complaints being made against the force, thereby damaging public perception and reducing public confidence in the force.  </w:t>
      </w:r>
    </w:p>
    <w:p w:rsidR="003E60C0" w:rsidRDefault="003E60C0" w:rsidP="003E60C0"/>
    <w:p w:rsidR="003E60C0" w:rsidRDefault="003E60C0" w:rsidP="003E60C0">
      <w:pPr>
        <w:rPr>
          <w:rFonts w:cstheme="minorHAnsi"/>
          <w:color w:val="333333"/>
        </w:rPr>
      </w:pPr>
      <w:r>
        <w:t>As I was able to identify the various factors that could be in play here serving to cloud my judgement, I was able to pause briefly upon attending the scene, review the situation and take a mental step backwards approaching the situation with a calm and methodical investigative mind-set as required by the CPIA.</w:t>
      </w:r>
    </w:p>
    <w:p w:rsidR="003E60C0" w:rsidRDefault="003E60C0" w:rsidP="003E60C0">
      <w:pPr>
        <w:rPr>
          <w:rFonts w:cstheme="minorHAnsi"/>
          <w:shd w:val="clear" w:color="auto" w:fill="FFFFFF"/>
        </w:rPr>
      </w:pPr>
    </w:p>
    <w:p w:rsidR="003E60C0" w:rsidRDefault="003E60C0" w:rsidP="003E60C0">
      <w:pPr>
        <w:rPr>
          <w:rFonts w:cstheme="minorHAnsi"/>
          <w:shd w:val="clear" w:color="auto" w:fill="FFFFFF"/>
        </w:rPr>
      </w:pPr>
      <w:r>
        <w:rPr>
          <w:rFonts w:cstheme="minorHAnsi"/>
          <w:shd w:val="clear" w:color="auto" w:fill="FFFFFF"/>
        </w:rPr>
        <w:t>Following a detailed discussion with all the relevant parties and taking into account such things as their disclosure(s), demeanour and vehicle position(s), putting into practical use another police mnemonic SHACKS (see, hear, actions, conversation, knowledge and smell) I utilised my power of discretion in allowing front vehicle to leave the scene without submitting to a breathalyser as I was of the opinion that he was not to blame for the incident and although entitled to require a specimen of breath from the driver under S.6(5) Road Traffic Act 1988 as he had been involved in a road traffic accident, had no concerns that he may be under the influence of alcohol.  A further example of exercising discretion in this incident can be seen when, under guidance from the Road Policing Unit, despite the existence of a defective tyre on the rear vehicle, I chose not to issue a Traffic Offence Report requiring payment of a fine, as the driver had indicated positive for cocaine and alcohol following road side testing and so would be dealt with for these, more serious offences by way of arrest.</w:t>
      </w:r>
    </w:p>
    <w:p w:rsidR="003E60C0" w:rsidRDefault="003E60C0" w:rsidP="003E60C0">
      <w:pPr>
        <w:rPr>
          <w:rFonts w:cstheme="minorHAnsi"/>
          <w:shd w:val="clear" w:color="auto" w:fill="FFFFFF"/>
        </w:rPr>
      </w:pPr>
    </w:p>
    <w:p w:rsidR="003E60C0" w:rsidRDefault="003E60C0" w:rsidP="003E60C0">
      <w:pPr>
        <w:rPr>
          <w:rFonts w:cstheme="minorHAnsi"/>
          <w:shd w:val="clear" w:color="auto" w:fill="FFFFFF"/>
        </w:rPr>
      </w:pPr>
      <w:r>
        <w:rPr>
          <w:rFonts w:cstheme="minorHAnsi"/>
          <w:shd w:val="clear" w:color="auto" w:fill="FFFFFF"/>
        </w:rPr>
        <w:t xml:space="preserve">Were it not for the NDM, being so young in service, I am not sure whether I would have had enough confidence in my experience levels to make the decision to permit a driver to leave the scene without providing a specimen of breath, however, as I was able to justify my decision with reference to the NDM, in particular, options and powers sections, I felt confident that I was making the right decision. </w:t>
      </w:r>
    </w:p>
    <w:p w:rsidR="003E60C0" w:rsidRDefault="003E60C0" w:rsidP="003E60C0">
      <w:pPr>
        <w:rPr>
          <w:rFonts w:cstheme="minorHAnsi"/>
          <w:shd w:val="clear" w:color="auto" w:fill="FFFFFF"/>
        </w:rPr>
      </w:pPr>
    </w:p>
    <w:p w:rsidR="003E60C0" w:rsidRDefault="003E60C0" w:rsidP="003E60C0">
      <w:pPr>
        <w:rPr>
          <w:rFonts w:cstheme="minorHAnsi"/>
          <w:shd w:val="clear" w:color="auto" w:fill="FFFFFF"/>
        </w:rPr>
      </w:pPr>
      <w:r>
        <w:rPr>
          <w:rFonts w:cstheme="minorHAnsi"/>
          <w:shd w:val="clear" w:color="auto" w:fill="FFFFFF"/>
        </w:rPr>
        <w:t>Further, I was able to demonstrate practical application of the aforementioned CPIA principles by requiring the driver of the middle vehicle to provide a specimen of breath for analysis which came back with an indication of 0 alcohol in her system, thereby pointing away from the driver as being responsible for the accident and strengthening her defence.</w:t>
      </w:r>
    </w:p>
    <w:p w:rsidR="003E60C0" w:rsidRDefault="003E60C0" w:rsidP="003E60C0">
      <w:pPr>
        <w:rPr>
          <w:rFonts w:cstheme="minorHAnsi"/>
          <w:shd w:val="clear" w:color="auto" w:fill="FFFFFF"/>
        </w:rPr>
      </w:pPr>
    </w:p>
    <w:p w:rsidR="003E60C0" w:rsidRDefault="003E60C0" w:rsidP="003E60C0">
      <w:pPr>
        <w:rPr>
          <w:rFonts w:cstheme="minorHAnsi"/>
          <w:shd w:val="clear" w:color="auto" w:fill="FFFFFF"/>
        </w:rPr>
      </w:pPr>
      <w:r>
        <w:rPr>
          <w:rFonts w:cstheme="minorHAnsi"/>
          <w:shd w:val="clear" w:color="auto" w:fill="FFFFFF"/>
        </w:rPr>
        <w:t>Effective management of police information was demonstrated by securely retaining all personal details of the parties involved within my electronic pocket note book at the scene and subsequent accurate transference to our computer systems.</w:t>
      </w:r>
    </w:p>
    <w:p w:rsidR="003E60C0" w:rsidRDefault="003E60C0" w:rsidP="003E60C0">
      <w:pPr>
        <w:rPr>
          <w:rFonts w:cstheme="minorHAnsi"/>
        </w:rPr>
      </w:pPr>
    </w:p>
    <w:p w:rsidR="003E60C0" w:rsidRDefault="003E60C0" w:rsidP="003E60C0">
      <w:pPr>
        <w:rPr>
          <w:rFonts w:cstheme="minorHAnsi"/>
        </w:rPr>
      </w:pPr>
      <w:r>
        <w:rPr>
          <w:rFonts w:cstheme="minorHAnsi"/>
        </w:rPr>
        <w:t xml:space="preserve">It now falls, following Gibbs’ Reflective Cycle to reflect upon my feelings during the incident and reflect on my performance, describing what I have learned and how I will implement these learnings in the future.  </w:t>
      </w:r>
    </w:p>
    <w:p w:rsidR="003E60C0" w:rsidRDefault="003E60C0" w:rsidP="003E60C0">
      <w:pPr>
        <w:rPr>
          <w:rFonts w:cstheme="minorHAnsi"/>
        </w:rPr>
      </w:pPr>
    </w:p>
    <w:p w:rsidR="003E60C0" w:rsidRDefault="003E60C0" w:rsidP="003E60C0">
      <w:pPr>
        <w:rPr>
          <w:rFonts w:cstheme="minorHAnsi"/>
        </w:rPr>
      </w:pPr>
      <w:r>
        <w:rPr>
          <w:rFonts w:cstheme="minorHAnsi"/>
        </w:rPr>
        <w:t>At the time of the incident, I recall feeling anxious about the level of scrutiny that my actions would come under, as, not only was this was the first time I had attended an RTC, it was during morning rush hour so there was considerable public presence therefore the police have to be seen to be acting decisively but fairly and in the public interest.  By taking a moment upon initial attendance to survey the scene and gather my thoughts, I was able to centre myself, put the nerves to one side and approach the matter calmly.  This is exceptionally important as rushing headlong into situations can have significant implications for personal and public safety, scene preservation and ultimately, public perception.  Whilst in this particular incident, there was little danger to officer safety, if this were an incident of domestic violence or possession of a weapon, the risk would raise exponentially and therefore importance of getting used to approaching scenes and pausing for a brief moment to reflect upon what you are facing can not be over stated.</w:t>
      </w:r>
    </w:p>
    <w:p w:rsidR="003E60C0" w:rsidRDefault="003E60C0" w:rsidP="003E60C0">
      <w:pPr>
        <w:rPr>
          <w:rFonts w:cstheme="minorHAnsi"/>
        </w:rPr>
      </w:pPr>
    </w:p>
    <w:p w:rsidR="003E60C0" w:rsidRDefault="003E60C0" w:rsidP="003E60C0">
      <w:pPr>
        <w:rPr>
          <w:rFonts w:cstheme="minorHAnsi"/>
        </w:rPr>
      </w:pPr>
      <w:r>
        <w:rPr>
          <w:rFonts w:cstheme="minorHAnsi"/>
        </w:rPr>
        <w:t>Further, I recall debating with myself as to whether it would be appropriate to allow a driver to leave the scene without submitting a specimen of breath for analysis, however, having reflected upon the situation and subsequently discussing my actions with more experience colleagues, I am confident that the decision was correct, as the facts presented were such that no blame could be attributed to the front vehicle and whilst there is a statutory power in place to allow a specimen of breath to be requested, it is neither mandated, nor is there a policy within South Wales Police requiring a specimen of breath be requested following a road traffic accident, rather, it falls to individual officers to take an informed and impartial decision based upon all the relevant facts presented.</w:t>
      </w:r>
    </w:p>
    <w:p w:rsidR="003E60C0" w:rsidRDefault="003E60C0" w:rsidP="003E60C0">
      <w:pPr>
        <w:rPr>
          <w:rFonts w:cstheme="minorHAnsi"/>
        </w:rPr>
      </w:pPr>
    </w:p>
    <w:p w:rsidR="003E60C0" w:rsidRPr="00B75CF1" w:rsidRDefault="003E60C0" w:rsidP="003E60C0">
      <w:pPr>
        <w:rPr>
          <w:rFonts w:cstheme="minorBidi"/>
        </w:rPr>
      </w:pPr>
      <w:r>
        <w:rPr>
          <w:rFonts w:cstheme="minorHAnsi"/>
        </w:rPr>
        <w:t>In conclusion b</w:t>
      </w:r>
      <w:r>
        <w:t>eing young in service, I find I spend significant amounts of time reflecting upon and evaluating my performance in given situations, analysing what worked and what didn’t work so that I may learn from the experiences and improve in future.  This incident was particularly important to my professional development as it has enabled me to put into practice several fundamental principles, whilst making reference to the NDM and allowing me an opportunity to exercise discretion in a real-time setting.  I have learned that discretion is a fundamental tool in the arsenal of an officer, and providing that the decision(s) made are done so in good faith, free from bias and made in line with the NDM then officers are free to and indeed should seek to utilise discretion at any relevant opportunity, especially when considering the most appropriate means of disposal of incidents.</w:t>
      </w:r>
    </w:p>
    <w:p w:rsidR="003E60C0" w:rsidRPr="003A7F37" w:rsidRDefault="003E60C0" w:rsidP="003E60C0">
      <w:pPr>
        <w:rPr>
          <w:rFonts w:cstheme="minorHAnsi"/>
        </w:rPr>
      </w:pP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2718 words</w:t>
      </w:r>
    </w:p>
    <w:p w:rsidR="006C7CA5" w:rsidRPr="00270EEB" w:rsidRDefault="006C7CA5"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025650" w:rsidRDefault="00025650" w:rsidP="00E6298B">
      <w:pPr>
        <w:ind w:right="107"/>
        <w:jc w:val="both"/>
        <w:rPr>
          <w:b/>
          <w:sz w:val="24"/>
          <w:szCs w:val="24"/>
        </w:rPr>
      </w:pPr>
    </w:p>
    <w:p w:rsidR="00025650" w:rsidRDefault="00025650" w:rsidP="00E6298B">
      <w:pPr>
        <w:ind w:right="107"/>
      </w:pPr>
      <w:r>
        <w:br w:type="page"/>
      </w:r>
    </w:p>
    <w:p w:rsidR="000F7ECD" w:rsidRPr="00270EEB" w:rsidRDefault="000F7ECD" w:rsidP="00E6298B">
      <w:pPr>
        <w:ind w:right="107"/>
        <w:jc w:val="both"/>
        <w:rPr>
          <w:sz w:val="24"/>
          <w:szCs w:val="24"/>
        </w:rPr>
        <w:sectPr w:rsidR="000F7ECD" w:rsidRPr="00270EEB" w:rsidSect="00AD022F">
          <w:headerReference w:type="even" r:id="rId41"/>
          <w:headerReference w:type="default" r:id="rId42"/>
          <w:footerReference w:type="even" r:id="rId43"/>
          <w:footerReference w:type="default" r:id="rId44"/>
          <w:headerReference w:type="first" r:id="rId45"/>
          <w:footerReference w:type="first" r:id="rId46"/>
          <w:pgSz w:w="11906" w:h="16838" w:code="9"/>
          <w:pgMar w:top="1440" w:right="1080" w:bottom="1440" w:left="1080" w:header="720" w:footer="720" w:gutter="0"/>
          <w:cols w:space="720"/>
          <w:titlePg/>
          <w:docGrid w:linePitch="272"/>
        </w:sectPr>
      </w:pPr>
    </w:p>
    <w:p w:rsidR="008B28E7" w:rsidRPr="00270EEB" w:rsidRDefault="57C29BF7" w:rsidP="2E5ED9CE">
      <w:pPr>
        <w:ind w:left="3600" w:right="107" w:firstLine="720"/>
        <w:jc w:val="both"/>
        <w:rPr>
          <w:b/>
          <w:bCs/>
          <w:sz w:val="24"/>
          <w:szCs w:val="24"/>
        </w:rPr>
      </w:pPr>
      <w:r w:rsidRPr="2E5ED9CE">
        <w:rPr>
          <w:b/>
          <w:bCs/>
          <w:sz w:val="24"/>
          <w:szCs w:val="24"/>
        </w:rPr>
        <w:t>Task 5</w:t>
      </w:r>
    </w:p>
    <w:p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rsidR="00575A8F" w:rsidRDefault="00575A8F" w:rsidP="00E6298B">
      <w:pPr>
        <w:ind w:right="107"/>
        <w:jc w:val="both"/>
        <w:rPr>
          <w:b/>
          <w:sz w:val="24"/>
          <w:szCs w:val="24"/>
        </w:rPr>
      </w:pPr>
    </w:p>
    <w:p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rsidR="2E5ED9CE" w:rsidRDefault="2E5ED9CE" w:rsidP="2E5ED9CE">
      <w:pPr>
        <w:ind w:right="107"/>
        <w:jc w:val="both"/>
        <w:rPr>
          <w:b/>
          <w:bCs/>
          <w:sz w:val="24"/>
          <w:szCs w:val="24"/>
        </w:rPr>
      </w:pPr>
    </w:p>
    <w:p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rsidTr="28A9B94D">
        <w:tc>
          <w:tcPr>
            <w:tcW w:w="2462" w:type="dxa"/>
            <w:shd w:val="clear" w:color="auto" w:fill="auto"/>
          </w:tcPr>
          <w:p w:rsidR="00575A8F" w:rsidRPr="00270EEB" w:rsidRDefault="00575A8F" w:rsidP="00E6298B">
            <w:pPr>
              <w:ind w:right="107"/>
              <w:jc w:val="center"/>
              <w:rPr>
                <w:b/>
                <w:sz w:val="24"/>
                <w:szCs w:val="24"/>
              </w:rPr>
            </w:pPr>
          </w:p>
          <w:p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rsidR="00575A8F" w:rsidRPr="00270EEB" w:rsidRDefault="00575A8F" w:rsidP="00E6298B">
            <w:pPr>
              <w:ind w:right="107"/>
              <w:jc w:val="center"/>
              <w:rPr>
                <w:b/>
                <w:sz w:val="24"/>
                <w:szCs w:val="24"/>
              </w:rPr>
            </w:pPr>
          </w:p>
        </w:tc>
        <w:tc>
          <w:tcPr>
            <w:tcW w:w="2433" w:type="dxa"/>
            <w:shd w:val="clear" w:color="auto" w:fill="auto"/>
          </w:tcPr>
          <w:p w:rsidR="00575A8F" w:rsidRPr="00270EEB" w:rsidRDefault="00575A8F" w:rsidP="00E6298B">
            <w:pPr>
              <w:ind w:right="107"/>
              <w:jc w:val="center"/>
              <w:rPr>
                <w:b/>
                <w:sz w:val="24"/>
                <w:szCs w:val="24"/>
              </w:rPr>
            </w:pPr>
          </w:p>
          <w:p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rsidR="00575A8F" w:rsidRPr="00270EEB" w:rsidRDefault="00575A8F" w:rsidP="00E6298B">
            <w:pPr>
              <w:ind w:right="107"/>
              <w:jc w:val="center"/>
              <w:rPr>
                <w:b/>
                <w:sz w:val="24"/>
                <w:szCs w:val="24"/>
              </w:rPr>
            </w:pPr>
          </w:p>
          <w:p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rsidR="28A9B94D" w:rsidRDefault="28A9B94D" w:rsidP="28A9B94D">
            <w:pPr>
              <w:jc w:val="center"/>
              <w:rPr>
                <w:b/>
                <w:bCs/>
                <w:sz w:val="24"/>
                <w:szCs w:val="24"/>
              </w:rPr>
            </w:pPr>
          </w:p>
          <w:p w:rsidR="28A9B94D" w:rsidRDefault="28A9B94D" w:rsidP="28A9B94D">
            <w:pPr>
              <w:jc w:val="center"/>
              <w:rPr>
                <w:b/>
                <w:bCs/>
                <w:sz w:val="24"/>
                <w:szCs w:val="24"/>
              </w:rPr>
            </w:pPr>
            <w:r w:rsidRPr="28A9B94D">
              <w:rPr>
                <w:b/>
                <w:bCs/>
                <w:sz w:val="24"/>
                <w:szCs w:val="24"/>
              </w:rPr>
              <w:t>Timeline</w:t>
            </w:r>
          </w:p>
        </w:tc>
      </w:tr>
      <w:tr w:rsidR="00575A8F" w:rsidRPr="00270EEB" w:rsidTr="28A9B94D">
        <w:tc>
          <w:tcPr>
            <w:tcW w:w="2462" w:type="dxa"/>
            <w:shd w:val="clear" w:color="auto" w:fill="auto"/>
          </w:tcPr>
          <w:p w:rsidR="00575A8F" w:rsidRPr="00B25BAC" w:rsidRDefault="00B25BAC" w:rsidP="00B25BAC">
            <w:pPr>
              <w:rPr>
                <w:rFonts w:asciiTheme="minorHAnsi" w:hAnsiTheme="minorHAnsi" w:cstheme="minorBidi"/>
                <w:color w:val="auto"/>
              </w:rPr>
            </w:pPr>
            <w:r>
              <w:t>Increase confidence in conducting stop searches whether under S.1 PACE or S.23 Misuse of Drugs Act thereby increasing number of searches completed and submission of relevant paperwork by 5% month on month.</w:t>
            </w:r>
          </w:p>
        </w:tc>
        <w:tc>
          <w:tcPr>
            <w:tcW w:w="2433" w:type="dxa"/>
            <w:shd w:val="clear" w:color="auto" w:fill="auto"/>
          </w:tcPr>
          <w:p w:rsidR="00575A8F" w:rsidRPr="00270EEB" w:rsidRDefault="00B25BAC" w:rsidP="00B25BAC">
            <w:pPr>
              <w:rPr>
                <w:sz w:val="24"/>
                <w:szCs w:val="24"/>
              </w:rPr>
            </w:pPr>
            <w:r>
              <w:t>By actively engaging with the public when on mobile patrol and proactively stopping suspicious vehicles in an effort to identify opportunities to conduct searches, thereby increasing confidence in carrying out said searches.  Double crewed patrols to take place in areas across the sector where drugs or violent offences are known to take place in line with daily tasking requirements.</w:t>
            </w:r>
          </w:p>
        </w:tc>
        <w:tc>
          <w:tcPr>
            <w:tcW w:w="2426" w:type="dxa"/>
            <w:shd w:val="clear" w:color="auto" w:fill="auto"/>
          </w:tcPr>
          <w:p w:rsidR="00575A8F" w:rsidRPr="00270EEB" w:rsidRDefault="00B25BAC" w:rsidP="00B25BAC">
            <w:pPr>
              <w:ind w:right="107"/>
              <w:rPr>
                <w:sz w:val="24"/>
                <w:szCs w:val="24"/>
              </w:rPr>
            </w:pPr>
            <w:r>
              <w:t>In the first instance, experienced colleagues on the shift together with the shift sergeant</w:t>
            </w:r>
            <w:r w:rsidR="00556D5C">
              <w:t xml:space="preserve"> or Local Policing Inspector</w:t>
            </w:r>
            <w:r>
              <w:t>.  If further assistance is needed and there are no designated champions within the BCU, SWP has a Force Lead in Policing Powers (Search and Force) as part of the Learning and Development team who has access to significant resources to assist learning.</w:t>
            </w:r>
            <w:r w:rsidR="00556D5C">
              <w:t xml:space="preserve">  Alternatively, SWP have a Force Lead in Stop &amp; Search forming part of the information management team that may also assist.</w:t>
            </w:r>
          </w:p>
        </w:tc>
        <w:tc>
          <w:tcPr>
            <w:tcW w:w="2426" w:type="dxa"/>
            <w:shd w:val="clear" w:color="auto" w:fill="auto"/>
          </w:tcPr>
          <w:p w:rsidR="28A9B94D" w:rsidRPr="00B25BAC" w:rsidRDefault="00A01E36" w:rsidP="00B25BAC">
            <w:r>
              <w:t xml:space="preserve">Monthly reviews for the  first </w:t>
            </w:r>
            <w:r w:rsidR="00B25BAC">
              <w:t>6 months</w:t>
            </w:r>
            <w:r w:rsidR="004763DD">
              <w:t xml:space="preserve"> </w:t>
            </w:r>
            <w:r w:rsidR="0031522B">
              <w:t xml:space="preserve">from submission of workbook </w:t>
            </w:r>
            <w:r w:rsidR="004763DD">
              <w:t>with demonstrable improvement by end of probation period.</w:t>
            </w:r>
          </w:p>
        </w:tc>
      </w:tr>
      <w:tr w:rsidR="00575A8F" w:rsidRPr="00270EEB" w:rsidTr="28A9B94D">
        <w:tc>
          <w:tcPr>
            <w:tcW w:w="2462" w:type="dxa"/>
            <w:shd w:val="clear" w:color="auto" w:fill="auto"/>
          </w:tcPr>
          <w:p w:rsidR="00575A8F" w:rsidRPr="00556D5C" w:rsidRDefault="00556D5C" w:rsidP="00556D5C">
            <w:pPr>
              <w:rPr>
                <w:rFonts w:asciiTheme="minorHAnsi" w:hAnsiTheme="minorHAnsi" w:cstheme="minorBidi"/>
                <w:color w:val="auto"/>
              </w:rPr>
            </w:pPr>
            <w:r>
              <w:t>Increase confidence in submitting intelligence report forms and identifying instances where it is suitable for intelligence to be submitted, thereby increasing number of intelligence submissions by 5% month on month.</w:t>
            </w:r>
          </w:p>
        </w:tc>
        <w:tc>
          <w:tcPr>
            <w:tcW w:w="2433" w:type="dxa"/>
            <w:shd w:val="clear" w:color="auto" w:fill="auto"/>
          </w:tcPr>
          <w:p w:rsidR="00556D5C" w:rsidRDefault="00556D5C" w:rsidP="00556D5C">
            <w:pPr>
              <w:rPr>
                <w:rFonts w:asciiTheme="minorHAnsi" w:hAnsiTheme="minorHAnsi" w:cstheme="minorBidi"/>
                <w:color w:val="auto"/>
              </w:rPr>
            </w:pPr>
            <w:r>
              <w:t>Double crewed patrols of known areas where drugs or violent offences are known to take place and targeting of OCG’s in line with daily sector tasking requirements.  Furthermore, by actively engaging with the public when on mobile patrol to understand any concerns and gather local knowledge, by maintaining situational awareness when attending properties as this may uncover unsuspected items such as concealed weapons or firearms.</w:t>
            </w:r>
          </w:p>
          <w:p w:rsidR="00575A8F" w:rsidRPr="00270EEB" w:rsidRDefault="00575A8F" w:rsidP="00556D5C">
            <w:pPr>
              <w:ind w:right="107"/>
              <w:rPr>
                <w:sz w:val="24"/>
                <w:szCs w:val="24"/>
              </w:rPr>
            </w:pPr>
          </w:p>
        </w:tc>
        <w:tc>
          <w:tcPr>
            <w:tcW w:w="2426" w:type="dxa"/>
            <w:shd w:val="clear" w:color="auto" w:fill="auto"/>
          </w:tcPr>
          <w:p w:rsidR="00575A8F" w:rsidRPr="00270EEB" w:rsidRDefault="00556D5C" w:rsidP="00556D5C">
            <w:pPr>
              <w:ind w:right="107"/>
              <w:rPr>
                <w:sz w:val="24"/>
                <w:szCs w:val="24"/>
              </w:rPr>
            </w:pPr>
            <w:r>
              <w:t>In the first instance, experienced colleagues on the shift together with the shift sergeant or Local Policing Inspector.  If further assistance is needed the Force Intelligence and Organised Crime Unit can be contacted.</w:t>
            </w:r>
          </w:p>
        </w:tc>
        <w:tc>
          <w:tcPr>
            <w:tcW w:w="2426" w:type="dxa"/>
            <w:shd w:val="clear" w:color="auto" w:fill="auto"/>
          </w:tcPr>
          <w:p w:rsidR="28A9B94D" w:rsidRDefault="00A01E36" w:rsidP="004763DD">
            <w:pPr>
              <w:rPr>
                <w:sz w:val="24"/>
                <w:szCs w:val="24"/>
              </w:rPr>
            </w:pPr>
            <w:r>
              <w:t xml:space="preserve">Monthly reviews for the  first </w:t>
            </w:r>
            <w:r w:rsidR="004763DD">
              <w:t xml:space="preserve">6 months </w:t>
            </w:r>
            <w:r w:rsidR="0031522B">
              <w:t xml:space="preserve">from submission of workbook </w:t>
            </w:r>
            <w:r w:rsidR="004763DD">
              <w:t>with demonstrable improvement by end of probation period.</w:t>
            </w:r>
          </w:p>
        </w:tc>
      </w:tr>
      <w:tr w:rsidR="00575A8F" w:rsidRPr="00270EEB" w:rsidTr="28A9B94D">
        <w:tc>
          <w:tcPr>
            <w:tcW w:w="2462" w:type="dxa"/>
            <w:shd w:val="clear" w:color="auto" w:fill="auto"/>
          </w:tcPr>
          <w:p w:rsidR="00575A8F" w:rsidRPr="004763DD" w:rsidRDefault="004763DD" w:rsidP="004763DD">
            <w:pPr>
              <w:ind w:right="107"/>
            </w:pPr>
            <w:r>
              <w:t>Increase confidence in issuing of penalty notices for disorder (PND) and traffic offence reports (TOR), thereby increasing number of PND’s and TOR’s by 10% month on month.</w:t>
            </w:r>
          </w:p>
        </w:tc>
        <w:tc>
          <w:tcPr>
            <w:tcW w:w="2433" w:type="dxa"/>
            <w:shd w:val="clear" w:color="auto" w:fill="auto"/>
          </w:tcPr>
          <w:p w:rsidR="00575A8F" w:rsidRPr="004763DD" w:rsidRDefault="004763DD" w:rsidP="004763DD">
            <w:pPr>
              <w:ind w:right="107"/>
            </w:pPr>
            <w:r>
              <w:t>By carrying out proactive patrols of areas known for ASB issues or vehicle related annoyance and disturbance.  Also by maintaining situational awareness whilst out in the community as it may be possible to identify offences being  committed that can be dealt with by PND’s or TOR’s at the roadside.</w:t>
            </w:r>
          </w:p>
        </w:tc>
        <w:tc>
          <w:tcPr>
            <w:tcW w:w="2426" w:type="dxa"/>
            <w:shd w:val="clear" w:color="auto" w:fill="auto"/>
          </w:tcPr>
          <w:p w:rsidR="00575A8F" w:rsidRPr="004763DD" w:rsidRDefault="004763DD" w:rsidP="004763DD">
            <w:pPr>
              <w:ind w:right="107"/>
            </w:pPr>
            <w:r>
              <w:t>In the first instance, experienced colleagues on the shift together with the shift sergeant or Local Policing Inspector.  In respect of TOR’s all student officers will undergo an attachment with Road Policing Unit during probation period but prior to this attachment, proactive contacting of RPU sergeant to ask for assistance.</w:t>
            </w:r>
          </w:p>
        </w:tc>
        <w:tc>
          <w:tcPr>
            <w:tcW w:w="2426" w:type="dxa"/>
            <w:shd w:val="clear" w:color="auto" w:fill="auto"/>
          </w:tcPr>
          <w:p w:rsidR="28A9B94D" w:rsidRPr="004763DD" w:rsidRDefault="00A01E36" w:rsidP="004763DD">
            <w:r>
              <w:t xml:space="preserve">Monthly reviews for the  first </w:t>
            </w:r>
            <w:bookmarkStart w:id="16" w:name="_GoBack"/>
            <w:bookmarkEnd w:id="16"/>
            <w:r w:rsidR="004763DD">
              <w:t xml:space="preserve">6 months </w:t>
            </w:r>
            <w:r w:rsidR="0031522B">
              <w:t xml:space="preserve">from submission of workbook </w:t>
            </w:r>
            <w:r w:rsidR="004763DD">
              <w:t>with demonstrable improvement by end of probation period.</w:t>
            </w:r>
          </w:p>
        </w:tc>
      </w:tr>
    </w:tbl>
    <w:p w:rsidR="00575A8F" w:rsidRPr="00270EEB" w:rsidRDefault="00575A8F" w:rsidP="00E6298B">
      <w:pPr>
        <w:ind w:right="107"/>
        <w:jc w:val="both"/>
        <w:rPr>
          <w:sz w:val="24"/>
          <w:szCs w:val="24"/>
        </w:rPr>
      </w:pPr>
    </w:p>
    <w:p w:rsidR="00536FA9" w:rsidRDefault="00536FA9" w:rsidP="00E6298B">
      <w:pPr>
        <w:overflowPunct/>
        <w:autoSpaceDE/>
        <w:autoSpaceDN/>
        <w:adjustRightInd/>
        <w:ind w:right="107"/>
        <w:textAlignment w:val="auto"/>
        <w:rPr>
          <w:b/>
          <w:sz w:val="24"/>
          <w:szCs w:val="24"/>
        </w:rPr>
      </w:pPr>
      <w:r>
        <w:rPr>
          <w:b/>
          <w:sz w:val="24"/>
          <w:szCs w:val="24"/>
        </w:rPr>
        <w:br w:type="page"/>
      </w:r>
    </w:p>
    <w:p w:rsidR="004923DA" w:rsidRPr="00270EEB" w:rsidRDefault="004923DA" w:rsidP="00E6298B">
      <w:pPr>
        <w:keepNext/>
        <w:spacing w:before="240" w:after="60"/>
        <w:ind w:right="107"/>
        <w:jc w:val="both"/>
        <w:rPr>
          <w:b/>
          <w:sz w:val="24"/>
          <w:szCs w:val="24"/>
        </w:rPr>
      </w:pPr>
      <w:r w:rsidRPr="00270EEB">
        <w:rPr>
          <w:b/>
          <w:sz w:val="24"/>
          <w:szCs w:val="24"/>
        </w:rPr>
        <w:t>Bibliography</w:t>
      </w:r>
    </w:p>
    <w:p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rsidR="00390074" w:rsidRPr="00270EEB" w:rsidRDefault="00390074" w:rsidP="00E6298B">
      <w:pPr>
        <w:ind w:right="107"/>
        <w:jc w:val="both"/>
        <w:rPr>
          <w:b/>
          <w:sz w:val="24"/>
          <w:szCs w:val="24"/>
        </w:rPr>
      </w:pPr>
    </w:p>
    <w:p w:rsidR="001E4355" w:rsidRPr="00975C9B" w:rsidRDefault="001E4355" w:rsidP="001E4355">
      <w:pPr>
        <w:rPr>
          <w:rFonts w:cstheme="minorHAnsi"/>
        </w:rPr>
      </w:pPr>
      <w:r w:rsidRPr="00975C9B">
        <w:rPr>
          <w:rFonts w:cstheme="minorHAnsi"/>
        </w:rPr>
        <w:t>Alison, L. and Alison, E. (2017) ‘Revenge versus rapport: Interrogation, terrorism, and torture’, </w:t>
      </w:r>
      <w:r w:rsidRPr="00975C9B">
        <w:rPr>
          <w:rFonts w:cstheme="minorHAnsi"/>
          <w:i/>
          <w:iCs/>
          <w:bdr w:val="none" w:sz="0" w:space="0" w:color="auto" w:frame="1"/>
        </w:rPr>
        <w:t>American Psychologist</w:t>
      </w:r>
      <w:r w:rsidRPr="00975C9B">
        <w:rPr>
          <w:rFonts w:cstheme="minorHAnsi"/>
        </w:rPr>
        <w:t>. (Psychology of Terrorism), Volume 72(3), pp. 266–277. doi: 10.1037/amp0000064.</w:t>
      </w:r>
    </w:p>
    <w:p w:rsidR="001E4355" w:rsidRDefault="001E4355" w:rsidP="001E4355">
      <w:pPr>
        <w:rPr>
          <w:rFonts w:cstheme="minorHAnsi"/>
        </w:rPr>
      </w:pPr>
    </w:p>
    <w:p w:rsidR="001E4355" w:rsidRPr="00975C9B" w:rsidRDefault="001E4355" w:rsidP="001E4355">
      <w:pPr>
        <w:rPr>
          <w:rFonts w:cstheme="minorHAnsi"/>
          <w:shd w:val="clear" w:color="auto" w:fill="FFFFFF"/>
        </w:rPr>
      </w:pPr>
      <w:r>
        <w:rPr>
          <w:rFonts w:cstheme="minorHAnsi"/>
          <w:shd w:val="clear" w:color="auto" w:fill="FFFFFF"/>
        </w:rPr>
        <w:t>Cheng, E.K. and Nunn</w:t>
      </w:r>
      <w:r w:rsidRPr="00975C9B">
        <w:rPr>
          <w:rFonts w:cstheme="minorHAnsi"/>
          <w:shd w:val="clear" w:color="auto" w:fill="FFFFFF"/>
        </w:rPr>
        <w:t>, G.A., (2019) ‘Beyond the Witness: Bringing a Process Perspective to Modern Evidence Law.’ </w:t>
      </w:r>
      <w:r w:rsidRPr="00975C9B">
        <w:rPr>
          <w:rFonts w:cstheme="minorHAnsi"/>
          <w:i/>
          <w:iCs/>
          <w:shd w:val="clear" w:color="auto" w:fill="FFFFFF"/>
        </w:rPr>
        <w:t>Texas Law Review, </w:t>
      </w:r>
      <w:r w:rsidRPr="00975C9B">
        <w:rPr>
          <w:rFonts w:cstheme="minorHAnsi"/>
          <w:iCs/>
          <w:shd w:val="clear" w:color="auto" w:fill="FFFFFF"/>
        </w:rPr>
        <w:t xml:space="preserve">Volume </w:t>
      </w:r>
      <w:r w:rsidRPr="004D2480">
        <w:rPr>
          <w:rFonts w:cstheme="minorHAnsi"/>
          <w:bCs/>
          <w:shd w:val="clear" w:color="auto" w:fill="FFFFFF"/>
        </w:rPr>
        <w:t>97</w:t>
      </w:r>
      <w:r w:rsidRPr="00975C9B">
        <w:rPr>
          <w:rFonts w:cstheme="minorHAnsi"/>
          <w:shd w:val="clear" w:color="auto" w:fill="FFFFFF"/>
        </w:rPr>
        <w:t>(6), pp. 1077-1124.</w:t>
      </w:r>
    </w:p>
    <w:p w:rsidR="001E4355" w:rsidRDefault="001E4355" w:rsidP="001E4355">
      <w:pPr>
        <w:rPr>
          <w:rFonts w:cstheme="minorHAnsi"/>
        </w:rPr>
      </w:pPr>
    </w:p>
    <w:p w:rsidR="001E4355" w:rsidRPr="00975C9B" w:rsidRDefault="001E4355" w:rsidP="001E4355">
      <w:r w:rsidRPr="00975C9B">
        <w:rPr>
          <w:rFonts w:cstheme="minorHAnsi"/>
        </w:rPr>
        <w:t xml:space="preserve">College of Policing (2020) </w:t>
      </w:r>
      <w:r w:rsidRPr="00975C9B">
        <w:rPr>
          <w:rFonts w:cstheme="minorHAnsi"/>
          <w:i/>
        </w:rPr>
        <w:t xml:space="preserve">Investigation.  </w:t>
      </w:r>
      <w:r w:rsidRPr="00975C9B">
        <w:rPr>
          <w:rFonts w:cstheme="minorHAnsi"/>
        </w:rPr>
        <w:t xml:space="preserve">Available at </w:t>
      </w:r>
      <w:hyperlink r:id="rId47" w:history="1">
        <w:r w:rsidRPr="00975C9B">
          <w:rPr>
            <w:rStyle w:val="Hyperlink"/>
            <w:color w:val="auto"/>
          </w:rPr>
          <w:t>https://diversity.ucsf.edu/resources/unconscious-bias</w:t>
        </w:r>
      </w:hyperlink>
      <w:r w:rsidRPr="00975C9B">
        <w:t xml:space="preserve">  (Accessed: 17 May 2021)</w:t>
      </w:r>
      <w:r>
        <w:t>.</w:t>
      </w:r>
    </w:p>
    <w:p w:rsidR="001E4355" w:rsidRDefault="001E4355" w:rsidP="001E4355">
      <w:pPr>
        <w:rPr>
          <w:rFonts w:cstheme="minorHAnsi"/>
        </w:rPr>
      </w:pPr>
    </w:p>
    <w:p w:rsidR="001E4355" w:rsidRPr="00975C9B" w:rsidRDefault="001E4355" w:rsidP="001E4355">
      <w:pPr>
        <w:rPr>
          <w:rFonts w:cstheme="minorHAnsi"/>
        </w:rPr>
      </w:pPr>
      <w:r w:rsidRPr="00975C9B">
        <w:rPr>
          <w:rFonts w:cstheme="minorHAnsi"/>
        </w:rPr>
        <w:t xml:space="preserve">Cornish, D. &amp; Clarke, R. (1987). ‘Understanding crime displacement: An application of rational choice theory.’ </w:t>
      </w:r>
      <w:r w:rsidRPr="00975C9B">
        <w:rPr>
          <w:rFonts w:cstheme="minorHAnsi"/>
          <w:i/>
        </w:rPr>
        <w:t>Criminology</w:t>
      </w:r>
      <w:r w:rsidRPr="00975C9B">
        <w:rPr>
          <w:rFonts w:cstheme="minorHAnsi"/>
        </w:rPr>
        <w:t>, Volume 25, issue 4, pp. 933–947.</w:t>
      </w:r>
    </w:p>
    <w:p w:rsidR="001E4355" w:rsidRDefault="001E4355" w:rsidP="001E4355">
      <w:pPr>
        <w:rPr>
          <w:rFonts w:cstheme="minorHAnsi"/>
        </w:rPr>
      </w:pPr>
    </w:p>
    <w:p w:rsidR="001E4355" w:rsidRDefault="001E4355" w:rsidP="001E4355">
      <w:r w:rsidRPr="005D245F">
        <w:rPr>
          <w:i/>
        </w:rPr>
        <w:t xml:space="preserve">Criminal Procedure and Investigations Act 1996 </w:t>
      </w:r>
      <w:r w:rsidRPr="00676CFE">
        <w:t>(section 23(1)) Code of Practice Revised in accordance with section 25(4) of the Criminal Procedure and Investigations Act 1996.  Available at https://assets.publishing.service.gov.uk/government/uploads/system’/uploads/attachment_data/file/447967/code-of-practice-approved.pdf.   (Accessed</w:t>
      </w:r>
      <w:r>
        <w:t>:</w:t>
      </w:r>
      <w:r w:rsidRPr="00676CFE">
        <w:t xml:space="preserve"> 17 May 2021).</w:t>
      </w:r>
    </w:p>
    <w:p w:rsidR="001E4355" w:rsidRDefault="001E4355" w:rsidP="001E4355">
      <w:pPr>
        <w:rPr>
          <w:rFonts w:cstheme="minorHAnsi"/>
        </w:rPr>
      </w:pPr>
    </w:p>
    <w:p w:rsidR="001E4355" w:rsidRPr="00975C9B" w:rsidRDefault="001E4355" w:rsidP="001E4355">
      <w:r w:rsidRPr="00975C9B">
        <w:rPr>
          <w:rFonts w:cstheme="minorHAnsi"/>
        </w:rPr>
        <w:t xml:space="preserve">Ford K, Hot House Research Team, </w:t>
      </w:r>
      <w:r w:rsidRPr="00975C9B">
        <w:rPr>
          <w:rFonts w:cstheme="minorHAnsi"/>
          <w:i/>
        </w:rPr>
        <w:t>Working with the police to understand their response to vulnerable individuals and people at risk</w:t>
      </w:r>
      <w:r w:rsidRPr="00975C9B">
        <w:rPr>
          <w:rFonts w:cstheme="minorHAnsi"/>
        </w:rPr>
        <w:t xml:space="preserve">.  Available at </w:t>
      </w:r>
      <w:hyperlink r:id="rId48" w:history="1">
        <w:r w:rsidRPr="00975C9B">
          <w:rPr>
            <w:rStyle w:val="Hyperlink"/>
            <w:color w:val="auto"/>
          </w:rPr>
          <w:t>https://research.publichealthnetwork.cymru/files/7015/2104/4717/005_kat_ford.pdf</w:t>
        </w:r>
      </w:hyperlink>
      <w:r w:rsidRPr="00975C9B">
        <w:t xml:space="preserve">  (Accessed: 14 May 2021)</w:t>
      </w:r>
      <w:r>
        <w:t>.</w:t>
      </w:r>
    </w:p>
    <w:p w:rsidR="001E4355" w:rsidRDefault="001E4355" w:rsidP="001E4355">
      <w:pPr>
        <w:rPr>
          <w:rFonts w:cstheme="minorHAnsi"/>
        </w:rPr>
      </w:pPr>
    </w:p>
    <w:p w:rsidR="001E4355" w:rsidRPr="00975C9B" w:rsidRDefault="001E4355" w:rsidP="001E4355">
      <w:pPr>
        <w:rPr>
          <w:rFonts w:cstheme="minorHAnsi"/>
          <w:u w:val="single"/>
        </w:rPr>
      </w:pPr>
      <w:r w:rsidRPr="00975C9B">
        <w:rPr>
          <w:rFonts w:cstheme="minorHAnsi"/>
        </w:rPr>
        <w:t xml:space="preserve">Götmann A., Bechtoldt M.  (2021) ‘Coping with COVID-19 – Longitudinal analysis of coping strategies and the role of trait mindfulness in mental well-being.’  </w:t>
      </w:r>
      <w:r w:rsidRPr="00975C9B">
        <w:rPr>
          <w:rFonts w:cstheme="minorHAnsi"/>
          <w:i/>
        </w:rPr>
        <w:t>Personality and Individual Differences</w:t>
      </w:r>
      <w:r w:rsidRPr="00975C9B">
        <w:rPr>
          <w:rFonts w:cstheme="minorHAnsi"/>
        </w:rPr>
        <w:t xml:space="preserve"> Volume 175  </w:t>
      </w:r>
      <w:r w:rsidRPr="00975C9B">
        <w:rPr>
          <w:rFonts w:cstheme="minorHAnsi"/>
          <w:u w:val="single"/>
        </w:rPr>
        <w:t>https://doi.org/10.1016/j.paid.2021.110695.</w:t>
      </w:r>
    </w:p>
    <w:p w:rsidR="001E4355" w:rsidRDefault="001E4355" w:rsidP="001E4355">
      <w:pPr>
        <w:rPr>
          <w:rFonts w:cstheme="minorHAnsi"/>
        </w:rPr>
      </w:pPr>
    </w:p>
    <w:p w:rsidR="001E4355" w:rsidRPr="00975C9B" w:rsidRDefault="001E4355" w:rsidP="001E4355">
      <w:pPr>
        <w:rPr>
          <w:rFonts w:cstheme="minorHAnsi"/>
          <w:spacing w:val="-5"/>
          <w:shd w:val="clear" w:color="auto" w:fill="FFFFFF"/>
        </w:rPr>
      </w:pPr>
      <w:r w:rsidRPr="00975C9B">
        <w:rPr>
          <w:rFonts w:cstheme="minorHAnsi"/>
          <w:spacing w:val="-5"/>
          <w:shd w:val="clear" w:color="auto" w:fill="FFFFFF"/>
        </w:rPr>
        <w:t>Hart, H. L. A. (2013) ‘Discretion.’ </w:t>
      </w:r>
      <w:r w:rsidRPr="00975C9B">
        <w:rPr>
          <w:rFonts w:cstheme="minorHAnsi"/>
          <w:i/>
          <w:iCs/>
          <w:spacing w:val="-5"/>
          <w:shd w:val="clear" w:color="auto" w:fill="FFFFFF"/>
        </w:rPr>
        <w:t>Harvard Law Review</w:t>
      </w:r>
      <w:r w:rsidRPr="00975C9B">
        <w:rPr>
          <w:rFonts w:cstheme="minorHAnsi"/>
          <w:spacing w:val="-5"/>
          <w:shd w:val="clear" w:color="auto" w:fill="FFFFFF"/>
        </w:rPr>
        <w:t>, volume 127, issue 2, pp. 652–665. </w:t>
      </w:r>
      <w:r w:rsidRPr="00890B84">
        <w:rPr>
          <w:rFonts w:cstheme="minorHAnsi"/>
          <w:iCs/>
          <w:spacing w:val="-5"/>
          <w:shd w:val="clear" w:color="auto" w:fill="FFFFFF"/>
        </w:rPr>
        <w:t>Available at</w:t>
      </w:r>
      <w:r w:rsidRPr="00975C9B">
        <w:rPr>
          <w:rFonts w:cstheme="minorHAnsi"/>
          <w:spacing w:val="-5"/>
          <w:shd w:val="clear" w:color="auto" w:fill="FFFFFF"/>
        </w:rPr>
        <w:t xml:space="preserve"> www.jstor.org/stable/23742020.</w:t>
      </w:r>
    </w:p>
    <w:p w:rsidR="001E4355" w:rsidRDefault="001E4355" w:rsidP="001E4355">
      <w:pPr>
        <w:rPr>
          <w:rFonts w:cstheme="minorHAnsi"/>
        </w:rPr>
      </w:pPr>
    </w:p>
    <w:p w:rsidR="001E4355" w:rsidRPr="00975C9B" w:rsidRDefault="001E4355" w:rsidP="001E4355">
      <w:r w:rsidRPr="00975C9B">
        <w:rPr>
          <w:rFonts w:cstheme="minorHAnsi"/>
        </w:rPr>
        <w:t>Juneja P (2021) ‘</w:t>
      </w:r>
      <w:r w:rsidRPr="00975C9B">
        <w:t>Management Study Guide 2021 Understanding Conflict - Meaning and Phases of Conflict’ Available at: www.managementstudyguide.com/how-to-handle-conflict-of-interest-in-corporate-settings.htm (Accessed: 25 April 2021)</w:t>
      </w:r>
      <w:r>
        <w:t>.</w:t>
      </w:r>
    </w:p>
    <w:p w:rsidR="001E4355" w:rsidRDefault="001E4355" w:rsidP="001E4355">
      <w:pPr>
        <w:rPr>
          <w:rFonts w:cstheme="minorHAnsi"/>
        </w:rPr>
      </w:pPr>
    </w:p>
    <w:p w:rsidR="001E4355" w:rsidRPr="00975C9B" w:rsidRDefault="001E4355" w:rsidP="001E4355">
      <w:pPr>
        <w:rPr>
          <w:rFonts w:cstheme="minorHAnsi"/>
          <w:shd w:val="clear" w:color="auto" w:fill="FFFFFF"/>
        </w:rPr>
      </w:pPr>
      <w:r w:rsidRPr="00975C9B">
        <w:rPr>
          <w:rFonts w:cstheme="minorHAnsi"/>
          <w:shd w:val="clear" w:color="auto" w:fill="FFFFFF"/>
        </w:rPr>
        <w:t>Lac, A., Donaldson, C. D. (2020) ‘Development and Validation of the Drama Triangle Scale: Are You a Victim, Rescuer, or Persecutor?’, </w:t>
      </w:r>
      <w:r w:rsidRPr="00975C9B">
        <w:rPr>
          <w:rFonts w:cstheme="minorHAnsi"/>
          <w:i/>
          <w:iCs/>
          <w:shd w:val="clear" w:color="auto" w:fill="FFFFFF"/>
        </w:rPr>
        <w:t>Journal of Interpersonal Violence</w:t>
      </w:r>
      <w:r w:rsidRPr="00975C9B">
        <w:rPr>
          <w:rFonts w:cstheme="minorHAnsi"/>
          <w:shd w:val="clear" w:color="auto" w:fill="FFFFFF"/>
        </w:rPr>
        <w:t xml:space="preserve">.  </w:t>
      </w:r>
      <w:r>
        <w:rPr>
          <w:rFonts w:cstheme="minorHAnsi"/>
          <w:shd w:val="clear" w:color="auto" w:fill="FFFFFF"/>
        </w:rPr>
        <w:t>doi</w:t>
      </w:r>
      <w:r w:rsidRPr="00975C9B">
        <w:rPr>
          <w:rFonts w:cstheme="minorHAnsi"/>
          <w:shd w:val="clear" w:color="auto" w:fill="FFFFFF"/>
        </w:rPr>
        <w:t>: </w:t>
      </w:r>
      <w:hyperlink r:id="rId49" w:history="1">
        <w:r w:rsidRPr="00975C9B">
          <w:rPr>
            <w:rStyle w:val="Hyperlink"/>
            <w:rFonts w:cstheme="minorHAnsi"/>
            <w:color w:val="auto"/>
            <w:shd w:val="clear" w:color="auto" w:fill="FFFFFF"/>
          </w:rPr>
          <w:t>10.1177/0886260520957696</w:t>
        </w:r>
      </w:hyperlink>
      <w:r w:rsidRPr="00975C9B">
        <w:rPr>
          <w:rFonts w:cstheme="minorHAnsi"/>
          <w:shd w:val="clear" w:color="auto" w:fill="FFFFFF"/>
        </w:rPr>
        <w:t>.</w:t>
      </w:r>
    </w:p>
    <w:p w:rsidR="001E4355" w:rsidRDefault="001E4355" w:rsidP="001E4355">
      <w:pPr>
        <w:rPr>
          <w:rFonts w:cstheme="minorHAnsi"/>
        </w:rPr>
      </w:pPr>
    </w:p>
    <w:p w:rsidR="001E4355" w:rsidRPr="00975C9B" w:rsidRDefault="001E4355" w:rsidP="001E4355">
      <w:pPr>
        <w:rPr>
          <w:rFonts w:cstheme="minorHAnsi"/>
        </w:rPr>
      </w:pPr>
      <w:r w:rsidRPr="00975C9B">
        <w:rPr>
          <w:rFonts w:cstheme="minorHAnsi"/>
        </w:rPr>
        <w:t xml:space="preserve">Lydia Kogler, Veronika I. Müller, Amy Chang, Simon B. Eickhoff, Peter T. Fox, Ruben C. Gur, Birgit Derntl. (2015) ‘Psychosocial versus physiological stress — Meta-analyses on deactivations and activations of the neural correlates of stress reactions.’  </w:t>
      </w:r>
      <w:r w:rsidRPr="00975C9B">
        <w:rPr>
          <w:rFonts w:cstheme="minorHAnsi"/>
          <w:i/>
        </w:rPr>
        <w:t xml:space="preserve">NeuroImage </w:t>
      </w:r>
      <w:r w:rsidRPr="00975C9B">
        <w:rPr>
          <w:rFonts w:cstheme="minorHAnsi"/>
        </w:rPr>
        <w:t>Volume 119, pp 235 – 251 https://doi.org/10.1016/j.neuroimage.2015.06.059.</w:t>
      </w:r>
    </w:p>
    <w:p w:rsidR="001E4355" w:rsidRDefault="001E4355" w:rsidP="001E4355">
      <w:pPr>
        <w:rPr>
          <w:rFonts w:cstheme="minorHAnsi"/>
          <w:shd w:val="clear" w:color="auto" w:fill="EFEFF0"/>
        </w:rPr>
      </w:pPr>
    </w:p>
    <w:p w:rsidR="001E4355" w:rsidRPr="00975C9B" w:rsidRDefault="001E4355" w:rsidP="001E4355">
      <w:r w:rsidRPr="00975C9B">
        <w:t xml:space="preserve">Masten AS. (2001) ‘Ordinary Magic.  Resilience processes in development.’ </w:t>
      </w:r>
      <w:r w:rsidRPr="00975C9B">
        <w:rPr>
          <w:i/>
        </w:rPr>
        <w:t xml:space="preserve">AM. Psychol </w:t>
      </w:r>
      <w:r w:rsidRPr="00975C9B">
        <w:t>Volume 56, pp 227 – 238</w:t>
      </w:r>
      <w:r>
        <w:t>.</w:t>
      </w:r>
    </w:p>
    <w:p w:rsidR="001E4355" w:rsidRDefault="001E4355" w:rsidP="001E4355">
      <w:pPr>
        <w:rPr>
          <w:rFonts w:cstheme="minorHAnsi"/>
          <w:shd w:val="clear" w:color="auto" w:fill="EFEFF0"/>
        </w:rPr>
      </w:pPr>
    </w:p>
    <w:p w:rsidR="001E4355" w:rsidRPr="00975C9B" w:rsidRDefault="001E4355" w:rsidP="001E4355">
      <w:r w:rsidRPr="00975C9B">
        <w:rPr>
          <w:rFonts w:cstheme="minorHAnsi"/>
        </w:rPr>
        <w:t xml:space="preserve">Ministry of Justice (2020)  ‘Code of Practice for Victims of Crime in England and Wales.’  Available at: </w:t>
      </w:r>
      <w:hyperlink r:id="rId50" w:history="1">
        <w:r w:rsidRPr="00975C9B">
          <w:rPr>
            <w:rStyle w:val="Hyperlink"/>
            <w:color w:val="auto"/>
          </w:rPr>
          <w:t>https://assets.publishing.service.gov.uk/government/uploads/system/uploads/attachment_data/file/974376/victims-code-2020.pdf</w:t>
        </w:r>
      </w:hyperlink>
      <w:r w:rsidRPr="00975C9B">
        <w:t xml:space="preserve">  (Accessed: 14 May 2021)</w:t>
      </w:r>
      <w:r>
        <w:t>.</w:t>
      </w:r>
    </w:p>
    <w:p w:rsidR="001E4355" w:rsidRDefault="001E4355" w:rsidP="001E4355">
      <w:pPr>
        <w:rPr>
          <w:rFonts w:cstheme="minorHAnsi"/>
          <w:shd w:val="clear" w:color="auto" w:fill="EFEFF0"/>
        </w:rPr>
      </w:pPr>
    </w:p>
    <w:p w:rsidR="001E4355" w:rsidRPr="00975C9B" w:rsidRDefault="001E4355" w:rsidP="001E4355">
      <w:pPr>
        <w:rPr>
          <w:rFonts w:cstheme="minorHAnsi"/>
          <w:shd w:val="clear" w:color="auto" w:fill="FFFFFF"/>
        </w:rPr>
      </w:pPr>
      <w:r w:rsidRPr="00975C9B">
        <w:rPr>
          <w:rFonts w:cstheme="minorHAnsi"/>
          <w:shd w:val="clear" w:color="auto" w:fill="FFFFFF"/>
        </w:rPr>
        <w:t>Ministry of Justice (2013) ‘The Witness Charter:  Standards of care for witnesses in the criminal justice system.’  Available at: https://assets.publishing.service.gov.uk/government/uploads/system/uploads/attachement_data/file/264627/witness-charter-nov13.pdf  (Accessed: 14 May 2021)</w:t>
      </w:r>
      <w:r>
        <w:rPr>
          <w:rFonts w:cstheme="minorHAnsi"/>
          <w:shd w:val="clear" w:color="auto" w:fill="FFFFFF"/>
        </w:rPr>
        <w:t>.</w:t>
      </w:r>
    </w:p>
    <w:p w:rsidR="001E4355" w:rsidRPr="00975C9B" w:rsidRDefault="001E4355" w:rsidP="001E4355">
      <w:pPr>
        <w:rPr>
          <w:rFonts w:cstheme="minorHAnsi"/>
          <w:shd w:val="clear" w:color="auto" w:fill="EFEFF0"/>
        </w:rPr>
      </w:pPr>
    </w:p>
    <w:p w:rsidR="001E4355" w:rsidRDefault="001E4355" w:rsidP="001E4355">
      <w:pPr>
        <w:rPr>
          <w:rFonts w:cstheme="minorHAnsi"/>
          <w:shd w:val="clear" w:color="auto" w:fill="FFFFFF"/>
        </w:rPr>
      </w:pPr>
      <w:r>
        <w:t xml:space="preserve">Police and Criminal Evidence Act 1984 Code G Revised Code of Practice for the Statutory Power of Arrest by Police Officers.  Available at: </w:t>
      </w:r>
      <w:r w:rsidRPr="004805C4">
        <w:rPr>
          <w:rFonts w:cstheme="minorHAnsi"/>
          <w:shd w:val="clear" w:color="auto" w:fill="FFFFFF"/>
        </w:rPr>
        <w:t>https://assets.publishing.service.gov.uk/government/uploads/system/uploads/attachement_data/file/903814/pace-code-g-2012.pdf</w:t>
      </w:r>
      <w:r>
        <w:rPr>
          <w:rFonts w:cstheme="minorHAnsi"/>
          <w:shd w:val="clear" w:color="auto" w:fill="FFFFFF"/>
        </w:rPr>
        <w:t xml:space="preserve"> (Accessed: 14 June 2021)</w:t>
      </w:r>
    </w:p>
    <w:p w:rsidR="001E4355" w:rsidRPr="00EB40DE" w:rsidRDefault="001E4355" w:rsidP="001E4355">
      <w:pPr>
        <w:rPr>
          <w:rFonts w:cstheme="minorHAnsi"/>
          <w:shd w:val="clear" w:color="auto" w:fill="FFFFFF"/>
        </w:rPr>
      </w:pPr>
    </w:p>
    <w:p w:rsidR="001E4355" w:rsidRPr="00975C9B" w:rsidRDefault="001E4355" w:rsidP="001E4355">
      <w:pPr>
        <w:rPr>
          <w:rFonts w:cstheme="minorHAnsi"/>
        </w:rPr>
      </w:pPr>
      <w:r w:rsidRPr="00975C9B">
        <w:t>Roffey (2012) ‘Positive Relationships Evidence Based Practice Across the World’  DOI 10.1007/978-94-007-2147-0</w:t>
      </w:r>
      <w:r>
        <w:t>.</w:t>
      </w:r>
    </w:p>
    <w:p w:rsidR="001E4355" w:rsidRPr="00975C9B" w:rsidRDefault="001E4355" w:rsidP="001E4355"/>
    <w:p w:rsidR="001E4355" w:rsidRPr="00975C9B" w:rsidRDefault="001E4355" w:rsidP="001E4355">
      <w:pPr>
        <w:rPr>
          <w:rFonts w:cstheme="minorHAnsi"/>
          <w:shd w:val="clear" w:color="auto" w:fill="FFFFFF"/>
        </w:rPr>
      </w:pPr>
      <w:r>
        <w:rPr>
          <w:rFonts w:cstheme="minorHAnsi"/>
          <w:shd w:val="clear" w:color="auto" w:fill="FFFFFF"/>
        </w:rPr>
        <w:t>The E</w:t>
      </w:r>
      <w:r w:rsidRPr="00975C9B">
        <w:rPr>
          <w:rFonts w:cstheme="minorHAnsi"/>
          <w:shd w:val="clear" w:color="auto" w:fill="FFFFFF"/>
        </w:rPr>
        <w:t xml:space="preserve">lements of </w:t>
      </w:r>
      <w:r>
        <w:rPr>
          <w:rFonts w:cstheme="minorHAnsi"/>
          <w:shd w:val="clear" w:color="auto" w:fill="FFFFFF"/>
        </w:rPr>
        <w:t>Effective C</w:t>
      </w:r>
      <w:r w:rsidRPr="00975C9B">
        <w:rPr>
          <w:rFonts w:cstheme="minorHAnsi"/>
          <w:shd w:val="clear" w:color="auto" w:fill="FFFFFF"/>
        </w:rPr>
        <w:t>ommunication. (2000) </w:t>
      </w:r>
      <w:r w:rsidRPr="00975C9B">
        <w:rPr>
          <w:rFonts w:cstheme="minorHAnsi"/>
          <w:i/>
          <w:iCs/>
          <w:shd w:val="clear" w:color="auto" w:fill="FFFFFF"/>
        </w:rPr>
        <w:t xml:space="preserve">Agency Sales </w:t>
      </w:r>
      <w:r w:rsidRPr="00975C9B">
        <w:rPr>
          <w:rFonts w:cstheme="minorHAnsi"/>
          <w:iCs/>
          <w:shd w:val="clear" w:color="auto" w:fill="FFFFFF"/>
        </w:rPr>
        <w:t>Volume</w:t>
      </w:r>
      <w:r w:rsidRPr="00975C9B">
        <w:rPr>
          <w:rFonts w:cstheme="minorHAnsi"/>
          <w:i/>
          <w:iCs/>
          <w:shd w:val="clear" w:color="auto" w:fill="FFFFFF"/>
        </w:rPr>
        <w:t xml:space="preserve"> </w:t>
      </w:r>
      <w:r w:rsidRPr="00890B84">
        <w:rPr>
          <w:rFonts w:cstheme="minorHAnsi"/>
          <w:bCs/>
          <w:shd w:val="clear" w:color="auto" w:fill="FFFFFF"/>
        </w:rPr>
        <w:t>30</w:t>
      </w:r>
      <w:r>
        <w:rPr>
          <w:rFonts w:cstheme="minorHAnsi"/>
          <w:b/>
          <w:bCs/>
          <w:shd w:val="clear" w:color="auto" w:fill="FFFFFF"/>
        </w:rPr>
        <w:t xml:space="preserve"> </w:t>
      </w:r>
      <w:r w:rsidRPr="00975C9B">
        <w:rPr>
          <w:rFonts w:cstheme="minorHAnsi"/>
          <w:shd w:val="clear" w:color="auto" w:fill="FFFFFF"/>
        </w:rPr>
        <w:t>(12), pp. 45-46</w:t>
      </w:r>
      <w:r>
        <w:rPr>
          <w:rFonts w:cstheme="minorHAnsi"/>
          <w:shd w:val="clear" w:color="auto" w:fill="FFFFFF"/>
        </w:rPr>
        <w:t>.</w:t>
      </w:r>
    </w:p>
    <w:p w:rsidR="001E4355" w:rsidRPr="00975C9B" w:rsidRDefault="001E4355" w:rsidP="001E4355">
      <w:pPr>
        <w:rPr>
          <w:rFonts w:cstheme="minorHAnsi"/>
          <w:shd w:val="clear" w:color="auto" w:fill="FFFFFF"/>
        </w:rPr>
      </w:pPr>
    </w:p>
    <w:p w:rsidR="001E4355" w:rsidRPr="00975C9B" w:rsidRDefault="001E4355" w:rsidP="001E4355">
      <w:pPr>
        <w:rPr>
          <w:rFonts w:cstheme="minorHAnsi"/>
        </w:rPr>
      </w:pPr>
      <w:r w:rsidRPr="00975C9B">
        <w:rPr>
          <w:rFonts w:cstheme="minorHAnsi"/>
        </w:rPr>
        <w:t xml:space="preserve">University of California, San Francisco (2021) </w:t>
      </w:r>
      <w:r w:rsidRPr="00975C9B">
        <w:rPr>
          <w:rFonts w:cstheme="minorHAnsi"/>
          <w:i/>
        </w:rPr>
        <w:t xml:space="preserve">Unconscious Bias. </w:t>
      </w:r>
      <w:r w:rsidRPr="00975C9B">
        <w:rPr>
          <w:rFonts w:cstheme="minorHAnsi"/>
        </w:rPr>
        <w:t xml:space="preserve"> Available at </w:t>
      </w:r>
      <w:hyperlink r:id="rId51" w:history="1">
        <w:r w:rsidRPr="00975C9B">
          <w:rPr>
            <w:rStyle w:val="Hyperlink"/>
            <w:rFonts w:cstheme="minorHAnsi"/>
            <w:color w:val="auto"/>
          </w:rPr>
          <w:t>https://diversity.ucsf.edu/resources/unconscious-bias</w:t>
        </w:r>
      </w:hyperlink>
      <w:r w:rsidRPr="00975C9B">
        <w:rPr>
          <w:rFonts w:cstheme="minorHAnsi"/>
        </w:rPr>
        <w:t xml:space="preserve">    (Accessed: 20 May 2021)</w:t>
      </w:r>
      <w:r>
        <w:rPr>
          <w:rFonts w:cstheme="minorHAnsi"/>
        </w:rPr>
        <w:t>.</w:t>
      </w:r>
    </w:p>
    <w:p w:rsidR="001E4355" w:rsidRPr="00975C9B" w:rsidRDefault="001E4355" w:rsidP="001E4355">
      <w:pPr>
        <w:rPr>
          <w:rFonts w:cstheme="minorHAnsi"/>
        </w:rPr>
      </w:pPr>
    </w:p>
    <w:p w:rsidR="006D4550" w:rsidRDefault="006D4550" w:rsidP="00E6298B">
      <w:pPr>
        <w:overflowPunct/>
        <w:autoSpaceDE/>
        <w:autoSpaceDN/>
        <w:adjustRightInd/>
        <w:ind w:right="107"/>
        <w:textAlignment w:val="auto"/>
        <w:rPr>
          <w:b/>
          <w:sz w:val="24"/>
          <w:szCs w:val="24"/>
        </w:rPr>
      </w:pPr>
      <w:r>
        <w:rPr>
          <w:b/>
          <w:sz w:val="24"/>
          <w:szCs w:val="24"/>
        </w:rPr>
        <w:br w:type="page"/>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rsidR="00AC4637" w:rsidRPr="005D583E" w:rsidRDefault="00AC4637" w:rsidP="00E6298B">
      <w:pPr>
        <w:ind w:right="107"/>
        <w:jc w:val="both"/>
        <w:rPr>
          <w:b/>
          <w:sz w:val="24"/>
          <w:szCs w:val="24"/>
        </w:rPr>
      </w:pPr>
    </w:p>
    <w:p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AD022F">
          <w:headerReference w:type="even" r:id="rId52"/>
          <w:headerReference w:type="default" r:id="rId53"/>
          <w:footerReference w:type="even" r:id="rId54"/>
          <w:footerReference w:type="default" r:id="rId55"/>
          <w:headerReference w:type="first" r:id="rId56"/>
          <w:footerReference w:type="first" r:id="rId57"/>
          <w:pgSz w:w="11906" w:h="16838" w:code="9"/>
          <w:pgMar w:top="1021" w:right="1080" w:bottom="1021" w:left="1080" w:header="720" w:footer="720" w:gutter="0"/>
          <w:cols w:space="720"/>
          <w:titlePg/>
          <w:docGrid w:linePitch="272"/>
        </w:sectPr>
      </w:pPr>
    </w:p>
    <w:p w:rsidR="0030C684" w:rsidRDefault="0030C684" w:rsidP="2E5ED9CE">
      <w:pPr>
        <w:ind w:left="3600" w:firstLine="720"/>
        <w:rPr>
          <w:rFonts w:eastAsia="Arial"/>
          <w:b/>
          <w:bCs/>
          <w:sz w:val="24"/>
          <w:szCs w:val="24"/>
        </w:rPr>
      </w:pPr>
      <w:r w:rsidRPr="2E5ED9CE">
        <w:rPr>
          <w:rFonts w:eastAsia="Arial"/>
          <w:b/>
          <w:bCs/>
          <w:sz w:val="24"/>
          <w:szCs w:val="24"/>
        </w:rPr>
        <w:t>Task 6</w:t>
      </w:r>
    </w:p>
    <w:p w:rsidR="2E5ED9CE" w:rsidRDefault="2E5ED9CE" w:rsidP="2E5ED9CE">
      <w:pPr>
        <w:rPr>
          <w:rFonts w:eastAsia="Arial"/>
          <w:b/>
          <w:bCs/>
          <w:sz w:val="24"/>
          <w:szCs w:val="24"/>
        </w:rPr>
      </w:pPr>
    </w:p>
    <w:p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rsidR="28A9B94D" w:rsidRDefault="28A9B94D">
      <w:r w:rsidRPr="2E5ED9CE">
        <w:rPr>
          <w:rFonts w:eastAsia="Arial"/>
          <w:b/>
          <w:bCs/>
          <w:sz w:val="24"/>
          <w:szCs w:val="24"/>
        </w:rPr>
        <w:t xml:space="preserve"> </w:t>
      </w:r>
    </w:p>
    <w:p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rsidR="2E5ED9CE" w:rsidRDefault="2E5ED9CE" w:rsidP="2E5ED9CE">
      <w:pPr>
        <w:rPr>
          <w:rFonts w:eastAsia="Arial"/>
          <w:b/>
          <w:bCs/>
          <w:sz w:val="24"/>
          <w:szCs w:val="24"/>
        </w:rPr>
      </w:pPr>
    </w:p>
    <w:p w:rsidR="28A9B94D" w:rsidRDefault="28A9B94D">
      <w:r w:rsidRPr="28A9B94D">
        <w:rPr>
          <w:rFonts w:eastAsia="Arial"/>
          <w:sz w:val="24"/>
          <w:szCs w:val="24"/>
        </w:rPr>
        <w:t xml:space="preserve">I confirm that I am progressing with the Occupational Competency Portfolio (OCP) in accordance to the regulations. </w:t>
      </w:r>
    </w:p>
    <w:p w:rsidR="28A9B94D" w:rsidRDefault="28A9B94D">
      <w:r w:rsidRPr="28A9B94D">
        <w:rPr>
          <w:rFonts w:eastAsia="Arial"/>
          <w:b/>
          <w:bCs/>
          <w:sz w:val="24"/>
          <w:szCs w:val="24"/>
        </w:rPr>
        <w:t xml:space="preserve"> </w:t>
      </w:r>
    </w:p>
    <w:p w:rsidR="28A9B94D" w:rsidRDefault="28A9B94D" w:rsidP="28A9B94D">
      <w:pPr>
        <w:jc w:val="both"/>
      </w:pPr>
      <w:r w:rsidRPr="2E5ED9CE">
        <w:rPr>
          <w:rFonts w:eastAsia="Arial"/>
          <w:sz w:val="24"/>
          <w:szCs w:val="24"/>
        </w:rPr>
        <w:t xml:space="preserve">Signed:  </w:t>
      </w:r>
      <w:r w:rsidR="00026E09">
        <w:rPr>
          <w:rFonts w:eastAsia="Arial"/>
          <w:sz w:val="24"/>
          <w:szCs w:val="24"/>
        </w:rPr>
        <w:t>Alex Simon Roberts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rsidR="28A9B94D" w:rsidRDefault="28A9B94D" w:rsidP="28A9B94D">
      <w:pPr>
        <w:jc w:val="both"/>
      </w:pPr>
      <w:r w:rsidRPr="28A9B94D">
        <w:rPr>
          <w:rFonts w:eastAsia="Arial"/>
          <w:sz w:val="24"/>
          <w:szCs w:val="24"/>
        </w:rPr>
        <w:t xml:space="preserve"> </w:t>
      </w:r>
    </w:p>
    <w:p w:rsidR="28A9B94D" w:rsidRDefault="001E4355" w:rsidP="28A9B94D">
      <w:pPr>
        <w:jc w:val="both"/>
      </w:pPr>
      <w:r>
        <w:rPr>
          <w:rFonts w:eastAsia="Arial"/>
          <w:sz w:val="24"/>
          <w:szCs w:val="24"/>
        </w:rPr>
        <w:t>Date: 15 June</w:t>
      </w:r>
      <w:r w:rsidR="00026E09">
        <w:rPr>
          <w:rFonts w:eastAsia="Arial"/>
          <w:sz w:val="24"/>
          <w:szCs w:val="24"/>
        </w:rPr>
        <w:t xml:space="preserve"> 2021</w:t>
      </w:r>
    </w:p>
    <w:p w:rsidR="28A9B94D" w:rsidRDefault="28A9B94D">
      <w:r w:rsidRPr="28A9B94D">
        <w:rPr>
          <w:rFonts w:eastAsia="Arial"/>
          <w:b/>
          <w:bCs/>
          <w:sz w:val="24"/>
          <w:szCs w:val="24"/>
        </w:rPr>
        <w:t xml:space="preserve"> </w:t>
      </w:r>
    </w:p>
    <w:p w:rsidR="28A9B94D" w:rsidRDefault="28A9B94D">
      <w:r w:rsidRPr="2E5ED9CE">
        <w:rPr>
          <w:rFonts w:eastAsia="Arial"/>
          <w:b/>
          <w:bCs/>
          <w:sz w:val="24"/>
          <w:szCs w:val="24"/>
        </w:rPr>
        <w:t xml:space="preserve"> </w:t>
      </w:r>
    </w:p>
    <w:p w:rsidR="28A9B94D" w:rsidRDefault="28A9B94D" w:rsidP="28A9B94D"/>
    <w:sectPr w:rsidR="28A9B94D" w:rsidSect="00AD022F">
      <w:headerReference w:type="even" r:id="rId58"/>
      <w:headerReference w:type="default" r:id="rId59"/>
      <w:footerReference w:type="even" r:id="rId60"/>
      <w:footerReference w:type="default" r:id="rId61"/>
      <w:headerReference w:type="first" r:id="rId62"/>
      <w:footerReference w:type="first" r:id="rId63"/>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2382" w:rsidRDefault="00402382">
      <w:r>
        <w:separator/>
      </w:r>
    </w:p>
  </w:endnote>
  <w:endnote w:type="continuationSeparator" w:id="0">
    <w:p w:rsidR="00402382" w:rsidRDefault="004023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Footer"/>
      <w:rPr>
        <w:sz w:val="17"/>
      </w:rPr>
    </w:pPr>
    <w:bookmarkStart w:id="6" w:name="TITUS1FooterEvenPages"/>
    <w:r>
      <w:rPr>
        <w:sz w:val="17"/>
      </w:rPr>
      <w:t> </w:t>
    </w:r>
  </w:p>
  <w:bookmarkEnd w:id="6"/>
  <w:p w:rsidR="00AD022F" w:rsidRDefault="00AD022F" w:rsidP="00AD022F">
    <w:pPr>
      <w:pStyle w:val="Footer"/>
      <w:jc w:val="right"/>
    </w:pPr>
    <w:r>
      <w:fldChar w:fldCharType="begin"/>
    </w:r>
    <w:r>
      <w:instrText xml:space="preserve"> PAGE   \* MERGEFORMAT </w:instrText>
    </w:r>
    <w:r>
      <w:fldChar w:fldCharType="separate"/>
    </w:r>
    <w:r w:rsidR="00A01E36">
      <w:rPr>
        <w:noProof/>
      </w:rPr>
      <w:t>6</w:t>
    </w:r>
    <w:r>
      <w:rPr>
        <w:noProof/>
      </w:rPr>
      <w:fldChar w:fldCharType="end"/>
    </w:r>
  </w:p>
  <w:p w:rsidR="00AD022F" w:rsidRPr="00BB5EAA" w:rsidRDefault="00AD022F" w:rsidP="00AD022F">
    <w:pPr>
      <w:pStyle w:val="Footer"/>
      <w:ind w:right="360"/>
      <w:jc w:val="center"/>
    </w:pPr>
  </w:p>
  <w:p w:rsidR="00402382" w:rsidRDefault="00402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Footer"/>
      <w:rPr>
        <w:sz w:val="17"/>
      </w:rPr>
    </w:pPr>
    <w:bookmarkStart w:id="7" w:name="TITUS1FooterPrimary"/>
    <w:r>
      <w:rPr>
        <w:sz w:val="17"/>
      </w:rPr>
      <w:t> </w:t>
    </w:r>
  </w:p>
  <w:bookmarkEnd w:id="7"/>
  <w:p w:rsidR="00402382" w:rsidRDefault="00402382">
    <w:pPr>
      <w:pStyle w:val="Footer"/>
      <w:jc w:val="right"/>
    </w:pPr>
    <w:r>
      <w:fldChar w:fldCharType="begin"/>
    </w:r>
    <w:r>
      <w:instrText xml:space="preserve"> PAGE   \* MERGEFORMAT </w:instrText>
    </w:r>
    <w:r>
      <w:fldChar w:fldCharType="separate"/>
    </w:r>
    <w:r w:rsidR="00A01E36">
      <w:rPr>
        <w:noProof/>
      </w:rPr>
      <w:t>7</w:t>
    </w:r>
    <w:r>
      <w:rPr>
        <w:noProof/>
      </w:rPr>
      <w:fldChar w:fldCharType="end"/>
    </w:r>
  </w:p>
  <w:p w:rsidR="00402382" w:rsidRPr="00BB5EAA" w:rsidRDefault="0040238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Footer"/>
      <w:rPr>
        <w:sz w:val="17"/>
      </w:rPr>
    </w:pPr>
    <w:bookmarkStart w:id="9" w:name="TITUS1FooterFirstPage"/>
    <w:r>
      <w:rPr>
        <w:sz w:val="17"/>
      </w:rPr>
      <w:t> </w:t>
    </w:r>
  </w:p>
  <w:bookmarkEnd w:id="9"/>
  <w:p w:rsidR="00AD022F" w:rsidRDefault="00AD022F" w:rsidP="00AD022F">
    <w:pPr>
      <w:pStyle w:val="Footer"/>
      <w:jc w:val="right"/>
    </w:pPr>
    <w:r>
      <w:fldChar w:fldCharType="begin"/>
    </w:r>
    <w:r>
      <w:instrText xml:space="preserve"> PAGE   \* MERGEFORMAT </w:instrText>
    </w:r>
    <w:r>
      <w:fldChar w:fldCharType="separate"/>
    </w:r>
    <w:r w:rsidR="00A01E36">
      <w:rPr>
        <w:noProof/>
      </w:rPr>
      <w:t>1</w:t>
    </w:r>
    <w:r>
      <w:rPr>
        <w:noProof/>
      </w:rPr>
      <w:fldChar w:fldCharType="end"/>
    </w:r>
  </w:p>
  <w:p w:rsidR="00AD022F" w:rsidRPr="00BB5EAA" w:rsidRDefault="00AD022F" w:rsidP="00AD022F">
    <w:pPr>
      <w:pStyle w:val="Footer"/>
      <w:ind w:right="360"/>
      <w:jc w:val="center"/>
    </w:pPr>
  </w:p>
  <w:p w:rsidR="00402382" w:rsidRDefault="0040238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Footer"/>
      <w:rPr>
        <w:sz w:val="17"/>
      </w:rPr>
    </w:pPr>
    <w:bookmarkStart w:id="12" w:name="TITUS2FooterEvenPages"/>
    <w:r>
      <w:rPr>
        <w:sz w:val="17"/>
      </w:rPr>
      <w:t> </w:t>
    </w:r>
  </w:p>
  <w:bookmarkEnd w:id="12"/>
  <w:p w:rsidR="00AD022F" w:rsidRDefault="00AD022F" w:rsidP="00AD022F">
    <w:pPr>
      <w:pStyle w:val="Footer"/>
      <w:jc w:val="right"/>
    </w:pPr>
  </w:p>
  <w:p w:rsidR="00AD022F" w:rsidRDefault="00AD022F" w:rsidP="00AD022F">
    <w:pPr>
      <w:pStyle w:val="Footer"/>
      <w:jc w:val="right"/>
    </w:pPr>
    <w:r>
      <w:fldChar w:fldCharType="begin"/>
    </w:r>
    <w:r>
      <w:instrText xml:space="preserve"> PAGE   \* MERGEFORMAT </w:instrText>
    </w:r>
    <w:r>
      <w:fldChar w:fldCharType="separate"/>
    </w:r>
    <w:r w:rsidR="00A01E36">
      <w:rPr>
        <w:noProof/>
      </w:rPr>
      <w:t>22</w:t>
    </w:r>
    <w:r>
      <w:rPr>
        <w:noProof/>
      </w:rPr>
      <w:fldChar w:fldCharType="end"/>
    </w:r>
  </w:p>
  <w:p w:rsidR="00AD022F" w:rsidRPr="00BB5EAA" w:rsidRDefault="00AD022F" w:rsidP="00AD022F">
    <w:pPr>
      <w:pStyle w:val="Footer"/>
      <w:ind w:right="360"/>
      <w:jc w:val="center"/>
    </w:pPr>
  </w:p>
  <w:p w:rsidR="00AD022F" w:rsidRDefault="00AD022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Footer"/>
      <w:rPr>
        <w:sz w:val="17"/>
      </w:rPr>
    </w:pPr>
    <w:bookmarkStart w:id="13" w:name="TITUS2FooterPrimary"/>
    <w:r>
      <w:rPr>
        <w:sz w:val="17"/>
      </w:rPr>
      <w:t> </w:t>
    </w:r>
  </w:p>
  <w:bookmarkEnd w:id="13"/>
  <w:p w:rsidR="00AD022F" w:rsidRDefault="00AD022F">
    <w:pPr>
      <w:pStyle w:val="Footer"/>
      <w:jc w:val="right"/>
    </w:pPr>
  </w:p>
  <w:p w:rsidR="00AD022F" w:rsidRDefault="00AD022F">
    <w:pPr>
      <w:pStyle w:val="Footer"/>
      <w:jc w:val="right"/>
    </w:pPr>
    <w:r>
      <w:fldChar w:fldCharType="begin"/>
    </w:r>
    <w:r>
      <w:instrText xml:space="preserve"> PAGE   \* MERGEFORMAT </w:instrText>
    </w:r>
    <w:r>
      <w:fldChar w:fldCharType="separate"/>
    </w:r>
    <w:r w:rsidR="00A01E36">
      <w:rPr>
        <w:noProof/>
      </w:rPr>
      <w:t>21</w:t>
    </w:r>
    <w:r>
      <w:rPr>
        <w:noProof/>
      </w:rPr>
      <w:fldChar w:fldCharType="end"/>
    </w:r>
  </w:p>
  <w:p w:rsidR="00AD022F" w:rsidRPr="00BB5EAA" w:rsidRDefault="00AD022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Footer"/>
      <w:rPr>
        <w:sz w:val="17"/>
      </w:rPr>
    </w:pPr>
    <w:bookmarkStart w:id="15" w:name="TITUS2FooterFirstPage"/>
    <w:r>
      <w:rPr>
        <w:sz w:val="17"/>
      </w:rPr>
      <w:t> </w:t>
    </w:r>
  </w:p>
  <w:bookmarkEnd w:id="15"/>
  <w:p w:rsidR="00AD022F" w:rsidRDefault="00AD022F" w:rsidP="00AD022F">
    <w:pPr>
      <w:pStyle w:val="Footer"/>
      <w:jc w:val="right"/>
    </w:pPr>
  </w:p>
  <w:p w:rsidR="00AD022F" w:rsidRDefault="00AD022F" w:rsidP="00AD022F">
    <w:pPr>
      <w:pStyle w:val="Footer"/>
      <w:jc w:val="right"/>
    </w:pPr>
    <w:r>
      <w:fldChar w:fldCharType="begin"/>
    </w:r>
    <w:r>
      <w:instrText xml:space="preserve"> PAGE   \* MERGEFORMAT </w:instrText>
    </w:r>
    <w:r>
      <w:fldChar w:fldCharType="separate"/>
    </w:r>
    <w:r w:rsidR="00A01E36">
      <w:rPr>
        <w:noProof/>
      </w:rPr>
      <w:t>8</w:t>
    </w:r>
    <w:r>
      <w:rPr>
        <w:noProof/>
      </w:rPr>
      <w:fldChar w:fldCharType="end"/>
    </w:r>
  </w:p>
  <w:p w:rsidR="00AD022F" w:rsidRPr="00BB5EAA" w:rsidRDefault="00AD022F" w:rsidP="00AD022F">
    <w:pPr>
      <w:pStyle w:val="Footer"/>
      <w:ind w:right="360"/>
      <w:jc w:val="center"/>
    </w:pPr>
  </w:p>
  <w:p w:rsidR="00AD022F" w:rsidRDefault="00AD022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Footer"/>
      <w:rPr>
        <w:sz w:val="17"/>
      </w:rPr>
    </w:pPr>
    <w:bookmarkStart w:id="19" w:name="TITUS3FooterEvenPages"/>
    <w:r>
      <w:rPr>
        <w:sz w:val="17"/>
      </w:rPr>
      <w:t> </w:t>
    </w:r>
  </w:p>
  <w:bookmarkEnd w:id="19"/>
  <w:p w:rsidR="00AD022F" w:rsidRDefault="00AD022F" w:rsidP="00AD022F">
    <w:pPr>
      <w:pStyle w:val="Footer"/>
      <w:jc w:val="right"/>
    </w:pPr>
  </w:p>
  <w:p w:rsidR="00AD022F" w:rsidRDefault="00AD022F" w:rsidP="00AD022F">
    <w:pPr>
      <w:pStyle w:val="Footer"/>
      <w:jc w:val="right"/>
    </w:pPr>
    <w:r>
      <w:fldChar w:fldCharType="begin"/>
    </w:r>
    <w:r>
      <w:instrText xml:space="preserve"> PAGE   \* MERGEFORMAT </w:instrText>
    </w:r>
    <w:r>
      <w:fldChar w:fldCharType="separate"/>
    </w:r>
    <w:r w:rsidR="00A01E36">
      <w:rPr>
        <w:noProof/>
      </w:rPr>
      <w:t>24</w:t>
    </w:r>
    <w:r>
      <w:rPr>
        <w:noProof/>
      </w:rPr>
      <w:fldChar w:fldCharType="end"/>
    </w:r>
  </w:p>
  <w:p w:rsidR="00AD022F" w:rsidRPr="00BB5EAA" w:rsidRDefault="00AD022F" w:rsidP="00AD022F">
    <w:pPr>
      <w:pStyle w:val="Footer"/>
      <w:ind w:right="360"/>
      <w:jc w:val="center"/>
    </w:pPr>
  </w:p>
  <w:p w:rsidR="00AD022F" w:rsidRDefault="00AD022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Footer"/>
      <w:rPr>
        <w:sz w:val="17"/>
      </w:rPr>
    </w:pPr>
    <w:bookmarkStart w:id="20" w:name="TITUS3FooterPrimary"/>
    <w:r>
      <w:rPr>
        <w:sz w:val="17"/>
      </w:rPr>
      <w:t> </w:t>
    </w:r>
  </w:p>
  <w:bookmarkEnd w:id="20"/>
  <w:p w:rsidR="00AD022F" w:rsidRDefault="00AD022F">
    <w:pPr>
      <w:pStyle w:val="Footer"/>
      <w:jc w:val="right"/>
    </w:pPr>
  </w:p>
  <w:p w:rsidR="00AD022F" w:rsidRDefault="00AD022F">
    <w:pPr>
      <w:pStyle w:val="Footer"/>
      <w:jc w:val="right"/>
    </w:pPr>
    <w:r>
      <w:fldChar w:fldCharType="begin"/>
    </w:r>
    <w:r>
      <w:instrText xml:space="preserve"> PAGE   \* MERGEFORMAT </w:instrText>
    </w:r>
    <w:r>
      <w:fldChar w:fldCharType="separate"/>
    </w:r>
    <w:r w:rsidR="00A01E36">
      <w:rPr>
        <w:noProof/>
      </w:rPr>
      <w:t>25</w:t>
    </w:r>
    <w:r>
      <w:rPr>
        <w:noProof/>
      </w:rPr>
      <w:fldChar w:fldCharType="end"/>
    </w:r>
  </w:p>
  <w:p w:rsidR="00AD022F" w:rsidRPr="00BB5EAA" w:rsidRDefault="00AD022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Footer"/>
      <w:rPr>
        <w:sz w:val="17"/>
      </w:rPr>
    </w:pPr>
    <w:bookmarkStart w:id="22" w:name="TITUS3FooterFirstPage"/>
    <w:r>
      <w:rPr>
        <w:sz w:val="17"/>
      </w:rPr>
      <w:t> </w:t>
    </w:r>
  </w:p>
  <w:bookmarkEnd w:id="22"/>
  <w:p w:rsidR="00AD022F" w:rsidRDefault="00AD022F" w:rsidP="00AD022F">
    <w:pPr>
      <w:pStyle w:val="Footer"/>
      <w:jc w:val="right"/>
    </w:pPr>
  </w:p>
  <w:p w:rsidR="00AD022F" w:rsidRDefault="00AD022F" w:rsidP="00AD022F">
    <w:pPr>
      <w:pStyle w:val="Footer"/>
      <w:jc w:val="right"/>
    </w:pPr>
    <w:r>
      <w:fldChar w:fldCharType="begin"/>
    </w:r>
    <w:r>
      <w:instrText xml:space="preserve"> PAGE   \* MERGEFORMAT </w:instrText>
    </w:r>
    <w:r>
      <w:fldChar w:fldCharType="separate"/>
    </w:r>
    <w:r w:rsidR="00A01E36">
      <w:rPr>
        <w:noProof/>
      </w:rPr>
      <w:t>23</w:t>
    </w:r>
    <w:r>
      <w:rPr>
        <w:noProof/>
      </w:rPr>
      <w:fldChar w:fldCharType="end"/>
    </w:r>
  </w:p>
  <w:p w:rsidR="00AD022F" w:rsidRPr="00BB5EAA" w:rsidRDefault="00AD022F" w:rsidP="00AD022F">
    <w:pPr>
      <w:pStyle w:val="Footer"/>
      <w:ind w:right="360"/>
      <w:jc w:val="center"/>
    </w:pPr>
  </w:p>
  <w:p w:rsidR="00AD022F" w:rsidRDefault="00AD022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Footer"/>
      <w:rPr>
        <w:sz w:val="17"/>
      </w:rPr>
    </w:pPr>
    <w:bookmarkStart w:id="25" w:name="TITUS4FooterEvenPages"/>
    <w:r>
      <w:rPr>
        <w:sz w:val="17"/>
      </w:rPr>
      <w:t> </w:t>
    </w:r>
  </w:p>
  <w:bookmarkEnd w:id="25"/>
  <w:p w:rsidR="00AD022F" w:rsidRDefault="00AD022F" w:rsidP="00AD022F">
    <w:pPr>
      <w:pStyle w:val="Footer"/>
      <w:jc w:val="right"/>
    </w:pPr>
  </w:p>
  <w:p w:rsidR="00AD022F" w:rsidRDefault="00AD022F" w:rsidP="00AD022F">
    <w:pPr>
      <w:pStyle w:val="Footer"/>
      <w:jc w:val="right"/>
    </w:pPr>
    <w:r>
      <w:fldChar w:fldCharType="begin"/>
    </w:r>
    <w:r>
      <w:instrText xml:space="preserve"> PAGE   \* MERGEFORMAT </w:instrText>
    </w:r>
    <w:r>
      <w:fldChar w:fldCharType="separate"/>
    </w:r>
    <w:r>
      <w:rPr>
        <w:noProof/>
      </w:rPr>
      <w:t>8</w:t>
    </w:r>
    <w:r>
      <w:rPr>
        <w:noProof/>
      </w:rPr>
      <w:fldChar w:fldCharType="end"/>
    </w:r>
  </w:p>
  <w:p w:rsidR="00AD022F" w:rsidRPr="00BB5EAA" w:rsidRDefault="00AD022F" w:rsidP="00AD022F">
    <w:pPr>
      <w:pStyle w:val="Footer"/>
      <w:ind w:right="360"/>
      <w:jc w:val="center"/>
    </w:pPr>
  </w:p>
  <w:p w:rsidR="00AD022F" w:rsidRDefault="00AD022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Footer"/>
      <w:rPr>
        <w:sz w:val="17"/>
      </w:rPr>
    </w:pPr>
    <w:bookmarkStart w:id="26" w:name="TITUS4FooterPrimary"/>
    <w:r>
      <w:rPr>
        <w:sz w:val="17"/>
      </w:rPr>
      <w:t> </w:t>
    </w:r>
  </w:p>
  <w:bookmarkEnd w:id="26"/>
  <w:p w:rsidR="00AD022F" w:rsidRDefault="00AD022F">
    <w:pPr>
      <w:pStyle w:val="Footer"/>
      <w:jc w:val="right"/>
    </w:pPr>
  </w:p>
  <w:p w:rsidR="00AD022F" w:rsidRDefault="00AD022F">
    <w:pPr>
      <w:pStyle w:val="Footer"/>
      <w:jc w:val="right"/>
    </w:pPr>
    <w:r>
      <w:fldChar w:fldCharType="begin"/>
    </w:r>
    <w:r>
      <w:instrText xml:space="preserve"> PAGE   \* MERGEFORMAT </w:instrText>
    </w:r>
    <w:r>
      <w:fldChar w:fldCharType="separate"/>
    </w:r>
    <w:r>
      <w:rPr>
        <w:noProof/>
      </w:rPr>
      <w:t>9</w:t>
    </w:r>
    <w:r>
      <w:rPr>
        <w:noProof/>
      </w:rPr>
      <w:fldChar w:fldCharType="end"/>
    </w:r>
  </w:p>
  <w:p w:rsidR="00AD022F" w:rsidRPr="00BB5EAA" w:rsidRDefault="00AD022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Footer"/>
      <w:rPr>
        <w:sz w:val="17"/>
      </w:rPr>
    </w:pPr>
    <w:bookmarkStart w:id="28" w:name="TITUS4FooterFirstPage"/>
    <w:r>
      <w:rPr>
        <w:sz w:val="17"/>
      </w:rPr>
      <w:t> </w:t>
    </w:r>
  </w:p>
  <w:bookmarkEnd w:id="28"/>
  <w:p w:rsidR="00AD022F" w:rsidRDefault="00AD022F" w:rsidP="00AD022F">
    <w:pPr>
      <w:pStyle w:val="Footer"/>
      <w:jc w:val="right"/>
    </w:pPr>
  </w:p>
  <w:p w:rsidR="00AD022F" w:rsidRDefault="00AD022F" w:rsidP="00AD022F">
    <w:pPr>
      <w:pStyle w:val="Footer"/>
      <w:jc w:val="right"/>
    </w:pPr>
    <w:r>
      <w:fldChar w:fldCharType="begin"/>
    </w:r>
    <w:r>
      <w:instrText xml:space="preserve"> PAGE   \* MERGEFORMAT </w:instrText>
    </w:r>
    <w:r>
      <w:fldChar w:fldCharType="separate"/>
    </w:r>
    <w:r w:rsidR="00A01E36">
      <w:rPr>
        <w:noProof/>
      </w:rPr>
      <w:t>28</w:t>
    </w:r>
    <w:r>
      <w:rPr>
        <w:noProof/>
      </w:rPr>
      <w:fldChar w:fldCharType="end"/>
    </w:r>
  </w:p>
  <w:p w:rsidR="00AD022F" w:rsidRPr="00BB5EAA" w:rsidRDefault="00AD022F" w:rsidP="00AD022F">
    <w:pPr>
      <w:pStyle w:val="Footer"/>
      <w:ind w:right="360"/>
      <w:jc w:val="center"/>
    </w:pPr>
  </w:p>
  <w:p w:rsidR="00AD022F" w:rsidRDefault="00AD0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2382" w:rsidRDefault="00402382">
      <w:r>
        <w:separator/>
      </w:r>
    </w:p>
  </w:footnote>
  <w:footnote w:type="continuationSeparator" w:id="0">
    <w:p w:rsidR="00402382" w:rsidRDefault="004023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3A55" w:rsidRDefault="00A01E36" w:rsidP="00A01E36">
    <w:pPr>
      <w:pStyle w:val="Header"/>
      <w:rPr>
        <w:sz w:val="17"/>
      </w:rPr>
    </w:pPr>
    <w:bookmarkStart w:id="4" w:name="TITUS1HeaderEvenPages"/>
    <w:r>
      <w:rPr>
        <w:sz w:val="17"/>
      </w:rPr>
      <w:t> </w:t>
    </w:r>
  </w:p>
  <w:bookmarkEnd w:id="4"/>
  <w:p w:rsidR="00C53A55" w:rsidRDefault="00C53A55" w:rsidP="00C53A55">
    <w:pPr>
      <w:pStyle w:val="Header"/>
    </w:pPr>
  </w:p>
  <w:p w:rsidR="00AD022F" w:rsidRDefault="00AD02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2382" w:rsidRDefault="00A01E36" w:rsidP="00A01E36">
    <w:pPr>
      <w:pStyle w:val="Header"/>
      <w:rPr>
        <w:sz w:val="17"/>
      </w:rPr>
    </w:pPr>
    <w:bookmarkStart w:id="5" w:name="TITUS1HeaderPrimary"/>
    <w:r>
      <w:rPr>
        <w:sz w:val="17"/>
      </w:rPr>
      <w:t> </w:t>
    </w:r>
  </w:p>
  <w:bookmarkEnd w:id="5"/>
  <w:p w:rsidR="00AD022F" w:rsidRDefault="00AD02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2382" w:rsidRDefault="00A01E36" w:rsidP="00A01E36">
    <w:pPr>
      <w:pStyle w:val="Header"/>
      <w:rPr>
        <w:sz w:val="17"/>
      </w:rPr>
    </w:pPr>
    <w:bookmarkStart w:id="8" w:name="TITUS1HeaderFirstPage"/>
    <w:r>
      <w:rPr>
        <w:sz w:val="17"/>
      </w:rPr>
      <w:t> </w:t>
    </w:r>
  </w:p>
  <w:bookmarkEnd w:id="8"/>
  <w:p w:rsidR="00AD022F" w:rsidRDefault="00AD022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Header"/>
      <w:rPr>
        <w:sz w:val="17"/>
      </w:rPr>
    </w:pPr>
    <w:bookmarkStart w:id="10" w:name="TITUS2HeaderEvenPages"/>
    <w:r>
      <w:rPr>
        <w:sz w:val="17"/>
      </w:rPr>
      <w:t> </w:t>
    </w:r>
  </w:p>
  <w:bookmarkEnd w:id="10"/>
  <w:p w:rsidR="00AD022F" w:rsidRDefault="00AD022F" w:rsidP="00AD022F">
    <w:pPr>
      <w:pStyle w:val="Header"/>
    </w:pPr>
  </w:p>
  <w:p w:rsidR="00AD022F" w:rsidRDefault="00AD022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Header"/>
      <w:rPr>
        <w:sz w:val="17"/>
      </w:rPr>
    </w:pPr>
    <w:bookmarkStart w:id="11" w:name="TITUS2HeaderPrimary"/>
    <w:r>
      <w:rPr>
        <w:sz w:val="17"/>
      </w:rPr>
      <w:t> </w:t>
    </w:r>
  </w:p>
  <w:bookmarkEnd w:id="11"/>
  <w:p w:rsidR="00AD022F" w:rsidRDefault="00AD022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Header"/>
      <w:rPr>
        <w:sz w:val="17"/>
      </w:rPr>
    </w:pPr>
    <w:bookmarkStart w:id="14" w:name="TITUS2HeaderFirstPage"/>
    <w:r>
      <w:rPr>
        <w:sz w:val="17"/>
      </w:rPr>
      <w:t> </w:t>
    </w:r>
  </w:p>
  <w:bookmarkEnd w:id="14"/>
  <w:p w:rsidR="00AD022F" w:rsidRDefault="00AD022F" w:rsidP="00AD022F">
    <w:pPr>
      <w:pStyle w:val="Header"/>
    </w:pPr>
  </w:p>
  <w:p w:rsidR="00AD022F" w:rsidRDefault="00AD022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Header"/>
      <w:rPr>
        <w:sz w:val="17"/>
      </w:rPr>
    </w:pPr>
    <w:bookmarkStart w:id="17" w:name="TITUS3HeaderEvenPages"/>
    <w:r>
      <w:rPr>
        <w:sz w:val="17"/>
      </w:rPr>
      <w:t> </w:t>
    </w:r>
  </w:p>
  <w:bookmarkEnd w:id="17"/>
  <w:p w:rsidR="00AD022F" w:rsidRDefault="00AD022F" w:rsidP="00AD022F">
    <w:pPr>
      <w:pStyle w:val="Header"/>
    </w:pPr>
  </w:p>
  <w:p w:rsidR="00AD022F" w:rsidRDefault="00AD022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Header"/>
      <w:rPr>
        <w:sz w:val="17"/>
      </w:rPr>
    </w:pPr>
    <w:bookmarkStart w:id="18" w:name="TITUS3HeaderPrimary"/>
    <w:r>
      <w:rPr>
        <w:sz w:val="17"/>
      </w:rPr>
      <w:t> </w:t>
    </w:r>
  </w:p>
  <w:bookmarkEnd w:id="18"/>
  <w:p w:rsidR="00AD022F" w:rsidRDefault="00AD022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Header"/>
      <w:rPr>
        <w:sz w:val="17"/>
      </w:rPr>
    </w:pPr>
    <w:bookmarkStart w:id="21" w:name="TITUS3HeaderFirstPage"/>
    <w:r>
      <w:rPr>
        <w:sz w:val="17"/>
      </w:rPr>
      <w:t> </w:t>
    </w:r>
  </w:p>
  <w:bookmarkEnd w:id="21"/>
  <w:p w:rsidR="00AD022F" w:rsidRDefault="00AD022F" w:rsidP="00AD022F">
    <w:pPr>
      <w:pStyle w:val="Header"/>
    </w:pPr>
  </w:p>
  <w:p w:rsidR="00AD022F" w:rsidRDefault="00AD022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Header"/>
      <w:rPr>
        <w:sz w:val="17"/>
      </w:rPr>
    </w:pPr>
    <w:bookmarkStart w:id="23" w:name="TITUS4HeaderEvenPages"/>
    <w:r>
      <w:rPr>
        <w:sz w:val="17"/>
      </w:rPr>
      <w:t> </w:t>
    </w:r>
  </w:p>
  <w:bookmarkEnd w:id="23"/>
  <w:p w:rsidR="00AD022F" w:rsidRDefault="00AD022F" w:rsidP="00AD022F">
    <w:pPr>
      <w:pStyle w:val="Header"/>
    </w:pPr>
  </w:p>
  <w:p w:rsidR="00AD022F" w:rsidRDefault="00AD022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Header"/>
      <w:rPr>
        <w:sz w:val="17"/>
      </w:rPr>
    </w:pPr>
    <w:bookmarkStart w:id="24" w:name="TITUS4HeaderPrimary"/>
    <w:r>
      <w:rPr>
        <w:sz w:val="17"/>
      </w:rPr>
      <w:t> </w:t>
    </w:r>
  </w:p>
  <w:bookmarkEnd w:id="24"/>
  <w:p w:rsidR="00AD022F" w:rsidRDefault="00AD022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022F" w:rsidRDefault="00A01E36" w:rsidP="00A01E36">
    <w:pPr>
      <w:pStyle w:val="Header"/>
      <w:rPr>
        <w:sz w:val="17"/>
      </w:rPr>
    </w:pPr>
    <w:bookmarkStart w:id="27" w:name="TITUS4HeaderFirstPage"/>
    <w:r>
      <w:rPr>
        <w:sz w:val="17"/>
      </w:rPr>
      <w:t> </w:t>
    </w:r>
  </w:p>
  <w:bookmarkEnd w:id="27"/>
  <w:p w:rsidR="00AD022F" w:rsidRDefault="00AD022F" w:rsidP="00AD022F">
    <w:pPr>
      <w:pStyle w:val="Header"/>
    </w:pPr>
  </w:p>
  <w:p w:rsidR="00AD022F" w:rsidRDefault="00AD02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E09"/>
    <w:rsid w:val="00027B1F"/>
    <w:rsid w:val="0003088B"/>
    <w:rsid w:val="00030C41"/>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B67"/>
    <w:rsid w:val="00106DC7"/>
    <w:rsid w:val="001111EE"/>
    <w:rsid w:val="00112391"/>
    <w:rsid w:val="00112751"/>
    <w:rsid w:val="00114F52"/>
    <w:rsid w:val="001347F8"/>
    <w:rsid w:val="00137BB5"/>
    <w:rsid w:val="00137E05"/>
    <w:rsid w:val="001447F6"/>
    <w:rsid w:val="00147DE3"/>
    <w:rsid w:val="00150794"/>
    <w:rsid w:val="001608C4"/>
    <w:rsid w:val="00171418"/>
    <w:rsid w:val="001961CF"/>
    <w:rsid w:val="001A32BD"/>
    <w:rsid w:val="001A59BB"/>
    <w:rsid w:val="001A6A51"/>
    <w:rsid w:val="001A79C4"/>
    <w:rsid w:val="001B331A"/>
    <w:rsid w:val="001C0C77"/>
    <w:rsid w:val="001C0E74"/>
    <w:rsid w:val="001D229F"/>
    <w:rsid w:val="001E4355"/>
    <w:rsid w:val="001F1A01"/>
    <w:rsid w:val="001F4552"/>
    <w:rsid w:val="002019EB"/>
    <w:rsid w:val="002030F2"/>
    <w:rsid w:val="00205051"/>
    <w:rsid w:val="00206319"/>
    <w:rsid w:val="00211F65"/>
    <w:rsid w:val="00220D06"/>
    <w:rsid w:val="002246A0"/>
    <w:rsid w:val="00224AF9"/>
    <w:rsid w:val="00230439"/>
    <w:rsid w:val="002333C2"/>
    <w:rsid w:val="00235176"/>
    <w:rsid w:val="0023532C"/>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522B"/>
    <w:rsid w:val="00316815"/>
    <w:rsid w:val="003168CA"/>
    <w:rsid w:val="00321255"/>
    <w:rsid w:val="0032230D"/>
    <w:rsid w:val="00322A0B"/>
    <w:rsid w:val="00335FC5"/>
    <w:rsid w:val="003516C0"/>
    <w:rsid w:val="00352E59"/>
    <w:rsid w:val="00354DBE"/>
    <w:rsid w:val="00355210"/>
    <w:rsid w:val="00360612"/>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60C0"/>
    <w:rsid w:val="003F1A37"/>
    <w:rsid w:val="00402382"/>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763DD"/>
    <w:rsid w:val="00482C17"/>
    <w:rsid w:val="004911B4"/>
    <w:rsid w:val="0049196A"/>
    <w:rsid w:val="004923DA"/>
    <w:rsid w:val="00493434"/>
    <w:rsid w:val="004962F9"/>
    <w:rsid w:val="004968E2"/>
    <w:rsid w:val="004A2A49"/>
    <w:rsid w:val="004B3CFC"/>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6D5C"/>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D7658"/>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1E4A"/>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13BC"/>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01E36"/>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022F"/>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5BAC"/>
    <w:rsid w:val="00B26769"/>
    <w:rsid w:val="00B30D7B"/>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3A5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0157"/>
    <w:rsid w:val="00D11888"/>
    <w:rsid w:val="00D165CB"/>
    <w:rsid w:val="00D22C8F"/>
    <w:rsid w:val="00D33491"/>
    <w:rsid w:val="00D41A93"/>
    <w:rsid w:val="00D44F8E"/>
    <w:rsid w:val="00D52B63"/>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06F63"/>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26A11D1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B3CFC"/>
    <w:rPr>
      <w:color w:val="954F72" w:themeColor="followedHyperlink"/>
      <w:u w:val="single"/>
    </w:rPr>
  </w:style>
  <w:style w:type="character" w:styleId="Strong">
    <w:name w:val="Strong"/>
    <w:basedOn w:val="DefaultParagraphFont"/>
    <w:uiPriority w:val="22"/>
    <w:qFormat/>
    <w:rsid w:val="00D52B6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7157842">
      <w:bodyDiv w:val="1"/>
      <w:marLeft w:val="0"/>
      <w:marRight w:val="0"/>
      <w:marTop w:val="0"/>
      <w:marBottom w:val="0"/>
      <w:divBdr>
        <w:top w:val="none" w:sz="0" w:space="0" w:color="auto"/>
        <w:left w:val="none" w:sz="0" w:space="0" w:color="auto"/>
        <w:bottom w:val="none" w:sz="0" w:space="0" w:color="auto"/>
        <w:right w:val="none" w:sz="0" w:space="0" w:color="auto"/>
      </w:divBdr>
    </w:div>
    <w:div w:id="1011176567">
      <w:bodyDiv w:val="1"/>
      <w:marLeft w:val="0"/>
      <w:marRight w:val="0"/>
      <w:marTop w:val="0"/>
      <w:marBottom w:val="0"/>
      <w:divBdr>
        <w:top w:val="none" w:sz="0" w:space="0" w:color="auto"/>
        <w:left w:val="none" w:sz="0" w:space="0" w:color="auto"/>
        <w:bottom w:val="none" w:sz="0" w:space="0" w:color="auto"/>
        <w:right w:val="none" w:sz="0" w:space="0" w:color="auto"/>
      </w:divBdr>
    </w:div>
    <w:div w:id="115044585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40118609">
      <w:bodyDiv w:val="1"/>
      <w:marLeft w:val="0"/>
      <w:marRight w:val="0"/>
      <w:marTop w:val="0"/>
      <w:marBottom w:val="0"/>
      <w:divBdr>
        <w:top w:val="none" w:sz="0" w:space="0" w:color="auto"/>
        <w:left w:val="none" w:sz="0" w:space="0" w:color="auto"/>
        <w:bottom w:val="none" w:sz="0" w:space="0" w:color="auto"/>
        <w:right w:val="none" w:sz="0" w:space="0" w:color="auto"/>
      </w:divBdr>
    </w:div>
    <w:div w:id="1569146944">
      <w:bodyDiv w:val="1"/>
      <w:marLeft w:val="0"/>
      <w:marRight w:val="0"/>
      <w:marTop w:val="0"/>
      <w:marBottom w:val="0"/>
      <w:divBdr>
        <w:top w:val="none" w:sz="0" w:space="0" w:color="auto"/>
        <w:left w:val="none" w:sz="0" w:space="0" w:color="auto"/>
        <w:bottom w:val="none" w:sz="0" w:space="0" w:color="auto"/>
        <w:right w:val="none" w:sz="0" w:space="0" w:color="auto"/>
      </w:divBdr>
    </w:div>
    <w:div w:id="202632283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eb-a-ebscohost-com.ezproxy.uwtsd.ac.uk/ehost/detail/detail?vid=2&amp;sid=fcac5203-3230-414e-9a0f-200df7386f46%40sessionmgr4008&amp;bdata=JnNpdGU9ZWhvc3QtbGl2ZQ%3d%3d" TargetMode="External"/><Relationship Id="rId39" Type="http://schemas.openxmlformats.org/officeDocument/2006/relationships/hyperlink" Target="https://journals-sagepub-com.ezproxy.uwtsd.ac.uk/doi/full/10.1177/0886260520957696" TargetMode="External"/><Relationship Id="rId21" Type="http://schemas.openxmlformats.org/officeDocument/2006/relationships/hyperlink" Target="https://web-a-ebscohost-com.ezproxy.uwtsd.ac.uk/ehost/detail/detail?vid=2&amp;sid=fcac5203-3230-414e-9a0f-200df7386f46%40sessionmgr4008&amp;bdata=JnNpdGU9ZWhvc3QtbGl2ZQ%3d%3d" TargetMode="External"/><Relationship Id="rId34" Type="http://schemas.openxmlformats.org/officeDocument/2006/relationships/hyperlink" Target="https://journals-sagepub-com.ezproxy.uwtsd.ac.uk/doi/full/10.1177/0886260520957696" TargetMode="External"/><Relationship Id="rId42" Type="http://schemas.openxmlformats.org/officeDocument/2006/relationships/header" Target="header5.xml"/><Relationship Id="rId47" Type="http://schemas.openxmlformats.org/officeDocument/2006/relationships/hyperlink" Target="https://diversity.ucsf.edu/resources/unconscious-bias" TargetMode="External"/><Relationship Id="rId50" Type="http://schemas.openxmlformats.org/officeDocument/2006/relationships/hyperlink" Target="https://assets.publishing.service.gov.uk/government/uploads/system/uploads/attachment_data/file/974376/victims-code-2020.pdf" TargetMode="External"/><Relationship Id="rId55" Type="http://schemas.openxmlformats.org/officeDocument/2006/relationships/footer" Target="footer8.xml"/><Relationship Id="rId63"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journals-sagepub-com.ezproxy.uwtsd.ac.uk/doi/full/10.1177/0886260520957696" TargetMode="External"/><Relationship Id="rId41" Type="http://schemas.openxmlformats.org/officeDocument/2006/relationships/header" Target="header4.xml"/><Relationship Id="rId54" Type="http://schemas.openxmlformats.org/officeDocument/2006/relationships/footer" Target="footer7.xml"/><Relationship Id="rId62"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eb-a-ebscohost-com.ezproxy.uwtsd.ac.uk/ehost/detail/detail?vid=2&amp;sid=fcac5203-3230-414e-9a0f-200df7386f46%40sessionmgr4008&amp;bdata=JnNpdGU9ZWhvc3QtbGl2ZQ%3d%3d" TargetMode="External"/><Relationship Id="rId32" Type="http://schemas.openxmlformats.org/officeDocument/2006/relationships/hyperlink" Target="https://journals-sagepub-com.ezproxy.uwtsd.ac.uk/doi/full/10.1177/0886260520957696" TargetMode="External"/><Relationship Id="rId37" Type="http://schemas.openxmlformats.org/officeDocument/2006/relationships/hyperlink" Target="https://journals-sagepub-com.ezproxy.uwtsd.ac.uk/doi/full/10.1177/0886260520957696" TargetMode="External"/><Relationship Id="rId40" Type="http://schemas.openxmlformats.org/officeDocument/2006/relationships/hyperlink" Target="https://journals-sagepub-com.ezproxy.uwtsd.ac.uk/doi/full/10.1177/0886260520957696" TargetMode="External"/><Relationship Id="rId45" Type="http://schemas.openxmlformats.org/officeDocument/2006/relationships/header" Target="header6.xml"/><Relationship Id="rId53" Type="http://schemas.openxmlformats.org/officeDocument/2006/relationships/header" Target="header8.xml"/><Relationship Id="rId58"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eb-a-ebscohost-com.ezproxy.uwtsd.ac.uk/ehost/detail/detail?vid=2&amp;sid=fcac5203-3230-414e-9a0f-200df7386f46%40sessionmgr4008&amp;bdata=JnNpdGU9ZWhvc3QtbGl2ZQ%3d%3d" TargetMode="External"/><Relationship Id="rId28" Type="http://schemas.openxmlformats.org/officeDocument/2006/relationships/hyperlink" Target="https://web-a-ebscohost-com.ezproxy.uwtsd.ac.uk/ehost/detail/detail?vid=2&amp;sid=fcac5203-3230-414e-9a0f-200df7386f46%40sessionmgr4008&amp;bdata=JnNpdGU9ZWhvc3QtbGl2ZQ%3d%3d" TargetMode="External"/><Relationship Id="rId36" Type="http://schemas.openxmlformats.org/officeDocument/2006/relationships/hyperlink" Target="https://journals-sagepub-com.ezproxy.uwtsd.ac.uk/doi/full/10.1177/0886260520957696" TargetMode="External"/><Relationship Id="rId49" Type="http://schemas.openxmlformats.org/officeDocument/2006/relationships/hyperlink" Target="https://doi-org.ezproxy.uwtsd.ac.uk/10.1177/0886260520957696" TargetMode="External"/><Relationship Id="rId57" Type="http://schemas.openxmlformats.org/officeDocument/2006/relationships/footer" Target="footer9.xml"/><Relationship Id="rId61"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journals-sagepub-com.ezproxy.uwtsd.ac.uk/doi/full/10.1177/0886260520957696" TargetMode="External"/><Relationship Id="rId44" Type="http://schemas.openxmlformats.org/officeDocument/2006/relationships/footer" Target="footer5.xml"/><Relationship Id="rId52" Type="http://schemas.openxmlformats.org/officeDocument/2006/relationships/header" Target="header7.xml"/><Relationship Id="rId60" Type="http://schemas.openxmlformats.org/officeDocument/2006/relationships/footer" Target="footer10.xm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direct-com.ezproxy.uwtsd.ac.uk/science/article/pii/S1053811915005649" TargetMode="External"/><Relationship Id="rId22" Type="http://schemas.openxmlformats.org/officeDocument/2006/relationships/hyperlink" Target="https://web-a-ebscohost-com.ezproxy.uwtsd.ac.uk/ehost/detail/detail?vid=2&amp;sid=fcac5203-3230-414e-9a0f-200df7386f46%40sessionmgr4008&amp;bdata=JnNpdGU9ZWhvc3QtbGl2ZQ%3d%3d" TargetMode="External"/><Relationship Id="rId27" Type="http://schemas.openxmlformats.org/officeDocument/2006/relationships/hyperlink" Target="https://web-a-ebscohost-com.ezproxy.uwtsd.ac.uk/ehost/detail/detail?vid=2&amp;sid=fcac5203-3230-414e-9a0f-200df7386f46%40sessionmgr4008&amp;bdata=JnNpdGU9ZWhvc3QtbGl2ZQ%3d%3d" TargetMode="External"/><Relationship Id="rId30" Type="http://schemas.openxmlformats.org/officeDocument/2006/relationships/hyperlink" Target="https://journals-sagepub-com.ezproxy.uwtsd.ac.uk/doi/full/10.1177/0886260520957696" TargetMode="External"/><Relationship Id="rId35" Type="http://schemas.openxmlformats.org/officeDocument/2006/relationships/hyperlink" Target="https://journals-sagepub-com.ezproxy.uwtsd.ac.uk/doi/full/10.1177/0886260520957696" TargetMode="External"/><Relationship Id="rId43" Type="http://schemas.openxmlformats.org/officeDocument/2006/relationships/footer" Target="footer4.xml"/><Relationship Id="rId48" Type="http://schemas.openxmlformats.org/officeDocument/2006/relationships/hyperlink" Target="https://research.publichealthnetwork.cymru/files/7015/2104/4717/005_kat_ford.pdf" TargetMode="External"/><Relationship Id="rId56" Type="http://schemas.openxmlformats.org/officeDocument/2006/relationships/header" Target="header9.xm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diversity.ucsf.edu/resources/unconscious-bia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eb-a-ebscohost-com.ezproxy.uwtsd.ac.uk/ehost/detail/detail?vid=2&amp;sid=fcac5203-3230-414e-9a0f-200df7386f46%40sessionmgr4008&amp;bdata=JnNpdGU9ZWhvc3QtbGl2ZQ%3d%3d" TargetMode="External"/><Relationship Id="rId33" Type="http://schemas.openxmlformats.org/officeDocument/2006/relationships/hyperlink" Target="https://journals-sagepub-com.ezproxy.uwtsd.ac.uk/doi/full/10.1177/0886260520957696" TargetMode="External"/><Relationship Id="rId38" Type="http://schemas.openxmlformats.org/officeDocument/2006/relationships/hyperlink" Target="https://journals-sagepub-com.ezproxy.uwtsd.ac.uk/doi/full/10.1177/0886260520957696" TargetMode="External"/><Relationship Id="rId46" Type="http://schemas.openxmlformats.org/officeDocument/2006/relationships/footer" Target="footer6.xml"/><Relationship Id="rId59"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F6F20F95-501E-4227-897D-C06B3341E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28</Pages>
  <Words>12054</Words>
  <Characters>69730</Characters>
  <Application>Microsoft Office Word</Application>
  <DocSecurity>0</DocSecurity>
  <Lines>581</Lines>
  <Paragraphs>163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Roberts,Alex swp6749</cp:lastModifiedBy>
  <cp:revision>22</cp:revision>
  <cp:lastPrinted>2019-08-13T11:47:00Z</cp:lastPrinted>
  <dcterms:created xsi:type="dcterms:W3CDTF">2021-03-09T09:33:00Z</dcterms:created>
  <dcterms:modified xsi:type="dcterms:W3CDTF">2021-06-15T16:55:00Z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54158c44-62ea-47b1-9b5e-f50f773dfaaa</vt:lpwstr>
  </property>
  <property fmtid="{D5CDD505-2E9C-101B-9397-08002B2CF9AE}" pid="4" name="Classification">
    <vt:lpwstr>OFFICIAL</vt:lpwstr>
  </property>
  <property fmtid="{D5CDD505-2E9C-101B-9397-08002B2CF9AE}" pid="5" name="Visibility">
    <vt:lpwstr>NOT VISIBLE</vt:lpwstr>
  </property>
</Properties>
</file>