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NET 22.11.0 -->
  <w:body>
    <w:p>
      <w:pPr>
        <w:shd w:val="clear" w:color="auto" w:fill="FFFFFF"/>
        <w:spacing w:before="90" w:after="90"/>
        <w:rPr>
          <w:sz w:val="20"/>
          <w:szCs w:val="20"/>
        </w:rPr>
      </w:pPr>
      <w:r>
        <w:rPr>
          <w:b/>
          <w:bCs/>
          <w:color w:val="222222"/>
          <w:sz w:val="20"/>
          <w:szCs w:val="20"/>
        </w:rPr>
        <w:t> </w:t>
      </w:r>
    </w:p>
    <w:p>
      <w:pPr>
        <w:shd w:val="clear" w:color="auto" w:fill="FFFFFF"/>
        <w:spacing w:before="90" w:after="90"/>
        <w:rPr>
          <w:sz w:val="20"/>
          <w:szCs w:val="20"/>
        </w:rPr>
      </w:pPr>
      <w:r>
        <w:rPr>
          <w:b/>
          <w:bCs/>
          <w:color w:val="222222"/>
          <w:sz w:val="20"/>
          <w:szCs w:val="20"/>
        </w:rPr>
        <w:t> </w:t>
      </w:r>
    </w:p>
    <w:p>
      <w:pPr>
        <w:shd w:val="clear" w:color="auto" w:fill="FFFFFF"/>
        <w:spacing w:before="90" w:after="90"/>
        <w:rPr>
          <w:sz w:val="20"/>
          <w:szCs w:val="20"/>
        </w:rPr>
      </w:pPr>
      <w:r>
        <w:rPr>
          <w:b/>
          <w:bCs/>
          <w:color w:val="222222"/>
          <w:sz w:val="20"/>
          <w:szCs w:val="20"/>
        </w:rPr>
        <w:t> </w:t>
      </w:r>
    </w:p>
    <w:p>
      <w:pPr>
        <w:shd w:val="clear" w:color="auto" w:fill="FFFFFF"/>
        <w:spacing w:before="90" w:after="90"/>
        <w:rPr>
          <w:sz w:val="20"/>
          <w:szCs w:val="20"/>
        </w:rPr>
      </w:pPr>
      <w:r>
        <w:rPr>
          <w:b/>
          <w:bCs/>
          <w:color w:val="222222"/>
          <w:sz w:val="20"/>
          <w:szCs w:val="20"/>
        </w:rPr>
        <w:t> </w:t>
      </w:r>
    </w:p>
    <w:p>
      <w:pPr>
        <w:shd w:val="clear" w:color="auto" w:fill="FFFFFF"/>
        <w:spacing w:before="90" w:after="90"/>
        <w:rPr>
          <w:sz w:val="20"/>
          <w:szCs w:val="20"/>
        </w:rPr>
      </w:pPr>
      <w:r>
        <w:rPr>
          <w:b/>
          <w:bCs/>
          <w:color w:val="222222"/>
          <w:sz w:val="20"/>
          <w:szCs w:val="20"/>
        </w:rPr>
        <w:t> </w:t>
      </w:r>
    </w:p>
    <w:p>
      <w:pPr>
        <w:shd w:val="clear" w:color="auto" w:fill="FFFFFF"/>
        <w:spacing w:before="90" w:after="90"/>
        <w:rPr>
          <w:sz w:val="20"/>
          <w:szCs w:val="20"/>
        </w:rPr>
      </w:pPr>
      <w:r>
        <w:rPr>
          <w:b/>
          <w:bCs/>
          <w:color w:val="222222"/>
          <w:sz w:val="20"/>
          <w:szCs w:val="20"/>
        </w:rPr>
        <w:t> </w:t>
      </w:r>
    </w:p>
    <w:p>
      <w:pPr>
        <w:shd w:val="clear" w:color="auto" w:fill="FFFFFF"/>
        <w:spacing w:before="90" w:after="90"/>
        <w:rPr>
          <w:sz w:val="20"/>
          <w:szCs w:val="20"/>
        </w:rPr>
      </w:pPr>
      <w:r>
        <w:rPr>
          <w:b/>
          <w:bCs/>
          <w:color w:val="222222"/>
          <w:sz w:val="20"/>
          <w:szCs w:val="20"/>
        </w:rPr>
        <w:t> </w:t>
      </w:r>
    </w:p>
    <w:p>
      <w:pPr>
        <w:shd w:val="clear" w:color="auto" w:fill="FFFFFF"/>
        <w:spacing w:before="90" w:after="90"/>
        <w:rPr>
          <w:sz w:val="20"/>
          <w:szCs w:val="20"/>
        </w:rPr>
      </w:pPr>
      <w:r>
        <w:rPr>
          <w:b/>
          <w:bCs/>
          <w:color w:val="222222"/>
          <w:sz w:val="20"/>
          <w:szCs w:val="20"/>
        </w:rPr>
        <w:t> </w:t>
      </w:r>
    </w:p>
    <w:p>
      <w:pPr>
        <w:spacing w:before="0" w:after="0"/>
        <w:jc w:val="center"/>
      </w:pPr>
      <w:r>
        <w:rPr>
          <w:b/>
          <w:bCs/>
        </w:rPr>
        <w:t>Marketing plan written for Premier Inn</w:t>
      </w:r>
    </w:p>
    <w:p>
      <w:pPr>
        <w:spacing w:before="0" w:after="0"/>
        <w:jc w:val="center"/>
      </w:pPr>
      <w:r>
        <w:rPr>
          <w:b/>
          <w:bCs/>
        </w:rPr>
        <w:t> </w:t>
      </w:r>
    </w:p>
    <w:p>
      <w:pPr>
        <w:spacing w:before="0" w:after="0"/>
        <w:jc w:val="center"/>
        <w:rPr>
          <w:sz w:val="22"/>
          <w:szCs w:val="22"/>
        </w:rPr>
      </w:pPr>
      <w:r>
        <w:rPr>
          <w:b/>
          <w:bCs/>
          <w:sz w:val="22"/>
          <w:szCs w:val="22"/>
        </w:rPr>
        <w:t> </w:t>
      </w:r>
    </w:p>
    <w:p>
      <w:pPr>
        <w:spacing w:before="0" w:after="0"/>
        <w:jc w:val="center"/>
      </w:pPr>
      <w:r>
        <w:rPr>
          <w:b/>
          <w:bCs/>
        </w:rPr>
        <w:t> </w:t>
      </w:r>
    </w:p>
    <w:p>
      <w:pPr>
        <w:spacing w:before="0" w:after="0"/>
        <w:jc w:val="center"/>
      </w:pPr>
      <w:r>
        <w:rPr>
          <w:b/>
          <w:bCs/>
        </w:rPr>
        <w:t xml:space="preserve">Student Name- </w:t>
      </w:r>
    </w:p>
    <w:p>
      <w:pPr>
        <w:spacing w:before="0" w:after="0"/>
        <w:jc w:val="center"/>
      </w:pPr>
      <w:r>
        <w:rPr>
          <w:b/>
          <w:bCs/>
        </w:rPr>
        <w:t> </w:t>
      </w:r>
    </w:p>
    <w:p>
      <w:pPr>
        <w:spacing w:before="0" w:after="0"/>
        <w:jc w:val="center"/>
      </w:pPr>
      <w:r>
        <w:rPr>
          <w:b/>
          <w:bCs/>
        </w:rPr>
        <w:t>___________________</w:t>
      </w:r>
      <w:r>
        <w:rPr>
          <w:b/>
          <w:bCs/>
        </w:rPr>
        <w:t>Nicorici Alina</w:t>
      </w:r>
      <w:r>
        <w:rPr>
          <w:b/>
          <w:bCs/>
        </w:rPr>
        <w:t>___________________</w:t>
      </w:r>
    </w:p>
    <w:p>
      <w:pPr>
        <w:spacing w:before="0" w:after="0"/>
        <w:jc w:val="center"/>
      </w:pPr>
      <w:r>
        <w:rPr>
          <w:b/>
          <w:bCs/>
        </w:rPr>
        <w:t> </w:t>
      </w:r>
    </w:p>
    <w:p>
      <w:pPr>
        <w:spacing w:before="0" w:after="0"/>
        <w:jc w:val="center"/>
      </w:pPr>
      <w:r>
        <w:rPr>
          <w:b/>
          <w:bCs/>
        </w:rPr>
        <w:t> </w:t>
      </w:r>
    </w:p>
    <w:p>
      <w:pPr>
        <w:spacing w:before="0" w:after="0"/>
        <w:jc w:val="center"/>
      </w:pPr>
      <w:r>
        <w:rPr>
          <w:b/>
          <w:bCs/>
        </w:rPr>
        <w:t>Student ID number</w:t>
      </w:r>
    </w:p>
    <w:p>
      <w:pPr>
        <w:spacing w:before="0" w:after="0"/>
        <w:jc w:val="center"/>
      </w:pPr>
      <w:r>
        <w:rPr>
          <w:b/>
          <w:bCs/>
        </w:rPr>
        <w:t>_________</w:t>
      </w:r>
      <w:r>
        <w:rPr>
          <w:b/>
          <w:bCs/>
        </w:rPr>
        <w:t>2210429</w:t>
      </w:r>
      <w:r>
        <w:rPr>
          <w:b/>
          <w:bCs/>
        </w:rPr>
        <w:t>__________</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pacing w:before="0" w:after="0"/>
        <w:jc w:val="center"/>
      </w:pPr>
      <w:r>
        <w:rPr>
          <w:b/>
          <w:bCs/>
        </w:rPr>
        <w:t>Marketing Essentials BMIH4005</w:t>
      </w:r>
    </w:p>
    <w:p>
      <w:pPr>
        <w:spacing w:before="0" w:after="0"/>
        <w:jc w:val="center"/>
      </w:pPr>
      <w:r>
        <w:rPr>
          <w:b/>
          <w:bCs/>
        </w:rPr>
        <w:t> </w:t>
      </w:r>
    </w:p>
    <w:p>
      <w:pPr>
        <w:spacing w:before="0" w:after="0"/>
        <w:jc w:val="center"/>
      </w:pPr>
      <w:r>
        <w:rPr>
          <w:b/>
          <w:bCs/>
        </w:rPr>
        <w:t> </w:t>
      </w:r>
    </w:p>
    <w:p>
      <w:pPr>
        <w:spacing w:before="0" w:after="0"/>
        <w:jc w:val="center"/>
      </w:pPr>
      <w:r>
        <w:rPr>
          <w:b/>
          <w:bCs/>
        </w:rPr>
        <w:t>Lecturer</w:t>
      </w:r>
    </w:p>
    <w:p>
      <w:pPr>
        <w:spacing w:before="0" w:after="0"/>
        <w:jc w:val="center"/>
      </w:pPr>
      <w:r>
        <w:rPr>
          <w:b/>
          <w:bCs/>
        </w:rPr>
        <w:t> </w:t>
      </w:r>
    </w:p>
    <w:p>
      <w:pPr>
        <w:spacing w:before="0" w:after="0"/>
        <w:jc w:val="center"/>
      </w:pPr>
      <w:r>
        <w:rPr>
          <w:b/>
          <w:bCs/>
        </w:rPr>
        <w:t>_________________Luciana Saurdi_______________</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pacing w:before="0" w:after="0"/>
        <w:jc w:val="center"/>
      </w:pPr>
      <w:r>
        <w:rPr>
          <w:b/>
          <w:bCs/>
        </w:rPr>
        <w:t> </w:t>
      </w:r>
    </w:p>
    <w:p>
      <w:pPr>
        <w:shd w:val="clear" w:color="auto" w:fill="FFFFFF"/>
        <w:spacing w:before="90" w:after="90"/>
        <w:rPr>
          <w:sz w:val="20"/>
          <w:szCs w:val="20"/>
        </w:rPr>
      </w:pPr>
      <w:r>
        <w:rPr>
          <w:b/>
          <w:bCs/>
          <w:color w:val="222222"/>
          <w:sz w:val="20"/>
          <w:szCs w:val="20"/>
        </w:rPr>
        <w:t> </w:t>
      </w:r>
    </w:p>
    <w:p>
      <w:pPr>
        <w:keepNext/>
        <w:keepLines/>
        <w:spacing w:before="480" w:after="0" w:line="276" w:lineRule="auto"/>
        <w:jc w:val="center"/>
        <w:rPr>
          <w:sz w:val="28"/>
          <w:szCs w:val="28"/>
        </w:rPr>
      </w:pPr>
      <w:r>
        <w:rPr>
          <w:b/>
          <w:bCs/>
          <w:color w:val="2F5496"/>
          <w:sz w:val="28"/>
          <w:szCs w:val="28"/>
        </w:rPr>
        <w:t>Table of Contents</w:t>
      </w:r>
    </w:p>
    <w:p>
      <w:pPr>
        <w:spacing w:before="0" w:after="100"/>
      </w:pPr>
      <w:hyperlink w:anchor="_Toc121004854" w:history="1">
        <w:r>
          <w:rPr>
            <w:color w:val="000000"/>
          </w:rPr>
          <w:t>Introduction</w:t>
        </w:r>
      </w:hyperlink>
    </w:p>
    <w:p>
      <w:pPr>
        <w:spacing w:before="0" w:after="100"/>
      </w:pPr>
      <w:hyperlink w:anchor="_Toc121004855" w:history="1">
        <w:r>
          <w:rPr>
            <w:color w:val="000000"/>
          </w:rPr>
          <w:t>Situation Analysis- 5 C's</w:t>
        </w:r>
      </w:hyperlink>
    </w:p>
    <w:p>
      <w:pPr>
        <w:spacing w:before="0" w:after="100"/>
        <w:ind w:left="240"/>
      </w:pPr>
      <w:hyperlink w:anchor="_Toc121004856" w:history="1">
        <w:r>
          <w:rPr>
            <w:b/>
            <w:bCs/>
            <w:color w:val="000000"/>
          </w:rPr>
          <w:t>-Company:</w:t>
        </w:r>
        <w:r>
          <w:rPr>
            <w:color w:val="000000"/>
          </w:rPr>
          <w:t xml:space="preserve"> SWOT analysis (Micro analysis)</w:t>
        </w:r>
      </w:hyperlink>
    </w:p>
    <w:p>
      <w:pPr>
        <w:spacing w:before="0" w:after="100"/>
        <w:ind w:left="240"/>
      </w:pPr>
      <w:hyperlink w:anchor="_Toc121004857" w:history="1">
        <w:r>
          <w:rPr>
            <w:b/>
            <w:bCs/>
            <w:color w:val="000000"/>
          </w:rPr>
          <w:t>-Customers:</w:t>
        </w:r>
        <w:r>
          <w:rPr>
            <w:color w:val="000000"/>
          </w:rPr>
          <w:t xml:space="preserve"> Segmentation and Targeting/ Customer profile's'</w:t>
        </w:r>
      </w:hyperlink>
    </w:p>
    <w:p>
      <w:pPr>
        <w:spacing w:before="0" w:after="100"/>
        <w:ind w:left="240"/>
      </w:pPr>
      <w:hyperlink w:anchor="_Toc121004858" w:history="1">
        <w:r>
          <w:rPr>
            <w:b/>
            <w:bCs/>
            <w:color w:val="000000"/>
          </w:rPr>
          <w:t>-Competitors:</w:t>
        </w:r>
        <w:r>
          <w:rPr>
            <w:color w:val="000000"/>
          </w:rPr>
          <w:t xml:space="preserve"> Porters five forces, Perceptual positioning maps</w:t>
        </w:r>
      </w:hyperlink>
    </w:p>
    <w:p>
      <w:pPr>
        <w:spacing w:before="0" w:after="100"/>
        <w:ind w:left="240"/>
      </w:pPr>
      <w:hyperlink w:anchor="_Toc121004859" w:history="1">
        <w:r>
          <w:rPr>
            <w:b/>
            <w:bCs/>
            <w:color w:val="000000"/>
          </w:rPr>
          <w:t>-Collaborators:</w:t>
        </w:r>
        <w:r>
          <w:rPr>
            <w:color w:val="000000"/>
          </w:rPr>
          <w:t xml:space="preserve"> B2B Relationships, Partnerships, Franchises</w:t>
        </w:r>
      </w:hyperlink>
    </w:p>
    <w:p>
      <w:pPr>
        <w:spacing w:before="0" w:after="100"/>
        <w:ind w:left="240"/>
      </w:pPr>
      <w:hyperlink w:anchor="_Toc121004860" w:history="1">
        <w:r>
          <w:rPr>
            <w:b/>
            <w:bCs/>
            <w:color w:val="000000"/>
          </w:rPr>
          <w:t>-Climate:</w:t>
        </w:r>
        <w:r>
          <w:rPr>
            <w:color w:val="000000"/>
          </w:rPr>
          <w:t xml:space="preserve"> PESTLE (Macro analysis)</w:t>
        </w:r>
      </w:hyperlink>
    </w:p>
    <w:p>
      <w:pPr>
        <w:spacing w:before="0" w:after="100"/>
      </w:pPr>
      <w:hyperlink w:anchor="_Toc121004861" w:history="1">
        <w:r>
          <w:rPr>
            <w:color w:val="000000"/>
          </w:rPr>
          <w:t>Objectives</w:t>
        </w:r>
      </w:hyperlink>
    </w:p>
    <w:p>
      <w:pPr>
        <w:spacing w:before="0" w:after="100"/>
        <w:ind w:left="240"/>
      </w:pPr>
      <w:hyperlink w:anchor="_Toc121004862" w:history="1">
        <w:r>
          <w:rPr>
            <w:color w:val="000000"/>
          </w:rPr>
          <w:t>-SMART target</w:t>
        </w:r>
      </w:hyperlink>
    </w:p>
    <w:p>
      <w:pPr>
        <w:spacing w:before="0" w:after="100"/>
      </w:pPr>
      <w:hyperlink w:anchor="_Toc121004863" w:history="1">
        <w:r>
          <w:rPr>
            <w:color w:val="000000"/>
          </w:rPr>
          <w:t>Strategy</w:t>
        </w:r>
      </w:hyperlink>
    </w:p>
    <w:p>
      <w:pPr>
        <w:spacing w:before="0" w:after="100"/>
      </w:pPr>
      <w:hyperlink w:anchor="_Toc121004864" w:history="1">
        <w:r>
          <w:rPr>
            <w:color w:val="000000"/>
          </w:rPr>
          <w:t>Tactics</w:t>
        </w:r>
      </w:hyperlink>
    </w:p>
    <w:p>
      <w:pPr>
        <w:spacing w:before="0" w:after="100"/>
        <w:ind w:left="240"/>
      </w:pPr>
      <w:hyperlink w:anchor="_Toc121004865" w:history="1">
        <w:r>
          <w:rPr>
            <w:color w:val="000000"/>
          </w:rPr>
          <w:t>The Marketing Mix (4ps)</w:t>
        </w:r>
      </w:hyperlink>
    </w:p>
    <w:p>
      <w:pPr>
        <w:spacing w:before="0" w:after="100"/>
      </w:pPr>
      <w:hyperlink w:anchor="_Toc121004866" w:history="1">
        <w:r>
          <w:rPr>
            <w:color w:val="000000"/>
          </w:rPr>
          <w:t>Action</w:t>
        </w:r>
      </w:hyperlink>
    </w:p>
    <w:p>
      <w:pPr>
        <w:spacing w:before="0" w:after="100"/>
      </w:pPr>
      <w:hyperlink w:anchor="_Toc121004867" w:history="1">
        <w:r>
          <w:rPr>
            <w:color w:val="000000"/>
          </w:rPr>
          <w:t>Control</w:t>
        </w:r>
      </w:hyperlink>
    </w:p>
    <w:p>
      <w:pPr>
        <w:spacing w:before="0" w:after="100"/>
        <w:ind w:left="240"/>
      </w:pPr>
      <w:hyperlink w:anchor="_Toc121004868" w:history="1">
        <w:r>
          <w:rPr>
            <w:color w:val="000000"/>
          </w:rPr>
          <w:t>Identify USP, Features and Benefits</w:t>
        </w:r>
      </w:hyperlink>
    </w:p>
    <w:p>
      <w:pPr>
        <w:spacing w:before="0" w:after="100"/>
        <w:ind w:left="240"/>
      </w:pPr>
      <w:hyperlink w:anchor="_Toc121004869" w:history="1">
        <w:r>
          <w:rPr>
            <w:color w:val="000000"/>
          </w:rPr>
          <w:t>How we will measure success?</w:t>
        </w:r>
      </w:hyperlink>
    </w:p>
    <w:p>
      <w:pPr>
        <w:spacing w:before="0" w:after="100"/>
      </w:pPr>
      <w:hyperlink w:anchor="_Toc121004870" w:history="1">
        <w:r>
          <w:rPr>
            <w:color w:val="000000"/>
          </w:rPr>
          <w:t>Conclusion</w:t>
        </w:r>
      </w:hyperlink>
    </w:p>
    <w:p>
      <w:pPr>
        <w:spacing w:before="0" w:after="100"/>
      </w:pPr>
      <w:hyperlink w:anchor="_Toc121004871" w:history="1">
        <w:r>
          <w:rPr>
            <w:color w:val="000000"/>
          </w:rPr>
          <w:t>References</w:t>
        </w:r>
      </w:hyperlink>
    </w:p>
    <w:p>
      <w:pPr>
        <w:spacing w:before="0" w:after="100"/>
      </w:pPr>
      <w:hyperlink w:anchor="_Toc121004872" w:history="1">
        <w:r>
          <w:rPr>
            <w:color w:val="000000"/>
          </w:rPr>
          <w:t>Appendix</w:t>
        </w:r>
      </w:hyperlink>
    </w:p>
    <w:p>
      <w:pPr>
        <w:spacing w:before="0" w:after="100"/>
        <w:ind w:left="240"/>
      </w:pPr>
      <w:hyperlink w:anchor="_Toc121004873" w:history="1">
        <w:r>
          <w:rPr>
            <w:color w:val="000000"/>
          </w:rPr>
          <w:t>Component B</w:t>
        </w:r>
      </w:hyperlink>
    </w:p>
    <w:p>
      <w:pPr>
        <w:spacing w:before="0" w:after="160" w:line="259" w:lineRule="auto"/>
        <w:jc w:val="left"/>
      </w:pPr>
      <w:r>
        <w:br w:type="page"/>
      </w:r>
    </w:p>
    <w:p>
      <w:pPr>
        <w:pStyle w:val="Heading1"/>
        <w:spacing w:before="480" w:line="360" w:lineRule="auto"/>
        <w:jc w:val="center"/>
        <w:rPr>
          <w:b/>
          <w:bCs/>
          <w:sz w:val="32"/>
          <w:szCs w:val="32"/>
        </w:rPr>
      </w:pPr>
      <w:bookmarkStart w:id="0" w:name="_Toc121004854"/>
      <w:r>
        <w:rPr>
          <w:rFonts w:ascii="Times New Roman" w:eastAsia="Times New Roman" w:hAnsi="Times New Roman" w:cs="Times New Roman"/>
          <w:b w:val="0"/>
          <w:bCs w:val="0"/>
          <w:i w:val="0"/>
          <w:color w:val="auto"/>
          <w:sz w:val="32"/>
          <w:szCs w:val="32"/>
        </w:rPr>
        <w:t>Introduction</w:t>
      </w:r>
      <w:bookmarkEnd w:id="0"/>
    </w:p>
    <w:p>
      <w:pPr>
        <w:spacing w:before="0" w:after="160"/>
      </w:pPr>
      <w:r>
        <w:t>The purpose of the research is to help readers comprehend the marketing mix and surroundings of “Premier Inn”. For the hotel, the research offered an examination of the micro and macro-environments as well as the marketing mix, customer interaction, and digital marketing. Better technologies are being introduced by hotels and restaurants to compete in the market (Oliveira et. al, 2020)</w:t>
      </w:r>
    </w:p>
    <w:p>
      <w:pPr>
        <w:shd w:val="clear" w:color="auto" w:fill="FFFFFF"/>
        <w:spacing w:before="90" w:after="90"/>
        <w:rPr>
          <w:sz w:val="20"/>
          <w:szCs w:val="20"/>
        </w:rPr>
      </w:pPr>
      <w:r>
        <w:rPr>
          <w:b/>
          <w:bCs/>
          <w:color w:val="222222"/>
          <w:sz w:val="20"/>
          <w:szCs w:val="20"/>
        </w:rPr>
        <w:t> </w:t>
      </w:r>
    </w:p>
    <w:p>
      <w:pPr>
        <w:spacing w:before="0" w:after="160"/>
        <w:jc w:val="center"/>
      </w:pPr>
      <w:r>
        <w:rPr>
          <w:strike w:val="0"/>
          <w:u w:val="none"/>
        </w:rPr>
        <w:drawing>
          <wp:inline>
            <wp:extent cx="3733800" cy="895350"/>
            <wp:docPr id="100001" name="" descr="Premier Inn - The Reader Wiki, Reader View of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1" name=""/>
                    <pic:cNvPicPr>
                      <a:picLocks noChangeAspect="1"/>
                    </pic:cNvPicPr>
                  </pic:nvPicPr>
                  <pic:blipFill>
                    <a:blip xmlns:r="http://schemas.openxmlformats.org/officeDocument/2006/relationships" r:embed="rId4"/>
                    <a:stretch>
                      <a:fillRect/>
                    </a:stretch>
                  </pic:blipFill>
                  <pic:spPr>
                    <a:xfrm>
                      <a:off x="0" y="0"/>
                      <a:ext cx="3733800" cy="895350"/>
                    </a:xfrm>
                    <a:prstGeom prst="rect">
                      <a:avLst/>
                    </a:prstGeom>
                  </pic:spPr>
                </pic:pic>
              </a:graphicData>
            </a:graphic>
          </wp:inline>
        </w:drawing>
      </w:r>
    </w:p>
    <w:p>
      <w:pPr>
        <w:spacing w:before="0" w:after="160"/>
        <w:jc w:val="center"/>
      </w:pPr>
      <w:r>
        <w:t>Figure: Premier Inn (Lai et al., 2020).</w:t>
      </w:r>
    </w:p>
    <w:p>
      <w:pPr>
        <w:shd w:val="clear" w:color="auto" w:fill="FFFFFF"/>
        <w:spacing w:before="90" w:after="90"/>
        <w:rPr>
          <w:sz w:val="20"/>
          <w:szCs w:val="20"/>
        </w:rPr>
      </w:pPr>
      <w:r>
        <w:rPr>
          <w:b/>
          <w:bCs/>
          <w:color w:val="222222"/>
          <w:sz w:val="20"/>
          <w:szCs w:val="20"/>
        </w:rPr>
        <w:t> </w:t>
      </w:r>
    </w:p>
    <w:p>
      <w:pPr>
        <w:shd w:val="clear" w:color="auto" w:fill="FFFFFF"/>
        <w:spacing w:before="90" w:after="90"/>
        <w:rPr>
          <w:sz w:val="20"/>
          <w:szCs w:val="20"/>
        </w:rPr>
      </w:pPr>
      <w:r>
        <w:rPr>
          <w:b/>
          <w:bCs/>
          <w:color w:val="222222"/>
          <w:sz w:val="20"/>
          <w:szCs w:val="20"/>
        </w:rPr>
        <w:t> </w:t>
      </w:r>
    </w:p>
    <w:p>
      <w:pPr>
        <w:spacing w:before="0" w:after="160" w:line="259" w:lineRule="auto"/>
        <w:jc w:val="left"/>
        <w:rPr>
          <w:sz w:val="20"/>
          <w:szCs w:val="20"/>
        </w:rPr>
      </w:pPr>
      <w:r>
        <w:rPr>
          <w:sz w:val="20"/>
          <w:szCs w:val="20"/>
        </w:rPr>
        <w:br w:type="page"/>
      </w:r>
    </w:p>
    <w:p>
      <w:pPr>
        <w:pStyle w:val="Heading1"/>
        <w:spacing w:before="480" w:line="360" w:lineRule="auto"/>
        <w:jc w:val="center"/>
        <w:rPr>
          <w:b/>
          <w:bCs/>
          <w:sz w:val="32"/>
          <w:szCs w:val="32"/>
        </w:rPr>
      </w:pPr>
      <w:bookmarkStart w:id="1" w:name="_Toc121004855"/>
      <w:r>
        <w:rPr>
          <w:rFonts w:ascii="Times New Roman" w:eastAsia="Times New Roman" w:hAnsi="Times New Roman" w:cs="Times New Roman"/>
          <w:b w:val="0"/>
          <w:bCs w:val="0"/>
          <w:i w:val="0"/>
          <w:color w:val="auto"/>
          <w:sz w:val="32"/>
          <w:szCs w:val="32"/>
        </w:rPr>
        <w:t>Situation Analysis- 5 C's</w:t>
      </w:r>
      <w:bookmarkEnd w:id="1"/>
    </w:p>
    <w:p>
      <w:pPr>
        <w:pStyle w:val="Heading2"/>
        <w:spacing w:before="200" w:line="360" w:lineRule="auto"/>
        <w:rPr>
          <w:b/>
          <w:bCs/>
          <w:sz w:val="28"/>
          <w:szCs w:val="28"/>
        </w:rPr>
      </w:pPr>
      <w:bookmarkStart w:id="2" w:name="_Toc121004856"/>
      <w:r>
        <w:rPr>
          <w:rFonts w:ascii="Times New Roman" w:eastAsia="Times New Roman" w:hAnsi="Times New Roman" w:cs="Times New Roman"/>
          <w:i w:val="0"/>
          <w:color w:val="auto"/>
          <w:sz w:val="28"/>
          <w:szCs w:val="28"/>
        </w:rPr>
        <w:t>-Company:</w:t>
      </w:r>
      <w:r>
        <w:rPr>
          <w:rFonts w:ascii="Times New Roman" w:eastAsia="Times New Roman" w:hAnsi="Times New Roman" w:cs="Times New Roman"/>
          <w:b w:val="0"/>
          <w:bCs w:val="0"/>
          <w:i w:val="0"/>
          <w:color w:val="auto"/>
          <w:sz w:val="28"/>
          <w:szCs w:val="28"/>
        </w:rPr>
        <w:t xml:space="preserve"> SWOT analysis (Micro analysis)</w:t>
      </w:r>
      <w:bookmarkEnd w:id="2"/>
      <w:r>
        <w:rPr>
          <w:rFonts w:ascii="Times New Roman" w:eastAsia="Times New Roman" w:hAnsi="Times New Roman" w:cs="Times New Roman"/>
          <w:b w:val="0"/>
          <w:bCs w:val="0"/>
          <w:i w:val="0"/>
          <w:color w:val="auto"/>
          <w:sz w:val="28"/>
          <w:szCs w:val="28"/>
        </w:rPr>
        <w:t> </w:t>
      </w:r>
      <w:r>
        <w:rPr>
          <w:rFonts w:ascii="Times New Roman" w:eastAsia="Times New Roman" w:hAnsi="Times New Roman" w:cs="Times New Roman"/>
          <w:b w:val="0"/>
          <w:bCs w:val="0"/>
          <w:i w:val="0"/>
          <w:color w:val="auto"/>
          <w:sz w:val="28"/>
          <w:szCs w:val="28"/>
        </w:rPr>
        <w:t xml:space="preserve"> </w:t>
      </w:r>
    </w:p>
    <w:tbl>
      <w:tblPr>
        <w:tblpPr w:leftFromText="180" w:rightFromText="180" w:topFromText="0" w:bottomFromText="0" w:vertAnchor="text" w:tblpY="1"/>
        <w:tblOverlap w:val="nev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15" w:type="dxa"/>
          <w:left w:w="15" w:type="dxa"/>
          <w:bottom w:w="15" w:type="dxa"/>
          <w:right w:w="15" w:type="dxa"/>
        </w:tblCellMar>
      </w:tblPr>
      <w:tblGrid>
        <w:gridCol w:w="2325"/>
        <w:gridCol w:w="7015"/>
      </w:tblGrid>
      <w:tr>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15" w:type="dxa"/>
            <w:left w:w="15" w:type="dxa"/>
            <w:bottom w:w="15" w:type="dxa"/>
            <w:right w:w="15" w:type="dxa"/>
          </w:tblCellMar>
        </w:tblPrEx>
        <w:tc>
          <w:tcPr>
            <w:tcW w:w="9016" w:type="dxa"/>
            <w:gridSpan w:val="2"/>
            <w:tcBorders>
              <w:bottom w:val="single" w:sz="4" w:space="0" w:color="000000"/>
            </w:tcBorders>
            <w:tcMar>
              <w:top w:w="15" w:type="dxa"/>
              <w:left w:w="108" w:type="dxa"/>
              <w:bottom w:w="15" w:type="dxa"/>
              <w:right w:w="108" w:type="dxa"/>
            </w:tcMar>
            <w:vAlign w:val="top"/>
            <w:hideMark/>
          </w:tcPr>
          <w:p>
            <w:pPr>
              <w:spacing w:before="0" w:after="0"/>
              <w:jc w:val="center"/>
            </w:pPr>
            <w:r>
              <w:rPr>
                <w:b/>
                <w:bCs/>
              </w:rPr>
              <w:t>SWOT analysis of “Premier Inn”</w:t>
            </w:r>
          </w:p>
        </w:tc>
      </w:tr>
      <w:tr>
        <w:tblPrEx>
          <w:tblCellMar>
            <w:top w:w="15" w:type="dxa"/>
            <w:left w:w="15" w:type="dxa"/>
            <w:bottom w:w="15" w:type="dxa"/>
            <w:right w:w="15" w:type="dxa"/>
          </w:tblCellMar>
        </w:tblPrEx>
        <w:trPr>
          <w:trHeight w:val="932"/>
        </w:trPr>
        <w:tc>
          <w:tcPr>
            <w:tcW w:w="2122" w:type="dxa"/>
            <w:tcBorders>
              <w:top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0"/>
            </w:pPr>
            <w:r>
              <w:t> </w:t>
            </w:r>
          </w:p>
          <w:p>
            <w:pPr>
              <w:spacing w:before="0" w:after="0"/>
            </w:pPr>
            <w:r>
              <w:t>Strengths</w:t>
            </w:r>
          </w:p>
          <w:p>
            <w:pPr>
              <w:spacing w:before="0" w:after="0"/>
            </w:pPr>
            <w:r>
              <w:t> </w:t>
            </w:r>
          </w:p>
        </w:tc>
        <w:tc>
          <w:tcPr>
            <w:tcW w:w="6894" w:type="dxa"/>
            <w:tcBorders>
              <w:top w:val="single" w:sz="4" w:space="0" w:color="000000"/>
              <w:left w:val="single" w:sz="4" w:space="0" w:color="000000"/>
              <w:bottom w:val="single" w:sz="4" w:space="0" w:color="000000"/>
            </w:tcBorders>
            <w:tcMar>
              <w:top w:w="15" w:type="dxa"/>
              <w:left w:w="108" w:type="dxa"/>
              <w:bottom w:w="15" w:type="dxa"/>
              <w:right w:w="108" w:type="dxa"/>
            </w:tcMar>
            <w:vAlign w:val="top"/>
            <w:hideMark/>
          </w:tcPr>
          <w:p>
            <w:pPr>
              <w:spacing w:before="0" w:after="0"/>
            </w:pPr>
            <w:r>
              <w:t>“Premier Inn” has the resources and capacity to host both domestic and international tourists. Customers are drawn to their tour offerings because they save them the trouble of organising other parties to accompany them when they go to various tourist destinations (Bala &amp; Verma, 2018).</w:t>
            </w:r>
          </w:p>
        </w:tc>
      </w:tr>
      <w:tr>
        <w:tblPrEx>
          <w:tblCellMar>
            <w:top w:w="15" w:type="dxa"/>
            <w:left w:w="15" w:type="dxa"/>
            <w:bottom w:w="15" w:type="dxa"/>
            <w:right w:w="15" w:type="dxa"/>
          </w:tblCellMar>
        </w:tblPrEx>
        <w:trPr>
          <w:trHeight w:val="988"/>
        </w:trPr>
        <w:tc>
          <w:tcPr>
            <w:tcW w:w="2122" w:type="dxa"/>
            <w:tcBorders>
              <w:top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0"/>
            </w:pPr>
            <w:r>
              <w:t> </w:t>
            </w:r>
          </w:p>
          <w:p>
            <w:pPr>
              <w:spacing w:before="0" w:after="0"/>
            </w:pPr>
            <w:r>
              <w:t>Weakness</w:t>
            </w:r>
          </w:p>
        </w:tc>
        <w:tc>
          <w:tcPr>
            <w:tcW w:w="6894" w:type="dxa"/>
            <w:tcBorders>
              <w:top w:val="single" w:sz="4" w:space="0" w:color="000000"/>
              <w:left w:val="single" w:sz="4" w:space="0" w:color="000000"/>
              <w:bottom w:val="single" w:sz="4" w:space="0" w:color="000000"/>
            </w:tcBorders>
            <w:tcMar>
              <w:top w:w="15" w:type="dxa"/>
              <w:left w:w="108" w:type="dxa"/>
              <w:bottom w:w="15" w:type="dxa"/>
              <w:right w:w="108" w:type="dxa"/>
            </w:tcMar>
            <w:vAlign w:val="top"/>
            <w:hideMark/>
          </w:tcPr>
          <w:p>
            <w:pPr>
              <w:spacing w:before="0" w:after="0"/>
            </w:pPr>
            <w:r>
              <w:t>The hotel struggles to get market attention and generate buzz. To get access to a significant market share, “Premier Inn” must concentrate on growing its digital marketing area. They lose a significant portion of the market since they are not promoted (Kumar &amp; Reinartz, 2018).</w:t>
            </w:r>
          </w:p>
        </w:tc>
      </w:tr>
      <w:tr>
        <w:tblPrEx>
          <w:tblCellMar>
            <w:top w:w="15" w:type="dxa"/>
            <w:left w:w="15" w:type="dxa"/>
            <w:bottom w:w="15" w:type="dxa"/>
            <w:right w:w="15" w:type="dxa"/>
          </w:tblCellMar>
        </w:tblPrEx>
        <w:trPr>
          <w:trHeight w:val="1257"/>
        </w:trPr>
        <w:tc>
          <w:tcPr>
            <w:tcW w:w="2122" w:type="dxa"/>
            <w:tcBorders>
              <w:top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0"/>
            </w:pPr>
            <w:r>
              <w:t> </w:t>
            </w:r>
          </w:p>
          <w:p>
            <w:pPr>
              <w:spacing w:before="0" w:after="0"/>
            </w:pPr>
            <w:r>
              <w:t>Opportunities</w:t>
            </w:r>
          </w:p>
        </w:tc>
        <w:tc>
          <w:tcPr>
            <w:tcW w:w="6894" w:type="dxa"/>
            <w:tcBorders>
              <w:top w:val="single" w:sz="4" w:space="0" w:color="000000"/>
              <w:left w:val="single" w:sz="4" w:space="0" w:color="000000"/>
              <w:bottom w:val="single" w:sz="4" w:space="0" w:color="000000"/>
            </w:tcBorders>
            <w:tcMar>
              <w:top w:w="15" w:type="dxa"/>
              <w:left w:w="108" w:type="dxa"/>
              <w:bottom w:w="15" w:type="dxa"/>
              <w:right w:w="108" w:type="dxa"/>
            </w:tcMar>
            <w:vAlign w:val="top"/>
            <w:hideMark/>
          </w:tcPr>
          <w:p>
            <w:pPr>
              <w:spacing w:before="0" w:after="0"/>
            </w:pPr>
            <w:r>
              <w:t>By strengthening its connections with its clients, “Premier Inn” has the opportunity to develop and move up the ladder. A closer relationship with the client may result in return business for the hotel (Lai et al., 2020).</w:t>
            </w:r>
          </w:p>
        </w:tc>
      </w:tr>
      <w:tr>
        <w:tblPrEx>
          <w:tblCellMar>
            <w:top w:w="15" w:type="dxa"/>
            <w:left w:w="15" w:type="dxa"/>
            <w:bottom w:w="15" w:type="dxa"/>
            <w:right w:w="15" w:type="dxa"/>
          </w:tblCellMar>
        </w:tblPrEx>
        <w:trPr>
          <w:trHeight w:val="1545"/>
        </w:trPr>
        <w:tc>
          <w:tcPr>
            <w:tcW w:w="2122" w:type="dxa"/>
            <w:tcBorders>
              <w:top w:val="single" w:sz="4" w:space="0" w:color="000000"/>
              <w:right w:val="single" w:sz="4" w:space="0" w:color="000000"/>
            </w:tcBorders>
            <w:tcMar>
              <w:top w:w="15" w:type="dxa"/>
              <w:left w:w="108" w:type="dxa"/>
              <w:bottom w:w="15" w:type="dxa"/>
              <w:right w:w="108" w:type="dxa"/>
            </w:tcMar>
            <w:vAlign w:val="top"/>
            <w:hideMark/>
          </w:tcPr>
          <w:p>
            <w:pPr>
              <w:spacing w:before="0" w:after="0"/>
            </w:pPr>
            <w:r>
              <w:t> </w:t>
            </w:r>
          </w:p>
          <w:p>
            <w:pPr>
              <w:spacing w:before="0" w:after="0"/>
            </w:pPr>
            <w:r>
              <w:t>Threats</w:t>
            </w:r>
          </w:p>
        </w:tc>
        <w:tc>
          <w:tcPr>
            <w:tcW w:w="6894" w:type="dxa"/>
            <w:tcBorders>
              <w:top w:val="single" w:sz="4" w:space="0" w:color="000000"/>
              <w:left w:val="single" w:sz="4" w:space="0" w:color="000000"/>
            </w:tcBorders>
            <w:tcMar>
              <w:top w:w="15" w:type="dxa"/>
              <w:left w:w="108" w:type="dxa"/>
              <w:bottom w:w="15" w:type="dxa"/>
              <w:right w:w="108" w:type="dxa"/>
            </w:tcMar>
            <w:vAlign w:val="top"/>
            <w:hideMark/>
          </w:tcPr>
          <w:p>
            <w:pPr>
              <w:spacing w:before="0" w:after="0"/>
            </w:pPr>
            <w:r>
              <w:t>If a different Covid-19 epidemic variant is discovered, there is still a risk for another shutdown. Additionally, other hotels in Scotland may adopt more effective digital marketing strategies before “Premier Inn” in order to take a larger market share (Lai et al., 2020).</w:t>
            </w:r>
          </w:p>
        </w:tc>
      </w:tr>
    </w:tbl>
    <w:p>
      <w:pPr>
        <w:spacing w:before="0" w:after="160"/>
      </w:pPr>
      <w:r>
        <w:t> </w:t>
      </w:r>
    </w:p>
    <w:p>
      <w:pPr>
        <w:spacing w:before="0" w:after="160"/>
      </w:pPr>
      <w:r>
        <w:t> </w:t>
      </w:r>
    </w:p>
    <w:p>
      <w:pPr>
        <w:spacing w:before="0" w:after="160"/>
      </w:pPr>
      <w:r>
        <w:t> </w:t>
      </w:r>
    </w:p>
    <w:p>
      <w:pPr>
        <w:spacing w:before="0" w:after="160"/>
      </w:pPr>
      <w:r>
        <w:t> </w:t>
      </w:r>
    </w:p>
    <w:p>
      <w:pPr>
        <w:spacing w:before="0" w:after="160"/>
      </w:pPr>
      <w:r>
        <w:t> </w:t>
      </w:r>
    </w:p>
    <w:p>
      <w:pPr>
        <w:spacing w:before="0" w:after="160"/>
      </w:pPr>
      <w:r>
        <w:t> </w:t>
      </w:r>
    </w:p>
    <w:p>
      <w:pPr>
        <w:spacing w:before="0" w:after="160"/>
      </w:pPr>
      <w:r>
        <w:t> </w:t>
      </w:r>
    </w:p>
    <w:p>
      <w:pPr>
        <w:spacing w:before="0" w:after="160"/>
      </w:pPr>
      <w:r>
        <w:t> </w:t>
      </w:r>
    </w:p>
    <w:p>
      <w:pPr>
        <w:pStyle w:val="Heading2"/>
        <w:spacing w:before="200" w:line="360" w:lineRule="auto"/>
        <w:rPr>
          <w:b/>
          <w:bCs/>
          <w:sz w:val="28"/>
          <w:szCs w:val="28"/>
        </w:rPr>
      </w:pPr>
      <w:bookmarkStart w:id="3" w:name="_Toc121004857"/>
      <w:r>
        <w:rPr>
          <w:rFonts w:ascii="Times New Roman" w:eastAsia="Times New Roman" w:hAnsi="Times New Roman" w:cs="Times New Roman"/>
          <w:i w:val="0"/>
          <w:color w:val="auto"/>
          <w:sz w:val="28"/>
          <w:szCs w:val="28"/>
        </w:rPr>
        <w:t>-Customers:</w:t>
      </w:r>
      <w:r>
        <w:rPr>
          <w:rFonts w:ascii="Times New Roman" w:eastAsia="Times New Roman" w:hAnsi="Times New Roman" w:cs="Times New Roman"/>
          <w:b w:val="0"/>
          <w:bCs w:val="0"/>
          <w:i w:val="0"/>
          <w:color w:val="auto"/>
          <w:sz w:val="28"/>
          <w:szCs w:val="28"/>
        </w:rPr>
        <w:t xml:space="preserve"> Segmentation and Targeting/ Customer profile's'</w:t>
      </w:r>
      <w:bookmarkEnd w:id="3"/>
    </w:p>
    <w:p>
      <w:pPr>
        <w:spacing w:before="0" w:after="160"/>
      </w:pPr>
      <w:r>
        <w:rPr>
          <w:b/>
          <w:bCs/>
        </w:rPr>
        <w:t>Segment Customers</w:t>
      </w:r>
    </w:p>
    <w:p>
      <w:pPr>
        <w:spacing w:before="0" w:after="160"/>
      </w:pPr>
      <w:r>
        <w:t>The marketing microenvironment of the “Premier Inn” will be shown via this investigation. To provide the greatest service, they use internet marketing in addition to hotel amenities like smart rooms, robotic cleaners, and apps. This will assist the organisation in identifying its strengths and shortcomings. The advertising manager's obligations may also span the complete spectrum of how a company communicates, and they are able to manual and have an impact on how a brand seems and feels in the market. Analyse from industry professionals what it takes to thrive as an advertising manager and strengthen career on this speedy-paced sector. (Lai et al., 2020)</w:t>
      </w:r>
    </w:p>
    <w:p>
      <w:pPr>
        <w:spacing w:before="0" w:after="160"/>
      </w:pPr>
      <w:r>
        <w:t> </w:t>
      </w:r>
    </w:p>
    <w:p>
      <w:pPr>
        <w:pStyle w:val="Heading2"/>
        <w:spacing w:before="200" w:line="360" w:lineRule="auto"/>
        <w:rPr>
          <w:b/>
          <w:bCs/>
          <w:sz w:val="28"/>
          <w:szCs w:val="28"/>
        </w:rPr>
      </w:pPr>
      <w:bookmarkStart w:id="4" w:name="_Toc121004858"/>
      <w:r>
        <w:rPr>
          <w:rFonts w:ascii="Times New Roman" w:eastAsia="Times New Roman" w:hAnsi="Times New Roman" w:cs="Times New Roman"/>
          <w:i w:val="0"/>
          <w:color w:val="auto"/>
          <w:sz w:val="28"/>
          <w:szCs w:val="28"/>
        </w:rPr>
        <w:t>-Competitors:</w:t>
      </w:r>
      <w:r>
        <w:rPr>
          <w:rFonts w:ascii="Times New Roman" w:eastAsia="Times New Roman" w:hAnsi="Times New Roman" w:cs="Times New Roman"/>
          <w:b w:val="0"/>
          <w:bCs w:val="0"/>
          <w:i w:val="0"/>
          <w:color w:val="auto"/>
          <w:sz w:val="28"/>
          <w:szCs w:val="28"/>
        </w:rPr>
        <w:t xml:space="preserve"> Porters five forces,</w:t>
      </w:r>
      <w:r>
        <w:rPr>
          <w:rFonts w:ascii="Times New Roman" w:eastAsia="Times New Roman" w:hAnsi="Times New Roman" w:cs="Times New Roman"/>
          <w:b w:val="0"/>
          <w:bCs w:val="0"/>
          <w:i w:val="0"/>
          <w:color w:val="auto"/>
          <w:sz w:val="28"/>
          <w:szCs w:val="28"/>
          <w:u w:val="single"/>
        </w:rPr>
        <w:t xml:space="preserve"> </w:t>
      </w:r>
      <w:r>
        <w:rPr>
          <w:rFonts w:ascii="Times New Roman" w:eastAsia="Times New Roman" w:hAnsi="Times New Roman" w:cs="Times New Roman"/>
          <w:b w:val="0"/>
          <w:bCs w:val="0"/>
          <w:i w:val="0"/>
          <w:color w:val="auto"/>
          <w:sz w:val="28"/>
          <w:szCs w:val="28"/>
        </w:rPr>
        <w:t>Perceptual positioning maps</w:t>
      </w:r>
      <w:bookmarkEnd w:id="4"/>
    </w:p>
    <w:p>
      <w:pPr>
        <w:spacing w:before="0" w:after="160"/>
      </w:pPr>
      <w:r>
        <w:rPr>
          <w:b/>
          <w:bCs/>
        </w:rPr>
        <w:t>Porter’s five forces</w:t>
      </w:r>
    </w:p>
    <w:p>
      <w:pPr>
        <w:spacing w:before="0" w:after="160"/>
      </w:pPr>
      <w:bookmarkStart w:id="5" w:name="_Toc121004859"/>
      <w:r>
        <w:t xml:space="preserve">Porter's Five Forces Framework is a method of analysing the operating environment of a competition of a business. For the first two days, they may provide two meals for returning clients. In order to attract event organisers, they may also provide discounts when renting out their halls and auditoriums. Marketing managers are often employed to develop advertising and marketing initiatives that could growth logo reputation and bring in extra clients for the commercial enterprise. They will additionally bear in mind the styles of customers a business wants, a way to draw them in, and a way to enhance the first-class of carrier supplied to modern-day customers. They'll additionally make certain that any cash spent on advertising projects generates a decent return for the commercial enterprise. (Fairlie, 2020) </w:t>
      </w:r>
    </w:p>
    <w:p>
      <w:pPr>
        <w:spacing w:before="0" w:after="160"/>
        <w:jc w:val="center"/>
      </w:pPr>
      <w:r>
        <w:rPr>
          <w:strike w:val="0"/>
          <w:u w:val="none"/>
        </w:rPr>
        <w:drawing>
          <wp:inline>
            <wp:extent cx="2419350" cy="2066925"/>
            <wp:docPr id="100003" name="" descr="C:\Users\FB PC\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3" name=""/>
                    <pic:cNvPicPr>
                      <a:picLocks noChangeAspect="1"/>
                    </pic:cNvPicPr>
                  </pic:nvPicPr>
                  <pic:blipFill>
                    <a:blip xmlns:r="http://schemas.openxmlformats.org/officeDocument/2006/relationships" r:embed="rId5"/>
                    <a:stretch>
                      <a:fillRect/>
                    </a:stretch>
                  </pic:blipFill>
                  <pic:spPr>
                    <a:xfrm>
                      <a:off x="0" y="0"/>
                      <a:ext cx="2419350" cy="2066925"/>
                    </a:xfrm>
                    <a:prstGeom prst="rect">
                      <a:avLst/>
                    </a:prstGeom>
                  </pic:spPr>
                </pic:pic>
              </a:graphicData>
            </a:graphic>
          </wp:inline>
        </w:drawing>
      </w:r>
    </w:p>
    <w:p>
      <w:pPr>
        <w:spacing w:before="0" w:after="160"/>
        <w:jc w:val="center"/>
      </w:pPr>
      <w:r>
        <w:t>Figure: Porter’s five forces (Fairlie, 2020)</w:t>
      </w:r>
    </w:p>
    <w:p>
      <w:pPr>
        <w:pStyle w:val="Heading2"/>
        <w:spacing w:before="200" w:line="360" w:lineRule="auto"/>
        <w:rPr>
          <w:b/>
          <w:bCs/>
          <w:sz w:val="28"/>
          <w:szCs w:val="28"/>
        </w:rPr>
      </w:pPr>
      <w:r>
        <w:rPr>
          <w:rFonts w:ascii="Times New Roman" w:eastAsia="Times New Roman" w:hAnsi="Times New Roman" w:cs="Times New Roman"/>
          <w:i w:val="0"/>
          <w:color w:val="auto"/>
          <w:sz w:val="28"/>
          <w:szCs w:val="28"/>
        </w:rPr>
        <w:t>-Collaborators:</w:t>
      </w:r>
      <w:r>
        <w:rPr>
          <w:rFonts w:ascii="Times New Roman" w:eastAsia="Times New Roman" w:hAnsi="Times New Roman" w:cs="Times New Roman"/>
          <w:b w:val="0"/>
          <w:bCs w:val="0"/>
          <w:i w:val="0"/>
          <w:color w:val="auto"/>
          <w:sz w:val="28"/>
          <w:szCs w:val="28"/>
        </w:rPr>
        <w:t xml:space="preserve"> B2B Relationships, Partnerships, Franchises</w:t>
      </w:r>
      <w:bookmarkEnd w:id="5"/>
    </w:p>
    <w:p>
      <w:pPr>
        <w:spacing w:before="0" w:after="160"/>
      </w:pPr>
      <w:bookmarkStart w:id="6" w:name="_Toc121004860"/>
      <w:r>
        <w:t xml:space="preserve">The advantages of operating in advertising aren't simply economic. Due to the fact that they frequently have sturdy thoughts and are adept with generation, advertising managers have loads of creative flexibility of their activity. For marketing managers, professional development is frequently on the table, with the potential to concentrate on a sure field of marketing as you enhance to your career, together with social media or information analytics. (Bougie, 2019) </w:t>
      </w:r>
    </w:p>
    <w:p>
      <w:pPr>
        <w:spacing w:before="0" w:after="160"/>
      </w:pPr>
      <w:r>
        <w:t xml:space="preserve">For example, an advertising and marketing supervisor working for a primary international e-trade internet site could take delivery of a ways extra responsibility for content material management and data analytics than a advertising and marketing manager operating for a small manufacturing or engineering enterprise. But, jobs will continually have positive characteristics. (Fairlie, 2020) </w:t>
      </w:r>
    </w:p>
    <w:p>
      <w:pPr>
        <w:spacing w:before="0" w:after="160"/>
        <w:jc w:val="center"/>
      </w:pPr>
      <w:r>
        <w:rPr>
          <w:strike w:val="0"/>
          <w:u w:val="none"/>
        </w:rPr>
        <w:drawing>
          <wp:inline>
            <wp:extent cx="5505450" cy="3543300"/>
            <wp:docPr id="100005"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5" name=""/>
                    <pic:cNvPicPr>
                      <a:picLocks noChangeAspect="1"/>
                    </pic:cNvPicPr>
                  </pic:nvPicPr>
                  <pic:blipFill>
                    <a:blip xmlns:r="http://schemas.openxmlformats.org/officeDocument/2006/relationships" r:embed="rId6"/>
                    <a:stretch>
                      <a:fillRect/>
                    </a:stretch>
                  </pic:blipFill>
                  <pic:spPr>
                    <a:xfrm>
                      <a:off x="0" y="0"/>
                      <a:ext cx="5505450" cy="3543300"/>
                    </a:xfrm>
                    <a:prstGeom prst="rect">
                      <a:avLst/>
                    </a:prstGeom>
                  </pic:spPr>
                </pic:pic>
              </a:graphicData>
            </a:graphic>
          </wp:inline>
        </w:drawing>
      </w:r>
    </w:p>
    <w:p>
      <w:pPr>
        <w:spacing w:before="0" w:after="160"/>
        <w:jc w:val="center"/>
      </w:pPr>
      <w:r>
        <w:t xml:space="preserve">Figure: B2B Relationships (Fairlie, 2020) </w:t>
      </w:r>
      <w:r>
        <w:br w:type="page"/>
      </w:r>
    </w:p>
    <w:p>
      <w:pPr>
        <w:pStyle w:val="Heading2"/>
        <w:spacing w:before="200" w:line="360" w:lineRule="auto"/>
        <w:rPr>
          <w:b/>
          <w:bCs/>
          <w:sz w:val="28"/>
          <w:szCs w:val="28"/>
        </w:rPr>
      </w:pPr>
      <w:r>
        <w:rPr>
          <w:rFonts w:ascii="Times New Roman" w:eastAsia="Times New Roman" w:hAnsi="Times New Roman" w:cs="Times New Roman"/>
          <w:i w:val="0"/>
          <w:color w:val="auto"/>
          <w:sz w:val="28"/>
          <w:szCs w:val="28"/>
        </w:rPr>
        <w:t>-Climate:</w:t>
      </w:r>
      <w:r>
        <w:rPr>
          <w:rFonts w:ascii="Times New Roman" w:eastAsia="Times New Roman" w:hAnsi="Times New Roman" w:cs="Times New Roman"/>
          <w:b w:val="0"/>
          <w:bCs w:val="0"/>
          <w:i w:val="0"/>
          <w:color w:val="auto"/>
          <w:sz w:val="28"/>
          <w:szCs w:val="28"/>
        </w:rPr>
        <w:t xml:space="preserve"> PESTLE (Macro analysis)</w:t>
      </w:r>
      <w:bookmarkEnd w:id="6"/>
      <w:r>
        <w:rPr>
          <w:rFonts w:ascii="Times New Roman" w:eastAsia="Times New Roman" w:hAnsi="Times New Roman" w:cs="Times New Roman"/>
          <w:b w:val="0"/>
          <w:bCs w:val="0"/>
          <w:i w:val="0"/>
          <w:color w:val="auto"/>
          <w:sz w:val="28"/>
          <w:szCs w:val="28"/>
        </w:rPr>
        <w:t xml:space="preserve"> </w:t>
      </w:r>
    </w:p>
    <w:p>
      <w:pPr>
        <w:spacing w:before="0" w:after="160"/>
        <w:jc w:val="center"/>
      </w:pPr>
      <w:r>
        <w:rPr>
          <w:b/>
          <w:bCs/>
        </w:rPr>
        <w:t>PESTLE analysis</w:t>
      </w:r>
    </w:p>
    <w:p>
      <w:pPr>
        <w:spacing w:before="0" w:after="160"/>
      </w:pPr>
      <w:r>
        <w:t>This study will show the macro-environment of “Premier Inn”' marketing (Lai et al., 2020).</w:t>
      </w:r>
    </w:p>
    <w:p>
      <w:pPr>
        <w:spacing w:before="0" w:after="160"/>
      </w:pPr>
      <w:r>
        <w:rPr>
          <w:b/>
          <w:bCs/>
        </w:rPr>
        <w:t>Political</w:t>
      </w:r>
    </w:p>
    <w:p>
      <w:pPr>
        <w:spacing w:before="0" w:after="160"/>
      </w:pPr>
      <w:r>
        <w:t>The UK has made sure that the organisations experiencing losses are included in the packages that the governments are implementing. “Premier Inn” is a component of the tourism and hotel industry, which is a key area where the government concentrated on the epidemic (Lai et al., 2020).</w:t>
      </w:r>
    </w:p>
    <w:p>
      <w:pPr>
        <w:spacing w:before="0" w:after="160"/>
      </w:pPr>
      <w:r>
        <w:rPr>
          <w:b/>
          <w:bCs/>
        </w:rPr>
        <w:t>Economy</w:t>
      </w:r>
    </w:p>
    <w:p>
      <w:pPr>
        <w:spacing w:before="0" w:after="160"/>
      </w:pPr>
      <w:r>
        <w:t>There are lodging alternatives like Airbnb that might lead to confrontation with the hotel business. The COVID-19 epidemic has also decreased people's spending power, which has an effect on luxury hotels like “Premier Inn” (Amiri et al., 2018).</w:t>
      </w:r>
    </w:p>
    <w:p>
      <w:pPr>
        <w:spacing w:before="0" w:after="160"/>
      </w:pPr>
      <w:r>
        <w:rPr>
          <w:b/>
          <w:bCs/>
        </w:rPr>
        <w:t>Social</w:t>
      </w:r>
    </w:p>
    <w:p>
      <w:pPr>
        <w:spacing w:before="0" w:after="160"/>
      </w:pPr>
      <w:r>
        <w:t>Today, individuals do their homework online and shop around for the greatest prices before leaving on a vacation. Nowadays, people would rather spend less money on short vacations and appreciate the surroundings. (Fairlie, 2020)</w:t>
      </w:r>
    </w:p>
    <w:p>
      <w:pPr>
        <w:spacing w:before="0" w:after="160"/>
      </w:pPr>
      <w:r>
        <w:rPr>
          <w:b/>
          <w:bCs/>
        </w:rPr>
        <w:t>Technological</w:t>
      </w:r>
    </w:p>
    <w:p>
      <w:pPr>
        <w:spacing w:before="0" w:after="160"/>
      </w:pPr>
      <w:r>
        <w:t>In order to compete in the market, hotels and restaurants are implementing improved technologies. To provide the greatest service, they use internet marketing in addition to hotel amenities like smart rooms, robotic cleaners, and apps (Ricci et al., 2021).</w:t>
      </w:r>
    </w:p>
    <w:p>
      <w:pPr>
        <w:spacing w:before="0" w:after="160"/>
      </w:pPr>
      <w:r>
        <w:rPr>
          <w:b/>
          <w:bCs/>
        </w:rPr>
        <w:t>Legal</w:t>
      </w:r>
    </w:p>
    <w:p>
      <w:pPr>
        <w:spacing w:before="0" w:after="160"/>
      </w:pPr>
      <w:r>
        <w:t>The government's anticompetitive regulations and service legislation must be adhered to by “Premier Inn”. They are prohibited from engaging in any criminal activity that compromises national security and are required to protect the privacy of their clients (Kumar &amp; Reinartz, 2018).</w:t>
      </w:r>
    </w:p>
    <w:p>
      <w:pPr>
        <w:spacing w:before="0" w:after="160"/>
      </w:pPr>
      <w:r>
        <w:rPr>
          <w:b/>
          <w:bCs/>
        </w:rPr>
        <w:t>Environmental-</w:t>
      </w:r>
      <w:r>
        <w:t>“Premier Inn” must take environmental precautions to guarantee that they are not endangering the environment. They're attempting to lessen plastic garbage generation and enhance waste management (Kumar &amp; Reinartz, 2018).</w:t>
      </w:r>
    </w:p>
    <w:p>
      <w:pPr>
        <w:pStyle w:val="Heading1"/>
        <w:spacing w:before="480" w:line="360" w:lineRule="auto"/>
        <w:jc w:val="center"/>
        <w:rPr>
          <w:b/>
          <w:bCs/>
          <w:sz w:val="32"/>
          <w:szCs w:val="32"/>
        </w:rPr>
      </w:pPr>
      <w:bookmarkStart w:id="7" w:name="_Toc121004861"/>
      <w:r>
        <w:rPr>
          <w:rFonts w:ascii="Times New Roman" w:eastAsia="Times New Roman" w:hAnsi="Times New Roman" w:cs="Times New Roman"/>
          <w:b w:val="0"/>
          <w:bCs w:val="0"/>
          <w:i w:val="0"/>
          <w:color w:val="auto"/>
          <w:sz w:val="32"/>
          <w:szCs w:val="32"/>
        </w:rPr>
        <w:t>Objectives</w:t>
      </w:r>
      <w:bookmarkEnd w:id="7"/>
    </w:p>
    <w:p>
      <w:pPr>
        <w:shd w:val="clear" w:color="auto" w:fill="FFFFFF"/>
        <w:spacing w:before="90" w:after="90"/>
        <w:rPr>
          <w:sz w:val="28"/>
          <w:szCs w:val="28"/>
        </w:rPr>
      </w:pPr>
      <w:bookmarkStart w:id="8" w:name="_Toc121004862"/>
      <w:r>
        <w:rPr>
          <w:sz w:val="28"/>
          <w:szCs w:val="28"/>
        </w:rPr>
        <w:t>-SMART target</w:t>
      </w:r>
      <w:bookmarkEnd w:id="8"/>
    </w:p>
    <w:p>
      <w:pPr>
        <w:spacing w:before="0" w:after="160"/>
      </w:pPr>
      <w:r>
        <w:rPr>
          <w:b/>
          <w:bCs/>
        </w:rPr>
        <w:t xml:space="preserve">Specific- </w:t>
      </w:r>
      <w:r>
        <w:t>Due to the COVID-19 epidemic, “Premier Inn” likewise experienced losses and now must deal with those losses. For that, “Premier Inn” may develop enticing specials for returning clients.</w:t>
      </w:r>
    </w:p>
    <w:p>
      <w:pPr>
        <w:spacing w:before="0" w:after="160"/>
      </w:pPr>
      <w:r>
        <w:rPr>
          <w:b/>
          <w:bCs/>
        </w:rPr>
        <w:t xml:space="preserve">Measurable- </w:t>
      </w:r>
      <w:r>
        <w:t>The development of the “Premier Inn”' marketing mix is crucial in order to build the brand's desired value in the marketplace (Amiri et al., 2018).</w:t>
      </w:r>
    </w:p>
    <w:p>
      <w:pPr>
        <w:spacing w:before="0" w:after="160"/>
      </w:pPr>
      <w:r>
        <w:rPr>
          <w:b/>
          <w:bCs/>
        </w:rPr>
        <w:t xml:space="preserve"> </w:t>
      </w:r>
      <w:r>
        <w:rPr>
          <w:b/>
          <w:bCs/>
        </w:rPr>
        <w:t>Achievable-</w:t>
      </w:r>
      <w:r>
        <w:t xml:space="preserve"> </w:t>
      </w:r>
    </w:p>
    <w:p>
      <w:pPr>
        <w:spacing w:before="0" w:after="160"/>
      </w:pPr>
      <w:r>
        <w:rPr>
          <w:b/>
          <w:bCs/>
        </w:rPr>
        <w:t>Relevant-</w:t>
      </w:r>
      <w:r>
        <w:t xml:space="preserve"> Providing value to clients is crucial for attracting new ones and retaining existing ones. </w:t>
      </w:r>
    </w:p>
    <w:p>
      <w:pPr>
        <w:spacing w:before="0" w:after="160"/>
      </w:pPr>
      <w:r>
        <w:rPr>
          <w:b/>
          <w:bCs/>
        </w:rPr>
        <w:t xml:space="preserve">Time-Bound- </w:t>
      </w:r>
      <w:r>
        <w:t>Within 6 months</w:t>
      </w:r>
    </w:p>
    <w:p>
      <w:pPr>
        <w:shd w:val="clear" w:color="auto" w:fill="FFFFFF"/>
        <w:spacing w:before="90" w:after="90"/>
        <w:rPr>
          <w:sz w:val="20"/>
          <w:szCs w:val="20"/>
        </w:rPr>
      </w:pPr>
      <w:r>
        <w:rPr>
          <w:color w:val="222222"/>
          <w:sz w:val="20"/>
          <w:szCs w:val="20"/>
        </w:rPr>
        <w:t> </w:t>
      </w:r>
    </w:p>
    <w:p>
      <w:pPr>
        <w:shd w:val="clear" w:color="auto" w:fill="FFFFFF"/>
        <w:spacing w:before="90" w:after="90"/>
        <w:rPr>
          <w:sz w:val="20"/>
          <w:szCs w:val="20"/>
        </w:rPr>
      </w:pPr>
      <w:r>
        <w:rPr>
          <w:color w:val="222222"/>
          <w:sz w:val="20"/>
          <w:szCs w:val="20"/>
        </w:rPr>
        <w:t> </w:t>
      </w:r>
    </w:p>
    <w:p>
      <w:pPr>
        <w:shd w:val="clear" w:color="auto" w:fill="FFFFFF"/>
        <w:spacing w:before="90" w:after="90"/>
        <w:rPr>
          <w:sz w:val="20"/>
          <w:szCs w:val="20"/>
        </w:rPr>
      </w:pPr>
      <w:r>
        <w:rPr>
          <w:color w:val="222222"/>
          <w:sz w:val="20"/>
          <w:szCs w:val="20"/>
        </w:rPr>
        <w:t> </w:t>
      </w:r>
    </w:p>
    <w:p>
      <w:pPr>
        <w:shd w:val="clear" w:color="auto" w:fill="FFFFFF"/>
        <w:spacing w:before="90" w:after="90"/>
        <w:rPr>
          <w:sz w:val="20"/>
          <w:szCs w:val="20"/>
        </w:rPr>
      </w:pPr>
      <w:r>
        <w:rPr>
          <w:color w:val="222222"/>
          <w:sz w:val="20"/>
          <w:szCs w:val="20"/>
        </w:rPr>
        <w:t> </w:t>
      </w:r>
    </w:p>
    <w:p>
      <w:pPr>
        <w:pStyle w:val="Heading1"/>
        <w:spacing w:before="480" w:line="360" w:lineRule="auto"/>
        <w:jc w:val="center"/>
        <w:rPr>
          <w:b/>
          <w:bCs/>
          <w:sz w:val="32"/>
          <w:szCs w:val="32"/>
        </w:rPr>
      </w:pPr>
      <w:r>
        <w:rPr>
          <w:rFonts w:ascii="Times New Roman" w:eastAsia="Times New Roman" w:hAnsi="Times New Roman" w:cs="Times New Roman"/>
          <w:b w:val="0"/>
          <w:bCs w:val="0"/>
          <w:i w:val="0"/>
          <w:color w:val="auto"/>
          <w:sz w:val="32"/>
          <w:szCs w:val="32"/>
        </w:rPr>
        <w:t> </w:t>
      </w:r>
    </w:p>
    <w:p>
      <w:pPr>
        <w:pStyle w:val="Heading1"/>
        <w:spacing w:before="480" w:line="360" w:lineRule="auto"/>
        <w:jc w:val="center"/>
        <w:rPr>
          <w:b/>
          <w:bCs/>
          <w:sz w:val="32"/>
          <w:szCs w:val="32"/>
        </w:rPr>
      </w:pPr>
      <w:r>
        <w:rPr>
          <w:rFonts w:ascii="Times New Roman" w:eastAsia="Times New Roman" w:hAnsi="Times New Roman" w:cs="Times New Roman"/>
          <w:b w:val="0"/>
          <w:bCs w:val="0"/>
          <w:i w:val="0"/>
          <w:color w:val="auto"/>
          <w:sz w:val="32"/>
          <w:szCs w:val="32"/>
        </w:rPr>
        <w:t> </w:t>
      </w:r>
    </w:p>
    <w:p>
      <w:pPr>
        <w:spacing w:before="0" w:after="160" w:line="259" w:lineRule="auto"/>
        <w:jc w:val="left"/>
      </w:pPr>
      <w:r>
        <w:br w:type="page"/>
      </w:r>
    </w:p>
    <w:p>
      <w:pPr>
        <w:pStyle w:val="Heading1"/>
        <w:spacing w:before="480" w:line="360" w:lineRule="auto"/>
        <w:jc w:val="center"/>
        <w:rPr>
          <w:b/>
          <w:bCs/>
          <w:sz w:val="32"/>
          <w:szCs w:val="32"/>
        </w:rPr>
      </w:pPr>
      <w:bookmarkStart w:id="9" w:name="_Toc121004863"/>
      <w:r>
        <w:rPr>
          <w:rFonts w:ascii="Times New Roman" w:eastAsia="Times New Roman" w:hAnsi="Times New Roman" w:cs="Times New Roman"/>
          <w:b w:val="0"/>
          <w:bCs w:val="0"/>
          <w:i w:val="0"/>
          <w:color w:val="auto"/>
          <w:sz w:val="32"/>
          <w:szCs w:val="32"/>
        </w:rPr>
        <w:t>Strategy</w:t>
      </w:r>
      <w:bookmarkEnd w:id="9"/>
    </w:p>
    <w:p>
      <w:pPr>
        <w:spacing w:before="0" w:after="160"/>
      </w:pPr>
      <w:r>
        <w:rPr>
          <w:b/>
          <w:bCs/>
        </w:rPr>
        <w:t>Organisations</w:t>
      </w:r>
      <w:r>
        <w:rPr>
          <w:b/>
          <w:bCs/>
        </w:rPr>
        <w:t> </w:t>
      </w:r>
      <w:r>
        <w:rPr>
          <w:b/>
          <w:bCs/>
        </w:rPr>
        <w:t>value proposition</w:t>
      </w:r>
    </w:p>
    <w:p>
      <w:pPr>
        <w:spacing w:before="0" w:after="160"/>
      </w:pPr>
      <w:r>
        <w:t>Additionally, “Premier Inn” should maintain bookings for quarantine rooms to accommodate ill guests or travellers returning from overseas who need to spend their quarantine days there. To ensure the security of other guests and employees, this should be a secure area that is isolated from the hotel's main building. (Fairlie, 2020)</w:t>
      </w:r>
    </w:p>
    <w:p>
      <w:pPr>
        <w:spacing w:before="0" w:after="160"/>
      </w:pPr>
      <w:r>
        <w:rPr>
          <w:b/>
          <w:bCs/>
        </w:rPr>
        <w:t>How the organisation</w:t>
      </w:r>
      <w:r>
        <w:rPr>
          <w:b/>
          <w:bCs/>
        </w:rPr>
        <w:t> </w:t>
      </w:r>
      <w:r>
        <w:rPr>
          <w:b/>
          <w:bCs/>
        </w:rPr>
        <w:t>differentiates</w:t>
      </w:r>
    </w:p>
    <w:p>
      <w:pPr>
        <w:spacing w:before="0" w:after="160"/>
      </w:pPr>
      <w:r>
        <w:t>Given that they provide their clients with tours, “Premier Inn” has great potential for growing client involvement. As a result, companies may emphasise this touring service in their offline and online marketing efforts after COVID (Solimun &amp; Fernandes, 2018).</w:t>
      </w:r>
    </w:p>
    <w:p>
      <w:pPr>
        <w:spacing w:before="0" w:after="160"/>
      </w:pPr>
      <w:r>
        <w:rPr>
          <w:b/>
          <w:bCs/>
        </w:rPr>
        <w:t>Link value proposition to our customer segments</w:t>
      </w:r>
    </w:p>
    <w:p>
      <w:pPr>
        <w:spacing w:before="0" w:after="160"/>
      </w:pPr>
      <w:r>
        <w:t>Customers may pay a little hourly fee to “Premier Inn” in order to check out later and have more time to enjoy their trip of Scotland. They may also provide a combined package in which they can rent out rooms at a reduced price and their wedding or event spaces. (Fairlie, 2020)</w:t>
      </w:r>
    </w:p>
    <w:p>
      <w:pPr>
        <w:spacing w:before="0" w:after="160"/>
      </w:pPr>
      <w:r>
        <w:rPr>
          <w:b/>
          <w:bCs/>
        </w:rPr>
        <w:t>Bowman’s strategy clock</w:t>
      </w:r>
    </w:p>
    <w:p>
      <w:pPr>
        <w:spacing w:before="0" w:after="160"/>
      </w:pPr>
      <w:r>
        <w:t>Bowman's Strategy Clock is a complete and easy to use plan tool that delivers options for putting within a market based about price and apparent value. “Premier Inn” may provide a channel to new customers by working with event planners and paying them commissions (Ricci et al., 2021).</w:t>
      </w:r>
    </w:p>
    <w:p>
      <w:pPr>
        <w:shd w:val="clear" w:color="auto" w:fill="FFFFFF"/>
        <w:spacing w:before="90" w:after="90"/>
        <w:rPr>
          <w:sz w:val="20"/>
          <w:szCs w:val="20"/>
        </w:rPr>
      </w:pPr>
      <w:r>
        <w:rPr>
          <w:color w:val="222222"/>
          <w:sz w:val="20"/>
          <w:szCs w:val="20"/>
        </w:rPr>
        <w:t> </w:t>
      </w:r>
    </w:p>
    <w:p>
      <w:pPr>
        <w:shd w:val="clear" w:color="auto" w:fill="FFFFFF"/>
        <w:spacing w:before="90" w:after="90"/>
        <w:rPr>
          <w:sz w:val="20"/>
          <w:szCs w:val="20"/>
        </w:rPr>
      </w:pPr>
      <w:r>
        <w:rPr>
          <w:color w:val="222222"/>
          <w:sz w:val="20"/>
          <w:szCs w:val="20"/>
        </w:rPr>
        <w:t> </w:t>
      </w:r>
    </w:p>
    <w:p>
      <w:pPr>
        <w:shd w:val="clear" w:color="auto" w:fill="FFFFFF"/>
        <w:spacing w:before="90" w:after="90"/>
        <w:rPr>
          <w:sz w:val="20"/>
          <w:szCs w:val="20"/>
        </w:rPr>
      </w:pPr>
      <w:r>
        <w:rPr>
          <w:color w:val="222222"/>
          <w:sz w:val="20"/>
          <w:szCs w:val="20"/>
        </w:rPr>
        <w:t> </w:t>
      </w:r>
    </w:p>
    <w:p>
      <w:pPr>
        <w:shd w:val="clear" w:color="auto" w:fill="FFFFFF"/>
        <w:spacing w:before="90" w:after="90"/>
        <w:rPr>
          <w:sz w:val="20"/>
          <w:szCs w:val="20"/>
        </w:rPr>
      </w:pPr>
      <w:r>
        <w:rPr>
          <w:color w:val="222222"/>
          <w:sz w:val="20"/>
          <w:szCs w:val="20"/>
        </w:rPr>
        <w:t> </w:t>
      </w:r>
    </w:p>
    <w:p>
      <w:pPr>
        <w:shd w:val="clear" w:color="auto" w:fill="FFFFFF"/>
        <w:spacing w:before="90" w:after="90"/>
        <w:rPr>
          <w:sz w:val="20"/>
          <w:szCs w:val="20"/>
        </w:rPr>
      </w:pPr>
      <w:r>
        <w:rPr>
          <w:color w:val="222222"/>
          <w:sz w:val="20"/>
          <w:szCs w:val="20"/>
        </w:rPr>
        <w:t> </w:t>
      </w:r>
      <w:r>
        <w:rPr>
          <w:color w:val="222222"/>
          <w:sz w:val="20"/>
          <w:szCs w:val="20"/>
        </w:rPr>
        <w:t> </w:t>
      </w:r>
    </w:p>
    <w:p>
      <w:pPr>
        <w:spacing w:before="0" w:after="160" w:line="259" w:lineRule="auto"/>
        <w:jc w:val="left"/>
      </w:pPr>
      <w:r>
        <w:br w:type="page"/>
      </w:r>
    </w:p>
    <w:p>
      <w:pPr>
        <w:pStyle w:val="Heading1"/>
        <w:spacing w:before="480" w:line="360" w:lineRule="auto"/>
        <w:jc w:val="center"/>
        <w:rPr>
          <w:b/>
          <w:bCs/>
          <w:sz w:val="32"/>
          <w:szCs w:val="32"/>
        </w:rPr>
      </w:pPr>
      <w:bookmarkStart w:id="10" w:name="_Toc121004864"/>
      <w:r>
        <w:rPr>
          <w:rFonts w:ascii="Times New Roman" w:eastAsia="Times New Roman" w:hAnsi="Times New Roman" w:cs="Times New Roman"/>
          <w:b w:val="0"/>
          <w:bCs w:val="0"/>
          <w:i w:val="0"/>
          <w:color w:val="auto"/>
          <w:sz w:val="32"/>
          <w:szCs w:val="32"/>
        </w:rPr>
        <w:t>Tactics</w:t>
      </w:r>
      <w:bookmarkEnd w:id="10"/>
    </w:p>
    <w:p>
      <w:pPr>
        <w:pStyle w:val="Heading2"/>
        <w:spacing w:before="200" w:line="360" w:lineRule="auto"/>
        <w:rPr>
          <w:b/>
          <w:bCs/>
          <w:sz w:val="28"/>
          <w:szCs w:val="28"/>
        </w:rPr>
      </w:pPr>
      <w:bookmarkStart w:id="11" w:name="_Toc117801247"/>
      <w:bookmarkStart w:id="12" w:name="_Toc121004865"/>
      <w:r>
        <w:rPr>
          <w:rFonts w:ascii="Times New Roman" w:eastAsia="Times New Roman" w:hAnsi="Times New Roman" w:cs="Times New Roman"/>
          <w:b w:val="0"/>
          <w:bCs w:val="0"/>
          <w:i w:val="0"/>
          <w:color w:val="auto"/>
          <w:sz w:val="28"/>
          <w:szCs w:val="28"/>
        </w:rPr>
        <w:t>The Marketing Mix (4ps)</w:t>
      </w:r>
      <w:bookmarkEnd w:id="11"/>
      <w:bookmarkEnd w:id="12"/>
    </w:p>
    <w:p>
      <w:pPr>
        <w:spacing w:before="0" w:after="160"/>
      </w:pPr>
      <w:r>
        <w:rPr>
          <w:b/>
          <w:bCs/>
        </w:rPr>
        <w:t>Product</w:t>
      </w:r>
    </w:p>
    <w:p>
      <w:pPr>
        <w:spacing w:before="0" w:after="160"/>
      </w:pPr>
      <w:r>
        <w:t>Product refers to the items or services that an organisation offers to the market in order to build value with customers. If you're looking for a pleasant place to stay, “Premier Inn” should be able to meet business needs with their outstanding service, suites, massage facilities, wedding packages, etc. (Amiri et al., 2018).</w:t>
      </w:r>
    </w:p>
    <w:p>
      <w:pPr>
        <w:spacing w:before="0" w:after="160"/>
      </w:pPr>
      <w:r>
        <w:rPr>
          <w:b/>
          <w:bCs/>
        </w:rPr>
        <w:t>Place</w:t>
      </w:r>
    </w:p>
    <w:p>
      <w:pPr>
        <w:spacing w:before="0" w:after="160"/>
      </w:pPr>
      <w:r>
        <w:t>The location demands the organisation to be set up as well as the provision and distribution of the item or service. In specifically, Scotland is where the “Premier Inn” is located in the UK. The hotel purchases its supplies and services from companies in the UK. Its intended audience is tourists and event planners who are planning trips to Scotland (Yu et al., 2021).</w:t>
      </w:r>
    </w:p>
    <w:p>
      <w:pPr>
        <w:spacing w:before="0" w:after="160"/>
      </w:pPr>
      <w:r>
        <w:rPr>
          <w:b/>
          <w:bCs/>
        </w:rPr>
        <w:t>Promotion</w:t>
      </w:r>
    </w:p>
    <w:p>
      <w:pPr>
        <w:spacing w:before="0" w:after="160"/>
      </w:pPr>
      <w:r>
        <w:t>This speaks to generating interest in the goods among consumers. In addition to having a website, the “Premier Inn” is listed on organisations and websites like Relais &amp; Chateaux, TripAdvisor, etc. (Fairlie, 2020)</w:t>
      </w:r>
    </w:p>
    <w:p>
      <w:pPr>
        <w:spacing w:before="0" w:after="160"/>
      </w:pPr>
      <w:r>
        <w:rPr>
          <w:b/>
          <w:bCs/>
        </w:rPr>
        <w:t>Price</w:t>
      </w:r>
    </w:p>
    <w:p>
      <w:pPr>
        <w:spacing w:before="0" w:after="160"/>
      </w:pPr>
      <w:r>
        <w:t>“Premier Inn” offers reasonable rates for a four-star establishment, with rooms costing between 370 and 550 pounds for luxury suites. The price varies according to the season. They also periodically provide bonuses and discounts, and guests may be eligible for special deals depending on how they book their accommodations (Solimun &amp; Fernandes, 2018).</w:t>
      </w:r>
    </w:p>
    <w:p>
      <w:pPr>
        <w:shd w:val="clear" w:color="auto" w:fill="FFFFFF"/>
        <w:spacing w:before="280" w:after="280"/>
        <w:rPr>
          <w:sz w:val="20"/>
          <w:szCs w:val="20"/>
        </w:rPr>
      </w:pPr>
      <w:r>
        <w:rPr>
          <w:color w:val="222222"/>
          <w:sz w:val="20"/>
          <w:szCs w:val="20"/>
        </w:rPr>
        <w:t> </w:t>
      </w:r>
    </w:p>
    <w:p>
      <w:pPr>
        <w:shd w:val="clear" w:color="auto" w:fill="FFFFFF"/>
        <w:spacing w:before="280" w:after="280"/>
        <w:rPr>
          <w:sz w:val="20"/>
          <w:szCs w:val="20"/>
        </w:rPr>
      </w:pPr>
      <w:r>
        <w:rPr>
          <w:color w:val="222222"/>
          <w:sz w:val="20"/>
          <w:szCs w:val="20"/>
        </w:rPr>
        <w:t> </w:t>
      </w:r>
    </w:p>
    <w:p>
      <w:pPr>
        <w:shd w:val="clear" w:color="auto" w:fill="FFFFFF"/>
        <w:spacing w:before="280" w:after="280"/>
        <w:rPr>
          <w:sz w:val="20"/>
          <w:szCs w:val="20"/>
        </w:rPr>
      </w:pPr>
      <w:r>
        <w:rPr>
          <w:color w:val="222222"/>
          <w:sz w:val="20"/>
          <w:szCs w:val="20"/>
        </w:rPr>
        <w:t> </w:t>
      </w:r>
    </w:p>
    <w:p>
      <w:pPr>
        <w:spacing w:before="0" w:after="160" w:line="259" w:lineRule="auto"/>
        <w:jc w:val="left"/>
      </w:pPr>
      <w:r>
        <w:br w:type="page"/>
      </w:r>
    </w:p>
    <w:p>
      <w:pPr>
        <w:pStyle w:val="Heading1"/>
        <w:spacing w:before="480" w:line="360" w:lineRule="auto"/>
        <w:jc w:val="center"/>
        <w:rPr>
          <w:b/>
          <w:bCs/>
          <w:sz w:val="32"/>
          <w:szCs w:val="32"/>
        </w:rPr>
      </w:pPr>
      <w:bookmarkStart w:id="13" w:name="_Toc121004866"/>
      <w:r>
        <w:rPr>
          <w:rFonts w:ascii="Times New Roman" w:eastAsia="Times New Roman" w:hAnsi="Times New Roman" w:cs="Times New Roman"/>
          <w:b w:val="0"/>
          <w:bCs w:val="0"/>
          <w:i w:val="0"/>
          <w:color w:val="auto"/>
          <w:sz w:val="32"/>
          <w:szCs w:val="32"/>
        </w:rPr>
        <w:t>Action</w:t>
      </w:r>
      <w:bookmarkEnd w:id="13"/>
    </w:p>
    <w:tbl>
      <w:tblPr>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15" w:type="dxa"/>
          <w:left w:w="15" w:type="dxa"/>
          <w:bottom w:w="15" w:type="dxa"/>
          <w:right w:w="15" w:type="dxa"/>
        </w:tblCellMar>
      </w:tblPr>
      <w:tblGrid>
        <w:gridCol w:w="3143"/>
        <w:gridCol w:w="885"/>
        <w:gridCol w:w="885"/>
        <w:gridCol w:w="885"/>
        <w:gridCol w:w="885"/>
        <w:gridCol w:w="885"/>
        <w:gridCol w:w="885"/>
        <w:gridCol w:w="885"/>
      </w:tblGrid>
      <w:tr>
        <w:tblPrEx>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15" w:type="dxa"/>
            <w:left w:w="15" w:type="dxa"/>
            <w:bottom w:w="15" w:type="dxa"/>
            <w:right w:w="15" w:type="dxa"/>
          </w:tblCellMar>
        </w:tblPrEx>
        <w:trPr>
          <w:trHeight w:val="1391"/>
          <w:jc w:val="center"/>
        </w:trPr>
        <w:tc>
          <w:tcPr>
            <w:tcW w:w="1683" w:type="pct"/>
            <w:tcBorders>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Particulars</w:t>
            </w:r>
          </w:p>
        </w:tc>
        <w:tc>
          <w:tcPr>
            <w:tcW w:w="474" w:type="pct"/>
            <w:tcBorders>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0"/>
              <w:ind w:left="2" w:hanging="2"/>
            </w:pPr>
            <w:r>
              <w:t>Feb</w:t>
            </w:r>
          </w:p>
          <w:p>
            <w:pPr>
              <w:spacing w:before="0" w:after="0"/>
              <w:ind w:left="2" w:hanging="2"/>
            </w:pPr>
            <w:r>
              <w:t>2023</w:t>
            </w:r>
          </w:p>
          <w:p>
            <w:pPr>
              <w:spacing w:before="0" w:after="160"/>
              <w:ind w:left="2" w:hanging="2"/>
            </w:pPr>
            <w:r>
              <w:t> </w:t>
            </w:r>
          </w:p>
        </w:tc>
        <w:tc>
          <w:tcPr>
            <w:tcW w:w="474" w:type="pct"/>
            <w:tcBorders>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0"/>
              <w:ind w:left="2" w:hanging="2"/>
            </w:pPr>
            <w:r>
              <w:t>Mar</w:t>
            </w:r>
          </w:p>
          <w:p>
            <w:pPr>
              <w:spacing w:before="0" w:after="0"/>
              <w:ind w:left="2" w:hanging="2"/>
            </w:pPr>
            <w:r>
              <w:t>2023</w:t>
            </w:r>
          </w:p>
          <w:p>
            <w:pPr>
              <w:spacing w:before="0" w:after="0"/>
              <w:ind w:left="2" w:hanging="2"/>
            </w:pPr>
            <w:r>
              <w:t> </w:t>
            </w:r>
          </w:p>
        </w:tc>
        <w:tc>
          <w:tcPr>
            <w:tcW w:w="474" w:type="pct"/>
            <w:tcBorders>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0"/>
              <w:ind w:left="2" w:hanging="2"/>
            </w:pPr>
            <w:r>
              <w:t>Apr</w:t>
            </w:r>
          </w:p>
          <w:p>
            <w:pPr>
              <w:spacing w:before="0" w:after="0"/>
              <w:ind w:left="2" w:hanging="2"/>
            </w:pPr>
            <w:r>
              <w:t>2023</w:t>
            </w:r>
          </w:p>
          <w:p>
            <w:pPr>
              <w:spacing w:before="0" w:after="160"/>
              <w:ind w:left="2" w:hanging="2"/>
            </w:pPr>
            <w:r>
              <w:t> </w:t>
            </w:r>
          </w:p>
        </w:tc>
        <w:tc>
          <w:tcPr>
            <w:tcW w:w="474" w:type="pct"/>
            <w:tcBorders>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0"/>
              <w:ind w:left="2" w:hanging="2"/>
            </w:pPr>
            <w:r>
              <w:t>May</w:t>
            </w:r>
          </w:p>
          <w:p>
            <w:pPr>
              <w:spacing w:before="0" w:after="0"/>
              <w:ind w:left="2" w:hanging="2"/>
            </w:pPr>
            <w:r>
              <w:t>2023</w:t>
            </w:r>
          </w:p>
          <w:p>
            <w:pPr>
              <w:spacing w:before="0" w:after="160"/>
              <w:ind w:left="2" w:hanging="2"/>
            </w:pPr>
            <w:r>
              <w:t> </w:t>
            </w:r>
          </w:p>
        </w:tc>
        <w:tc>
          <w:tcPr>
            <w:tcW w:w="474" w:type="pct"/>
            <w:tcBorders>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0"/>
              <w:ind w:left="2" w:hanging="2"/>
            </w:pPr>
            <w:r>
              <w:t>June</w:t>
            </w:r>
          </w:p>
          <w:p>
            <w:pPr>
              <w:spacing w:before="0" w:after="0"/>
              <w:ind w:left="2" w:hanging="2"/>
            </w:pPr>
            <w:r>
              <w:t>2023</w:t>
            </w:r>
          </w:p>
          <w:p>
            <w:pPr>
              <w:spacing w:before="0" w:after="160"/>
              <w:ind w:left="2" w:hanging="2"/>
            </w:pPr>
            <w:r>
              <w:t> </w:t>
            </w:r>
          </w:p>
        </w:tc>
        <w:tc>
          <w:tcPr>
            <w:tcW w:w="474" w:type="pct"/>
            <w:tcBorders>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0"/>
              <w:ind w:left="2" w:hanging="2"/>
            </w:pPr>
            <w:r>
              <w:t>July</w:t>
            </w:r>
          </w:p>
          <w:p>
            <w:pPr>
              <w:spacing w:before="0" w:after="0"/>
              <w:ind w:left="2" w:hanging="2"/>
            </w:pPr>
            <w:r>
              <w:t>2023</w:t>
            </w:r>
          </w:p>
          <w:p>
            <w:pPr>
              <w:spacing w:before="0" w:after="160"/>
              <w:ind w:left="2" w:hanging="2"/>
            </w:pPr>
            <w:r>
              <w:t> </w:t>
            </w:r>
          </w:p>
        </w:tc>
        <w:tc>
          <w:tcPr>
            <w:tcW w:w="474" w:type="pct"/>
            <w:tcBorders>
              <w:left w:val="single" w:sz="4" w:space="0" w:color="000000"/>
              <w:bottom w:val="single" w:sz="4" w:space="0" w:color="000000"/>
            </w:tcBorders>
            <w:tcMar>
              <w:top w:w="15" w:type="dxa"/>
              <w:left w:w="108" w:type="dxa"/>
              <w:bottom w:w="15" w:type="dxa"/>
              <w:right w:w="108" w:type="dxa"/>
            </w:tcMar>
            <w:vAlign w:val="top"/>
            <w:hideMark/>
          </w:tcPr>
          <w:p>
            <w:pPr>
              <w:spacing w:before="0" w:after="0"/>
              <w:ind w:left="2" w:hanging="2"/>
            </w:pPr>
            <w:r>
              <w:t>Aug</w:t>
            </w:r>
          </w:p>
          <w:p>
            <w:pPr>
              <w:spacing w:before="0" w:after="0"/>
              <w:ind w:left="2" w:hanging="2"/>
            </w:pPr>
            <w:r>
              <w:t>2023</w:t>
            </w:r>
          </w:p>
          <w:p>
            <w:pPr>
              <w:spacing w:before="0" w:after="160"/>
              <w:ind w:left="2" w:hanging="2"/>
            </w:pPr>
            <w:r>
              <w:t> </w:t>
            </w:r>
          </w:p>
        </w:tc>
      </w:tr>
      <w:tr>
        <w:tblPrEx>
          <w:tblW w:w="5000" w:type="pct"/>
          <w:jc w:val="center"/>
          <w:tblCellMar>
            <w:top w:w="15" w:type="dxa"/>
            <w:left w:w="15" w:type="dxa"/>
            <w:bottom w:w="15" w:type="dxa"/>
            <w:right w:w="15" w:type="dxa"/>
          </w:tblCellMar>
        </w:tblPrEx>
        <w:trPr>
          <w:trHeight w:val="612"/>
          <w:jc w:val="center"/>
        </w:trPr>
        <w:tc>
          <w:tcPr>
            <w:tcW w:w="1683" w:type="pct"/>
            <w:tcBorders>
              <w:top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pPr>
            <w:r>
              <w:rPr>
                <w:strike w:val="0"/>
                <w:u w:val="none"/>
              </w:rPr>
              <w:drawing>
                <wp:inline>
                  <wp:extent cx="457200" cy="285750"/>
                  <wp:docPr id="100007"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7" name=""/>
                          <pic:cNvPicPr>
                            <a:picLocks noChangeAspect="1"/>
                          </pic:cNvPicPr>
                        </pic:nvPicPr>
                        <pic:blipFill>
                          <a:blip xmlns:r="http://schemas.openxmlformats.org/officeDocument/2006/relationships" r:embed="rId7"/>
                          <a:stretch>
                            <a:fillRect/>
                          </a:stretch>
                        </pic:blipFill>
                        <pic:spPr>
                          <a:xfrm>
                            <a:off x="0" y="0"/>
                            <a:ext cx="457200" cy="285750"/>
                          </a:xfrm>
                          <a:prstGeom prst="rect">
                            <a:avLst/>
                          </a:prstGeom>
                        </pic:spPr>
                      </pic:pic>
                    </a:graphicData>
                  </a:graphic>
                </wp:inline>
              </w:drawing>
            </w:r>
          </w:p>
        </w:tc>
        <w:tc>
          <w:tcPr>
            <w:tcW w:w="474" w:type="pct"/>
            <w:tcBorders>
              <w:top w:val="single" w:sz="4" w:space="0" w:color="000000"/>
              <w:left w:val="single" w:sz="4" w:space="0" w:color="000000"/>
              <w:bottom w:val="single" w:sz="4" w:space="0" w:color="000000"/>
              <w:right w:val="single" w:sz="4" w:space="0" w:color="000000"/>
            </w:tcBorders>
            <w:shd w:val="clear" w:color="auto" w:fill="FFC000"/>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tcBorders>
            <w:tcMar>
              <w:top w:w="15" w:type="dxa"/>
              <w:left w:w="108" w:type="dxa"/>
              <w:bottom w:w="15" w:type="dxa"/>
              <w:right w:w="108" w:type="dxa"/>
            </w:tcMar>
            <w:vAlign w:val="top"/>
            <w:hideMark/>
          </w:tcPr>
          <w:p>
            <w:pPr>
              <w:spacing w:before="0" w:after="160"/>
              <w:ind w:left="2" w:hanging="2"/>
            </w:pPr>
            <w:r>
              <w:t> </w:t>
            </w:r>
          </w:p>
        </w:tc>
      </w:tr>
      <w:tr>
        <w:tblPrEx>
          <w:tblW w:w="5000" w:type="pct"/>
          <w:jc w:val="center"/>
          <w:tblCellMar>
            <w:top w:w="15" w:type="dxa"/>
            <w:left w:w="15" w:type="dxa"/>
            <w:bottom w:w="15" w:type="dxa"/>
            <w:right w:w="15" w:type="dxa"/>
          </w:tblCellMar>
        </w:tblPrEx>
        <w:trPr>
          <w:trHeight w:val="566"/>
          <w:jc w:val="center"/>
        </w:trPr>
        <w:tc>
          <w:tcPr>
            <w:tcW w:w="1683" w:type="pct"/>
            <w:tcBorders>
              <w:top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rPr>
                <w:strike w:val="0"/>
                <w:u w:val="none"/>
              </w:rPr>
              <w:drawing>
                <wp:inline>
                  <wp:extent cx="1362075" cy="247650"/>
                  <wp:docPr id="100009"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9" name=""/>
                          <pic:cNvPicPr>
                            <a:picLocks noChangeAspect="1"/>
                          </pic:cNvPicPr>
                        </pic:nvPicPr>
                        <pic:blipFill>
                          <a:blip xmlns:r="http://schemas.openxmlformats.org/officeDocument/2006/relationships" r:embed="rId8"/>
                          <a:stretch>
                            <a:fillRect/>
                          </a:stretch>
                        </pic:blipFill>
                        <pic:spPr>
                          <a:xfrm>
                            <a:off x="0" y="0"/>
                            <a:ext cx="1362075" cy="247650"/>
                          </a:xfrm>
                          <a:prstGeom prst="rect">
                            <a:avLst/>
                          </a:prstGeom>
                        </pic:spPr>
                      </pic:pic>
                    </a:graphicData>
                  </a:graphic>
                </wp:inline>
              </w:drawing>
            </w:r>
          </w:p>
        </w:tc>
        <w:tc>
          <w:tcPr>
            <w:tcW w:w="474" w:type="pct"/>
            <w:tcBorders>
              <w:top w:val="single" w:sz="4" w:space="0" w:color="000000"/>
              <w:left w:val="single" w:sz="4" w:space="0" w:color="000000"/>
              <w:bottom w:val="single" w:sz="4" w:space="0" w:color="000000"/>
              <w:right w:val="single" w:sz="4" w:space="0" w:color="000000"/>
            </w:tcBorders>
            <w:shd w:val="clear" w:color="auto" w:fill="FFC000"/>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tcBorders>
            <w:tcMar>
              <w:top w:w="15" w:type="dxa"/>
              <w:left w:w="108" w:type="dxa"/>
              <w:bottom w:w="15" w:type="dxa"/>
              <w:right w:w="108" w:type="dxa"/>
            </w:tcMar>
            <w:vAlign w:val="top"/>
            <w:hideMark/>
          </w:tcPr>
          <w:p>
            <w:pPr>
              <w:spacing w:before="0" w:after="160"/>
              <w:ind w:left="2" w:hanging="2"/>
            </w:pPr>
            <w:r>
              <w:t> </w:t>
            </w:r>
          </w:p>
        </w:tc>
      </w:tr>
      <w:tr>
        <w:tblPrEx>
          <w:tblW w:w="5000" w:type="pct"/>
          <w:jc w:val="center"/>
          <w:tblCellMar>
            <w:top w:w="15" w:type="dxa"/>
            <w:left w:w="15" w:type="dxa"/>
            <w:bottom w:w="15" w:type="dxa"/>
            <w:right w:w="15" w:type="dxa"/>
          </w:tblCellMar>
        </w:tblPrEx>
        <w:trPr>
          <w:trHeight w:val="642"/>
          <w:jc w:val="center"/>
        </w:trPr>
        <w:tc>
          <w:tcPr>
            <w:tcW w:w="1683" w:type="pct"/>
            <w:tcBorders>
              <w:top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rPr>
                <w:strike w:val="0"/>
                <w:u w:val="none"/>
              </w:rPr>
              <w:drawing>
                <wp:inline>
                  <wp:extent cx="1181100" cy="304800"/>
                  <wp:docPr id="10001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1" name=""/>
                          <pic:cNvPicPr>
                            <a:picLocks noChangeAspect="1"/>
                          </pic:cNvPicPr>
                        </pic:nvPicPr>
                        <pic:blipFill>
                          <a:blip xmlns:r="http://schemas.openxmlformats.org/officeDocument/2006/relationships" r:embed="rId9"/>
                          <a:stretch>
                            <a:fillRect/>
                          </a:stretch>
                        </pic:blipFill>
                        <pic:spPr>
                          <a:xfrm>
                            <a:off x="0" y="0"/>
                            <a:ext cx="1181100" cy="304800"/>
                          </a:xfrm>
                          <a:prstGeom prst="rect">
                            <a:avLst/>
                          </a:prstGeom>
                        </pic:spPr>
                      </pic:pic>
                    </a:graphicData>
                  </a:graphic>
                </wp:inline>
              </w:drawing>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shd w:val="clear" w:color="auto" w:fill="FFC000"/>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tcBorders>
            <w:tcMar>
              <w:top w:w="15" w:type="dxa"/>
              <w:left w:w="108" w:type="dxa"/>
              <w:bottom w:w="15" w:type="dxa"/>
              <w:right w:w="108" w:type="dxa"/>
            </w:tcMar>
            <w:vAlign w:val="top"/>
            <w:hideMark/>
          </w:tcPr>
          <w:p>
            <w:pPr>
              <w:spacing w:before="0" w:after="160"/>
              <w:ind w:left="2" w:hanging="2"/>
            </w:pPr>
            <w:r>
              <w:t> </w:t>
            </w:r>
          </w:p>
        </w:tc>
      </w:tr>
      <w:tr>
        <w:tblPrEx>
          <w:tblW w:w="5000" w:type="pct"/>
          <w:jc w:val="center"/>
          <w:tblCellMar>
            <w:top w:w="15" w:type="dxa"/>
            <w:left w:w="15" w:type="dxa"/>
            <w:bottom w:w="15" w:type="dxa"/>
            <w:right w:w="15" w:type="dxa"/>
          </w:tblCellMar>
        </w:tblPrEx>
        <w:trPr>
          <w:trHeight w:val="612"/>
          <w:jc w:val="center"/>
        </w:trPr>
        <w:tc>
          <w:tcPr>
            <w:tcW w:w="1683" w:type="pct"/>
            <w:tcBorders>
              <w:top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rPr>
                <w:strike w:val="0"/>
                <w:u w:val="none"/>
              </w:rPr>
              <w:drawing>
                <wp:inline>
                  <wp:extent cx="1028700" cy="276225"/>
                  <wp:docPr id="100013"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3" name=""/>
                          <pic:cNvPicPr>
                            <a:picLocks noChangeAspect="1"/>
                          </pic:cNvPicPr>
                        </pic:nvPicPr>
                        <pic:blipFill>
                          <a:blip xmlns:r="http://schemas.openxmlformats.org/officeDocument/2006/relationships" r:embed="rId10"/>
                          <a:stretch>
                            <a:fillRect/>
                          </a:stretch>
                        </pic:blipFill>
                        <pic:spPr>
                          <a:xfrm>
                            <a:off x="0" y="0"/>
                            <a:ext cx="1028700" cy="276225"/>
                          </a:xfrm>
                          <a:prstGeom prst="rect">
                            <a:avLst/>
                          </a:prstGeom>
                        </pic:spPr>
                      </pic:pic>
                    </a:graphicData>
                  </a:graphic>
                </wp:inline>
              </w:drawing>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shd w:val="clear" w:color="auto" w:fill="FFC000"/>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tcBorders>
            <w:tcMar>
              <w:top w:w="15" w:type="dxa"/>
              <w:left w:w="108" w:type="dxa"/>
              <w:bottom w:w="15" w:type="dxa"/>
              <w:right w:w="108" w:type="dxa"/>
            </w:tcMar>
            <w:vAlign w:val="top"/>
            <w:hideMark/>
          </w:tcPr>
          <w:p>
            <w:pPr>
              <w:spacing w:before="0" w:after="160"/>
              <w:ind w:left="2" w:hanging="2"/>
            </w:pPr>
            <w:r>
              <w:t> </w:t>
            </w:r>
          </w:p>
        </w:tc>
      </w:tr>
      <w:tr>
        <w:tblPrEx>
          <w:tblW w:w="5000" w:type="pct"/>
          <w:jc w:val="center"/>
          <w:tblCellMar>
            <w:top w:w="15" w:type="dxa"/>
            <w:left w:w="15" w:type="dxa"/>
            <w:bottom w:w="15" w:type="dxa"/>
            <w:right w:w="15" w:type="dxa"/>
          </w:tblCellMar>
        </w:tblPrEx>
        <w:trPr>
          <w:trHeight w:val="566"/>
          <w:jc w:val="center"/>
        </w:trPr>
        <w:tc>
          <w:tcPr>
            <w:tcW w:w="1683" w:type="pct"/>
            <w:tcBorders>
              <w:top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rPr>
                <w:strike w:val="0"/>
                <w:u w:val="none"/>
              </w:rPr>
              <w:drawing>
                <wp:inline>
                  <wp:extent cx="1019175" cy="228600"/>
                  <wp:docPr id="100015"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5" name=""/>
                          <pic:cNvPicPr>
                            <a:picLocks noChangeAspect="1"/>
                          </pic:cNvPicPr>
                        </pic:nvPicPr>
                        <pic:blipFill>
                          <a:blip xmlns:r="http://schemas.openxmlformats.org/officeDocument/2006/relationships" r:embed="rId11"/>
                          <a:stretch>
                            <a:fillRect/>
                          </a:stretch>
                        </pic:blipFill>
                        <pic:spPr>
                          <a:xfrm>
                            <a:off x="0" y="0"/>
                            <a:ext cx="1019175" cy="228600"/>
                          </a:xfrm>
                          <a:prstGeom prst="rect">
                            <a:avLst/>
                          </a:prstGeom>
                        </pic:spPr>
                      </pic:pic>
                    </a:graphicData>
                  </a:graphic>
                </wp:inline>
              </w:drawing>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shd w:val="clear" w:color="auto" w:fill="FFC000"/>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tcBorders>
            <w:tcMar>
              <w:top w:w="15" w:type="dxa"/>
              <w:left w:w="108" w:type="dxa"/>
              <w:bottom w:w="15" w:type="dxa"/>
              <w:right w:w="108" w:type="dxa"/>
            </w:tcMar>
            <w:vAlign w:val="top"/>
            <w:hideMark/>
          </w:tcPr>
          <w:p>
            <w:pPr>
              <w:spacing w:before="0" w:after="160"/>
              <w:ind w:left="2" w:hanging="2"/>
            </w:pPr>
            <w:r>
              <w:t> </w:t>
            </w:r>
          </w:p>
        </w:tc>
      </w:tr>
      <w:tr>
        <w:tblPrEx>
          <w:tblW w:w="5000" w:type="pct"/>
          <w:jc w:val="center"/>
          <w:tblCellMar>
            <w:top w:w="15" w:type="dxa"/>
            <w:left w:w="15" w:type="dxa"/>
            <w:bottom w:w="15" w:type="dxa"/>
            <w:right w:w="15" w:type="dxa"/>
          </w:tblCellMar>
        </w:tblPrEx>
        <w:trPr>
          <w:trHeight w:val="612"/>
          <w:jc w:val="center"/>
        </w:trPr>
        <w:tc>
          <w:tcPr>
            <w:tcW w:w="1683" w:type="pct"/>
            <w:tcBorders>
              <w:top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rPr>
                <w:strike w:val="0"/>
                <w:u w:val="none"/>
              </w:rPr>
              <w:drawing>
                <wp:inline>
                  <wp:extent cx="1009650" cy="285750"/>
                  <wp:docPr id="100017"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7" name=""/>
                          <pic:cNvPicPr>
                            <a:picLocks noChangeAspect="1"/>
                          </pic:cNvPicPr>
                        </pic:nvPicPr>
                        <pic:blipFill>
                          <a:blip xmlns:r="http://schemas.openxmlformats.org/officeDocument/2006/relationships" r:embed="rId12"/>
                          <a:stretch>
                            <a:fillRect/>
                          </a:stretch>
                        </pic:blipFill>
                        <pic:spPr>
                          <a:xfrm>
                            <a:off x="0" y="0"/>
                            <a:ext cx="1009650" cy="285750"/>
                          </a:xfrm>
                          <a:prstGeom prst="rect">
                            <a:avLst/>
                          </a:prstGeom>
                        </pic:spPr>
                      </pic:pic>
                    </a:graphicData>
                  </a:graphic>
                </wp:inline>
              </w:drawing>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shd w:val="clear" w:color="auto" w:fill="FFC000"/>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tcBorders>
            <w:tcMar>
              <w:top w:w="15" w:type="dxa"/>
              <w:left w:w="108" w:type="dxa"/>
              <w:bottom w:w="15" w:type="dxa"/>
              <w:right w:w="108" w:type="dxa"/>
            </w:tcMar>
            <w:vAlign w:val="top"/>
            <w:hideMark/>
          </w:tcPr>
          <w:p>
            <w:pPr>
              <w:spacing w:before="0" w:after="160"/>
              <w:ind w:left="2" w:hanging="2"/>
            </w:pPr>
            <w:r>
              <w:t> </w:t>
            </w:r>
          </w:p>
        </w:tc>
      </w:tr>
      <w:tr>
        <w:tblPrEx>
          <w:tblW w:w="5000" w:type="pct"/>
          <w:jc w:val="center"/>
          <w:tblCellMar>
            <w:top w:w="15" w:type="dxa"/>
            <w:left w:w="15" w:type="dxa"/>
            <w:bottom w:w="15" w:type="dxa"/>
            <w:right w:w="15" w:type="dxa"/>
          </w:tblCellMar>
        </w:tblPrEx>
        <w:trPr>
          <w:trHeight w:val="637"/>
          <w:jc w:val="center"/>
        </w:trPr>
        <w:tc>
          <w:tcPr>
            <w:tcW w:w="1683" w:type="pct"/>
            <w:tcBorders>
              <w:top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rPr>
                <w:strike w:val="0"/>
                <w:u w:val="none"/>
              </w:rPr>
              <w:drawing>
                <wp:inline>
                  <wp:extent cx="1295400" cy="266700"/>
                  <wp:docPr id="100019"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9" name=""/>
                          <pic:cNvPicPr>
                            <a:picLocks noChangeAspect="1"/>
                          </pic:cNvPicPr>
                        </pic:nvPicPr>
                        <pic:blipFill>
                          <a:blip xmlns:r="http://schemas.openxmlformats.org/officeDocument/2006/relationships" r:embed="rId13"/>
                          <a:stretch>
                            <a:fillRect/>
                          </a:stretch>
                        </pic:blipFill>
                        <pic:spPr>
                          <a:xfrm>
                            <a:off x="0" y="0"/>
                            <a:ext cx="1295400" cy="266700"/>
                          </a:xfrm>
                          <a:prstGeom prst="rect">
                            <a:avLst/>
                          </a:prstGeom>
                        </pic:spPr>
                      </pic:pic>
                    </a:graphicData>
                  </a:graphic>
                </wp:inline>
              </w:drawing>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shd w:val="clear" w:color="auto" w:fill="FFC000"/>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shd w:val="clear" w:color="auto" w:fill="FFC000"/>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tcBorders>
            <w:tcMar>
              <w:top w:w="15" w:type="dxa"/>
              <w:left w:w="108" w:type="dxa"/>
              <w:bottom w:w="15" w:type="dxa"/>
              <w:right w:w="108" w:type="dxa"/>
            </w:tcMar>
            <w:vAlign w:val="top"/>
            <w:hideMark/>
          </w:tcPr>
          <w:p>
            <w:pPr>
              <w:spacing w:before="0" w:after="160"/>
              <w:ind w:left="2" w:hanging="2"/>
            </w:pPr>
            <w:r>
              <w:t> </w:t>
            </w:r>
          </w:p>
        </w:tc>
      </w:tr>
      <w:tr>
        <w:tblPrEx>
          <w:tblW w:w="5000" w:type="pct"/>
          <w:jc w:val="center"/>
          <w:tblCellMar>
            <w:top w:w="15" w:type="dxa"/>
            <w:left w:w="15" w:type="dxa"/>
            <w:bottom w:w="15" w:type="dxa"/>
            <w:right w:w="15" w:type="dxa"/>
          </w:tblCellMar>
        </w:tblPrEx>
        <w:trPr>
          <w:trHeight w:val="566"/>
          <w:jc w:val="center"/>
        </w:trPr>
        <w:tc>
          <w:tcPr>
            <w:tcW w:w="1683" w:type="pct"/>
            <w:tcBorders>
              <w:top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rPr>
                <w:strike w:val="0"/>
                <w:u w:val="none"/>
              </w:rPr>
              <w:drawing>
                <wp:inline>
                  <wp:extent cx="914400" cy="209550"/>
                  <wp:docPr id="10002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21" name=""/>
                          <pic:cNvPicPr>
                            <a:picLocks noChangeAspect="1"/>
                          </pic:cNvPicPr>
                        </pic:nvPicPr>
                        <pic:blipFill>
                          <a:blip xmlns:r="http://schemas.openxmlformats.org/officeDocument/2006/relationships" r:embed="rId14"/>
                          <a:stretch>
                            <a:fillRect/>
                          </a:stretch>
                        </pic:blipFill>
                        <pic:spPr>
                          <a:xfrm>
                            <a:off x="0" y="0"/>
                            <a:ext cx="914400" cy="209550"/>
                          </a:xfrm>
                          <a:prstGeom prst="rect">
                            <a:avLst/>
                          </a:prstGeom>
                        </pic:spPr>
                      </pic:pic>
                    </a:graphicData>
                  </a:graphic>
                </wp:inline>
              </w:drawing>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shd w:val="clear" w:color="auto" w:fill="FFC000"/>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tcBorders>
            <w:shd w:val="clear" w:color="auto" w:fill="FFC000"/>
            <w:tcMar>
              <w:top w:w="15" w:type="dxa"/>
              <w:left w:w="108" w:type="dxa"/>
              <w:bottom w:w="15" w:type="dxa"/>
              <w:right w:w="108" w:type="dxa"/>
            </w:tcMar>
            <w:vAlign w:val="top"/>
            <w:hideMark/>
          </w:tcPr>
          <w:p>
            <w:pPr>
              <w:spacing w:before="0" w:after="160"/>
              <w:ind w:left="2" w:hanging="2"/>
            </w:pPr>
            <w:r>
              <w:t> </w:t>
            </w:r>
          </w:p>
        </w:tc>
      </w:tr>
      <w:tr>
        <w:tblPrEx>
          <w:tblW w:w="5000" w:type="pct"/>
          <w:jc w:val="center"/>
          <w:tblCellMar>
            <w:top w:w="15" w:type="dxa"/>
            <w:left w:w="15" w:type="dxa"/>
            <w:bottom w:w="15" w:type="dxa"/>
            <w:right w:w="15" w:type="dxa"/>
          </w:tblCellMar>
        </w:tblPrEx>
        <w:trPr>
          <w:trHeight w:val="856"/>
          <w:jc w:val="center"/>
        </w:trPr>
        <w:tc>
          <w:tcPr>
            <w:tcW w:w="1683" w:type="pct"/>
            <w:tcBorders>
              <w:top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rPr>
                <w:strike w:val="0"/>
                <w:u w:val="none"/>
              </w:rPr>
              <w:drawing>
                <wp:inline>
                  <wp:extent cx="1419225" cy="428625"/>
                  <wp:docPr id="100023"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23" name=""/>
                          <pic:cNvPicPr>
                            <a:picLocks noChangeAspect="1"/>
                          </pic:cNvPicPr>
                        </pic:nvPicPr>
                        <pic:blipFill>
                          <a:blip xmlns:r="http://schemas.openxmlformats.org/officeDocument/2006/relationships" r:embed="rId15"/>
                          <a:stretch>
                            <a:fillRect/>
                          </a:stretch>
                        </pic:blipFill>
                        <pic:spPr>
                          <a:xfrm>
                            <a:off x="0" y="0"/>
                            <a:ext cx="1419225" cy="428625"/>
                          </a:xfrm>
                          <a:prstGeom prst="rect">
                            <a:avLst/>
                          </a:prstGeom>
                        </pic:spPr>
                      </pic:pic>
                    </a:graphicData>
                  </a:graphic>
                </wp:inline>
              </w:drawing>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tcBorders>
            <w:shd w:val="clear" w:color="auto" w:fill="FFC000"/>
            <w:tcMar>
              <w:top w:w="15" w:type="dxa"/>
              <w:left w:w="108" w:type="dxa"/>
              <w:bottom w:w="15" w:type="dxa"/>
              <w:right w:w="108" w:type="dxa"/>
            </w:tcMar>
            <w:vAlign w:val="top"/>
            <w:hideMark/>
          </w:tcPr>
          <w:p>
            <w:pPr>
              <w:spacing w:before="0" w:after="160"/>
              <w:ind w:left="2" w:hanging="2"/>
            </w:pPr>
            <w:r>
              <w:t> </w:t>
            </w:r>
          </w:p>
        </w:tc>
      </w:tr>
      <w:tr>
        <w:tblPrEx>
          <w:tblW w:w="5000" w:type="pct"/>
          <w:jc w:val="center"/>
          <w:tblCellMar>
            <w:top w:w="15" w:type="dxa"/>
            <w:left w:w="15" w:type="dxa"/>
            <w:bottom w:w="15" w:type="dxa"/>
            <w:right w:w="15" w:type="dxa"/>
          </w:tblCellMar>
        </w:tblPrEx>
        <w:trPr>
          <w:trHeight w:val="612"/>
          <w:jc w:val="center"/>
        </w:trPr>
        <w:tc>
          <w:tcPr>
            <w:tcW w:w="1683" w:type="pct"/>
            <w:tcBorders>
              <w:top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rPr>
                <w:strike w:val="0"/>
                <w:u w:val="none"/>
              </w:rPr>
              <w:drawing>
                <wp:inline>
                  <wp:extent cx="790575" cy="285750"/>
                  <wp:docPr id="100025"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25" name=""/>
                          <pic:cNvPicPr>
                            <a:picLocks noChangeAspect="1"/>
                          </pic:cNvPicPr>
                        </pic:nvPicPr>
                        <pic:blipFill>
                          <a:blip xmlns:r="http://schemas.openxmlformats.org/officeDocument/2006/relationships" r:embed="rId16"/>
                          <a:stretch>
                            <a:fillRect/>
                          </a:stretch>
                        </pic:blipFill>
                        <pic:spPr>
                          <a:xfrm>
                            <a:off x="0" y="0"/>
                            <a:ext cx="790575" cy="285750"/>
                          </a:xfrm>
                          <a:prstGeom prst="rect">
                            <a:avLst/>
                          </a:prstGeom>
                        </pic:spPr>
                      </pic:pic>
                    </a:graphicData>
                  </a:graphic>
                </wp:inline>
              </w:drawing>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bottom w:val="single" w:sz="4" w:space="0" w:color="000000"/>
            </w:tcBorders>
            <w:shd w:val="clear" w:color="auto" w:fill="FFC000"/>
            <w:tcMar>
              <w:top w:w="15" w:type="dxa"/>
              <w:left w:w="108" w:type="dxa"/>
              <w:bottom w:w="15" w:type="dxa"/>
              <w:right w:w="108" w:type="dxa"/>
            </w:tcMar>
            <w:vAlign w:val="top"/>
            <w:hideMark/>
          </w:tcPr>
          <w:p>
            <w:pPr>
              <w:spacing w:before="0" w:after="160"/>
              <w:ind w:left="2" w:hanging="2"/>
            </w:pPr>
            <w:r>
              <w:t> </w:t>
            </w:r>
          </w:p>
        </w:tc>
      </w:tr>
      <w:tr>
        <w:tblPrEx>
          <w:tblW w:w="5000" w:type="pct"/>
          <w:jc w:val="center"/>
          <w:tblCellMar>
            <w:top w:w="15" w:type="dxa"/>
            <w:left w:w="15" w:type="dxa"/>
            <w:bottom w:w="15" w:type="dxa"/>
            <w:right w:w="15" w:type="dxa"/>
          </w:tblCellMar>
        </w:tblPrEx>
        <w:trPr>
          <w:trHeight w:val="637"/>
          <w:jc w:val="center"/>
        </w:trPr>
        <w:tc>
          <w:tcPr>
            <w:tcW w:w="1683" w:type="pct"/>
            <w:tcBorders>
              <w:top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rPr>
                <w:strike w:val="0"/>
                <w:u w:val="none"/>
              </w:rPr>
              <w:drawing>
                <wp:inline>
                  <wp:extent cx="1238250" cy="295275"/>
                  <wp:docPr id="100027"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27" name=""/>
                          <pic:cNvPicPr>
                            <a:picLocks noChangeAspect="1"/>
                          </pic:cNvPicPr>
                        </pic:nvPicPr>
                        <pic:blipFill>
                          <a:blip xmlns:r="http://schemas.openxmlformats.org/officeDocument/2006/relationships" r:embed="rId17"/>
                          <a:stretch>
                            <a:fillRect/>
                          </a:stretch>
                        </pic:blipFill>
                        <pic:spPr>
                          <a:xfrm>
                            <a:off x="0" y="0"/>
                            <a:ext cx="1238250" cy="295275"/>
                          </a:xfrm>
                          <a:prstGeom prst="rect">
                            <a:avLst/>
                          </a:prstGeom>
                        </pic:spPr>
                      </pic:pic>
                    </a:graphicData>
                  </a:graphic>
                </wp:inline>
              </w:drawing>
            </w:r>
          </w:p>
        </w:tc>
        <w:tc>
          <w:tcPr>
            <w:tcW w:w="474" w:type="pct"/>
            <w:tcBorders>
              <w:top w:val="single" w:sz="4" w:space="0" w:color="000000"/>
              <w:left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right w:val="single" w:sz="4" w:space="0" w:color="000000"/>
            </w:tcBorders>
            <w:tcMar>
              <w:top w:w="15" w:type="dxa"/>
              <w:left w:w="108" w:type="dxa"/>
              <w:bottom w:w="15" w:type="dxa"/>
              <w:right w:w="108" w:type="dxa"/>
            </w:tcMar>
            <w:vAlign w:val="top"/>
            <w:hideMark/>
          </w:tcPr>
          <w:p>
            <w:pPr>
              <w:spacing w:before="0" w:after="160"/>
              <w:ind w:left="2" w:hanging="2"/>
            </w:pPr>
            <w:r>
              <w:t> </w:t>
            </w:r>
          </w:p>
        </w:tc>
        <w:tc>
          <w:tcPr>
            <w:tcW w:w="474" w:type="pct"/>
            <w:tcBorders>
              <w:top w:val="single" w:sz="4" w:space="0" w:color="000000"/>
              <w:left w:val="single" w:sz="4" w:space="0" w:color="000000"/>
            </w:tcBorders>
            <w:shd w:val="clear" w:color="auto" w:fill="FFC000"/>
            <w:tcMar>
              <w:top w:w="15" w:type="dxa"/>
              <w:left w:w="108" w:type="dxa"/>
              <w:bottom w:w="15" w:type="dxa"/>
              <w:right w:w="108" w:type="dxa"/>
            </w:tcMar>
            <w:vAlign w:val="top"/>
            <w:hideMark/>
          </w:tcPr>
          <w:p>
            <w:pPr>
              <w:spacing w:before="0" w:after="160"/>
              <w:ind w:left="2" w:hanging="2"/>
            </w:pPr>
            <w:r>
              <w:t> </w:t>
            </w:r>
          </w:p>
        </w:tc>
      </w:tr>
    </w:tbl>
    <w:p>
      <w:pPr>
        <w:shd w:val="clear" w:color="auto" w:fill="FFFFFF"/>
        <w:spacing w:before="90" w:after="90"/>
        <w:rPr>
          <w:sz w:val="20"/>
          <w:szCs w:val="20"/>
        </w:rPr>
      </w:pPr>
      <w:r>
        <w:rPr>
          <w:color w:val="222222"/>
          <w:sz w:val="20"/>
          <w:szCs w:val="20"/>
        </w:rPr>
        <w:t> </w:t>
      </w:r>
    </w:p>
    <w:p>
      <w:pPr>
        <w:shd w:val="clear" w:color="auto" w:fill="FFFFFF"/>
        <w:spacing w:before="90" w:after="90"/>
        <w:rPr>
          <w:sz w:val="20"/>
          <w:szCs w:val="20"/>
        </w:rPr>
      </w:pPr>
      <w:r>
        <w:rPr>
          <w:color w:val="222222"/>
          <w:sz w:val="20"/>
          <w:szCs w:val="20"/>
        </w:rPr>
        <w:t> </w:t>
      </w:r>
    </w:p>
    <w:p>
      <w:pPr>
        <w:spacing w:before="0" w:after="160" w:line="259" w:lineRule="auto"/>
        <w:jc w:val="left"/>
      </w:pPr>
      <w:r>
        <w:br w:type="page"/>
      </w:r>
    </w:p>
    <w:p>
      <w:pPr>
        <w:pStyle w:val="Heading1"/>
        <w:spacing w:before="480" w:line="360" w:lineRule="auto"/>
        <w:jc w:val="center"/>
        <w:rPr>
          <w:b/>
          <w:bCs/>
          <w:sz w:val="32"/>
          <w:szCs w:val="32"/>
        </w:rPr>
      </w:pPr>
      <w:bookmarkStart w:id="14" w:name="_Toc121004867"/>
      <w:r>
        <w:rPr>
          <w:rFonts w:ascii="Times New Roman" w:eastAsia="Times New Roman" w:hAnsi="Times New Roman" w:cs="Times New Roman"/>
          <w:b w:val="0"/>
          <w:bCs w:val="0"/>
          <w:i w:val="0"/>
          <w:color w:val="auto"/>
          <w:sz w:val="32"/>
          <w:szCs w:val="32"/>
        </w:rPr>
        <w:t>Control</w:t>
      </w:r>
      <w:bookmarkEnd w:id="14"/>
    </w:p>
    <w:p>
      <w:pPr>
        <w:pStyle w:val="Heading2"/>
        <w:spacing w:before="200" w:line="360" w:lineRule="auto"/>
        <w:rPr>
          <w:b/>
          <w:bCs/>
          <w:sz w:val="28"/>
          <w:szCs w:val="28"/>
        </w:rPr>
      </w:pPr>
      <w:bookmarkStart w:id="15" w:name="_Toc121004868"/>
      <w:r>
        <w:rPr>
          <w:rFonts w:ascii="Times New Roman" w:eastAsia="Times New Roman" w:hAnsi="Times New Roman" w:cs="Times New Roman"/>
          <w:b w:val="0"/>
          <w:bCs w:val="0"/>
          <w:i w:val="0"/>
          <w:color w:val="auto"/>
          <w:sz w:val="28"/>
          <w:szCs w:val="28"/>
        </w:rPr>
        <w:t>Identify USP, Features and Benefits</w:t>
      </w:r>
      <w:bookmarkEnd w:id="15"/>
    </w:p>
    <w:p>
      <w:pPr>
        <w:spacing w:before="0" w:after="160"/>
      </w:pPr>
      <w:r>
        <w:t>In the area of digital marketing, “Premier Inn” falls short. Although their website has a wealth of information, it still seems antiquated. The website has to be updated so that clients feel that they are working with a high-end company that will guarantee the greatest service for them. By entrusting any reputable IT service company with the task of maintaining the website and other IT services, “Premier Inn” may save costs in this area (Kumar &amp; Reinartz, 2018).</w:t>
      </w:r>
    </w:p>
    <w:p>
      <w:pPr>
        <w:pStyle w:val="Heading2"/>
        <w:spacing w:before="200" w:line="360" w:lineRule="auto"/>
        <w:rPr>
          <w:b/>
          <w:bCs/>
          <w:sz w:val="28"/>
          <w:szCs w:val="28"/>
        </w:rPr>
      </w:pPr>
      <w:bookmarkStart w:id="16" w:name="_Toc121004869"/>
      <w:r>
        <w:rPr>
          <w:rFonts w:ascii="Times New Roman" w:eastAsia="Times New Roman" w:hAnsi="Times New Roman" w:cs="Times New Roman"/>
          <w:b w:val="0"/>
          <w:bCs w:val="0"/>
          <w:i w:val="0"/>
          <w:color w:val="auto"/>
          <w:sz w:val="28"/>
          <w:szCs w:val="28"/>
        </w:rPr>
        <w:t>How we will measure success?</w:t>
      </w:r>
      <w:bookmarkEnd w:id="16"/>
      <w:r>
        <w:rPr>
          <w:rFonts w:ascii="Times New Roman" w:eastAsia="Times New Roman" w:hAnsi="Times New Roman" w:cs="Times New Roman"/>
          <w:b w:val="0"/>
          <w:bCs w:val="0"/>
          <w:i w:val="0"/>
          <w:color w:val="auto"/>
          <w:sz w:val="28"/>
          <w:szCs w:val="28"/>
        </w:rPr>
        <w:t xml:space="preserve"> </w:t>
      </w:r>
    </w:p>
    <w:p>
      <w:pPr>
        <w:shd w:val="clear" w:color="auto" w:fill="FFFFFF"/>
        <w:spacing w:before="0" w:after="0"/>
        <w:rPr>
          <w:sz w:val="20"/>
          <w:szCs w:val="20"/>
        </w:rPr>
      </w:pPr>
      <w:r>
        <w:rPr>
          <w:color w:val="222222"/>
          <w:sz w:val="20"/>
          <w:szCs w:val="20"/>
        </w:rPr>
        <w:t> </w:t>
      </w:r>
    </w:p>
    <w:p>
      <w:pPr>
        <w:spacing w:before="0" w:after="160"/>
      </w:pPr>
      <w:r>
        <w:t>The organisation must improve its website's SEO. Customers need to get familiar with the “Premier Inn” brand, so they will think of it whenever they visit Scotland. Online publications, TV advertisements, and social media marketing may all be used for this. If done properly, a brief advertisement for this hotel may serve as a persuasive marketing tool between YouTube videos. As previously said, they need to give their regular clients bonuses if they stay at the hotel again (Islam et al., 2019).</w:t>
      </w:r>
    </w:p>
    <w:p>
      <w:pPr>
        <w:spacing w:before="0" w:after="160" w:line="259" w:lineRule="auto"/>
        <w:jc w:val="left"/>
      </w:pPr>
      <w:r>
        <w:br w:type="page"/>
      </w:r>
    </w:p>
    <w:p>
      <w:pPr>
        <w:pStyle w:val="Heading1"/>
        <w:spacing w:before="480" w:line="360" w:lineRule="auto"/>
        <w:jc w:val="center"/>
        <w:rPr>
          <w:b/>
          <w:bCs/>
          <w:sz w:val="32"/>
          <w:szCs w:val="32"/>
        </w:rPr>
      </w:pPr>
      <w:bookmarkStart w:id="17" w:name="_Toc121004870"/>
      <w:r>
        <w:rPr>
          <w:rFonts w:ascii="Times New Roman" w:eastAsia="Times New Roman" w:hAnsi="Times New Roman" w:cs="Times New Roman"/>
          <w:b w:val="0"/>
          <w:bCs w:val="0"/>
          <w:i w:val="0"/>
          <w:color w:val="auto"/>
          <w:sz w:val="32"/>
          <w:szCs w:val="32"/>
        </w:rPr>
        <w:t>Conclusion</w:t>
      </w:r>
      <w:bookmarkEnd w:id="17"/>
    </w:p>
    <w:p>
      <w:pPr>
        <w:spacing w:before="0" w:after="160"/>
      </w:pPr>
      <w:r>
        <w:t>The purpose of the paper was to explain the marketing mix and surroundings of “Premier Inn”. Despite being in a favourable position in the industry, according to the research, the organisation requires a solid digital marketing plan to compete on a larger scale. The organization's environment was revealed by the SWOT and PESTLE analyses, and it should respond with marketing mix plans (Kumar &amp; Reinartz, 2018).</w:t>
      </w:r>
    </w:p>
    <w:p>
      <w:pPr>
        <w:shd w:val="clear" w:color="auto" w:fill="FFFFFF"/>
        <w:spacing w:before="280" w:after="280"/>
        <w:rPr>
          <w:sz w:val="20"/>
          <w:szCs w:val="20"/>
        </w:rPr>
      </w:pPr>
      <w:r>
        <w:rPr>
          <w:color w:val="222222"/>
          <w:sz w:val="20"/>
          <w:szCs w:val="20"/>
        </w:rPr>
        <w:t> </w:t>
      </w:r>
    </w:p>
    <w:p>
      <w:pPr>
        <w:shd w:val="clear" w:color="auto" w:fill="FFFFFF"/>
        <w:spacing w:before="280" w:after="280"/>
        <w:rPr>
          <w:sz w:val="20"/>
          <w:szCs w:val="20"/>
        </w:rPr>
      </w:pPr>
      <w:r>
        <w:rPr>
          <w:color w:val="222222"/>
          <w:sz w:val="20"/>
          <w:szCs w:val="20"/>
        </w:rPr>
        <w:t> </w:t>
      </w:r>
    </w:p>
    <w:p>
      <w:pPr>
        <w:shd w:val="clear" w:color="auto" w:fill="FFFFFF"/>
        <w:spacing w:before="280" w:after="280"/>
        <w:rPr>
          <w:sz w:val="20"/>
          <w:szCs w:val="20"/>
        </w:rPr>
      </w:pPr>
      <w:r>
        <w:rPr>
          <w:color w:val="222222"/>
          <w:sz w:val="20"/>
          <w:szCs w:val="20"/>
        </w:rPr>
        <w:t> </w:t>
      </w:r>
    </w:p>
    <w:p>
      <w:pPr>
        <w:shd w:val="clear" w:color="auto" w:fill="FFFFFF"/>
        <w:spacing w:before="280" w:after="280"/>
        <w:rPr>
          <w:sz w:val="20"/>
          <w:szCs w:val="20"/>
        </w:rPr>
      </w:pPr>
      <w:r>
        <w:rPr>
          <w:color w:val="222222"/>
          <w:sz w:val="20"/>
          <w:szCs w:val="20"/>
        </w:rPr>
        <w:t> </w:t>
      </w:r>
    </w:p>
    <w:p>
      <w:pPr>
        <w:shd w:val="clear" w:color="auto" w:fill="FFFFFF"/>
        <w:spacing w:before="280" w:after="280"/>
        <w:rPr>
          <w:sz w:val="20"/>
          <w:szCs w:val="20"/>
        </w:rPr>
      </w:pPr>
      <w:r>
        <w:rPr>
          <w:color w:val="222222"/>
          <w:sz w:val="20"/>
          <w:szCs w:val="20"/>
        </w:rPr>
        <w:t> </w:t>
      </w:r>
    </w:p>
    <w:p>
      <w:pPr>
        <w:shd w:val="clear" w:color="auto" w:fill="FFFFFF"/>
        <w:spacing w:before="280" w:after="280"/>
        <w:rPr>
          <w:sz w:val="20"/>
          <w:szCs w:val="20"/>
        </w:rPr>
      </w:pPr>
      <w:r>
        <w:rPr>
          <w:color w:val="222222"/>
          <w:sz w:val="20"/>
          <w:szCs w:val="20"/>
        </w:rPr>
        <w:t> </w:t>
      </w:r>
    </w:p>
    <w:p>
      <w:pPr>
        <w:shd w:val="clear" w:color="auto" w:fill="FFFFFF"/>
        <w:spacing w:before="280" w:after="280"/>
        <w:rPr>
          <w:sz w:val="20"/>
          <w:szCs w:val="20"/>
        </w:rPr>
      </w:pPr>
      <w:r>
        <w:rPr>
          <w:color w:val="222222"/>
          <w:sz w:val="20"/>
          <w:szCs w:val="20"/>
        </w:rPr>
        <w:t> </w:t>
      </w:r>
    </w:p>
    <w:p>
      <w:pPr>
        <w:shd w:val="clear" w:color="auto" w:fill="FFFFFF"/>
        <w:spacing w:before="280" w:after="280"/>
        <w:rPr>
          <w:sz w:val="20"/>
          <w:szCs w:val="20"/>
        </w:rPr>
      </w:pPr>
      <w:r>
        <w:rPr>
          <w:color w:val="222222"/>
          <w:sz w:val="20"/>
          <w:szCs w:val="20"/>
        </w:rPr>
        <w:t> </w:t>
      </w:r>
    </w:p>
    <w:p>
      <w:pPr>
        <w:spacing w:before="0" w:after="160" w:line="259" w:lineRule="auto"/>
        <w:jc w:val="left"/>
      </w:pPr>
      <w:r>
        <w:br w:type="page"/>
      </w:r>
    </w:p>
    <w:p>
      <w:pPr>
        <w:pStyle w:val="Heading1"/>
        <w:spacing w:before="480" w:line="360" w:lineRule="auto"/>
        <w:jc w:val="center"/>
        <w:rPr>
          <w:b/>
          <w:bCs/>
          <w:sz w:val="32"/>
          <w:szCs w:val="32"/>
        </w:rPr>
      </w:pPr>
      <w:bookmarkStart w:id="18" w:name="_Toc121004871"/>
      <w:r>
        <w:rPr>
          <w:rFonts w:ascii="Times New Roman" w:eastAsia="Times New Roman" w:hAnsi="Times New Roman" w:cs="Times New Roman"/>
          <w:b w:val="0"/>
          <w:bCs w:val="0"/>
          <w:i w:val="0"/>
          <w:color w:val="auto"/>
          <w:sz w:val="32"/>
          <w:szCs w:val="32"/>
        </w:rPr>
        <w:t>References</w:t>
      </w:r>
      <w:bookmarkEnd w:id="18"/>
    </w:p>
    <w:p>
      <w:pPr>
        <w:spacing w:before="0" w:after="160" w:line="480" w:lineRule="auto"/>
        <w:ind w:left="720" w:hanging="720"/>
      </w:pPr>
      <w:r>
        <w:t>Amiri, M., Hosseini Dehshiri, S.J. and Yousefi Hanoomarvar, A., 2018. Determining the optimal combination of large supply chain strategies using SWOT analysis, multi-criteria decision-making techniques and game theory.</w:t>
      </w:r>
      <w:r>
        <w:t> </w:t>
      </w:r>
      <w:r>
        <w:t>Industrial Management Journal,</w:t>
      </w:r>
      <w:r>
        <w:t> </w:t>
      </w:r>
      <w:r>
        <w:t>10(2), pp.221-246.</w:t>
      </w:r>
    </w:p>
    <w:p>
      <w:pPr>
        <w:spacing w:before="0" w:after="160" w:line="480" w:lineRule="auto"/>
        <w:ind w:left="720" w:hanging="720"/>
      </w:pPr>
      <w:r>
        <w:t>Bala, M. and Verma, D., 2018. A critical review of digital marketing.</w:t>
      </w:r>
      <w:r>
        <w:t> </w:t>
      </w:r>
      <w:r>
        <w:t>M. Bala, D. Verma (2018). A Critical Review of Digital Marketing. International Journal of Management, IT &amp; Engineering,</w:t>
      </w:r>
      <w:r>
        <w:t> </w:t>
      </w:r>
      <w:r>
        <w:t>8(10), pp.321-339.</w:t>
      </w:r>
    </w:p>
    <w:p>
      <w:pPr>
        <w:spacing w:before="0" w:after="160" w:line="480" w:lineRule="auto"/>
        <w:ind w:left="720" w:hanging="720"/>
      </w:pPr>
      <w:r>
        <w:t>De Oliveira Santini, F., Ladeira, W.J., Pinto, D.C., Herter, M.M., Sampaio, C.H. and Babin, B.J., 2020. Customer engagement in social media: a framework and meta-analysis.</w:t>
      </w:r>
      <w:r>
        <w:t> </w:t>
      </w:r>
      <w:r>
        <w:t>Journal of the Academy of Marketing Science,</w:t>
      </w:r>
      <w:r>
        <w:t> </w:t>
      </w:r>
      <w:r>
        <w:t>48(6), pp.1211-1228.</w:t>
      </w:r>
    </w:p>
    <w:p>
      <w:pPr>
        <w:spacing w:before="0" w:after="160" w:line="480" w:lineRule="auto"/>
        <w:ind w:left="720" w:hanging="720"/>
      </w:pPr>
      <w:r>
        <w:t>Islam, J.U., Hollebeek, L.D., Rahman, Z., Khan, I. and Rasool, A., 2019. Customer engagement in the service context: an empirical investigation of the construct, its antecedents and consequences.</w:t>
      </w:r>
      <w:r>
        <w:t> </w:t>
      </w:r>
      <w:r>
        <w:t>Journal of Retailing and Consumer Services,</w:t>
      </w:r>
      <w:r>
        <w:t> </w:t>
      </w:r>
      <w:r>
        <w:t>50, pp.277-285.</w:t>
      </w:r>
    </w:p>
    <w:p>
      <w:pPr>
        <w:spacing w:before="0" w:after="160" w:line="480" w:lineRule="auto"/>
        <w:ind w:left="720" w:hanging="720"/>
      </w:pPr>
      <w:r>
        <w:t>Kumar, V. and Reinartz, W., 2018.</w:t>
      </w:r>
      <w:r>
        <w:t> </w:t>
      </w:r>
      <w:r>
        <w:t>Customer relationship management. Springer-Verlag GmbH Germany, part of Springer Nature 2006, 2012, 2018. MU</w:t>
      </w:r>
    </w:p>
    <w:p>
      <w:pPr>
        <w:spacing w:before="0" w:after="160" w:line="480" w:lineRule="auto"/>
        <w:ind w:left="720" w:hanging="720"/>
      </w:pPr>
      <w:r>
        <w:t>Lahtinen, V., Dietrich, T. and Rundle-Thiele, S., 2020. Long live the marketing mix. Testing the effectiveness of the commercial marketing mix in a social marketing context.</w:t>
      </w:r>
      <w:r>
        <w:t> </w:t>
      </w:r>
      <w:r>
        <w:t>Journal of Social Marketing.</w:t>
      </w:r>
    </w:p>
    <w:p>
      <w:pPr>
        <w:spacing w:before="0" w:after="160" w:line="480" w:lineRule="auto"/>
        <w:ind w:left="720" w:hanging="720"/>
      </w:pPr>
      <w:r>
        <w:t>Lai, I.K.W. and Wong, J.W.C., 2020. Comparing crisis management practices in the hotel industry between initial and pandemic stages of COVID-19.</w:t>
      </w:r>
      <w:r>
        <w:t> </w:t>
      </w:r>
      <w:r>
        <w:t>International Journal of Contemporary Hospitality Management.</w:t>
      </w:r>
    </w:p>
    <w:p>
      <w:pPr>
        <w:spacing w:before="0" w:after="160" w:line="480" w:lineRule="auto"/>
        <w:ind w:left="720" w:hanging="720"/>
      </w:pPr>
      <w:r>
        <w:t>Ricci, S., Janout, V., Parker, S., Jerabek, J., Hajny, J., Chatzopoulou, A. and Badonnel, R., 2021, August. PESTLE Analysis of Cybersecurity Education. In</w:t>
      </w:r>
      <w:r>
        <w:t> </w:t>
      </w:r>
      <w:r>
        <w:t>The 16th International Conference on Availability, Reliability and Security</w:t>
      </w:r>
      <w:r>
        <w:t> </w:t>
      </w:r>
      <w:r>
        <w:t>(pp. 1-8).</w:t>
      </w:r>
    </w:p>
    <w:p>
      <w:pPr>
        <w:spacing w:before="0" w:after="160" w:line="480" w:lineRule="auto"/>
        <w:ind w:left="720" w:hanging="720"/>
      </w:pPr>
      <w:r>
        <w:t>Solimun, S. and Fernandes, A.A.R., 2018. The mediation effect of customer satisfaction in the relationship between service quality, service orientation, and marketing mix strategy to customer loyalty.</w:t>
      </w:r>
      <w:r>
        <w:t> </w:t>
      </w:r>
      <w:r>
        <w:t>Journal of Management Development.</w:t>
      </w:r>
    </w:p>
    <w:p>
      <w:pPr>
        <w:spacing w:before="0" w:after="160" w:line="480" w:lineRule="auto"/>
        <w:ind w:left="720" w:hanging="720"/>
      </w:pPr>
      <w:r>
        <w:t>Yu, J., Seo, J. and Hyun, S.S., 2021. Perceived hygiene attributes in the hotel industry: customer retention amid the COVID-19 crisis.</w:t>
      </w:r>
      <w:r>
        <w:t> </w:t>
      </w:r>
      <w:r>
        <w:t>International Journal of Hospitality Management,</w:t>
      </w:r>
      <w:r>
        <w:t> </w:t>
      </w:r>
      <w:r>
        <w:t>93, p.102768.</w:t>
      </w:r>
    </w:p>
    <w:p>
      <w:pPr>
        <w:spacing w:before="0" w:after="160" w:line="259" w:lineRule="auto"/>
        <w:jc w:val="left"/>
      </w:pPr>
      <w:r>
        <w:br w:type="page"/>
      </w:r>
    </w:p>
    <w:p>
      <w:pPr>
        <w:pStyle w:val="Heading1"/>
        <w:spacing w:before="480" w:line="360" w:lineRule="auto"/>
        <w:jc w:val="center"/>
        <w:rPr>
          <w:b/>
          <w:bCs/>
          <w:sz w:val="32"/>
          <w:szCs w:val="32"/>
        </w:rPr>
      </w:pPr>
      <w:bookmarkStart w:id="19" w:name="_Toc121004872"/>
      <w:r>
        <w:rPr>
          <w:rFonts w:ascii="Times New Roman" w:eastAsia="Times New Roman" w:hAnsi="Times New Roman" w:cs="Times New Roman"/>
          <w:b w:val="0"/>
          <w:bCs w:val="0"/>
          <w:i w:val="0"/>
          <w:color w:val="auto"/>
          <w:sz w:val="32"/>
          <w:szCs w:val="32"/>
        </w:rPr>
        <w:t>Appendix</w:t>
      </w:r>
      <w:bookmarkEnd w:id="19"/>
      <w:r>
        <w:rPr>
          <w:rFonts w:ascii="Times New Roman" w:eastAsia="Times New Roman" w:hAnsi="Times New Roman" w:cs="Times New Roman"/>
          <w:b w:val="0"/>
          <w:bCs w:val="0"/>
          <w:i w:val="0"/>
          <w:color w:val="auto"/>
          <w:sz w:val="32"/>
          <w:szCs w:val="32"/>
        </w:rPr>
        <w:t xml:space="preserve"> </w:t>
      </w:r>
    </w:p>
    <w:p>
      <w:pPr>
        <w:pStyle w:val="Heading2"/>
        <w:spacing w:before="200" w:line="360" w:lineRule="auto"/>
        <w:rPr>
          <w:b/>
          <w:bCs/>
          <w:sz w:val="28"/>
          <w:szCs w:val="28"/>
        </w:rPr>
      </w:pPr>
      <w:bookmarkStart w:id="20" w:name="_Toc121004873"/>
      <w:r>
        <w:rPr>
          <w:rFonts w:ascii="Times New Roman" w:eastAsia="Times New Roman" w:hAnsi="Times New Roman" w:cs="Times New Roman"/>
          <w:b w:val="0"/>
          <w:bCs w:val="0"/>
          <w:i w:val="0"/>
          <w:color w:val="auto"/>
          <w:sz w:val="28"/>
          <w:szCs w:val="28"/>
        </w:rPr>
        <w:t>Component B</w:t>
      </w:r>
      <w:bookmarkEnd w:id="20"/>
    </w:p>
    <w:p>
      <w:pPr>
        <w:spacing w:before="0" w:after="160"/>
      </w:pPr>
      <w:r>
        <w:rPr>
          <w:strike w:val="0"/>
          <w:u w:val="none"/>
        </w:rPr>
        <w:drawing>
          <wp:inline>
            <wp:extent cx="5734050" cy="3219450"/>
            <wp:docPr id="100029"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29" name=""/>
                    <pic:cNvPicPr>
                      <a:picLocks noChangeAspect="1"/>
                    </pic:cNvPicPr>
                  </pic:nvPicPr>
                  <pic:blipFill>
                    <a:blip xmlns:r="http://schemas.openxmlformats.org/officeDocument/2006/relationships" r:embed="rId18"/>
                    <a:stretch>
                      <a:fillRect/>
                    </a:stretch>
                  </pic:blipFill>
                  <pic:spPr>
                    <a:xfrm>
                      <a:off x="0" y="0"/>
                      <a:ext cx="5734050" cy="3219450"/>
                    </a:xfrm>
                    <a:prstGeom prst="rect">
                      <a:avLst/>
                    </a:prstGeom>
                  </pic:spPr>
                </pic:pic>
              </a:graphicData>
            </a:graphic>
          </wp:inline>
        </w:drawing>
      </w:r>
      <w:r>
        <w:rPr>
          <w:strike w:val="0"/>
          <w:u w:val="none"/>
        </w:rPr>
        <w:drawing>
          <wp:inline>
            <wp:extent cx="5724525" cy="2514600"/>
            <wp:docPr id="10003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31" name=""/>
                    <pic:cNvPicPr>
                      <a:picLocks noChangeAspect="1"/>
                    </pic:cNvPicPr>
                  </pic:nvPicPr>
                  <pic:blipFill>
                    <a:blip xmlns:r="http://schemas.openxmlformats.org/officeDocument/2006/relationships" r:embed="rId19"/>
                    <a:stretch>
                      <a:fillRect/>
                    </a:stretch>
                  </pic:blipFill>
                  <pic:spPr>
                    <a:xfrm>
                      <a:off x="0" y="0"/>
                      <a:ext cx="5724525" cy="2514600"/>
                    </a:xfrm>
                    <a:prstGeom prst="rect">
                      <a:avLst/>
                    </a:prstGeom>
                  </pic:spPr>
                </pic:pic>
              </a:graphicData>
            </a:graphic>
          </wp:inline>
        </w:drawing>
      </w:r>
    </w:p>
    <w:p>
      <w:pPr>
        <w:spacing w:before="0" w:after="160"/>
      </w:pPr>
      <w:r>
        <w:t xml:space="preserve">Marketing managers are often employed to develop advertising and marketing initiatives that could growth logo reputation and bring in extra clients for the commercial enterprise. They will additionally bear in mind the styles of customers a business wants, a way to draw them in, and a way to enhance the first-class of carrier supplied to modern-day customers. They'll additionally make certain that any cash spent on advertising projects generates a decent return for the commercial enterprise. (Fairlie, 2020) </w:t>
      </w:r>
    </w:p>
    <w:p>
      <w:pPr>
        <w:spacing w:before="0" w:after="160"/>
      </w:pPr>
      <w:r>
        <w:rPr>
          <w:strike w:val="0"/>
          <w:u w:val="none"/>
        </w:rPr>
        <w:drawing>
          <wp:inline>
            <wp:extent cx="5734050" cy="3009900"/>
            <wp:docPr id="100033"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33" name=""/>
                    <pic:cNvPicPr>
                      <a:picLocks noChangeAspect="1"/>
                    </pic:cNvPicPr>
                  </pic:nvPicPr>
                  <pic:blipFill>
                    <a:blip xmlns:r="http://schemas.openxmlformats.org/officeDocument/2006/relationships" r:embed="rId20"/>
                    <a:stretch>
                      <a:fillRect/>
                    </a:stretch>
                  </pic:blipFill>
                  <pic:spPr>
                    <a:xfrm>
                      <a:off x="0" y="0"/>
                      <a:ext cx="5734050" cy="3009900"/>
                    </a:xfrm>
                    <a:prstGeom prst="rect">
                      <a:avLst/>
                    </a:prstGeom>
                  </pic:spPr>
                </pic:pic>
              </a:graphicData>
            </a:graphic>
          </wp:inline>
        </w:drawing>
      </w:r>
    </w:p>
    <w:p>
      <w:pPr>
        <w:spacing w:before="0" w:after="160"/>
      </w:pPr>
      <w:r>
        <w:t xml:space="preserve">Depending on the sort of organisation they paintings for and the world they paintings in, a marketing manager's duties and duties would possibly trade substantially. </w:t>
      </w:r>
    </w:p>
    <w:p>
      <w:pPr>
        <w:spacing w:before="0" w:after="160"/>
      </w:pPr>
      <w:r>
        <w:rPr>
          <w:strike w:val="0"/>
          <w:u w:val="none"/>
        </w:rPr>
        <w:drawing>
          <wp:inline>
            <wp:extent cx="5734050" cy="3219450"/>
            <wp:docPr id="100035"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35" name=""/>
                    <pic:cNvPicPr>
                      <a:picLocks noChangeAspect="1"/>
                    </pic:cNvPicPr>
                  </pic:nvPicPr>
                  <pic:blipFill>
                    <a:blip xmlns:r="http://schemas.openxmlformats.org/officeDocument/2006/relationships" r:embed="rId21"/>
                    <a:stretch>
                      <a:fillRect/>
                    </a:stretch>
                  </pic:blipFill>
                  <pic:spPr>
                    <a:xfrm>
                      <a:off x="0" y="0"/>
                      <a:ext cx="5734050" cy="3219450"/>
                    </a:xfrm>
                    <a:prstGeom prst="rect">
                      <a:avLst/>
                    </a:prstGeom>
                  </pic:spPr>
                </pic:pic>
              </a:graphicData>
            </a:graphic>
          </wp:inline>
        </w:drawing>
      </w:r>
    </w:p>
    <w:p>
      <w:pPr>
        <w:spacing w:before="0" w:after="160"/>
      </w:pPr>
      <w:r>
        <w:t xml:space="preserve">The promotion and sale of a employer's goods to customers is substantially aided via advertising managers. The advertising manager's obligations may also span the complete spectrum of how a company communicates, and they are able to manual and have an impact on how a brand seems and feels in the market. Analyse from industry professionals what it takes to thrive as a advertising manager and strengthen career on this speedy-paced sector. The advertising and location of a brand or the goods and offerings that a commercial enterprise offers are controlled via a advertising and marketing manager. </w:t>
      </w:r>
    </w:p>
    <w:p>
      <w:pPr>
        <w:spacing w:before="0" w:after="160"/>
      </w:pPr>
      <w:r>
        <w:rPr>
          <w:strike w:val="0"/>
          <w:u w:val="none"/>
        </w:rPr>
        <w:drawing>
          <wp:inline>
            <wp:extent cx="5734050" cy="3219450"/>
            <wp:docPr id="100037"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37" name=""/>
                    <pic:cNvPicPr>
                      <a:picLocks noChangeAspect="1"/>
                    </pic:cNvPicPr>
                  </pic:nvPicPr>
                  <pic:blipFill>
                    <a:blip xmlns:r="http://schemas.openxmlformats.org/officeDocument/2006/relationships" r:embed="rId22"/>
                    <a:stretch>
                      <a:fillRect/>
                    </a:stretch>
                  </pic:blipFill>
                  <pic:spPr>
                    <a:xfrm>
                      <a:off x="0" y="0"/>
                      <a:ext cx="5734050" cy="3219450"/>
                    </a:xfrm>
                    <a:prstGeom prst="rect">
                      <a:avLst/>
                    </a:prstGeom>
                  </pic:spPr>
                </pic:pic>
              </a:graphicData>
            </a:graphic>
          </wp:inline>
        </w:drawing>
      </w:r>
    </w:p>
    <w:p>
      <w:pPr>
        <w:spacing w:before="0" w:after="160"/>
      </w:pPr>
      <w:r>
        <w:t xml:space="preserve">For example, a advertising and marketing supervisor working for a primary international e-trade internet site could take delivery of a ways extra responsibility for content material management and data analytics than a advertising and marketing manager operating for a small manufacturing or engineering enterprise. But, jobs will continually have positive characteristics. (Fairlie, 2020) </w:t>
      </w:r>
    </w:p>
    <w:p>
      <w:pPr>
        <w:spacing w:before="0" w:after="160"/>
      </w:pPr>
      <w:r>
        <w:rPr>
          <w:strike w:val="0"/>
          <w:u w:val="none"/>
        </w:rPr>
        <w:drawing>
          <wp:inline>
            <wp:extent cx="5734050" cy="3219450"/>
            <wp:docPr id="100039"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39" name=""/>
                    <pic:cNvPicPr>
                      <a:picLocks noChangeAspect="1"/>
                    </pic:cNvPicPr>
                  </pic:nvPicPr>
                  <pic:blipFill>
                    <a:blip xmlns:r="http://schemas.openxmlformats.org/officeDocument/2006/relationships" r:embed="rId23"/>
                    <a:stretch>
                      <a:fillRect/>
                    </a:stretch>
                  </pic:blipFill>
                  <pic:spPr>
                    <a:xfrm>
                      <a:off x="0" y="0"/>
                      <a:ext cx="5734050" cy="3219450"/>
                    </a:xfrm>
                    <a:prstGeom prst="rect">
                      <a:avLst/>
                    </a:prstGeom>
                  </pic:spPr>
                </pic:pic>
              </a:graphicData>
            </a:graphic>
          </wp:inline>
        </w:drawing>
      </w:r>
    </w:p>
    <w:p>
      <w:pPr>
        <w:spacing w:before="0" w:after="160"/>
      </w:pPr>
      <w:r>
        <w:t xml:space="preserve">The advantages of operating in advertising aren't simply economic. Due to the fact that they frequently have sturdy thoughts and are adept with generation, advertising managers have loads of creative flexibility of their activity. For marketing managers, professional development is frequently on the table, with the potential to concentrate on a sure field of marketing as you enhance to your career, together with social media or information analytics. (Bougie, 2019) </w:t>
      </w:r>
    </w:p>
    <w:p>
      <w:pPr>
        <w:spacing w:before="0" w:after="160"/>
      </w:pPr>
      <w:r>
        <w:t> </w:t>
      </w:r>
    </w:p>
    <w:p>
      <w:pPr>
        <w:spacing w:before="0" w:after="0"/>
        <w:jc w:val="center"/>
      </w:pPr>
      <w:r>
        <w:t xml:space="preserve">Page | </w:t>
      </w:r>
      <w:r>
        <w:fldChar w:fldCharType="begin"/>
      </w:r>
      <w:r>
        <w:instrText xml:space="preserve"> PAGE   \* MERGEFORMAT </w:instrText>
      </w:r>
      <w:r>
        <w:fldChar w:fldCharType="separate"/>
      </w:r>
      <w:r>
        <w:t>1</w:t>
      </w:r>
      <w:r>
        <w:fldChar w:fldCharType="end"/>
      </w:r>
    </w:p>
    <w:p>
      <w:pPr>
        <w:spacing w:before="0" w:after="0"/>
      </w:pPr>
      <w:r>
        <w:t> </w:t>
      </w:r>
    </w:p>
    <w:sectPr>
      <w:pgMar w:header="720" w:footer="720"/>
      <w:cols w:space="720"/>
    </w:sectPr>
  </w:body>
</w:document>
</file>

<file path=word/fontTable.xml><?xml version="1.0" encoding="utf-8"?>
<w:fonts xmlns:r="http://schemas.openxmlformats.org/officeDocument/2006/relationships" xmlns:w="http://schemas.openxmlformats.org/wordprocessingml/2006/main"/>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zoom w:percent="100"/>
  <w:defaultTabStop w:val="720"/>
  <w:noPunctuationKerning/>
  <w:characterSpacingControl w:val="doNotCompress"/>
  <w:compat/>
  <w:rsids>
    <w:rsidRoot w:val="00000000"/>
  </w:rsid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r="http://schemas.openxmlformats.org/officeDocument/2006/relationships" xmlns:w="http://schemas.openxmlformats.org/wordprocessingml/2006/main">
  <w:docDefaults>
    <w:rPrDefault>
      <w:rPr>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after="0"/>
      <w:outlineLvl w:val="0"/>
    </w:pPr>
    <w:rPr>
      <w:rFonts w:ascii="Calibri" w:eastAsia="Calibri" w:hAnsi="Calibri" w:cs="Calibri"/>
      <w:b/>
      <w:bCs/>
      <w:i w:val="0"/>
      <w:color w:val="2F5496" w:themeShade="BF"/>
      <w:kern w:val="36"/>
      <w:sz w:val="48"/>
      <w:szCs w:val="48"/>
    </w:rPr>
  </w:style>
  <w:style w:type="paragraph" w:styleId="Heading2">
    <w:name w:val="heading 2"/>
    <w:basedOn w:val="Normal"/>
    <w:next w:val="Normal"/>
    <w:link w:val="Heading2Char"/>
    <w:uiPriority w:val="9"/>
    <w:qFormat/>
    <w:rsid w:val="00506D7A"/>
    <w:pPr>
      <w:keepNext/>
      <w:keepLines/>
      <w:spacing w:before="40" w:after="0"/>
      <w:outlineLvl w:val="1"/>
    </w:pPr>
    <w:rPr>
      <w:rFonts w:ascii="Calibri" w:eastAsia="Calibri" w:hAnsi="Calibri" w:cs="Calibri"/>
      <w:b/>
      <w:bCs/>
      <w:i w:val="0"/>
      <w:color w:val="2F5496" w:themeShade="BF"/>
      <w:sz w:val="36"/>
      <w:szCs w:val="36"/>
    </w:rPr>
  </w:style>
  <w:style w:type="paragraph" w:styleId="Heading3">
    <w:name w:val="heading 3"/>
    <w:basedOn w:val="Normal"/>
    <w:next w:val="Normal"/>
    <w:link w:val="Heading3Char"/>
    <w:uiPriority w:val="9"/>
    <w:qFormat/>
    <w:rsid w:val="00506D7A"/>
    <w:pPr>
      <w:keepNext/>
      <w:keepLines/>
      <w:spacing w:before="40" w:after="0"/>
      <w:outlineLvl w:val="2"/>
    </w:pPr>
    <w:rPr>
      <w:rFonts w:ascii="Calibri" w:eastAsia="Calibri" w:hAnsi="Calibri" w:cs="Calibri"/>
      <w:b/>
      <w:bCs/>
      <w:i w:val="0"/>
      <w:color w:val="1F3763" w:themeShade="7F"/>
      <w:sz w:val="28"/>
      <w:szCs w:val="28"/>
    </w:rPr>
  </w:style>
  <w:style w:type="paragraph" w:styleId="Heading4">
    <w:name w:val="heading 4"/>
    <w:basedOn w:val="Normal"/>
    <w:next w:val="Normal"/>
    <w:link w:val="Heading4Char"/>
    <w:uiPriority w:val="9"/>
    <w:qFormat/>
    <w:rsid w:val="00506D7A"/>
    <w:pPr>
      <w:keepNext/>
      <w:keepLines/>
      <w:spacing w:before="40" w:after="0"/>
      <w:outlineLvl w:val="3"/>
    </w:pPr>
    <w:rPr>
      <w:rFonts w:ascii="Calibri" w:eastAsia="Calibri" w:hAnsi="Calibri" w:cs="Calibri"/>
      <w:b/>
      <w:bCs/>
      <w:i w:val="0"/>
      <w:iCs/>
      <w:color w:val="2F5496" w:themeShade="BF"/>
      <w:sz w:val="24"/>
      <w:szCs w:val="24"/>
    </w:rPr>
  </w:style>
  <w:style w:type="paragraph" w:styleId="Heading5">
    <w:name w:val="heading 5"/>
    <w:basedOn w:val="Normal"/>
    <w:next w:val="Normal"/>
    <w:link w:val="Heading5Char"/>
    <w:uiPriority w:val="9"/>
    <w:qFormat/>
    <w:rsid w:val="00506D7A"/>
    <w:pPr>
      <w:keepNext/>
      <w:keepLines/>
      <w:spacing w:before="40" w:after="0"/>
      <w:outlineLvl w:val="4"/>
    </w:pPr>
    <w:rPr>
      <w:rFonts w:ascii="Calibri" w:eastAsia="Calibri" w:hAnsi="Calibri" w:cs="Calibri"/>
      <w:b/>
      <w:bCs/>
      <w:i w:val="0"/>
      <w:color w:val="2F5496" w:themeShade="BF"/>
      <w:sz w:val="20"/>
      <w:szCs w:val="20"/>
    </w:rPr>
  </w:style>
  <w:style w:type="paragraph" w:styleId="Heading6">
    <w:name w:val="heading 6"/>
    <w:basedOn w:val="Normal"/>
    <w:next w:val="Normal"/>
    <w:link w:val="Heading6Char"/>
    <w:uiPriority w:val="9"/>
    <w:qFormat/>
    <w:rsid w:val="00506D7A"/>
    <w:pPr>
      <w:keepNext/>
      <w:keepLines/>
      <w:spacing w:before="40" w:after="0"/>
      <w:outlineLvl w:val="5"/>
    </w:pPr>
    <w:rPr>
      <w:rFonts w:ascii="Calibri" w:eastAsia="Calibri" w:hAnsi="Calibri" w:cs="Calibri"/>
      <w:b/>
      <w:bCs/>
      <w:i w:val="0"/>
      <w:color w:val="1F3763" w:themeShade="7F"/>
      <w:sz w:val="16"/>
      <w:szCs w:val="16"/>
    </w:rPr>
  </w:style>
  <w:style w:type="character" w:default="1" w:styleId="DefaultParagraphFont">
    <w:name w:val="Default Paragraph Font"/>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themeShade="BF"/>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themeShade="BF"/>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themeShade="7F"/>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themeShade="BF"/>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themeShade="BF"/>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themeShade="7F"/>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7.png" /><Relationship Id="rId11" Type="http://schemas.openxmlformats.org/officeDocument/2006/relationships/image" Target="media/image8.png" /><Relationship Id="rId12" Type="http://schemas.openxmlformats.org/officeDocument/2006/relationships/image" Target="media/image9.png" /><Relationship Id="rId13" Type="http://schemas.openxmlformats.org/officeDocument/2006/relationships/image" Target="media/image10.png" /><Relationship Id="rId14" Type="http://schemas.openxmlformats.org/officeDocument/2006/relationships/image" Target="media/image11.png" /><Relationship Id="rId15" Type="http://schemas.openxmlformats.org/officeDocument/2006/relationships/image" Target="media/image12.png" /><Relationship Id="rId16" Type="http://schemas.openxmlformats.org/officeDocument/2006/relationships/image" Target="media/image13.png" /><Relationship Id="rId17" Type="http://schemas.openxmlformats.org/officeDocument/2006/relationships/image" Target="media/image14.png" /><Relationship Id="rId18" Type="http://schemas.openxmlformats.org/officeDocument/2006/relationships/image" Target="media/image15.jpeg" /><Relationship Id="rId19" Type="http://schemas.openxmlformats.org/officeDocument/2006/relationships/image" Target="media/image16.jpeg" /><Relationship Id="rId2" Type="http://schemas.openxmlformats.org/officeDocument/2006/relationships/webSettings" Target="webSettings.xml" /><Relationship Id="rId20" Type="http://schemas.openxmlformats.org/officeDocument/2006/relationships/image" Target="media/image17.png" /><Relationship Id="rId21" Type="http://schemas.openxmlformats.org/officeDocument/2006/relationships/image" Target="media/image18.jpeg" /><Relationship Id="rId22" Type="http://schemas.openxmlformats.org/officeDocument/2006/relationships/image" Target="media/image19.jpeg" /><Relationship Id="rId23" Type="http://schemas.openxmlformats.org/officeDocument/2006/relationships/image" Target="media/image20.jpeg" /><Relationship Id="rId24" Type="http://schemas.openxmlformats.org/officeDocument/2006/relationships/theme" Target="theme/theme1.xml" /><Relationship Id="rId25"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image" Target="media/image1.png" /><Relationship Id="rId5" Type="http://schemas.openxmlformats.org/officeDocument/2006/relationships/image" Target="media/image2.png" /><Relationship Id="rId6" Type="http://schemas.openxmlformats.org/officeDocument/2006/relationships/image" Target="media/image3.png" /><Relationship Id="rId7" Type="http://schemas.openxmlformats.org/officeDocument/2006/relationships/image" Target="media/image4.png" /><Relationship Id="rId8" Type="http://schemas.openxmlformats.org/officeDocument/2006/relationships/image" Target="media/image5.png" /><Relationship Id="rId9" Type="http://schemas.openxmlformats.org/officeDocument/2006/relationships/image" Target="media/image6.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0</TotalTime>
  <Pages>0</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0</cp:revision>
</cp:coreProperties>
</file>