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B0AA97" w14:textId="77777777" w:rsidR="00AA240F" w:rsidRPr="003C1CFF" w:rsidRDefault="00AA240F" w:rsidP="00AA240F">
      <w:pPr>
        <w:jc w:val="center"/>
        <w:rPr>
          <w:rFonts w:cs="Arial"/>
        </w:rPr>
      </w:pPr>
      <w:r w:rsidRPr="003C1CFF">
        <w:rPr>
          <w:rFonts w:cs="Arial"/>
          <w:noProof/>
        </w:rPr>
        <w:drawing>
          <wp:inline distT="0" distB="0" distL="0" distR="0" wp14:anchorId="4D139A80" wp14:editId="041AFAF1">
            <wp:extent cx="2867025" cy="15906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inline>
        </w:drawing>
      </w:r>
    </w:p>
    <w:p w14:paraId="008D59D9" w14:textId="218AD863" w:rsidR="00AA240F" w:rsidRPr="003C1CFF" w:rsidRDefault="00F707B5" w:rsidP="00AA240F">
      <w:pPr>
        <w:jc w:val="center"/>
        <w:rPr>
          <w:rFonts w:cs="Arial"/>
          <w:sz w:val="28"/>
          <w:szCs w:val="28"/>
        </w:rPr>
      </w:pPr>
      <w:proofErr w:type="spellStart"/>
      <w:r w:rsidRPr="003C1CFF">
        <w:rPr>
          <w:rFonts w:cs="Arial"/>
          <w:sz w:val="28"/>
          <w:szCs w:val="28"/>
        </w:rPr>
        <w:t>Programme</w:t>
      </w:r>
      <w:proofErr w:type="spellEnd"/>
      <w:r w:rsidR="00AA240F" w:rsidRPr="003C1CFF">
        <w:rPr>
          <w:rFonts w:cs="Arial"/>
          <w:sz w:val="28"/>
          <w:szCs w:val="28"/>
        </w:rPr>
        <w:t xml:space="preserve">: Master of Business Administration </w:t>
      </w:r>
    </w:p>
    <w:p w14:paraId="49BC7807" w14:textId="77777777" w:rsidR="00AA240F" w:rsidRPr="003C1CFF" w:rsidRDefault="00AA240F" w:rsidP="00AA240F">
      <w:pPr>
        <w:jc w:val="center"/>
        <w:rPr>
          <w:rFonts w:cs="Arial"/>
          <w:sz w:val="28"/>
          <w:szCs w:val="28"/>
        </w:rPr>
      </w:pPr>
      <w:r w:rsidRPr="003C1CFF">
        <w:rPr>
          <w:rFonts w:cs="Arial"/>
          <w:sz w:val="28"/>
          <w:szCs w:val="28"/>
        </w:rPr>
        <w:t xml:space="preserve">Module: Financial Management </w:t>
      </w:r>
    </w:p>
    <w:p w14:paraId="5E558619" w14:textId="77777777" w:rsidR="00AA240F" w:rsidRPr="003C1CFF" w:rsidRDefault="00AA240F" w:rsidP="00AA240F">
      <w:pPr>
        <w:jc w:val="center"/>
        <w:rPr>
          <w:rFonts w:cs="Arial"/>
          <w:sz w:val="28"/>
          <w:szCs w:val="28"/>
        </w:rPr>
      </w:pPr>
      <w:r w:rsidRPr="003C1CFF">
        <w:rPr>
          <w:rFonts w:cs="Arial"/>
          <w:sz w:val="28"/>
          <w:szCs w:val="28"/>
        </w:rPr>
        <w:t xml:space="preserve">Module code: LCMB7002 </w:t>
      </w:r>
    </w:p>
    <w:p w14:paraId="7724D1AB" w14:textId="03633F36" w:rsidR="00AA240F" w:rsidRPr="003C1CFF" w:rsidRDefault="00AA240F" w:rsidP="001F3316">
      <w:pPr>
        <w:jc w:val="center"/>
        <w:rPr>
          <w:rFonts w:cs="Arial"/>
          <w:sz w:val="28"/>
          <w:szCs w:val="28"/>
        </w:rPr>
      </w:pPr>
      <w:r w:rsidRPr="003C1CFF">
        <w:rPr>
          <w:rFonts w:cs="Arial"/>
          <w:sz w:val="28"/>
          <w:szCs w:val="28"/>
        </w:rPr>
        <w:t>Assignment Title: Financial Analysis of General Electronics</w:t>
      </w:r>
    </w:p>
    <w:p w14:paraId="5A8C80BC" w14:textId="77777777" w:rsidR="00AA240F" w:rsidRPr="003C1CFF" w:rsidRDefault="00AA240F" w:rsidP="00AA240F">
      <w:pPr>
        <w:jc w:val="center"/>
        <w:rPr>
          <w:rFonts w:cs="Arial"/>
          <w:sz w:val="28"/>
          <w:szCs w:val="28"/>
        </w:rPr>
      </w:pPr>
    </w:p>
    <w:p w14:paraId="5B3390A0" w14:textId="13E09EC7" w:rsidR="00AA240F" w:rsidRPr="003C1CFF" w:rsidRDefault="00AA240F" w:rsidP="00AA240F">
      <w:pPr>
        <w:jc w:val="center"/>
        <w:rPr>
          <w:rFonts w:cs="Arial"/>
          <w:sz w:val="28"/>
          <w:szCs w:val="28"/>
        </w:rPr>
      </w:pPr>
      <w:r w:rsidRPr="003C1CFF">
        <w:rPr>
          <w:rFonts w:cs="Arial"/>
          <w:sz w:val="28"/>
          <w:szCs w:val="28"/>
        </w:rPr>
        <w:t xml:space="preserve">Student Name: </w:t>
      </w:r>
      <w:r w:rsidR="00A61585" w:rsidRPr="003C1CFF">
        <w:rPr>
          <w:rFonts w:cs="Arial"/>
          <w:sz w:val="28"/>
          <w:szCs w:val="28"/>
        </w:rPr>
        <w:t>Minuddin Sarker</w:t>
      </w:r>
    </w:p>
    <w:p w14:paraId="64402C47" w14:textId="158F56E2" w:rsidR="00AA240F" w:rsidRPr="003C1CFF" w:rsidRDefault="00AA240F" w:rsidP="00AA240F">
      <w:pPr>
        <w:jc w:val="center"/>
        <w:rPr>
          <w:rFonts w:cs="Arial"/>
          <w:sz w:val="28"/>
          <w:szCs w:val="28"/>
        </w:rPr>
      </w:pPr>
      <w:r w:rsidRPr="003C1CFF">
        <w:rPr>
          <w:rFonts w:cs="Arial"/>
          <w:sz w:val="28"/>
          <w:szCs w:val="28"/>
        </w:rPr>
        <w:t xml:space="preserve">Student ID: </w:t>
      </w:r>
      <w:r w:rsidR="00A61585" w:rsidRPr="003C1CFF">
        <w:rPr>
          <w:rFonts w:cs="Arial"/>
          <w:sz w:val="28"/>
          <w:szCs w:val="28"/>
        </w:rPr>
        <w:t>2503533</w:t>
      </w:r>
    </w:p>
    <w:p w14:paraId="0CEF9E0D" w14:textId="49E6EEA5" w:rsidR="00AA240F" w:rsidRPr="003C1CFF" w:rsidRDefault="00AA240F" w:rsidP="00AA240F">
      <w:pPr>
        <w:jc w:val="center"/>
        <w:rPr>
          <w:rFonts w:cs="Arial"/>
          <w:sz w:val="28"/>
          <w:szCs w:val="28"/>
        </w:rPr>
      </w:pPr>
      <w:r w:rsidRPr="003C1CFF">
        <w:rPr>
          <w:rFonts w:cs="Arial"/>
          <w:sz w:val="28"/>
          <w:szCs w:val="28"/>
        </w:rPr>
        <w:t xml:space="preserve">Lecturer: </w:t>
      </w:r>
      <w:r w:rsidR="00A61585" w:rsidRPr="003C1CFF">
        <w:rPr>
          <w:rFonts w:cs="Arial"/>
          <w:sz w:val="28"/>
          <w:szCs w:val="28"/>
        </w:rPr>
        <w:t>Isaiah Oino</w:t>
      </w:r>
    </w:p>
    <w:p w14:paraId="5444EAA7" w14:textId="77777777" w:rsidR="001F3316" w:rsidRPr="003C1CFF" w:rsidRDefault="001F3316" w:rsidP="00AA240F">
      <w:pPr>
        <w:jc w:val="center"/>
        <w:rPr>
          <w:rFonts w:cs="Arial"/>
          <w:sz w:val="28"/>
          <w:szCs w:val="28"/>
        </w:rPr>
      </w:pPr>
    </w:p>
    <w:p w14:paraId="14484EE5" w14:textId="77777777" w:rsidR="001F3316" w:rsidRDefault="001F3316" w:rsidP="00AA240F">
      <w:pPr>
        <w:jc w:val="center"/>
        <w:rPr>
          <w:rFonts w:cs="Arial"/>
          <w:sz w:val="28"/>
          <w:szCs w:val="28"/>
        </w:rPr>
      </w:pPr>
    </w:p>
    <w:p w14:paraId="4D4CCE66" w14:textId="77777777" w:rsidR="00F707B5" w:rsidRPr="003C1CFF" w:rsidRDefault="00F707B5" w:rsidP="00AA240F">
      <w:pPr>
        <w:jc w:val="center"/>
        <w:rPr>
          <w:rFonts w:cs="Arial"/>
          <w:sz w:val="28"/>
          <w:szCs w:val="28"/>
        </w:rPr>
      </w:pPr>
    </w:p>
    <w:sdt>
      <w:sdtPr>
        <w:rPr>
          <w:rFonts w:ascii="Arial" w:eastAsiaTheme="minorHAnsi" w:hAnsi="Arial" w:cs="Times New Roman"/>
          <w:color w:val="auto"/>
          <w:sz w:val="24"/>
          <w:szCs w:val="24"/>
        </w:rPr>
        <w:id w:val="1990436891"/>
        <w:docPartObj>
          <w:docPartGallery w:val="Table of Contents"/>
          <w:docPartUnique/>
        </w:docPartObj>
      </w:sdtPr>
      <w:sdtEndPr>
        <w:rPr>
          <w:b/>
          <w:bCs/>
          <w:noProof/>
        </w:rPr>
      </w:sdtEndPr>
      <w:sdtContent>
        <w:p w14:paraId="7A856593" w14:textId="476CFDD0" w:rsidR="00E1304C" w:rsidRPr="003C1CFF" w:rsidRDefault="00E1304C" w:rsidP="00634ECD">
          <w:pPr>
            <w:pStyle w:val="TOCHeading"/>
            <w:spacing w:line="240" w:lineRule="exact"/>
            <w:rPr>
              <w:color w:val="auto"/>
            </w:rPr>
          </w:pPr>
          <w:r w:rsidRPr="003C1CFF">
            <w:rPr>
              <w:color w:val="auto"/>
            </w:rPr>
            <w:t>Table of Contents</w:t>
          </w:r>
        </w:p>
        <w:p w14:paraId="6C865CBD" w14:textId="1061D9DC" w:rsidR="00634ECD" w:rsidRPr="003C1CFF" w:rsidRDefault="00E1304C" w:rsidP="00634ECD">
          <w:pPr>
            <w:pStyle w:val="TOC1"/>
            <w:tabs>
              <w:tab w:val="right" w:leader="dot" w:pos="9394"/>
            </w:tabs>
            <w:spacing w:line="240" w:lineRule="exact"/>
            <w:rPr>
              <w:rFonts w:asciiTheme="minorHAnsi" w:eastAsiaTheme="minorEastAsia" w:hAnsiTheme="minorHAnsi" w:cstheme="minorBidi"/>
              <w:noProof/>
              <w:sz w:val="22"/>
              <w:szCs w:val="22"/>
            </w:rPr>
          </w:pPr>
          <w:r w:rsidRPr="003C1CFF">
            <w:fldChar w:fldCharType="begin"/>
          </w:r>
          <w:r w:rsidRPr="003C1CFF">
            <w:instrText xml:space="preserve"> TOC \o "1-3" \h \z \u </w:instrText>
          </w:r>
          <w:r w:rsidRPr="003C1CFF">
            <w:fldChar w:fldCharType="separate"/>
          </w:r>
          <w:hyperlink w:anchor="_Toc217265189" w:history="1">
            <w:r w:rsidR="00634ECD" w:rsidRPr="003C1CFF">
              <w:rPr>
                <w:rStyle w:val="Hyperlink"/>
                <w:noProof/>
                <w:color w:val="auto"/>
              </w:rPr>
              <w:t>1.0 Introduction</w:t>
            </w:r>
            <w:r w:rsidR="00634ECD" w:rsidRPr="003C1CFF">
              <w:rPr>
                <w:noProof/>
                <w:webHidden/>
              </w:rPr>
              <w:tab/>
            </w:r>
            <w:r w:rsidR="00634ECD" w:rsidRPr="003C1CFF">
              <w:rPr>
                <w:noProof/>
                <w:webHidden/>
              </w:rPr>
              <w:fldChar w:fldCharType="begin"/>
            </w:r>
            <w:r w:rsidR="00634ECD" w:rsidRPr="003C1CFF">
              <w:rPr>
                <w:noProof/>
                <w:webHidden/>
              </w:rPr>
              <w:instrText xml:space="preserve"> PAGEREF _Toc217265189 \h </w:instrText>
            </w:r>
            <w:r w:rsidR="00634ECD" w:rsidRPr="003C1CFF">
              <w:rPr>
                <w:noProof/>
                <w:webHidden/>
              </w:rPr>
            </w:r>
            <w:r w:rsidR="00634ECD" w:rsidRPr="003C1CFF">
              <w:rPr>
                <w:noProof/>
                <w:webHidden/>
              </w:rPr>
              <w:fldChar w:fldCharType="separate"/>
            </w:r>
            <w:r w:rsidR="00634ECD" w:rsidRPr="003C1CFF">
              <w:rPr>
                <w:noProof/>
                <w:webHidden/>
              </w:rPr>
              <w:t>4</w:t>
            </w:r>
            <w:r w:rsidR="00634ECD" w:rsidRPr="003C1CFF">
              <w:rPr>
                <w:noProof/>
                <w:webHidden/>
              </w:rPr>
              <w:fldChar w:fldCharType="end"/>
            </w:r>
          </w:hyperlink>
        </w:p>
        <w:p w14:paraId="79A09D97" w14:textId="4530FB1E" w:rsidR="00634ECD" w:rsidRPr="003C1CFF" w:rsidRDefault="00634ECD" w:rsidP="00634ECD">
          <w:pPr>
            <w:pStyle w:val="TOC1"/>
            <w:tabs>
              <w:tab w:val="right" w:leader="dot" w:pos="9394"/>
            </w:tabs>
            <w:spacing w:line="240" w:lineRule="exact"/>
            <w:rPr>
              <w:rFonts w:asciiTheme="minorHAnsi" w:eastAsiaTheme="minorEastAsia" w:hAnsiTheme="minorHAnsi" w:cstheme="minorBidi"/>
              <w:noProof/>
              <w:sz w:val="22"/>
              <w:szCs w:val="22"/>
            </w:rPr>
          </w:pPr>
          <w:hyperlink w:anchor="_Toc217265190" w:history="1">
            <w:r w:rsidRPr="003C1CFF">
              <w:rPr>
                <w:rStyle w:val="Hyperlink"/>
                <w:noProof/>
                <w:color w:val="auto"/>
              </w:rPr>
              <w:t>2.0 Critical financial Health check and Ratio Analysis</w:t>
            </w:r>
            <w:r w:rsidRPr="003C1CFF">
              <w:rPr>
                <w:noProof/>
                <w:webHidden/>
              </w:rPr>
              <w:tab/>
            </w:r>
            <w:r w:rsidRPr="003C1CFF">
              <w:rPr>
                <w:noProof/>
                <w:webHidden/>
              </w:rPr>
              <w:fldChar w:fldCharType="begin"/>
            </w:r>
            <w:r w:rsidRPr="003C1CFF">
              <w:rPr>
                <w:noProof/>
                <w:webHidden/>
              </w:rPr>
              <w:instrText xml:space="preserve"> PAGEREF _Toc217265190 \h </w:instrText>
            </w:r>
            <w:r w:rsidRPr="003C1CFF">
              <w:rPr>
                <w:noProof/>
                <w:webHidden/>
              </w:rPr>
            </w:r>
            <w:r w:rsidRPr="003C1CFF">
              <w:rPr>
                <w:noProof/>
                <w:webHidden/>
              </w:rPr>
              <w:fldChar w:fldCharType="separate"/>
            </w:r>
            <w:r w:rsidRPr="003C1CFF">
              <w:rPr>
                <w:noProof/>
                <w:webHidden/>
              </w:rPr>
              <w:t>5</w:t>
            </w:r>
            <w:r w:rsidRPr="003C1CFF">
              <w:rPr>
                <w:noProof/>
                <w:webHidden/>
              </w:rPr>
              <w:fldChar w:fldCharType="end"/>
            </w:r>
          </w:hyperlink>
        </w:p>
        <w:p w14:paraId="21CAAF74" w14:textId="4905E384"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191" w:history="1">
            <w:r w:rsidRPr="003C1CFF">
              <w:rPr>
                <w:rStyle w:val="Hyperlink"/>
                <w:noProof/>
                <w:color w:val="auto"/>
              </w:rPr>
              <w:t>2.1 Dynamics of Profitability and Efficiency</w:t>
            </w:r>
            <w:r w:rsidRPr="003C1CFF">
              <w:rPr>
                <w:noProof/>
                <w:webHidden/>
              </w:rPr>
              <w:tab/>
            </w:r>
            <w:r w:rsidRPr="003C1CFF">
              <w:rPr>
                <w:noProof/>
                <w:webHidden/>
              </w:rPr>
              <w:fldChar w:fldCharType="begin"/>
            </w:r>
            <w:r w:rsidRPr="003C1CFF">
              <w:rPr>
                <w:noProof/>
                <w:webHidden/>
              </w:rPr>
              <w:instrText xml:space="preserve"> PAGEREF _Toc217265191 \h </w:instrText>
            </w:r>
            <w:r w:rsidRPr="003C1CFF">
              <w:rPr>
                <w:noProof/>
                <w:webHidden/>
              </w:rPr>
            </w:r>
            <w:r w:rsidRPr="003C1CFF">
              <w:rPr>
                <w:noProof/>
                <w:webHidden/>
              </w:rPr>
              <w:fldChar w:fldCharType="separate"/>
            </w:r>
            <w:r w:rsidRPr="003C1CFF">
              <w:rPr>
                <w:noProof/>
                <w:webHidden/>
              </w:rPr>
              <w:t>5</w:t>
            </w:r>
            <w:r w:rsidRPr="003C1CFF">
              <w:rPr>
                <w:noProof/>
                <w:webHidden/>
              </w:rPr>
              <w:fldChar w:fldCharType="end"/>
            </w:r>
          </w:hyperlink>
        </w:p>
        <w:p w14:paraId="77B9C9E2" w14:textId="78B3C310"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192" w:history="1">
            <w:r w:rsidRPr="003C1CFF">
              <w:rPr>
                <w:rStyle w:val="Hyperlink"/>
                <w:noProof/>
                <w:color w:val="auto"/>
              </w:rPr>
              <w:t>2.2 Liquidity and Cash Flow Dynamics</w:t>
            </w:r>
            <w:r w:rsidRPr="003C1CFF">
              <w:rPr>
                <w:noProof/>
                <w:webHidden/>
              </w:rPr>
              <w:tab/>
            </w:r>
            <w:r w:rsidRPr="003C1CFF">
              <w:rPr>
                <w:noProof/>
                <w:webHidden/>
              </w:rPr>
              <w:fldChar w:fldCharType="begin"/>
            </w:r>
            <w:r w:rsidRPr="003C1CFF">
              <w:rPr>
                <w:noProof/>
                <w:webHidden/>
              </w:rPr>
              <w:instrText xml:space="preserve"> PAGEREF _Toc217265192 \h </w:instrText>
            </w:r>
            <w:r w:rsidRPr="003C1CFF">
              <w:rPr>
                <w:noProof/>
                <w:webHidden/>
              </w:rPr>
            </w:r>
            <w:r w:rsidRPr="003C1CFF">
              <w:rPr>
                <w:noProof/>
                <w:webHidden/>
              </w:rPr>
              <w:fldChar w:fldCharType="separate"/>
            </w:r>
            <w:r w:rsidRPr="003C1CFF">
              <w:rPr>
                <w:noProof/>
                <w:webHidden/>
              </w:rPr>
              <w:t>6</w:t>
            </w:r>
            <w:r w:rsidRPr="003C1CFF">
              <w:rPr>
                <w:noProof/>
                <w:webHidden/>
              </w:rPr>
              <w:fldChar w:fldCharType="end"/>
            </w:r>
          </w:hyperlink>
        </w:p>
        <w:p w14:paraId="2D82CDA7" w14:textId="4975730E"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193" w:history="1">
            <w:r w:rsidRPr="003C1CFF">
              <w:rPr>
                <w:rStyle w:val="Hyperlink"/>
                <w:noProof/>
                <w:color w:val="auto"/>
              </w:rPr>
              <w:t>2.3 Gearing, Solvency, and Risk</w:t>
            </w:r>
            <w:r w:rsidRPr="003C1CFF">
              <w:rPr>
                <w:noProof/>
                <w:webHidden/>
              </w:rPr>
              <w:tab/>
            </w:r>
            <w:r w:rsidRPr="003C1CFF">
              <w:rPr>
                <w:noProof/>
                <w:webHidden/>
              </w:rPr>
              <w:fldChar w:fldCharType="begin"/>
            </w:r>
            <w:r w:rsidRPr="003C1CFF">
              <w:rPr>
                <w:noProof/>
                <w:webHidden/>
              </w:rPr>
              <w:instrText xml:space="preserve"> PAGEREF _Toc217265193 \h </w:instrText>
            </w:r>
            <w:r w:rsidRPr="003C1CFF">
              <w:rPr>
                <w:noProof/>
                <w:webHidden/>
              </w:rPr>
            </w:r>
            <w:r w:rsidRPr="003C1CFF">
              <w:rPr>
                <w:noProof/>
                <w:webHidden/>
              </w:rPr>
              <w:fldChar w:fldCharType="separate"/>
            </w:r>
            <w:r w:rsidRPr="003C1CFF">
              <w:rPr>
                <w:noProof/>
                <w:webHidden/>
              </w:rPr>
              <w:t>7</w:t>
            </w:r>
            <w:r w:rsidRPr="003C1CFF">
              <w:rPr>
                <w:noProof/>
                <w:webHidden/>
              </w:rPr>
              <w:fldChar w:fldCharType="end"/>
            </w:r>
          </w:hyperlink>
        </w:p>
        <w:p w14:paraId="0E183E89" w14:textId="23F6EB14"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194" w:history="1">
            <w:r w:rsidRPr="003C1CFF">
              <w:rPr>
                <w:rStyle w:val="Hyperlink"/>
                <w:noProof/>
                <w:color w:val="auto"/>
              </w:rPr>
              <w:t>2.4 Investor Confidence and Performance of Market.</w:t>
            </w:r>
            <w:r w:rsidRPr="003C1CFF">
              <w:rPr>
                <w:noProof/>
                <w:webHidden/>
              </w:rPr>
              <w:tab/>
            </w:r>
            <w:r w:rsidRPr="003C1CFF">
              <w:rPr>
                <w:noProof/>
                <w:webHidden/>
              </w:rPr>
              <w:fldChar w:fldCharType="begin"/>
            </w:r>
            <w:r w:rsidRPr="003C1CFF">
              <w:rPr>
                <w:noProof/>
                <w:webHidden/>
              </w:rPr>
              <w:instrText xml:space="preserve"> PAGEREF _Toc217265194 \h </w:instrText>
            </w:r>
            <w:r w:rsidRPr="003C1CFF">
              <w:rPr>
                <w:noProof/>
                <w:webHidden/>
              </w:rPr>
            </w:r>
            <w:r w:rsidRPr="003C1CFF">
              <w:rPr>
                <w:noProof/>
                <w:webHidden/>
              </w:rPr>
              <w:fldChar w:fldCharType="separate"/>
            </w:r>
            <w:r w:rsidRPr="003C1CFF">
              <w:rPr>
                <w:noProof/>
                <w:webHidden/>
              </w:rPr>
              <w:t>9</w:t>
            </w:r>
            <w:r w:rsidRPr="003C1CFF">
              <w:rPr>
                <w:noProof/>
                <w:webHidden/>
              </w:rPr>
              <w:fldChar w:fldCharType="end"/>
            </w:r>
          </w:hyperlink>
        </w:p>
        <w:p w14:paraId="5323D074" w14:textId="21A6BC2E"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195" w:history="1">
            <w:r w:rsidRPr="003C1CFF">
              <w:rPr>
                <w:rStyle w:val="Hyperlink"/>
                <w:noProof/>
                <w:color w:val="auto"/>
              </w:rPr>
              <w:t>2.5 Prediction of Corporate Failure</w:t>
            </w:r>
            <w:r w:rsidRPr="003C1CFF">
              <w:rPr>
                <w:noProof/>
                <w:webHidden/>
              </w:rPr>
              <w:tab/>
            </w:r>
            <w:r w:rsidRPr="003C1CFF">
              <w:rPr>
                <w:noProof/>
                <w:webHidden/>
              </w:rPr>
              <w:fldChar w:fldCharType="begin"/>
            </w:r>
            <w:r w:rsidRPr="003C1CFF">
              <w:rPr>
                <w:noProof/>
                <w:webHidden/>
              </w:rPr>
              <w:instrText xml:space="preserve"> PAGEREF _Toc217265195 \h </w:instrText>
            </w:r>
            <w:r w:rsidRPr="003C1CFF">
              <w:rPr>
                <w:noProof/>
                <w:webHidden/>
              </w:rPr>
            </w:r>
            <w:r w:rsidRPr="003C1CFF">
              <w:rPr>
                <w:noProof/>
                <w:webHidden/>
              </w:rPr>
              <w:fldChar w:fldCharType="separate"/>
            </w:r>
            <w:r w:rsidRPr="003C1CFF">
              <w:rPr>
                <w:noProof/>
                <w:webHidden/>
              </w:rPr>
              <w:t>9</w:t>
            </w:r>
            <w:r w:rsidRPr="003C1CFF">
              <w:rPr>
                <w:noProof/>
                <w:webHidden/>
              </w:rPr>
              <w:fldChar w:fldCharType="end"/>
            </w:r>
          </w:hyperlink>
        </w:p>
        <w:p w14:paraId="2000E54F" w14:textId="489327B2" w:rsidR="00634ECD" w:rsidRPr="003C1CFF" w:rsidRDefault="00634ECD" w:rsidP="00634ECD">
          <w:pPr>
            <w:pStyle w:val="TOC1"/>
            <w:tabs>
              <w:tab w:val="right" w:leader="dot" w:pos="9394"/>
            </w:tabs>
            <w:spacing w:line="240" w:lineRule="exact"/>
            <w:rPr>
              <w:rFonts w:asciiTheme="minorHAnsi" w:eastAsiaTheme="minorEastAsia" w:hAnsiTheme="minorHAnsi" w:cstheme="minorBidi"/>
              <w:noProof/>
              <w:sz w:val="22"/>
              <w:szCs w:val="22"/>
            </w:rPr>
          </w:pPr>
          <w:hyperlink w:anchor="_Toc217265196" w:history="1">
            <w:r w:rsidRPr="003C1CFF">
              <w:rPr>
                <w:rStyle w:val="Hyperlink"/>
                <w:noProof/>
                <w:color w:val="auto"/>
              </w:rPr>
              <w:t>3.0 Strategic Working Capital Management Analysis</w:t>
            </w:r>
            <w:r w:rsidRPr="003C1CFF">
              <w:rPr>
                <w:noProof/>
                <w:webHidden/>
              </w:rPr>
              <w:tab/>
            </w:r>
            <w:r w:rsidRPr="003C1CFF">
              <w:rPr>
                <w:noProof/>
                <w:webHidden/>
              </w:rPr>
              <w:fldChar w:fldCharType="begin"/>
            </w:r>
            <w:r w:rsidRPr="003C1CFF">
              <w:rPr>
                <w:noProof/>
                <w:webHidden/>
              </w:rPr>
              <w:instrText xml:space="preserve"> PAGEREF _Toc217265196 \h </w:instrText>
            </w:r>
            <w:r w:rsidRPr="003C1CFF">
              <w:rPr>
                <w:noProof/>
                <w:webHidden/>
              </w:rPr>
            </w:r>
            <w:r w:rsidRPr="003C1CFF">
              <w:rPr>
                <w:noProof/>
                <w:webHidden/>
              </w:rPr>
              <w:fldChar w:fldCharType="separate"/>
            </w:r>
            <w:r w:rsidRPr="003C1CFF">
              <w:rPr>
                <w:noProof/>
                <w:webHidden/>
              </w:rPr>
              <w:t>11</w:t>
            </w:r>
            <w:r w:rsidRPr="003C1CFF">
              <w:rPr>
                <w:noProof/>
                <w:webHidden/>
              </w:rPr>
              <w:fldChar w:fldCharType="end"/>
            </w:r>
          </w:hyperlink>
        </w:p>
        <w:p w14:paraId="5D69C224" w14:textId="45FB2C3A"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197" w:history="1">
            <w:r w:rsidRPr="003C1CFF">
              <w:rPr>
                <w:rStyle w:val="Hyperlink"/>
                <w:noProof/>
                <w:color w:val="auto"/>
              </w:rPr>
              <w:t>3.1 Cash Operating Cycle (COC) Diagnosis</w:t>
            </w:r>
            <w:r w:rsidRPr="003C1CFF">
              <w:rPr>
                <w:noProof/>
                <w:webHidden/>
              </w:rPr>
              <w:tab/>
            </w:r>
            <w:r w:rsidRPr="003C1CFF">
              <w:rPr>
                <w:noProof/>
                <w:webHidden/>
              </w:rPr>
              <w:fldChar w:fldCharType="begin"/>
            </w:r>
            <w:r w:rsidRPr="003C1CFF">
              <w:rPr>
                <w:noProof/>
                <w:webHidden/>
              </w:rPr>
              <w:instrText xml:space="preserve"> PAGEREF _Toc217265197 \h </w:instrText>
            </w:r>
            <w:r w:rsidRPr="003C1CFF">
              <w:rPr>
                <w:noProof/>
                <w:webHidden/>
              </w:rPr>
            </w:r>
            <w:r w:rsidRPr="003C1CFF">
              <w:rPr>
                <w:noProof/>
                <w:webHidden/>
              </w:rPr>
              <w:fldChar w:fldCharType="separate"/>
            </w:r>
            <w:r w:rsidRPr="003C1CFF">
              <w:rPr>
                <w:noProof/>
                <w:webHidden/>
              </w:rPr>
              <w:t>11</w:t>
            </w:r>
            <w:r w:rsidRPr="003C1CFF">
              <w:rPr>
                <w:noProof/>
                <w:webHidden/>
              </w:rPr>
              <w:fldChar w:fldCharType="end"/>
            </w:r>
          </w:hyperlink>
        </w:p>
        <w:p w14:paraId="3D49D2FE" w14:textId="3B196384"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198" w:history="1">
            <w:r w:rsidRPr="003C1CFF">
              <w:rPr>
                <w:rStyle w:val="Hyperlink"/>
                <w:noProof/>
                <w:color w:val="auto"/>
              </w:rPr>
              <w:t>3.2 Liquidity Enhancing Policies.</w:t>
            </w:r>
            <w:r w:rsidRPr="003C1CFF">
              <w:rPr>
                <w:noProof/>
                <w:webHidden/>
              </w:rPr>
              <w:tab/>
            </w:r>
            <w:r w:rsidRPr="003C1CFF">
              <w:rPr>
                <w:noProof/>
                <w:webHidden/>
              </w:rPr>
              <w:fldChar w:fldCharType="begin"/>
            </w:r>
            <w:r w:rsidRPr="003C1CFF">
              <w:rPr>
                <w:noProof/>
                <w:webHidden/>
              </w:rPr>
              <w:instrText xml:space="preserve"> PAGEREF _Toc217265198 \h </w:instrText>
            </w:r>
            <w:r w:rsidRPr="003C1CFF">
              <w:rPr>
                <w:noProof/>
                <w:webHidden/>
              </w:rPr>
            </w:r>
            <w:r w:rsidRPr="003C1CFF">
              <w:rPr>
                <w:noProof/>
                <w:webHidden/>
              </w:rPr>
              <w:fldChar w:fldCharType="separate"/>
            </w:r>
            <w:r w:rsidRPr="003C1CFF">
              <w:rPr>
                <w:noProof/>
                <w:webHidden/>
              </w:rPr>
              <w:t>12</w:t>
            </w:r>
            <w:r w:rsidRPr="003C1CFF">
              <w:rPr>
                <w:noProof/>
                <w:webHidden/>
              </w:rPr>
              <w:fldChar w:fldCharType="end"/>
            </w:r>
          </w:hyperlink>
        </w:p>
        <w:p w14:paraId="54303409" w14:textId="4E8AADB5"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199" w:history="1">
            <w:r w:rsidRPr="003C1CFF">
              <w:rPr>
                <w:rStyle w:val="Hyperlink"/>
                <w:noProof/>
                <w:color w:val="auto"/>
              </w:rPr>
              <w:t>3.3 Financing Mix Evaluation</w:t>
            </w:r>
            <w:r w:rsidRPr="003C1CFF">
              <w:rPr>
                <w:noProof/>
                <w:webHidden/>
              </w:rPr>
              <w:tab/>
            </w:r>
            <w:r w:rsidRPr="003C1CFF">
              <w:rPr>
                <w:noProof/>
                <w:webHidden/>
              </w:rPr>
              <w:fldChar w:fldCharType="begin"/>
            </w:r>
            <w:r w:rsidRPr="003C1CFF">
              <w:rPr>
                <w:noProof/>
                <w:webHidden/>
              </w:rPr>
              <w:instrText xml:space="preserve"> PAGEREF _Toc217265199 \h </w:instrText>
            </w:r>
            <w:r w:rsidRPr="003C1CFF">
              <w:rPr>
                <w:noProof/>
                <w:webHidden/>
              </w:rPr>
            </w:r>
            <w:r w:rsidRPr="003C1CFF">
              <w:rPr>
                <w:noProof/>
                <w:webHidden/>
              </w:rPr>
              <w:fldChar w:fldCharType="separate"/>
            </w:r>
            <w:r w:rsidRPr="003C1CFF">
              <w:rPr>
                <w:noProof/>
                <w:webHidden/>
              </w:rPr>
              <w:t>13</w:t>
            </w:r>
            <w:r w:rsidRPr="003C1CFF">
              <w:rPr>
                <w:noProof/>
                <w:webHidden/>
              </w:rPr>
              <w:fldChar w:fldCharType="end"/>
            </w:r>
          </w:hyperlink>
        </w:p>
        <w:p w14:paraId="58492E56" w14:textId="398150D9" w:rsidR="00634ECD" w:rsidRPr="003C1CFF" w:rsidRDefault="00634ECD" w:rsidP="00634ECD">
          <w:pPr>
            <w:pStyle w:val="TOC1"/>
            <w:tabs>
              <w:tab w:val="right" w:leader="dot" w:pos="9394"/>
            </w:tabs>
            <w:spacing w:line="240" w:lineRule="exact"/>
            <w:rPr>
              <w:rFonts w:asciiTheme="minorHAnsi" w:eastAsiaTheme="minorEastAsia" w:hAnsiTheme="minorHAnsi" w:cstheme="minorBidi"/>
              <w:noProof/>
              <w:sz w:val="22"/>
              <w:szCs w:val="22"/>
            </w:rPr>
          </w:pPr>
          <w:hyperlink w:anchor="_Toc217265200" w:history="1">
            <w:r w:rsidRPr="003C1CFF">
              <w:rPr>
                <w:rStyle w:val="Hyperlink"/>
                <w:noProof/>
                <w:color w:val="auto"/>
              </w:rPr>
              <w:t>4.0 Strategic Financial Restructuring Plan</w:t>
            </w:r>
            <w:r w:rsidRPr="003C1CFF">
              <w:rPr>
                <w:noProof/>
                <w:webHidden/>
              </w:rPr>
              <w:tab/>
            </w:r>
            <w:r w:rsidRPr="003C1CFF">
              <w:rPr>
                <w:noProof/>
                <w:webHidden/>
              </w:rPr>
              <w:fldChar w:fldCharType="begin"/>
            </w:r>
            <w:r w:rsidRPr="003C1CFF">
              <w:rPr>
                <w:noProof/>
                <w:webHidden/>
              </w:rPr>
              <w:instrText xml:space="preserve"> PAGEREF _Toc217265200 \h </w:instrText>
            </w:r>
            <w:r w:rsidRPr="003C1CFF">
              <w:rPr>
                <w:noProof/>
                <w:webHidden/>
              </w:rPr>
            </w:r>
            <w:r w:rsidRPr="003C1CFF">
              <w:rPr>
                <w:noProof/>
                <w:webHidden/>
              </w:rPr>
              <w:fldChar w:fldCharType="separate"/>
            </w:r>
            <w:r w:rsidRPr="003C1CFF">
              <w:rPr>
                <w:noProof/>
                <w:webHidden/>
              </w:rPr>
              <w:t>14</w:t>
            </w:r>
            <w:r w:rsidRPr="003C1CFF">
              <w:rPr>
                <w:noProof/>
                <w:webHidden/>
              </w:rPr>
              <w:fldChar w:fldCharType="end"/>
            </w:r>
          </w:hyperlink>
        </w:p>
        <w:p w14:paraId="0A8376C2" w14:textId="50066123"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201" w:history="1">
            <w:r w:rsidRPr="003C1CFF">
              <w:rPr>
                <w:rStyle w:val="Hyperlink"/>
                <w:noProof/>
                <w:color w:val="auto"/>
              </w:rPr>
              <w:t>4.1 Analysis of Restructuring Alternatives</w:t>
            </w:r>
            <w:r w:rsidRPr="003C1CFF">
              <w:rPr>
                <w:noProof/>
                <w:webHidden/>
              </w:rPr>
              <w:tab/>
            </w:r>
            <w:r w:rsidRPr="003C1CFF">
              <w:rPr>
                <w:noProof/>
                <w:webHidden/>
              </w:rPr>
              <w:fldChar w:fldCharType="begin"/>
            </w:r>
            <w:r w:rsidRPr="003C1CFF">
              <w:rPr>
                <w:noProof/>
                <w:webHidden/>
              </w:rPr>
              <w:instrText xml:space="preserve"> PAGEREF _Toc217265201 \h </w:instrText>
            </w:r>
            <w:r w:rsidRPr="003C1CFF">
              <w:rPr>
                <w:noProof/>
                <w:webHidden/>
              </w:rPr>
            </w:r>
            <w:r w:rsidRPr="003C1CFF">
              <w:rPr>
                <w:noProof/>
                <w:webHidden/>
              </w:rPr>
              <w:fldChar w:fldCharType="separate"/>
            </w:r>
            <w:r w:rsidRPr="003C1CFF">
              <w:rPr>
                <w:noProof/>
                <w:webHidden/>
              </w:rPr>
              <w:t>14</w:t>
            </w:r>
            <w:r w:rsidRPr="003C1CFF">
              <w:rPr>
                <w:noProof/>
                <w:webHidden/>
              </w:rPr>
              <w:fldChar w:fldCharType="end"/>
            </w:r>
          </w:hyperlink>
        </w:p>
        <w:p w14:paraId="706F97F6" w14:textId="75E1D7C9"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202" w:history="1">
            <w:r w:rsidRPr="003C1CFF">
              <w:rPr>
                <w:rStyle w:val="Hyperlink"/>
                <w:noProof/>
                <w:color w:val="auto"/>
              </w:rPr>
              <w:t>4.2 Stakeholder and Operation Impact</w:t>
            </w:r>
            <w:r w:rsidRPr="003C1CFF">
              <w:rPr>
                <w:noProof/>
                <w:webHidden/>
              </w:rPr>
              <w:tab/>
            </w:r>
            <w:r w:rsidRPr="003C1CFF">
              <w:rPr>
                <w:noProof/>
                <w:webHidden/>
              </w:rPr>
              <w:fldChar w:fldCharType="begin"/>
            </w:r>
            <w:r w:rsidRPr="003C1CFF">
              <w:rPr>
                <w:noProof/>
                <w:webHidden/>
              </w:rPr>
              <w:instrText xml:space="preserve"> PAGEREF _Toc217265202 \h </w:instrText>
            </w:r>
            <w:r w:rsidRPr="003C1CFF">
              <w:rPr>
                <w:noProof/>
                <w:webHidden/>
              </w:rPr>
            </w:r>
            <w:r w:rsidRPr="003C1CFF">
              <w:rPr>
                <w:noProof/>
                <w:webHidden/>
              </w:rPr>
              <w:fldChar w:fldCharType="separate"/>
            </w:r>
            <w:r w:rsidRPr="003C1CFF">
              <w:rPr>
                <w:noProof/>
                <w:webHidden/>
              </w:rPr>
              <w:t>15</w:t>
            </w:r>
            <w:r w:rsidRPr="003C1CFF">
              <w:rPr>
                <w:noProof/>
                <w:webHidden/>
              </w:rPr>
              <w:fldChar w:fldCharType="end"/>
            </w:r>
          </w:hyperlink>
        </w:p>
        <w:p w14:paraId="0425AE02" w14:textId="0D604ABF"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203" w:history="1">
            <w:r w:rsidRPr="003C1CFF">
              <w:rPr>
                <w:rStyle w:val="Hyperlink"/>
                <w:noProof/>
                <w:color w:val="auto"/>
              </w:rPr>
              <w:t>4.3 International and Community Concerns</w:t>
            </w:r>
            <w:r w:rsidRPr="003C1CFF">
              <w:rPr>
                <w:noProof/>
                <w:webHidden/>
              </w:rPr>
              <w:tab/>
            </w:r>
            <w:r w:rsidRPr="003C1CFF">
              <w:rPr>
                <w:noProof/>
                <w:webHidden/>
              </w:rPr>
              <w:fldChar w:fldCharType="begin"/>
            </w:r>
            <w:r w:rsidRPr="003C1CFF">
              <w:rPr>
                <w:noProof/>
                <w:webHidden/>
              </w:rPr>
              <w:instrText xml:space="preserve"> PAGEREF _Toc217265203 \h </w:instrText>
            </w:r>
            <w:r w:rsidRPr="003C1CFF">
              <w:rPr>
                <w:noProof/>
                <w:webHidden/>
              </w:rPr>
            </w:r>
            <w:r w:rsidRPr="003C1CFF">
              <w:rPr>
                <w:noProof/>
                <w:webHidden/>
              </w:rPr>
              <w:fldChar w:fldCharType="separate"/>
            </w:r>
            <w:r w:rsidRPr="003C1CFF">
              <w:rPr>
                <w:noProof/>
                <w:webHidden/>
              </w:rPr>
              <w:t>15</w:t>
            </w:r>
            <w:r w:rsidRPr="003C1CFF">
              <w:rPr>
                <w:noProof/>
                <w:webHidden/>
              </w:rPr>
              <w:fldChar w:fldCharType="end"/>
            </w:r>
          </w:hyperlink>
        </w:p>
        <w:p w14:paraId="34913D19" w14:textId="177B3914" w:rsidR="00634ECD" w:rsidRPr="003C1CFF" w:rsidRDefault="00634ECD" w:rsidP="00634ECD">
          <w:pPr>
            <w:pStyle w:val="TOC1"/>
            <w:tabs>
              <w:tab w:val="right" w:leader="dot" w:pos="9394"/>
            </w:tabs>
            <w:spacing w:line="240" w:lineRule="exact"/>
            <w:rPr>
              <w:rFonts w:asciiTheme="minorHAnsi" w:eastAsiaTheme="minorEastAsia" w:hAnsiTheme="minorHAnsi" w:cstheme="minorBidi"/>
              <w:noProof/>
              <w:sz w:val="22"/>
              <w:szCs w:val="22"/>
            </w:rPr>
          </w:pPr>
          <w:hyperlink w:anchor="_Toc217265204" w:history="1">
            <w:r w:rsidRPr="003C1CFF">
              <w:rPr>
                <w:rStyle w:val="Hyperlink"/>
                <w:noProof/>
                <w:color w:val="auto"/>
              </w:rPr>
              <w:t>5.0 Investment Appraisal and Capital Budgeting</w:t>
            </w:r>
            <w:r w:rsidRPr="003C1CFF">
              <w:rPr>
                <w:noProof/>
                <w:webHidden/>
              </w:rPr>
              <w:tab/>
            </w:r>
            <w:r w:rsidRPr="003C1CFF">
              <w:rPr>
                <w:noProof/>
                <w:webHidden/>
              </w:rPr>
              <w:fldChar w:fldCharType="begin"/>
            </w:r>
            <w:r w:rsidRPr="003C1CFF">
              <w:rPr>
                <w:noProof/>
                <w:webHidden/>
              </w:rPr>
              <w:instrText xml:space="preserve"> PAGEREF _Toc217265204 \h </w:instrText>
            </w:r>
            <w:r w:rsidRPr="003C1CFF">
              <w:rPr>
                <w:noProof/>
                <w:webHidden/>
              </w:rPr>
            </w:r>
            <w:r w:rsidRPr="003C1CFF">
              <w:rPr>
                <w:noProof/>
                <w:webHidden/>
              </w:rPr>
              <w:fldChar w:fldCharType="separate"/>
            </w:r>
            <w:r w:rsidRPr="003C1CFF">
              <w:rPr>
                <w:noProof/>
                <w:webHidden/>
              </w:rPr>
              <w:t>17</w:t>
            </w:r>
            <w:r w:rsidRPr="003C1CFF">
              <w:rPr>
                <w:noProof/>
                <w:webHidden/>
              </w:rPr>
              <w:fldChar w:fldCharType="end"/>
            </w:r>
          </w:hyperlink>
        </w:p>
        <w:p w14:paraId="42E1AEAA" w14:textId="6BD431F4"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205" w:history="1">
            <w:r w:rsidRPr="003C1CFF">
              <w:rPr>
                <w:rStyle w:val="Hyperlink"/>
                <w:noProof/>
                <w:color w:val="auto"/>
              </w:rPr>
              <w:t>5.1 Investment Appraisal Method</w:t>
            </w:r>
            <w:r w:rsidRPr="003C1CFF">
              <w:rPr>
                <w:noProof/>
                <w:webHidden/>
              </w:rPr>
              <w:tab/>
            </w:r>
            <w:r w:rsidRPr="003C1CFF">
              <w:rPr>
                <w:noProof/>
                <w:webHidden/>
              </w:rPr>
              <w:fldChar w:fldCharType="begin"/>
            </w:r>
            <w:r w:rsidRPr="003C1CFF">
              <w:rPr>
                <w:noProof/>
                <w:webHidden/>
              </w:rPr>
              <w:instrText xml:space="preserve"> PAGEREF _Toc217265205 \h </w:instrText>
            </w:r>
            <w:r w:rsidRPr="003C1CFF">
              <w:rPr>
                <w:noProof/>
                <w:webHidden/>
              </w:rPr>
            </w:r>
            <w:r w:rsidRPr="003C1CFF">
              <w:rPr>
                <w:noProof/>
                <w:webHidden/>
              </w:rPr>
              <w:fldChar w:fldCharType="separate"/>
            </w:r>
            <w:r w:rsidRPr="003C1CFF">
              <w:rPr>
                <w:noProof/>
                <w:webHidden/>
              </w:rPr>
              <w:t>17</w:t>
            </w:r>
            <w:r w:rsidRPr="003C1CFF">
              <w:rPr>
                <w:noProof/>
                <w:webHidden/>
              </w:rPr>
              <w:fldChar w:fldCharType="end"/>
            </w:r>
          </w:hyperlink>
        </w:p>
        <w:p w14:paraId="66F68DA4" w14:textId="162DDAF7"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206" w:history="1">
            <w:r w:rsidRPr="003C1CFF">
              <w:rPr>
                <w:rStyle w:val="Hyperlink"/>
                <w:noProof/>
                <w:color w:val="auto"/>
              </w:rPr>
              <w:t>5.2 Comparative Projects Analysis of Projects A, B, and C</w:t>
            </w:r>
            <w:r w:rsidRPr="003C1CFF">
              <w:rPr>
                <w:noProof/>
                <w:webHidden/>
              </w:rPr>
              <w:tab/>
            </w:r>
            <w:r w:rsidRPr="003C1CFF">
              <w:rPr>
                <w:noProof/>
                <w:webHidden/>
              </w:rPr>
              <w:fldChar w:fldCharType="begin"/>
            </w:r>
            <w:r w:rsidRPr="003C1CFF">
              <w:rPr>
                <w:noProof/>
                <w:webHidden/>
              </w:rPr>
              <w:instrText xml:space="preserve"> PAGEREF _Toc217265206 \h </w:instrText>
            </w:r>
            <w:r w:rsidRPr="003C1CFF">
              <w:rPr>
                <w:noProof/>
                <w:webHidden/>
              </w:rPr>
            </w:r>
            <w:r w:rsidRPr="003C1CFF">
              <w:rPr>
                <w:noProof/>
                <w:webHidden/>
              </w:rPr>
              <w:fldChar w:fldCharType="separate"/>
            </w:r>
            <w:r w:rsidRPr="003C1CFF">
              <w:rPr>
                <w:noProof/>
                <w:webHidden/>
              </w:rPr>
              <w:t>17</w:t>
            </w:r>
            <w:r w:rsidRPr="003C1CFF">
              <w:rPr>
                <w:noProof/>
                <w:webHidden/>
              </w:rPr>
              <w:fldChar w:fldCharType="end"/>
            </w:r>
          </w:hyperlink>
        </w:p>
        <w:p w14:paraId="1BA4BD46" w14:textId="7D265F9B"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207" w:history="1">
            <w:r w:rsidRPr="003C1CFF">
              <w:rPr>
                <w:rStyle w:val="Hyperlink"/>
                <w:noProof/>
                <w:color w:val="auto"/>
              </w:rPr>
              <w:t>5.3 Capital Rationing Decision (£60m Constraint)</w:t>
            </w:r>
            <w:r w:rsidRPr="003C1CFF">
              <w:rPr>
                <w:noProof/>
                <w:webHidden/>
              </w:rPr>
              <w:tab/>
            </w:r>
            <w:r w:rsidRPr="003C1CFF">
              <w:rPr>
                <w:noProof/>
                <w:webHidden/>
              </w:rPr>
              <w:fldChar w:fldCharType="begin"/>
            </w:r>
            <w:r w:rsidRPr="003C1CFF">
              <w:rPr>
                <w:noProof/>
                <w:webHidden/>
              </w:rPr>
              <w:instrText xml:space="preserve"> PAGEREF _Toc217265207 \h </w:instrText>
            </w:r>
            <w:r w:rsidRPr="003C1CFF">
              <w:rPr>
                <w:noProof/>
                <w:webHidden/>
              </w:rPr>
            </w:r>
            <w:r w:rsidRPr="003C1CFF">
              <w:rPr>
                <w:noProof/>
                <w:webHidden/>
              </w:rPr>
              <w:fldChar w:fldCharType="separate"/>
            </w:r>
            <w:r w:rsidRPr="003C1CFF">
              <w:rPr>
                <w:noProof/>
                <w:webHidden/>
              </w:rPr>
              <w:t>18</w:t>
            </w:r>
            <w:r w:rsidRPr="003C1CFF">
              <w:rPr>
                <w:noProof/>
                <w:webHidden/>
              </w:rPr>
              <w:fldChar w:fldCharType="end"/>
            </w:r>
          </w:hyperlink>
        </w:p>
        <w:p w14:paraId="19FDE11A" w14:textId="4B8B18E0"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208" w:history="1">
            <w:r w:rsidRPr="003C1CFF">
              <w:rPr>
                <w:rStyle w:val="Hyperlink"/>
                <w:noProof/>
                <w:color w:val="auto"/>
              </w:rPr>
              <w:t>5.4 risk assessment and Final recommendation</w:t>
            </w:r>
            <w:r w:rsidRPr="003C1CFF">
              <w:rPr>
                <w:noProof/>
                <w:webHidden/>
              </w:rPr>
              <w:tab/>
            </w:r>
            <w:r w:rsidRPr="003C1CFF">
              <w:rPr>
                <w:noProof/>
                <w:webHidden/>
              </w:rPr>
              <w:fldChar w:fldCharType="begin"/>
            </w:r>
            <w:r w:rsidRPr="003C1CFF">
              <w:rPr>
                <w:noProof/>
                <w:webHidden/>
              </w:rPr>
              <w:instrText xml:space="preserve"> PAGEREF _Toc217265208 \h </w:instrText>
            </w:r>
            <w:r w:rsidRPr="003C1CFF">
              <w:rPr>
                <w:noProof/>
                <w:webHidden/>
              </w:rPr>
            </w:r>
            <w:r w:rsidRPr="003C1CFF">
              <w:rPr>
                <w:noProof/>
                <w:webHidden/>
              </w:rPr>
              <w:fldChar w:fldCharType="separate"/>
            </w:r>
            <w:r w:rsidRPr="003C1CFF">
              <w:rPr>
                <w:noProof/>
                <w:webHidden/>
              </w:rPr>
              <w:t>19</w:t>
            </w:r>
            <w:r w:rsidRPr="003C1CFF">
              <w:rPr>
                <w:noProof/>
                <w:webHidden/>
              </w:rPr>
              <w:fldChar w:fldCharType="end"/>
            </w:r>
          </w:hyperlink>
        </w:p>
        <w:p w14:paraId="3BB15E8A" w14:textId="67AF8597" w:rsidR="00634ECD" w:rsidRPr="003C1CFF" w:rsidRDefault="00634ECD" w:rsidP="00634ECD">
          <w:pPr>
            <w:pStyle w:val="TOC1"/>
            <w:tabs>
              <w:tab w:val="right" w:leader="dot" w:pos="9394"/>
            </w:tabs>
            <w:spacing w:line="240" w:lineRule="exact"/>
            <w:rPr>
              <w:rFonts w:asciiTheme="minorHAnsi" w:eastAsiaTheme="minorEastAsia" w:hAnsiTheme="minorHAnsi" w:cstheme="minorBidi"/>
              <w:noProof/>
              <w:sz w:val="22"/>
              <w:szCs w:val="22"/>
            </w:rPr>
          </w:pPr>
          <w:hyperlink w:anchor="_Toc217265209" w:history="1">
            <w:r w:rsidRPr="003C1CFF">
              <w:rPr>
                <w:rStyle w:val="Hyperlink"/>
                <w:noProof/>
                <w:color w:val="auto"/>
              </w:rPr>
              <w:t>6.0 Conclusion and Recommendations</w:t>
            </w:r>
            <w:r w:rsidRPr="003C1CFF">
              <w:rPr>
                <w:noProof/>
                <w:webHidden/>
              </w:rPr>
              <w:tab/>
            </w:r>
            <w:r w:rsidRPr="003C1CFF">
              <w:rPr>
                <w:noProof/>
                <w:webHidden/>
              </w:rPr>
              <w:fldChar w:fldCharType="begin"/>
            </w:r>
            <w:r w:rsidRPr="003C1CFF">
              <w:rPr>
                <w:noProof/>
                <w:webHidden/>
              </w:rPr>
              <w:instrText xml:space="preserve"> PAGEREF _Toc217265209 \h </w:instrText>
            </w:r>
            <w:r w:rsidRPr="003C1CFF">
              <w:rPr>
                <w:noProof/>
                <w:webHidden/>
              </w:rPr>
            </w:r>
            <w:r w:rsidRPr="003C1CFF">
              <w:rPr>
                <w:noProof/>
                <w:webHidden/>
              </w:rPr>
              <w:fldChar w:fldCharType="separate"/>
            </w:r>
            <w:r w:rsidRPr="003C1CFF">
              <w:rPr>
                <w:noProof/>
                <w:webHidden/>
              </w:rPr>
              <w:t>20</w:t>
            </w:r>
            <w:r w:rsidRPr="003C1CFF">
              <w:rPr>
                <w:noProof/>
                <w:webHidden/>
              </w:rPr>
              <w:fldChar w:fldCharType="end"/>
            </w:r>
          </w:hyperlink>
        </w:p>
        <w:p w14:paraId="1E84A189" w14:textId="13215E67" w:rsidR="00634ECD" w:rsidRPr="003C1CFF" w:rsidRDefault="00634ECD" w:rsidP="00634ECD">
          <w:pPr>
            <w:pStyle w:val="TOC1"/>
            <w:tabs>
              <w:tab w:val="right" w:leader="dot" w:pos="9394"/>
            </w:tabs>
            <w:spacing w:line="240" w:lineRule="exact"/>
            <w:rPr>
              <w:rFonts w:asciiTheme="minorHAnsi" w:eastAsiaTheme="minorEastAsia" w:hAnsiTheme="minorHAnsi" w:cstheme="minorBidi"/>
              <w:noProof/>
              <w:sz w:val="22"/>
              <w:szCs w:val="22"/>
            </w:rPr>
          </w:pPr>
          <w:hyperlink w:anchor="_Toc217265210" w:history="1">
            <w:r w:rsidRPr="003C1CFF">
              <w:rPr>
                <w:rStyle w:val="Hyperlink"/>
                <w:noProof/>
                <w:color w:val="auto"/>
              </w:rPr>
              <w:t>References</w:t>
            </w:r>
            <w:r w:rsidRPr="003C1CFF">
              <w:rPr>
                <w:noProof/>
                <w:webHidden/>
              </w:rPr>
              <w:tab/>
            </w:r>
            <w:r w:rsidRPr="003C1CFF">
              <w:rPr>
                <w:noProof/>
                <w:webHidden/>
              </w:rPr>
              <w:fldChar w:fldCharType="begin"/>
            </w:r>
            <w:r w:rsidRPr="003C1CFF">
              <w:rPr>
                <w:noProof/>
                <w:webHidden/>
              </w:rPr>
              <w:instrText xml:space="preserve"> PAGEREF _Toc217265210 \h </w:instrText>
            </w:r>
            <w:r w:rsidRPr="003C1CFF">
              <w:rPr>
                <w:noProof/>
                <w:webHidden/>
              </w:rPr>
            </w:r>
            <w:r w:rsidRPr="003C1CFF">
              <w:rPr>
                <w:noProof/>
                <w:webHidden/>
              </w:rPr>
              <w:fldChar w:fldCharType="separate"/>
            </w:r>
            <w:r w:rsidRPr="003C1CFF">
              <w:rPr>
                <w:noProof/>
                <w:webHidden/>
              </w:rPr>
              <w:t>21</w:t>
            </w:r>
            <w:r w:rsidRPr="003C1CFF">
              <w:rPr>
                <w:noProof/>
                <w:webHidden/>
              </w:rPr>
              <w:fldChar w:fldCharType="end"/>
            </w:r>
          </w:hyperlink>
        </w:p>
        <w:p w14:paraId="6135D098" w14:textId="08DA494D" w:rsidR="00634ECD" w:rsidRPr="003C1CFF" w:rsidRDefault="00634ECD" w:rsidP="00634ECD">
          <w:pPr>
            <w:pStyle w:val="TOC1"/>
            <w:tabs>
              <w:tab w:val="right" w:leader="dot" w:pos="9394"/>
            </w:tabs>
            <w:spacing w:line="240" w:lineRule="exact"/>
            <w:rPr>
              <w:rFonts w:asciiTheme="minorHAnsi" w:eastAsiaTheme="minorEastAsia" w:hAnsiTheme="minorHAnsi" w:cstheme="minorBidi"/>
              <w:noProof/>
              <w:sz w:val="22"/>
              <w:szCs w:val="22"/>
            </w:rPr>
          </w:pPr>
          <w:hyperlink w:anchor="_Toc217265211" w:history="1">
            <w:r w:rsidRPr="003C1CFF">
              <w:rPr>
                <w:rStyle w:val="Hyperlink"/>
                <w:noProof/>
                <w:color w:val="auto"/>
              </w:rPr>
              <w:t>Appendices</w:t>
            </w:r>
            <w:r w:rsidRPr="003C1CFF">
              <w:rPr>
                <w:noProof/>
                <w:webHidden/>
              </w:rPr>
              <w:tab/>
            </w:r>
            <w:r w:rsidRPr="003C1CFF">
              <w:rPr>
                <w:noProof/>
                <w:webHidden/>
              </w:rPr>
              <w:fldChar w:fldCharType="begin"/>
            </w:r>
            <w:r w:rsidRPr="003C1CFF">
              <w:rPr>
                <w:noProof/>
                <w:webHidden/>
              </w:rPr>
              <w:instrText xml:space="preserve"> PAGEREF _Toc217265211 \h </w:instrText>
            </w:r>
            <w:r w:rsidRPr="003C1CFF">
              <w:rPr>
                <w:noProof/>
                <w:webHidden/>
              </w:rPr>
            </w:r>
            <w:r w:rsidRPr="003C1CFF">
              <w:rPr>
                <w:noProof/>
                <w:webHidden/>
              </w:rPr>
              <w:fldChar w:fldCharType="separate"/>
            </w:r>
            <w:r w:rsidRPr="003C1CFF">
              <w:rPr>
                <w:noProof/>
                <w:webHidden/>
              </w:rPr>
              <w:t>25</w:t>
            </w:r>
            <w:r w:rsidRPr="003C1CFF">
              <w:rPr>
                <w:noProof/>
                <w:webHidden/>
              </w:rPr>
              <w:fldChar w:fldCharType="end"/>
            </w:r>
          </w:hyperlink>
        </w:p>
        <w:p w14:paraId="68905087" w14:textId="7DDF3B27"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212" w:history="1">
            <w:r w:rsidRPr="003C1CFF">
              <w:rPr>
                <w:rStyle w:val="Hyperlink"/>
                <w:noProof/>
                <w:color w:val="auto"/>
              </w:rPr>
              <w:t>Appendix A: Financial Statement Analysis</w:t>
            </w:r>
            <w:r w:rsidRPr="003C1CFF">
              <w:rPr>
                <w:noProof/>
                <w:webHidden/>
              </w:rPr>
              <w:tab/>
            </w:r>
            <w:r w:rsidRPr="003C1CFF">
              <w:rPr>
                <w:noProof/>
                <w:webHidden/>
              </w:rPr>
              <w:fldChar w:fldCharType="begin"/>
            </w:r>
            <w:r w:rsidRPr="003C1CFF">
              <w:rPr>
                <w:noProof/>
                <w:webHidden/>
              </w:rPr>
              <w:instrText xml:space="preserve"> PAGEREF _Toc217265212 \h </w:instrText>
            </w:r>
            <w:r w:rsidRPr="003C1CFF">
              <w:rPr>
                <w:noProof/>
                <w:webHidden/>
              </w:rPr>
            </w:r>
            <w:r w:rsidRPr="003C1CFF">
              <w:rPr>
                <w:noProof/>
                <w:webHidden/>
              </w:rPr>
              <w:fldChar w:fldCharType="separate"/>
            </w:r>
            <w:r w:rsidRPr="003C1CFF">
              <w:rPr>
                <w:noProof/>
                <w:webHidden/>
              </w:rPr>
              <w:t>25</w:t>
            </w:r>
            <w:r w:rsidRPr="003C1CFF">
              <w:rPr>
                <w:noProof/>
                <w:webHidden/>
              </w:rPr>
              <w:fldChar w:fldCharType="end"/>
            </w:r>
          </w:hyperlink>
        </w:p>
        <w:p w14:paraId="036E27CF" w14:textId="1606036C"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213" w:history="1">
            <w:r w:rsidRPr="003C1CFF">
              <w:rPr>
                <w:rStyle w:val="Hyperlink"/>
                <w:noProof/>
                <w:color w:val="auto"/>
              </w:rPr>
              <w:t>Appendix B: Comprehensive Financial Ratio Analysis</w:t>
            </w:r>
            <w:r w:rsidRPr="003C1CFF">
              <w:rPr>
                <w:noProof/>
                <w:webHidden/>
              </w:rPr>
              <w:tab/>
            </w:r>
            <w:r w:rsidRPr="003C1CFF">
              <w:rPr>
                <w:noProof/>
                <w:webHidden/>
              </w:rPr>
              <w:fldChar w:fldCharType="begin"/>
            </w:r>
            <w:r w:rsidRPr="003C1CFF">
              <w:rPr>
                <w:noProof/>
                <w:webHidden/>
              </w:rPr>
              <w:instrText xml:space="preserve"> PAGEREF _Toc217265213 \h </w:instrText>
            </w:r>
            <w:r w:rsidRPr="003C1CFF">
              <w:rPr>
                <w:noProof/>
                <w:webHidden/>
              </w:rPr>
            </w:r>
            <w:r w:rsidRPr="003C1CFF">
              <w:rPr>
                <w:noProof/>
                <w:webHidden/>
              </w:rPr>
              <w:fldChar w:fldCharType="separate"/>
            </w:r>
            <w:r w:rsidRPr="003C1CFF">
              <w:rPr>
                <w:noProof/>
                <w:webHidden/>
              </w:rPr>
              <w:t>27</w:t>
            </w:r>
            <w:r w:rsidRPr="003C1CFF">
              <w:rPr>
                <w:noProof/>
                <w:webHidden/>
              </w:rPr>
              <w:fldChar w:fldCharType="end"/>
            </w:r>
          </w:hyperlink>
        </w:p>
        <w:p w14:paraId="33F9DEBB" w14:textId="4EAAD0EA"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214" w:history="1">
            <w:r w:rsidRPr="003C1CFF">
              <w:rPr>
                <w:rStyle w:val="Hyperlink"/>
                <w:noProof/>
                <w:color w:val="auto"/>
              </w:rPr>
              <w:t>Appendix C: Corporate Failure Prediction (Detailed Altman Z-Score)</w:t>
            </w:r>
            <w:r w:rsidRPr="003C1CFF">
              <w:rPr>
                <w:noProof/>
                <w:webHidden/>
              </w:rPr>
              <w:tab/>
            </w:r>
            <w:r w:rsidRPr="003C1CFF">
              <w:rPr>
                <w:noProof/>
                <w:webHidden/>
              </w:rPr>
              <w:fldChar w:fldCharType="begin"/>
            </w:r>
            <w:r w:rsidRPr="003C1CFF">
              <w:rPr>
                <w:noProof/>
                <w:webHidden/>
              </w:rPr>
              <w:instrText xml:space="preserve"> PAGEREF _Toc217265214 \h </w:instrText>
            </w:r>
            <w:r w:rsidRPr="003C1CFF">
              <w:rPr>
                <w:noProof/>
                <w:webHidden/>
              </w:rPr>
            </w:r>
            <w:r w:rsidRPr="003C1CFF">
              <w:rPr>
                <w:noProof/>
                <w:webHidden/>
              </w:rPr>
              <w:fldChar w:fldCharType="separate"/>
            </w:r>
            <w:r w:rsidRPr="003C1CFF">
              <w:rPr>
                <w:noProof/>
                <w:webHidden/>
              </w:rPr>
              <w:t>31</w:t>
            </w:r>
            <w:r w:rsidRPr="003C1CFF">
              <w:rPr>
                <w:noProof/>
                <w:webHidden/>
              </w:rPr>
              <w:fldChar w:fldCharType="end"/>
            </w:r>
          </w:hyperlink>
        </w:p>
        <w:p w14:paraId="13E27E0F" w14:textId="27CCF552"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215" w:history="1">
            <w:r w:rsidRPr="003C1CFF">
              <w:rPr>
                <w:rStyle w:val="Hyperlink"/>
                <w:noProof/>
                <w:color w:val="auto"/>
              </w:rPr>
              <w:t>Appendix D: Working Capital Management Cycle</w:t>
            </w:r>
            <w:r w:rsidRPr="003C1CFF">
              <w:rPr>
                <w:noProof/>
                <w:webHidden/>
              </w:rPr>
              <w:tab/>
            </w:r>
            <w:r w:rsidRPr="003C1CFF">
              <w:rPr>
                <w:noProof/>
                <w:webHidden/>
              </w:rPr>
              <w:fldChar w:fldCharType="begin"/>
            </w:r>
            <w:r w:rsidRPr="003C1CFF">
              <w:rPr>
                <w:noProof/>
                <w:webHidden/>
              </w:rPr>
              <w:instrText xml:space="preserve"> PAGEREF _Toc217265215 \h </w:instrText>
            </w:r>
            <w:r w:rsidRPr="003C1CFF">
              <w:rPr>
                <w:noProof/>
                <w:webHidden/>
              </w:rPr>
            </w:r>
            <w:r w:rsidRPr="003C1CFF">
              <w:rPr>
                <w:noProof/>
                <w:webHidden/>
              </w:rPr>
              <w:fldChar w:fldCharType="separate"/>
            </w:r>
            <w:r w:rsidRPr="003C1CFF">
              <w:rPr>
                <w:noProof/>
                <w:webHidden/>
              </w:rPr>
              <w:t>33</w:t>
            </w:r>
            <w:r w:rsidRPr="003C1CFF">
              <w:rPr>
                <w:noProof/>
                <w:webHidden/>
              </w:rPr>
              <w:fldChar w:fldCharType="end"/>
            </w:r>
          </w:hyperlink>
        </w:p>
        <w:p w14:paraId="730ABBEB" w14:textId="61521937"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216" w:history="1">
            <w:r w:rsidRPr="003C1CFF">
              <w:rPr>
                <w:rStyle w:val="Hyperlink"/>
                <w:noProof/>
                <w:color w:val="auto"/>
              </w:rPr>
              <w:t>Appendix E: Investment Appraisal and Capital Budgeting</w:t>
            </w:r>
            <w:r w:rsidRPr="003C1CFF">
              <w:rPr>
                <w:noProof/>
                <w:webHidden/>
              </w:rPr>
              <w:tab/>
            </w:r>
            <w:r w:rsidRPr="003C1CFF">
              <w:rPr>
                <w:noProof/>
                <w:webHidden/>
              </w:rPr>
              <w:fldChar w:fldCharType="begin"/>
            </w:r>
            <w:r w:rsidRPr="003C1CFF">
              <w:rPr>
                <w:noProof/>
                <w:webHidden/>
              </w:rPr>
              <w:instrText xml:space="preserve"> PAGEREF _Toc217265216 \h </w:instrText>
            </w:r>
            <w:r w:rsidRPr="003C1CFF">
              <w:rPr>
                <w:noProof/>
                <w:webHidden/>
              </w:rPr>
            </w:r>
            <w:r w:rsidRPr="003C1CFF">
              <w:rPr>
                <w:noProof/>
                <w:webHidden/>
              </w:rPr>
              <w:fldChar w:fldCharType="separate"/>
            </w:r>
            <w:r w:rsidRPr="003C1CFF">
              <w:rPr>
                <w:noProof/>
                <w:webHidden/>
              </w:rPr>
              <w:t>35</w:t>
            </w:r>
            <w:r w:rsidRPr="003C1CFF">
              <w:rPr>
                <w:noProof/>
                <w:webHidden/>
              </w:rPr>
              <w:fldChar w:fldCharType="end"/>
            </w:r>
          </w:hyperlink>
        </w:p>
        <w:p w14:paraId="7DD82898" w14:textId="1C81A273" w:rsidR="00634ECD" w:rsidRPr="003C1CFF" w:rsidRDefault="00634ECD" w:rsidP="00634ECD">
          <w:pPr>
            <w:pStyle w:val="TOC2"/>
            <w:tabs>
              <w:tab w:val="right" w:leader="dot" w:pos="9394"/>
            </w:tabs>
            <w:spacing w:line="240" w:lineRule="exact"/>
            <w:rPr>
              <w:rFonts w:asciiTheme="minorHAnsi" w:eastAsiaTheme="minorEastAsia" w:hAnsiTheme="minorHAnsi" w:cstheme="minorBidi"/>
              <w:noProof/>
              <w:sz w:val="22"/>
              <w:szCs w:val="22"/>
            </w:rPr>
          </w:pPr>
          <w:hyperlink w:anchor="_Toc217265217" w:history="1">
            <w:r w:rsidRPr="003C1CFF">
              <w:rPr>
                <w:rStyle w:val="Hyperlink"/>
                <w:noProof/>
                <w:color w:val="auto"/>
              </w:rPr>
              <w:t>Appendix F: Methodology and Data Verification</w:t>
            </w:r>
            <w:r w:rsidRPr="003C1CFF">
              <w:rPr>
                <w:noProof/>
                <w:webHidden/>
              </w:rPr>
              <w:tab/>
            </w:r>
            <w:r w:rsidRPr="003C1CFF">
              <w:rPr>
                <w:noProof/>
                <w:webHidden/>
              </w:rPr>
              <w:fldChar w:fldCharType="begin"/>
            </w:r>
            <w:r w:rsidRPr="003C1CFF">
              <w:rPr>
                <w:noProof/>
                <w:webHidden/>
              </w:rPr>
              <w:instrText xml:space="preserve"> PAGEREF _Toc217265217 \h </w:instrText>
            </w:r>
            <w:r w:rsidRPr="003C1CFF">
              <w:rPr>
                <w:noProof/>
                <w:webHidden/>
              </w:rPr>
            </w:r>
            <w:r w:rsidRPr="003C1CFF">
              <w:rPr>
                <w:noProof/>
                <w:webHidden/>
              </w:rPr>
              <w:fldChar w:fldCharType="separate"/>
            </w:r>
            <w:r w:rsidRPr="003C1CFF">
              <w:rPr>
                <w:noProof/>
                <w:webHidden/>
              </w:rPr>
              <w:t>40</w:t>
            </w:r>
            <w:r w:rsidRPr="003C1CFF">
              <w:rPr>
                <w:noProof/>
                <w:webHidden/>
              </w:rPr>
              <w:fldChar w:fldCharType="end"/>
            </w:r>
          </w:hyperlink>
        </w:p>
        <w:p w14:paraId="6A96BDD9" w14:textId="4D706959" w:rsidR="00E1304C" w:rsidRPr="003C1CFF" w:rsidRDefault="00E1304C" w:rsidP="00634ECD">
          <w:pPr>
            <w:spacing w:line="240" w:lineRule="exact"/>
          </w:pPr>
          <w:r w:rsidRPr="003C1CFF">
            <w:rPr>
              <w:b/>
              <w:bCs/>
              <w:noProof/>
            </w:rPr>
            <w:fldChar w:fldCharType="end"/>
          </w:r>
        </w:p>
      </w:sdtContent>
    </w:sdt>
    <w:p w14:paraId="1366B7E2" w14:textId="77777777" w:rsidR="00041D9D" w:rsidRPr="003C1CFF" w:rsidRDefault="00041D9D">
      <w:r w:rsidRPr="003C1CFF">
        <w:br w:type="page"/>
      </w:r>
    </w:p>
    <w:p w14:paraId="66A90648" w14:textId="77777777" w:rsidR="00041D9D" w:rsidRPr="003C1CFF" w:rsidRDefault="00041D9D" w:rsidP="00041D9D">
      <w:pPr>
        <w:pStyle w:val="Heading1"/>
        <w:rPr>
          <w:color w:val="auto"/>
        </w:rPr>
      </w:pPr>
      <w:bookmarkStart w:id="0" w:name="_Toc217265189"/>
      <w:r w:rsidRPr="003C1CFF">
        <w:rPr>
          <w:color w:val="auto"/>
        </w:rPr>
        <w:lastRenderedPageBreak/>
        <w:t>1.0 Introduction</w:t>
      </w:r>
      <w:bookmarkEnd w:id="0"/>
    </w:p>
    <w:p w14:paraId="7D62E64C" w14:textId="78BEF27C" w:rsidR="00041D9D" w:rsidRPr="003C1CFF" w:rsidRDefault="00041D9D" w:rsidP="00041D9D">
      <w:r w:rsidRPr="003C1CFF">
        <w:t>The Chief Financial Officer position at General Electronics is a turning point in the history of the corporation as the combination of falling revenues, ineffective operations, and lack of strategic direction is posing a risk to the company functioning as a going concern. In the prevailing unstable economic situation, troubled organizations have only a few days to turn negative trends around before it is too late and the companies end up in bankruptcy, which is becoming more and more common even in the consumer electronics industry (</w:t>
      </w:r>
      <w:r w:rsidR="005A01FA" w:rsidRPr="003C1CFF">
        <w:t>Ferreira et al., 2024</w:t>
      </w:r>
      <w:r w:rsidRPr="003C1CFF">
        <w:t xml:space="preserve">). The report is a comprehensive strategic roadmap, and the Board commissioned it to identify the actual root causes of the financial bleeding that defines the past 5 fiscal years and more than 2023 and 2024 accounted the catastrophic net losses. The ultimate goal is to get well past the surface analysis of the financial reports and identify the structural flaws, including the breakdown in the operating margins and the threatening liquidity drain, that have put the company in </w:t>
      </w:r>
      <w:proofErr w:type="spellStart"/>
      <w:proofErr w:type="gramStart"/>
      <w:r w:rsidRPr="003C1CFF">
        <w:t>the‘</w:t>
      </w:r>
      <w:proofErr w:type="gramEnd"/>
      <w:r w:rsidRPr="003C1CFF">
        <w:t>Grey</w:t>
      </w:r>
      <w:proofErr w:type="spellEnd"/>
      <w:r w:rsidRPr="003C1CFF">
        <w:t xml:space="preserve"> Zone’ of bankruptcy peril. Through a stringent financial health assessment, a working capital dynamics assessment, and a radical restructuring proposal, this report will help to regain shareholder trust and business stability (Boudia and </w:t>
      </w:r>
      <w:proofErr w:type="spellStart"/>
      <w:r w:rsidRPr="003C1CFF">
        <w:t>Slevogt</w:t>
      </w:r>
      <w:proofErr w:type="spellEnd"/>
      <w:r w:rsidRPr="003C1CFF">
        <w:t>, 2025). Moreover, this analysis will be expanded to critical analysis of future growth direction, which is capital budgeting, namely, evaluation of three possible investment projects within a strong capital rationing constraint. The analysis is solid, but restricted by the retrospective nature of historical accounting information and the use of book values in that case of a lack of current market capitalization information, but is useful in providing a statistical basis on the urgent strategic actions needed to save General Electronics (</w:t>
      </w:r>
      <w:proofErr w:type="spellStart"/>
      <w:r w:rsidR="005A01FA" w:rsidRPr="003C1CFF">
        <w:t>Setyopurnomo</w:t>
      </w:r>
      <w:proofErr w:type="spellEnd"/>
      <w:r w:rsidR="005A01FA" w:rsidRPr="003C1CFF">
        <w:t xml:space="preserve"> et al., 2025</w:t>
      </w:r>
      <w:r w:rsidRPr="003C1CFF">
        <w:t>).</w:t>
      </w:r>
    </w:p>
    <w:p w14:paraId="5629F243" w14:textId="77777777" w:rsidR="00041D9D" w:rsidRPr="003C1CFF" w:rsidRDefault="00041D9D" w:rsidP="00041D9D"/>
    <w:p w14:paraId="223FC989" w14:textId="77777777" w:rsidR="00041D9D" w:rsidRPr="003C1CFF" w:rsidRDefault="00041D9D">
      <w:r w:rsidRPr="003C1CFF">
        <w:br w:type="page"/>
      </w:r>
    </w:p>
    <w:p w14:paraId="04235468" w14:textId="77777777" w:rsidR="00041D9D" w:rsidRPr="003C1CFF" w:rsidRDefault="00041D9D" w:rsidP="00041D9D">
      <w:pPr>
        <w:pStyle w:val="Heading1"/>
        <w:rPr>
          <w:color w:val="auto"/>
        </w:rPr>
      </w:pPr>
      <w:bookmarkStart w:id="1" w:name="_Toc217265190"/>
      <w:r w:rsidRPr="003C1CFF">
        <w:rPr>
          <w:color w:val="auto"/>
        </w:rPr>
        <w:lastRenderedPageBreak/>
        <w:t>2.0 Critical financial Health check and Ratio Analysis</w:t>
      </w:r>
      <w:bookmarkEnd w:id="1"/>
    </w:p>
    <w:p w14:paraId="5A69BFC5" w14:textId="77777777" w:rsidR="00041D9D" w:rsidRPr="003C1CFF" w:rsidRDefault="00041D9D" w:rsidP="00041D9D">
      <w:pPr>
        <w:pStyle w:val="Heading2"/>
        <w:rPr>
          <w:color w:val="auto"/>
        </w:rPr>
      </w:pPr>
      <w:bookmarkStart w:id="2" w:name="_Toc217265191"/>
      <w:r w:rsidRPr="003C1CFF">
        <w:rPr>
          <w:color w:val="auto"/>
        </w:rPr>
        <w:t>2.1 Dynamics of Profitability and Efficiency</w:t>
      </w:r>
      <w:bookmarkEnd w:id="2"/>
    </w:p>
    <w:p w14:paraId="4F06FC47" w14:textId="702E5FA3" w:rsidR="005E6FC3" w:rsidRPr="003C1CFF" w:rsidRDefault="005E6FC3" w:rsidP="005E6FC3">
      <w:r w:rsidRPr="003C1CFF">
        <w:t xml:space="preserve">The sharp decrease in the General Electronics profitability indicators, namely, the collapse of Net Sales by 35.8% as of </w:t>
      </w:r>
      <w:r w:rsidR="00A11099" w:rsidRPr="003C1CFF">
        <w:t>£</w:t>
      </w:r>
      <w:r w:rsidRPr="003C1CFF">
        <w:t xml:space="preserve"> 614,680 million in 2020 down to </w:t>
      </w:r>
      <w:r w:rsidR="00A11099" w:rsidRPr="003C1CFF">
        <w:t>£</w:t>
      </w:r>
      <w:r w:rsidRPr="003C1CFF">
        <w:t xml:space="preserve"> 394,879 million in 2024, cannot be considered in isolation, but it should be interpreted as the inability to adjust to the post-pandemic correction that has devastated the world consumer electronics industry. In 2020-2021, the sector has seen an artificial demand boom in the wake of the "stay-at-home" economy, which made record sales of companies of laptops to home appliances</w:t>
      </w:r>
      <w:r w:rsidR="00442553" w:rsidRPr="003C1CFF">
        <w:t xml:space="preserve"> (</w:t>
      </w:r>
      <w:r w:rsidR="009B4C64" w:rsidRPr="003C1CFF">
        <w:rPr>
          <w:rStyle w:val="Strong"/>
          <w:rFonts w:cs="Arial"/>
          <w:b w:val="0"/>
          <w:bCs w:val="0"/>
        </w:rPr>
        <w:t>Apple Inc, 2020</w:t>
      </w:r>
      <w:r w:rsidR="00442553" w:rsidRPr="003C1CFF">
        <w:t>)</w:t>
      </w:r>
      <w:r w:rsidRPr="003C1CFF">
        <w:t>. But due to the reopening of global economies and high inflation in 2022-2023, discretionary expenditure on electronics disappeared, a situation that had a disastrous effect on the large players, such as Samsung, which recorded a loss of 95% in the operating profit in the Q2 2023 because the economy demanded a low chip and smart phones were slow (</w:t>
      </w:r>
      <w:r w:rsidR="00BD1ABB" w:rsidRPr="003C1CFF">
        <w:rPr>
          <w:rStyle w:val="Strong"/>
          <w:rFonts w:cs="Arial"/>
          <w:b w:val="0"/>
          <w:bCs w:val="0"/>
        </w:rPr>
        <w:t>Samsung Electronics Co., 2024</w:t>
      </w:r>
      <w:r w:rsidRPr="003C1CFF">
        <w:t>). The pattern of General Electric has been reflective of this external shock, but the manner in which it has managed this shock has been highly subpar to its counterparts. Although the Gross Margin has recovered to 28.87 per cent in 2024 as cost stabilization across the industry is noted due to normalization in supply chain freight rates, the collapse in the Operating Margin to negative</w:t>
      </w:r>
      <w:r w:rsidR="00A11099" w:rsidRPr="003C1CFF">
        <w:t xml:space="preserve"> 3.87 per cent </w:t>
      </w:r>
      <w:r w:rsidRPr="003C1CFF">
        <w:t>and a dis</w:t>
      </w:r>
      <w:r w:rsidR="00A11099" w:rsidRPr="003C1CFF">
        <w:t>astrous -20.29 per cent in 2023</w:t>
      </w:r>
      <w:r w:rsidRPr="003C1CFF">
        <w:t xml:space="preserve"> reveals a severe inflexibility in the cost structure of the firm. In comparison to its competitors including Apple or Xiaomi, which feature adaptable operating frameworks and ecologies-based income flow to offset hardware declines, Ge</w:t>
      </w:r>
      <w:r w:rsidR="00442553" w:rsidRPr="003C1CFF">
        <w:t>neral Electronics endured poor operating e</w:t>
      </w:r>
      <w:r w:rsidRPr="003C1CFF">
        <w:t>xpenses Stickiness</w:t>
      </w:r>
      <w:r w:rsidR="00442553" w:rsidRPr="003C1CFF">
        <w:t xml:space="preserve"> (</w:t>
      </w:r>
      <w:r w:rsidR="009B4C64" w:rsidRPr="003C1CFF">
        <w:rPr>
          <w:rStyle w:val="Strong"/>
          <w:rFonts w:cs="Arial"/>
          <w:b w:val="0"/>
          <w:bCs w:val="0"/>
        </w:rPr>
        <w:t>Nvidia Corporation, 2024</w:t>
      </w:r>
      <w:r w:rsidR="00442553" w:rsidRPr="003C1CFF">
        <w:t>)</w:t>
      </w:r>
      <w:r w:rsidRPr="003C1CFF">
        <w:t>. These costs would actually be reduced by only 7% over the five years even with the 36% decrease in revenues, and it resulted in the negative operating leverage effect whereby the fixed costs incurred all the gross profits in 2024 resulting in the net losses amounting to</w:t>
      </w:r>
      <w:r w:rsidR="00A11099" w:rsidRPr="003C1CFF">
        <w:t>£</w:t>
      </w:r>
      <w:r w:rsidRPr="003C1CFF">
        <w:t>24,029 million (Berk and DeMarzo, 2020).</w:t>
      </w:r>
    </w:p>
    <w:p w14:paraId="5A0904D6" w14:textId="77777777" w:rsidR="005E6FC3" w:rsidRPr="003C1CFF" w:rsidRDefault="005E6FC3" w:rsidP="005E6FC3"/>
    <w:p w14:paraId="7B4D3E10" w14:textId="21D7042F" w:rsidR="005E6FC3" w:rsidRPr="003C1CFF" w:rsidRDefault="005E6FC3" w:rsidP="005E6FC3">
      <w:r w:rsidRPr="003C1CFF">
        <w:lastRenderedPageBreak/>
        <w:t>Such decline in profitability is inherently associated with the Asset Turnover Ratio of the firm which gives an illusion of efficiency. On the face of it, Asset Turnover seems to be healthy, with the increase to 1.22 times in 2024. Though a critical cross-ratio analysis shows this is a mathematical illusion caused by the denominator effect; total Assets have more than decrea</w:t>
      </w:r>
      <w:r w:rsidR="00A11099" w:rsidRPr="003C1CFF">
        <w:t>sed by almost 37% since 2020 (£</w:t>
      </w:r>
      <w:r w:rsidRPr="003C1CFF">
        <w:t xml:space="preserve"> 510bn to</w:t>
      </w:r>
      <w:r w:rsidR="00442553" w:rsidRPr="003C1CFF">
        <w:t xml:space="preserve"> </w:t>
      </w:r>
      <w:r w:rsidR="00A11099" w:rsidRPr="003C1CFF">
        <w:t>£</w:t>
      </w:r>
      <w:r w:rsidRPr="003C1CFF">
        <w:t>323bn) and that is caused by colossal impairments and retained losses punting away the equity base, and not because the sales velocity actually improved (</w:t>
      </w:r>
      <w:proofErr w:type="spellStart"/>
      <w:r w:rsidRPr="003C1CFF">
        <w:t>Mauboussin</w:t>
      </w:r>
      <w:proofErr w:type="spellEnd"/>
      <w:r w:rsidRPr="003C1CFF">
        <w:t xml:space="preserve"> and Callahan, 2024). Rapid inventory turnover and </w:t>
      </w:r>
      <w:r w:rsidR="00E1304C" w:rsidRPr="003C1CFF">
        <w:t>high-capacity</w:t>
      </w:r>
      <w:r w:rsidRPr="003C1CFF">
        <w:t xml:space="preserve"> utilization is essential in the semiconductor and electronics business in order to keep up with the efficiency of assets. General Electron</w:t>
      </w:r>
      <w:r w:rsidR="00442553" w:rsidRPr="003C1CFF">
        <w:t xml:space="preserve">ics is </w:t>
      </w:r>
      <w:proofErr w:type="spellStart"/>
      <w:r w:rsidR="00442553" w:rsidRPr="003C1CFF">
        <w:t>showscasing</w:t>
      </w:r>
      <w:proofErr w:type="spellEnd"/>
      <w:r w:rsidR="00442553" w:rsidRPr="003C1CFF">
        <w:t xml:space="preserve"> the contrary;</w:t>
      </w:r>
      <w:r w:rsidRPr="003C1CFF">
        <w:t xml:space="preserve"> it is showing decreased asset base and flat sales. This is reflective of the pain of legacy tech companies such as Toshiba prior to its reorganization where the sale of assets was a measure to conceal operational inefficiencies</w:t>
      </w:r>
      <w:r w:rsidR="00442553" w:rsidRPr="003C1CFF">
        <w:t xml:space="preserve"> (</w:t>
      </w:r>
      <w:r w:rsidR="009B4C64" w:rsidRPr="003C1CFF">
        <w:rPr>
          <w:rStyle w:val="Strong"/>
          <w:rFonts w:cs="Arial"/>
          <w:b w:val="0"/>
          <w:bCs w:val="0"/>
        </w:rPr>
        <w:t>Qualcomm Incorporated, 2024</w:t>
      </w:r>
      <w:r w:rsidR="00442553" w:rsidRPr="003C1CFF">
        <w:t>)</w:t>
      </w:r>
      <w:r w:rsidRPr="003C1CFF">
        <w:t>. The -9.27% negative Return on Capital Employed (ROCE) in 2024, therefore, proves that the company is eliminating value on all units of capital committed. Although AI-boom players such as Nvidia have used their position to push ROCE to unprecedented highs, the relatively weak financial performance of General Electronics is clearly not caused by the technological transformation itself but rather an inverse relationship with the AI and high-performance computing adoption, as the company continues to rely on legacy hardware market segments that are already showing signs of decline (Arm Holdings plc, 2025).</w:t>
      </w:r>
    </w:p>
    <w:p w14:paraId="5D52EEC9" w14:textId="1DD732D4" w:rsidR="005E6FC3" w:rsidRPr="003C1CFF" w:rsidRDefault="005E6FC3" w:rsidP="005E6FC3">
      <w:pPr>
        <w:pStyle w:val="Heading2"/>
        <w:rPr>
          <w:color w:val="auto"/>
        </w:rPr>
      </w:pPr>
      <w:bookmarkStart w:id="3" w:name="_Toc217265192"/>
      <w:r w:rsidRPr="003C1CFF">
        <w:rPr>
          <w:color w:val="auto"/>
        </w:rPr>
        <w:t>2.2 Liquidity and Cash Flow Dynamics</w:t>
      </w:r>
      <w:bookmarkEnd w:id="3"/>
    </w:p>
    <w:p w14:paraId="6F581DF7" w14:textId="70ACAD79" w:rsidR="005E6FC3" w:rsidRPr="003C1CFF" w:rsidRDefault="005E6FC3" w:rsidP="005E6FC3">
      <w:r w:rsidRPr="003C1CFF">
        <w:t>The organizational interdependence between the liquidity crisis and the operating failures of the firm is the most apparent in the phenomenon of the Bullwhip Effect which has put General Electronics in a vicious cycle of its inventory. Current Ratio of 1.53 as reported in 2024 is optimistically deceptive as it is highly dependent on</w:t>
      </w:r>
      <w:r w:rsidR="00A11099" w:rsidRPr="003C1CFF">
        <w:t>£</w:t>
      </w:r>
      <w:r w:rsidRPr="003C1CFF">
        <w:t xml:space="preserve">79,355 million of inventory which is a toxic asset in the current market scenario. To comprehend this liquidity trap, it is necessary to refer to the global crisis in the supply chain of semiconductors and components in 2021-2022. In the shortage, manufacturers such as General Electronics </w:t>
      </w:r>
      <w:r w:rsidR="00442553" w:rsidRPr="003C1CFF">
        <w:t>must have panicked to buy parts</w:t>
      </w:r>
      <w:r w:rsidRPr="003C1CFF">
        <w:t xml:space="preserve"> to ensure production lines in the fear of stock-outs in the </w:t>
      </w:r>
      <w:r w:rsidRPr="003C1CFF">
        <w:lastRenderedPageBreak/>
        <w:t>supply that were the bane of the automobile and the technology industry</w:t>
      </w:r>
      <w:r w:rsidR="009B4C64" w:rsidRPr="003C1CFF">
        <w:t xml:space="preserve"> (</w:t>
      </w:r>
      <w:r w:rsidR="009B4C64" w:rsidRPr="003C1CFF">
        <w:rPr>
          <w:rStyle w:val="Strong"/>
          <w:rFonts w:cs="Arial"/>
          <w:b w:val="0"/>
          <w:bCs w:val="0"/>
        </w:rPr>
        <w:t>Samsung Electronics Co, 2024</w:t>
      </w:r>
      <w:r w:rsidR="009B4C64" w:rsidRPr="003C1CFF">
        <w:t>)</w:t>
      </w:r>
      <w:r w:rsidRPr="003C1CFF">
        <w:t>. Nonetheless, when the shortage became a glut in 2023-2024 as the demand slowed down, the company was left with enormous amounts of declining components and finished products (</w:t>
      </w:r>
      <w:r w:rsidR="005A01FA" w:rsidRPr="003C1CFF">
        <w:t>Ferreira et al., 2024</w:t>
      </w:r>
      <w:r w:rsidRPr="003C1CFF">
        <w:t>). This is supported by the difference between the Current Ratio and the Cash Ratio; the former appears to be safe, but the Cash Ratio has disintegrated to 0.17. The divergence confirms that the liquidity in the balance sheet is illiquid inventory that cannot be readily turned into cash without major write-downs, similar to the inventory predicaments that Intel is experiencing in 2023 when the PC market began to collapse (iRobot Corp, 2025).</w:t>
      </w:r>
    </w:p>
    <w:p w14:paraId="05BBBAB2" w14:textId="07649883" w:rsidR="005E6FC3" w:rsidRPr="003C1CFF" w:rsidRDefault="005E6FC3" w:rsidP="005E6FC3">
      <w:r w:rsidRPr="003C1CFF">
        <w:t xml:space="preserve">In addition, the fact that the accrual accounting and actual cash flow generation are not tied together seriously affects the quality of the liquidity of General Electronics. Although the Cash Flow Statement indicates positive cash out of operations </w:t>
      </w:r>
      <w:r w:rsidR="00E1304C" w:rsidRPr="003C1CFF">
        <w:t xml:space="preserve">which is </w:t>
      </w:r>
      <w:r w:rsidRPr="003C1CFF">
        <w:t xml:space="preserve">14.8 billion in 2024, it was not a natural generation of cash but a high level of working capital manipulation: in other words, the postponement of the payment to suppliers. It is a typical survival trick used in troubled companies, but it cannot be feasible in the long-term. With reference to the Quick Ratio of 1.03, and the Inventory Days of 103, it is evident that the liquidity position of the firm is very sensitive to the semiconductor cycle. Physical supply chain risks weigh down General Electronics, unlike </w:t>
      </w:r>
      <w:r w:rsidR="00E1304C" w:rsidRPr="003C1CFF">
        <w:t>software-based</w:t>
      </w:r>
      <w:r w:rsidRPr="003C1CFF">
        <w:t xml:space="preserve"> companies such as Microsoft which make instant cash. </w:t>
      </w:r>
      <w:r w:rsidR="00442553" w:rsidRPr="003C1CFF">
        <w:t>When geopolitical tensions increase or their products are made obsolete due to a new technology</w:t>
      </w:r>
      <w:r w:rsidR="009B4C64" w:rsidRPr="003C1CFF">
        <w:t>, the £</w:t>
      </w:r>
      <w:r w:rsidR="00442553" w:rsidRPr="003C1CFF">
        <w:t>79 billion inventory buffer will be useless and they go insolvent overnight.</w:t>
      </w:r>
      <w:r w:rsidRPr="003C1CFF">
        <w:t xml:space="preserve"> Therefore, the liquidity crisis is not just a mismanagement problem, but a direct victim of the failure of the firm to predict and maneuver in the turbulent post-pandemic electronics cycle (</w:t>
      </w:r>
      <w:r w:rsidR="00442553" w:rsidRPr="003C1CFF">
        <w:t>Flammer and Ioannou, 2021</w:t>
      </w:r>
      <w:r w:rsidRPr="003C1CFF">
        <w:t>).</w:t>
      </w:r>
    </w:p>
    <w:p w14:paraId="0DF5F01F" w14:textId="77777777" w:rsidR="005E6FC3" w:rsidRPr="003C1CFF" w:rsidRDefault="005E6FC3" w:rsidP="005E6FC3">
      <w:pPr>
        <w:pStyle w:val="Heading2"/>
        <w:rPr>
          <w:color w:val="auto"/>
        </w:rPr>
      </w:pPr>
      <w:bookmarkStart w:id="4" w:name="_Toc217265193"/>
      <w:r w:rsidRPr="003C1CFF">
        <w:rPr>
          <w:color w:val="auto"/>
        </w:rPr>
        <w:t>2.3 Gearing, Solvency, and Risk</w:t>
      </w:r>
      <w:bookmarkEnd w:id="4"/>
    </w:p>
    <w:p w14:paraId="1B231418" w14:textId="1C28D11E" w:rsidR="005E6FC3" w:rsidRPr="003C1CFF" w:rsidRDefault="005E6FC3" w:rsidP="005E6FC3">
      <w:r w:rsidRPr="003C1CFF">
        <w:t xml:space="preserve">The increasing solvency risk at General Electronics is a direct result of the changing global macroeconomic environment, namely the low-interest-rate regime to a higher-for-longer monetary policy environment that has been put in place by the central banks such as Federal Reserve and ECB to fight inflation. Borrowing costs were insignificant in 2020, when the Interests to Equity Ratio of the company was a robust 26.21x, which promoted </w:t>
      </w:r>
      <w:r w:rsidRPr="003C1CFF">
        <w:lastRenderedPageBreak/>
        <w:t xml:space="preserve">the debt-loading of firms with inexpensive debt. Nevertheless, with trends in the world interest rates in 2022-2023 soaring, the cost of servicing variable-rate debt, including the </w:t>
      </w:r>
      <w:r w:rsidR="00E1304C" w:rsidRPr="003C1CFF">
        <w:rPr>
          <w:rFonts w:ascii="Times New Roman" w:hAnsi="Times New Roman"/>
        </w:rPr>
        <w:t>£</w:t>
      </w:r>
      <w:r w:rsidRPr="003C1CFF">
        <w:t xml:space="preserve">36.9 billion of Lines of Credit owned by General Electronics, has shot up. This exogenous macroeconomic shock together with the internal breakdown in EBIT pushed the Interest Coverage Ratio to a disastrous negative figure of 4.55x in 2024. This ratio means that the company cannot mathematically cover its operations to service its debt, a definition of a zombie company popular in the distressed turnaround literature (Boudia and </w:t>
      </w:r>
      <w:proofErr w:type="spellStart"/>
      <w:r w:rsidRPr="003C1CFF">
        <w:t>Slevogt</w:t>
      </w:r>
      <w:proofErr w:type="spellEnd"/>
      <w:r w:rsidRPr="003C1CFF">
        <w:t>, 2025).</w:t>
      </w:r>
    </w:p>
    <w:p w14:paraId="2BC6A0D5" w14:textId="035DAFD6" w:rsidR="005E6FC3" w:rsidRPr="003C1CFF" w:rsidRDefault="005E6FC3" w:rsidP="005E6FC3">
      <w:r w:rsidRPr="003C1CFF">
        <w:t>The comparison of this leverage profile with the industry peers demonstrates the degree of the risk. Top technology companies such as Alphabet or Apple normally have net cash balances or very low leverage in order to be flexible in investing in R&amp;D</w:t>
      </w:r>
      <w:r w:rsidR="00E1304C" w:rsidRPr="003C1CFF">
        <w:t xml:space="preserve"> (</w:t>
      </w:r>
      <w:r w:rsidR="00E1304C" w:rsidRPr="003C1CFF">
        <w:rPr>
          <w:rStyle w:val="Strong"/>
          <w:rFonts w:cs="Arial"/>
          <w:b w:val="0"/>
          <w:bCs w:val="0"/>
        </w:rPr>
        <w:t>Apple Inc., 2024</w:t>
      </w:r>
      <w:r w:rsidR="00E1304C" w:rsidRPr="003C1CFF">
        <w:t>)</w:t>
      </w:r>
      <w:r w:rsidRPr="003C1CFF">
        <w:t xml:space="preserve">. General Electronics on the other hand has a Debt-to-Equity ratio of 30.17 but this is increasing not due to them borrowing to grow but due to the fact that their Equity base is being lost to retained losses down to </w:t>
      </w:r>
      <w:r w:rsidR="00E1304C" w:rsidRPr="003C1CFF">
        <w:rPr>
          <w:rFonts w:ascii="Times New Roman" w:hAnsi="Times New Roman"/>
        </w:rPr>
        <w:t>£</w:t>
      </w:r>
      <w:r w:rsidRPr="003C1CFF">
        <w:t xml:space="preserve">153bn in 2020 compared to </w:t>
      </w:r>
      <w:r w:rsidR="00E1304C" w:rsidRPr="003C1CFF">
        <w:rPr>
          <w:rFonts w:ascii="Times New Roman" w:hAnsi="Times New Roman"/>
        </w:rPr>
        <w:t>£</w:t>
      </w:r>
      <w:r w:rsidRPr="003C1CFF">
        <w:t>313bn in 2020. This has destroyed equity buffer leaving the company powerless to other external shocks. Moreover, this dependence on short-term Lines of Credit puts the company in refinancing risk on a credit market that in response to the banking turmoil of 2023 has</w:t>
      </w:r>
      <w:r w:rsidR="00874BCA" w:rsidRPr="003C1CFF">
        <w:t xml:space="preserve"> become highly risk-averse</w:t>
      </w:r>
      <w:r w:rsidR="00E1304C" w:rsidRPr="003C1CFF">
        <w:t xml:space="preserve">, </w:t>
      </w:r>
      <w:r w:rsidR="00874BCA" w:rsidRPr="003C1CFF">
        <w:t>for instance,</w:t>
      </w:r>
      <w:r w:rsidRPr="003C1CFF">
        <w:t xml:space="preserve"> Silicon Valley Bank</w:t>
      </w:r>
      <w:r w:rsidR="009B4C64" w:rsidRPr="003C1CFF">
        <w:t xml:space="preserve"> (Pfister et al., 2024)</w:t>
      </w:r>
      <w:r w:rsidRPr="003C1CFF">
        <w:t xml:space="preserve">. Lenders are now tightening terms of hardware companies that have fading margins. Banks would recall these loans forcing General Electronics to immediately run out of liquidity, as it happened with Bed Bath and Beyond, should General Electronics violate its debt covenants, which is very likely in the case of such negative EBITDA. In that way, solvency crisis is a mutually dependent result of failure in operations and the most austere cost-of-capital environment </w:t>
      </w:r>
      <w:proofErr w:type="gramStart"/>
      <w:r w:rsidRPr="003C1CFF">
        <w:t>since</w:t>
      </w:r>
      <w:proofErr w:type="gramEnd"/>
      <w:r w:rsidRPr="003C1CFF">
        <w:t xml:space="preserve"> 20 years ago (</w:t>
      </w:r>
      <w:r w:rsidR="00442553" w:rsidRPr="003C1CFF">
        <w:t>Tsai et al., 2020</w:t>
      </w:r>
      <w:r w:rsidRPr="003C1CFF">
        <w:t>).</w:t>
      </w:r>
    </w:p>
    <w:p w14:paraId="7E14C31F" w14:textId="77777777" w:rsidR="005E6FC3" w:rsidRPr="003C1CFF" w:rsidRDefault="005E6FC3" w:rsidP="005E6FC3"/>
    <w:p w14:paraId="50A8AA94" w14:textId="77777777" w:rsidR="005E6FC3" w:rsidRPr="003C1CFF" w:rsidRDefault="005E6FC3" w:rsidP="005E6FC3"/>
    <w:p w14:paraId="27F1D9D2" w14:textId="77777777" w:rsidR="005E6FC3" w:rsidRPr="003C1CFF" w:rsidRDefault="005E6FC3" w:rsidP="005E6FC3"/>
    <w:p w14:paraId="7D8E81DB" w14:textId="1080600F" w:rsidR="005E6FC3" w:rsidRPr="003C1CFF" w:rsidRDefault="005E6FC3" w:rsidP="005E6FC3">
      <w:pPr>
        <w:pStyle w:val="Heading2"/>
        <w:rPr>
          <w:color w:val="auto"/>
        </w:rPr>
      </w:pPr>
      <w:bookmarkStart w:id="5" w:name="_Toc217265194"/>
      <w:r w:rsidRPr="003C1CFF">
        <w:rPr>
          <w:color w:val="auto"/>
        </w:rPr>
        <w:lastRenderedPageBreak/>
        <w:t>2.4 Investor Confidence and Performance of Market.</w:t>
      </w:r>
      <w:bookmarkEnd w:id="5"/>
    </w:p>
    <w:p w14:paraId="064716C9" w14:textId="0928395D" w:rsidR="00041D9D" w:rsidRPr="003C1CFF" w:rsidRDefault="005E6FC3" w:rsidP="005E6FC3">
      <w:r w:rsidRPr="003C1CFF">
        <w:t>The full loss of investor trust, as a</w:t>
      </w:r>
      <w:r w:rsidR="0054186E" w:rsidRPr="003C1CFF">
        <w:t>ny negative Earnings Per Share</w:t>
      </w:r>
      <w:r w:rsidRPr="003C1CFF">
        <w:t xml:space="preserve"> of -</w:t>
      </w:r>
      <w:r w:rsidR="00A11099" w:rsidRPr="003C1CFF">
        <w:t>£</w:t>
      </w:r>
      <w:r w:rsidRPr="003C1CFF">
        <w:t>1.85 in 2024 and no dividends indicate, should be put in the framework of the larger 2022-2024 "Tech Valuation Correction." Under the conditions of the pandemic boom, investors accepted the unprofitable situation in favor of growth. Nevertheless, with capital being costly, the market regime changed radically towards profitability and free cash flow yield (</w:t>
      </w:r>
      <w:proofErr w:type="spellStart"/>
      <w:r w:rsidRPr="003C1CFF">
        <w:t>Mauboussin</w:t>
      </w:r>
      <w:proofErr w:type="spellEnd"/>
      <w:r w:rsidRPr="003C1CFF">
        <w:t xml:space="preserve"> and Callahan, 2024). General Electronics is failing both these measures: it is neither a hyper-growing Nvidia, nor a castle balance sheet Apple. The depleting of the Retained Earnings (</w:t>
      </w:r>
      <w:r w:rsidR="00A11099" w:rsidRPr="003C1CFF">
        <w:t>£</w:t>
      </w:r>
      <w:r w:rsidRPr="003C1CFF">
        <w:t xml:space="preserve"> 330bn in 2022 to</w:t>
      </w:r>
      <w:r w:rsidR="0054186E" w:rsidRPr="003C1CFF">
        <w:t xml:space="preserve"> </w:t>
      </w:r>
      <w:r w:rsidR="00A11099" w:rsidRPr="003C1CFF">
        <w:t>£</w:t>
      </w:r>
      <w:r w:rsidRPr="003C1CFF">
        <w:t>208bn in 2024) is an indication to the market that the company is at a period of consuming capital and not creating it. The institutional investors of this setting are actively moving money out of the hardware manufacturers with a weak AI or services strategy, continuing to decline the implied valuation of the firm and putting it at risk of activist investment or hostile takeover (McKinsey &amp; Company, 2020). This withholding of dividends is wise amid the liquidity crisis, yet it leaves the income-oriented investors with no more reason to hold the stock, which the share price will be at the mercy of volatility and short-sellers (</w:t>
      </w:r>
      <w:proofErr w:type="spellStart"/>
      <w:r w:rsidR="005A01FA" w:rsidRPr="003C1CFF">
        <w:t>Khatwani</w:t>
      </w:r>
      <w:proofErr w:type="spellEnd"/>
      <w:r w:rsidR="005A01FA" w:rsidRPr="003C1CFF">
        <w:t xml:space="preserve"> et al., 2024</w:t>
      </w:r>
      <w:r w:rsidRPr="003C1CFF">
        <w:t>).</w:t>
      </w:r>
    </w:p>
    <w:p w14:paraId="7041D24A" w14:textId="77777777" w:rsidR="00041D9D" w:rsidRPr="003C1CFF" w:rsidRDefault="00041D9D" w:rsidP="0094620A">
      <w:pPr>
        <w:pStyle w:val="Heading2"/>
        <w:rPr>
          <w:color w:val="auto"/>
        </w:rPr>
      </w:pPr>
      <w:bookmarkStart w:id="6" w:name="_Toc217265195"/>
      <w:r w:rsidRPr="003C1CFF">
        <w:rPr>
          <w:color w:val="auto"/>
        </w:rPr>
        <w:t>2.5 Prediction of Corporate Failure</w:t>
      </w:r>
      <w:bookmarkEnd w:id="6"/>
    </w:p>
    <w:p w14:paraId="282D66B5" w14:textId="70B90F8A" w:rsidR="00041D9D" w:rsidRPr="003C1CFF" w:rsidRDefault="00041D9D" w:rsidP="00041D9D">
      <w:r w:rsidRPr="003C1CFF">
        <w:t xml:space="preserve">Altman Z-Score model offers a multivariate predictive model where liquidity, profitability, leverage and activity ratios are determined to offer an objective measure of the imminent risk of insolvency by combining these values into a single score. In the case of General Electronics, the 2024 calculation gives the Z-Score of 2.82, which falls in the range of 1.81 to 2.99 (Grey Zone), which means that this firm is highly likely to go bankrupt in the next 2 years unless action is taken to correct the situation (Boudia and </w:t>
      </w:r>
      <w:proofErr w:type="spellStart"/>
      <w:r w:rsidRPr="003C1CFF">
        <w:t>Slevogt</w:t>
      </w:r>
      <w:proofErr w:type="spellEnd"/>
      <w:r w:rsidRPr="003C1CFF">
        <w:t xml:space="preserve">, 2025). This is a drastic decline of the 3.64 score of the Safe Zone in 2020. A granular breakdown of the Z-Score elements indicates that the main pull </w:t>
      </w:r>
      <w:r w:rsidR="0054186E" w:rsidRPr="003C1CFF">
        <w:t>on the score is the X3 variable</w:t>
      </w:r>
      <w:r w:rsidRPr="003C1CFF">
        <w:t>, or the efficiency of operation and profitability of the company; this element was negative in 2024 (-0.156 weighted impact), which implies that the company is unable to make profit using its assets (Altman Z-Score Appendix).</w:t>
      </w:r>
    </w:p>
    <w:p w14:paraId="70C9F11D" w14:textId="16FDB70B" w:rsidR="00041D9D" w:rsidRPr="003C1CFF" w:rsidRDefault="00041D9D" w:rsidP="00041D9D">
      <w:r w:rsidRPr="003C1CFF">
        <w:lastRenderedPageBreak/>
        <w:t>Although the element of X2 (Retained Earnings/Total Assets) offers a bit of goodwill (in this case of Accumulation of historical profits during good years) it is a lagging indicator that is being destroyed at a very fast rate. The component of X 1 (Working Capital/Total Assets) is positive but is endangered with the lower quality of inventory mentioned above. The trend of the Z-Score, a downward movement since 3.06 in 2022, followed by the low level of 2.24 in 2023 and the slight recovery to 2.82 in 2024, proves that the company is unsound, structurally speaking (</w:t>
      </w:r>
      <w:r w:rsidR="005A01FA" w:rsidRPr="003C1CFF">
        <w:t>Ferreira et al., 2024</w:t>
      </w:r>
      <w:r w:rsidRPr="003C1CFF">
        <w:t>). Such statistical confirmation of distress makes it clear that the radical plan of Strategic Financial Restructuring suggested in Section 4.0 is necessary since even small steps will be not enough to bring the company back into the Safe Zone (Keown</w:t>
      </w:r>
      <w:r w:rsidR="009B4C64" w:rsidRPr="003C1CFF">
        <w:t xml:space="preserve"> et al.</w:t>
      </w:r>
      <w:r w:rsidRPr="003C1CFF">
        <w:t>, 2024).</w:t>
      </w:r>
    </w:p>
    <w:p w14:paraId="0E33CAB1" w14:textId="77777777" w:rsidR="00041D9D" w:rsidRPr="003C1CFF" w:rsidRDefault="00041D9D">
      <w:r w:rsidRPr="003C1CFF">
        <w:br w:type="page"/>
      </w:r>
    </w:p>
    <w:p w14:paraId="73F3A42A" w14:textId="77777777" w:rsidR="00041D9D" w:rsidRPr="003C1CFF" w:rsidRDefault="00041D9D" w:rsidP="0094620A">
      <w:pPr>
        <w:pStyle w:val="Heading1"/>
        <w:rPr>
          <w:color w:val="auto"/>
        </w:rPr>
      </w:pPr>
      <w:bookmarkStart w:id="7" w:name="_Toc217265196"/>
      <w:r w:rsidRPr="003C1CFF">
        <w:rPr>
          <w:color w:val="auto"/>
        </w:rPr>
        <w:lastRenderedPageBreak/>
        <w:t>3.0 Strategic Working Capital Management Analysis</w:t>
      </w:r>
      <w:bookmarkEnd w:id="7"/>
    </w:p>
    <w:p w14:paraId="64EDE47A" w14:textId="77777777" w:rsidR="00041D9D" w:rsidRPr="003C1CFF" w:rsidRDefault="00041D9D" w:rsidP="0094620A">
      <w:pPr>
        <w:pStyle w:val="Heading2"/>
        <w:rPr>
          <w:color w:val="auto"/>
        </w:rPr>
      </w:pPr>
      <w:bookmarkStart w:id="8" w:name="_Toc217265197"/>
      <w:r w:rsidRPr="003C1CFF">
        <w:rPr>
          <w:color w:val="auto"/>
        </w:rPr>
        <w:t>3.1 Cash Operating Cycle (COC) Diagnosis</w:t>
      </w:r>
      <w:bookmarkEnd w:id="8"/>
    </w:p>
    <w:p w14:paraId="2DA7C1EC" w14:textId="089530CE" w:rsidR="005E6FC3" w:rsidRPr="003C1CFF" w:rsidRDefault="005E6FC3" w:rsidP="005E6FC3">
      <w:r w:rsidRPr="003C1CFF">
        <w:t>The lengthening of the Cash Operating Cycle to 115 days by the year 2024 is a deplorable operational bottleneck that is worsening the reliance of the firm on outside funding. A critical look at the Receivable Days which has inflated to 106 days (as compared to 77 in 2020) shows that General Electronics is funding the balance sheets of its customers. This tendency depends probably on the impact of the economic decline; since B2B clients and retailers have their own liquidity tightening, with high interest rates and a slowing consumer market, they are postponing payments to their suppliers such as General Electronics. The supply chain has seen this trend in 2023, with retailers de-stocking their shelves and extending their payment duration to save their own cash. Nonetheless, that General Electronics would consider a payment cycle of 106 days or almost twice that of 60 days in the electronics industry implies poor competitive standing in which the company has no bargaining power to impose a superior payment cycle (</w:t>
      </w:r>
      <w:proofErr w:type="spellStart"/>
      <w:r w:rsidR="005A01FA" w:rsidRPr="003C1CFF">
        <w:t>Setyopurnomo</w:t>
      </w:r>
      <w:proofErr w:type="spellEnd"/>
      <w:r w:rsidR="005A01FA" w:rsidRPr="003C1CFF">
        <w:t xml:space="preserve"> et al., 2025</w:t>
      </w:r>
      <w:r w:rsidRPr="003C1CFF">
        <w:t>).</w:t>
      </w:r>
    </w:p>
    <w:p w14:paraId="53553079" w14:textId="2ECCF7FF" w:rsidR="005E6FC3" w:rsidRPr="003C1CFF" w:rsidRDefault="005E6FC3" w:rsidP="005E6FC3">
      <w:r w:rsidRPr="003C1CFF">
        <w:t>At the same time, the Inventory Days of 103 days validates the fact that the company is experiencing a huge legacy products overhang. The three-month inventory is economically poisonous in the highly dynamic electronics industry where product lifespan is decreasing at a rapid rate with the intense release of AI-powered gadgets. It indicates that the stock at hand might be technically outdated than the newer models of other manufacturers such as Samsung or Xiaomi which means that it has inevitably resulted in future write-downs. The company has tried to conceal this lack of efficiency by extending Payable Days to 94, which in the effect is compelling the suppliers to finance the operations. Although this is synthetically reducing the cash cycle, it is a risky strategy in the prevailing political geopolitical environment. The suppliers, especially those in the semiconductor segment with high leverage, could focus on customers paying sooner (as in the case of Apple), and those ahead of the queue when it comes to receiving or procuring critical components include General Electronics (Infosys BPM, 2023).</w:t>
      </w:r>
    </w:p>
    <w:p w14:paraId="06316FB2" w14:textId="77777777" w:rsidR="005E6FC3" w:rsidRPr="003C1CFF" w:rsidRDefault="005E6FC3" w:rsidP="005E6FC3">
      <w:pPr>
        <w:pStyle w:val="Heading2"/>
        <w:rPr>
          <w:color w:val="auto"/>
        </w:rPr>
      </w:pPr>
      <w:bookmarkStart w:id="9" w:name="_Toc217265198"/>
      <w:r w:rsidRPr="003C1CFF">
        <w:rPr>
          <w:color w:val="auto"/>
        </w:rPr>
        <w:lastRenderedPageBreak/>
        <w:t>3.2 Liquidity Enhancing Policies.</w:t>
      </w:r>
      <w:bookmarkEnd w:id="9"/>
    </w:p>
    <w:p w14:paraId="7EB94E5B" w14:textId="0B57801C" w:rsidR="005E6FC3" w:rsidRPr="003C1CFF" w:rsidRDefault="005E6FC3" w:rsidP="005E6FC3">
      <w:r w:rsidRPr="003C1CFF">
        <w:t xml:space="preserve">General Electronics will have to make drastic changes in its working capital to mitigate the liquidity paralysis, which will mainly focus on supply chain nimbleness and receivables monetization. Theoretically the best option is to apply the Just-in-time (JIT) inventory system to minimize the holding period of 103 days and free the </w:t>
      </w:r>
      <w:r w:rsidR="00E1304C" w:rsidRPr="003C1CFF">
        <w:rPr>
          <w:rFonts w:ascii="Times New Roman" w:hAnsi="Times New Roman"/>
        </w:rPr>
        <w:t>£</w:t>
      </w:r>
      <w:r w:rsidRPr="003C1CFF">
        <w:t>79 billion in inventory. Nevertheless, JIT is associated with a high degree of geopolitical risks in the post-pandemic era. The disruption of global supply chains caused by COVID-19 and the current trade conflicts associated with semic</w:t>
      </w:r>
      <w:r w:rsidR="0054186E" w:rsidRPr="003C1CFF">
        <w:t>onductor manufacturing centers such as, Taiwan or China</w:t>
      </w:r>
      <w:r w:rsidRPr="003C1CFF">
        <w:t xml:space="preserve"> were a lesson to the industry that "Just-in-Time" can all too easily become Just-Too-Late in case of a disruption in logistics (</w:t>
      </w:r>
      <w:r w:rsidR="005A01FA" w:rsidRPr="003C1CFF">
        <w:t>BARKER ET AL., 2022</w:t>
      </w:r>
      <w:r w:rsidRPr="003C1CFF">
        <w:t>). Thus, even as the company ought to shift towards JIT in order to release cash, the CFO should consider striking a balance between this efficiency and resilience, possibly embracing a hybrid situation in which the most important and difficult-to-source components are inventoried, and the generic components are transferred to JIT. This tactic is critical since any halt of the production process caused by the lack of parts would be lethal to a company that has already entered the "Grey Zone" of the bankruptcy (</w:t>
      </w:r>
      <w:r w:rsidR="005A01FA" w:rsidRPr="003C1CFF">
        <w:t>Ferreira et al., 2024</w:t>
      </w:r>
      <w:r w:rsidRPr="003C1CFF">
        <w:t>).</w:t>
      </w:r>
    </w:p>
    <w:p w14:paraId="3EC4D0BE" w14:textId="2AE53EC5" w:rsidR="00041D9D" w:rsidRPr="003C1CFF" w:rsidRDefault="005E6FC3">
      <w:r w:rsidRPr="003C1CFF">
        <w:t xml:space="preserve">Concerning receivables, the factoring should be implemented instantly. The firm is sitting on </w:t>
      </w:r>
      <w:r w:rsidR="00E1304C" w:rsidRPr="003C1CFF">
        <w:rPr>
          <w:rFonts w:ascii="Times New Roman" w:hAnsi="Times New Roman"/>
        </w:rPr>
        <w:t>£</w:t>
      </w:r>
      <w:r w:rsidRPr="003C1CFF">
        <w:t xml:space="preserve">114 billion paper asset which is zero liquidity with 106 days to sale. When selling this book to a financial institution even at a discount the firm would be able to inject liquidity directly into the firm and use the money to pay off the risky short term credit lines. This is a plan usually employed by troubled companies to cover liquidity gaps without diluting the stock. In addition, the company should reposition its credit conditions to the industry. In case competitors are getting cash within 60 days, General </w:t>
      </w:r>
      <w:proofErr w:type="spellStart"/>
      <w:r w:rsidRPr="003C1CFF">
        <w:t>Eletronics</w:t>
      </w:r>
      <w:proofErr w:type="spellEnd"/>
      <w:r w:rsidRPr="003C1CFF">
        <w:t xml:space="preserve"> cannot possibly afford to give 106 days. This might involve renegotiating agreements with large retailers, which might potentially cut down revenue volume in favor of quality and faster-paying revenue, and this type of trade-off fits the change in focus of current market environment of growth to value (</w:t>
      </w:r>
      <w:proofErr w:type="spellStart"/>
      <w:r w:rsidR="005A01FA" w:rsidRPr="003C1CFF">
        <w:t>Baliouskas</w:t>
      </w:r>
      <w:proofErr w:type="spellEnd"/>
      <w:r w:rsidR="005A01FA" w:rsidRPr="003C1CFF">
        <w:t xml:space="preserve"> et al., 2023</w:t>
      </w:r>
      <w:r w:rsidRPr="003C1CFF">
        <w:t>, 2024).</w:t>
      </w:r>
    </w:p>
    <w:p w14:paraId="1F88D899" w14:textId="77777777" w:rsidR="00041D9D" w:rsidRPr="003C1CFF" w:rsidRDefault="00041D9D" w:rsidP="008B6964">
      <w:pPr>
        <w:pStyle w:val="Heading2"/>
        <w:rPr>
          <w:color w:val="auto"/>
        </w:rPr>
      </w:pPr>
      <w:bookmarkStart w:id="10" w:name="_Toc217265199"/>
      <w:r w:rsidRPr="003C1CFF">
        <w:rPr>
          <w:color w:val="auto"/>
        </w:rPr>
        <w:lastRenderedPageBreak/>
        <w:t>3.3 Financing Mix Evaluation</w:t>
      </w:r>
      <w:bookmarkEnd w:id="10"/>
    </w:p>
    <w:p w14:paraId="5FEA3BAC" w14:textId="48D8F08C" w:rsidR="00041D9D" w:rsidRPr="003C1CFF" w:rsidRDefault="00041D9D" w:rsidP="00041D9D">
      <w:r w:rsidRPr="003C1CFF">
        <w:t>The existing financing structure of General Electronics subjects the company to undue refinancing risk, which is a weakness that should be eliminated in the working capital strategy. The use of short-term to finance the long-term working capital, by relying on the short-term Lines of Credit (</w:t>
      </w:r>
      <w:r w:rsidR="00A11099" w:rsidRPr="003C1CFF">
        <w:t>£</w:t>
      </w:r>
      <w:r w:rsidRPr="003C1CFF">
        <w:t xml:space="preserve">36,960 million), breaks the Matching Principle of finance, which stipulates </w:t>
      </w:r>
      <w:r w:rsidR="00D24652" w:rsidRPr="003C1CFF">
        <w:t>that long-term asset</w:t>
      </w:r>
      <w:r w:rsidRPr="003C1CFF">
        <w:t xml:space="preserve"> should be financed through long-term sources (Berk and DeMarzo, 2020). The first lenders to withdraw funds in the case of a distress situation are short-term lenders and the dependence of the firm on such facilities exposes the firm to the wrath of market sentiments and bank covenants. It is suggested to substitute this aggressive financing policy with a more conservative one, in accordance with which permanent part of working capital should be financed with the help of long-term debts or equity, and seasonal fluctuations should be covered by short-term credit (</w:t>
      </w:r>
      <w:proofErr w:type="spellStart"/>
      <w:r w:rsidR="00442553" w:rsidRPr="003C1CFF">
        <w:t>Jeyasingh</w:t>
      </w:r>
      <w:proofErr w:type="spellEnd"/>
      <w:r w:rsidR="00442553" w:rsidRPr="003C1CFF">
        <w:t>, 2023</w:t>
      </w:r>
      <w:r w:rsidRPr="003C1CFF">
        <w:t>).</w:t>
      </w:r>
    </w:p>
    <w:p w14:paraId="38002A60" w14:textId="77777777" w:rsidR="00041D9D" w:rsidRPr="003C1CFF" w:rsidRDefault="00041D9D" w:rsidP="00041D9D">
      <w:r w:rsidRPr="003C1CFF">
        <w:t>Nevertheless, the company has a low credit rating and negative interest coverage, so the cost of accessing long-term debt markets will be prohibitively high or unattainable. The financing mix analysis, thus, indicates that the restructuring explained in Section 4.0, namely, turning short-term debt into equity or longer-term debt, will have to be considered to expand the maturity profile (Carlyle Investment Management LLC, 2025). This minimizes the cash outlay needs in the short-term to settle the principal and it streamlines the financing structure to the long-term cash conversion cycle. The CFO should be aggressive in negotiating with banking syndicates to roll over the current lines of credit by claiming that a longer runway gives a greater opportunity of full payback than crashing the bank (The IFT, 2021). This balance sheet rebalancing of the liability side is equally crucial as the changes made to the asset side to guarantee that the firm comes out of the turnaround phase.</w:t>
      </w:r>
    </w:p>
    <w:p w14:paraId="79666622" w14:textId="77777777" w:rsidR="00041D9D" w:rsidRPr="003C1CFF" w:rsidRDefault="00041D9D">
      <w:r w:rsidRPr="003C1CFF">
        <w:br w:type="page"/>
      </w:r>
    </w:p>
    <w:p w14:paraId="68692E92" w14:textId="77777777" w:rsidR="00041D9D" w:rsidRPr="003C1CFF" w:rsidRDefault="00041D9D" w:rsidP="008B6964">
      <w:pPr>
        <w:pStyle w:val="Heading1"/>
        <w:rPr>
          <w:color w:val="auto"/>
        </w:rPr>
      </w:pPr>
      <w:bookmarkStart w:id="11" w:name="_Toc217265200"/>
      <w:r w:rsidRPr="003C1CFF">
        <w:rPr>
          <w:color w:val="auto"/>
        </w:rPr>
        <w:lastRenderedPageBreak/>
        <w:t>4.0 Strategic Financial Restructuring Plan</w:t>
      </w:r>
      <w:bookmarkEnd w:id="11"/>
    </w:p>
    <w:p w14:paraId="262C7992" w14:textId="77777777" w:rsidR="00041D9D" w:rsidRPr="003C1CFF" w:rsidRDefault="00041D9D" w:rsidP="008B6964">
      <w:pPr>
        <w:pStyle w:val="Heading2"/>
        <w:rPr>
          <w:color w:val="auto"/>
        </w:rPr>
      </w:pPr>
      <w:bookmarkStart w:id="12" w:name="_Toc217265201"/>
      <w:r w:rsidRPr="003C1CFF">
        <w:rPr>
          <w:color w:val="auto"/>
        </w:rPr>
        <w:t>4.1 Analysis of Restructuring Alternatives</w:t>
      </w:r>
      <w:bookmarkEnd w:id="12"/>
    </w:p>
    <w:p w14:paraId="368726B8" w14:textId="2CD4AFD6" w:rsidR="005E6FC3" w:rsidRPr="003C1CFF" w:rsidRDefault="005E6FC3" w:rsidP="005E6FC3">
      <w:r w:rsidRPr="003C1CFF">
        <w:t xml:space="preserve">With the interest coverage ratio being negative and the impending maturity of the </w:t>
      </w:r>
      <w:r w:rsidR="003C1CFF" w:rsidRPr="003C1CFF">
        <w:t>short-term</w:t>
      </w:r>
      <w:r w:rsidRPr="003C1CFF">
        <w:t xml:space="preserve"> debts, General Electronics cannot easily grow out of its problems; the balance sheet needs some surgical restructuring. Al</w:t>
      </w:r>
      <w:r w:rsidR="00874BCA" w:rsidRPr="003C1CFF">
        <w:t>though an Equity Injection (for instance,</w:t>
      </w:r>
      <w:r w:rsidRPr="003C1CFF">
        <w:t xml:space="preserve"> a Right Issue) would be the preferable way of injecting new capital to deleverage the company, the present market situation makes this impossible. In post-2023 technology valuation correction, equity capital markets have closed successfully to distressed and loss-making hardware companies</w:t>
      </w:r>
      <w:r w:rsidR="00442553" w:rsidRPr="003C1CFF">
        <w:t xml:space="preserve"> (</w:t>
      </w:r>
      <w:r w:rsidR="009B4C64" w:rsidRPr="003C1CFF">
        <w:rPr>
          <w:rStyle w:val="Strong"/>
          <w:rFonts w:cs="Arial"/>
          <w:b w:val="0"/>
          <w:bCs w:val="0"/>
        </w:rPr>
        <w:t>Advanced Micro Devices, Inc, 2024</w:t>
      </w:r>
      <w:r w:rsidR="00442553" w:rsidRPr="003C1CFF">
        <w:t>)</w:t>
      </w:r>
      <w:r w:rsidRPr="003C1CFF">
        <w:t>. The investors are risk-averse who would not subscribe to new shares when EPS is negative (-</w:t>
      </w:r>
      <w:r w:rsidR="00A11099" w:rsidRPr="003C1CFF">
        <w:t>£</w:t>
      </w:r>
      <w:r w:rsidRPr="003C1CFF">
        <w:t xml:space="preserve"> 1.85) and when the Z-Score is a distress sign. Any collapsed right issue would send out a disaster of lack of trust, and this would hasten insolvency (</w:t>
      </w:r>
      <w:r w:rsidR="00442553" w:rsidRPr="003C1CFF">
        <w:t>Tsai et al., 2020</w:t>
      </w:r>
      <w:r w:rsidRPr="003C1CFF">
        <w:t>). This is a reflection of the plights of firms such as Toshiba that have languished over a number of years before being privatized, which demonstrates that the capital markets are in many cases ruthless toward troubled conglomerates.</w:t>
      </w:r>
    </w:p>
    <w:p w14:paraId="51889431" w14:textId="7CCE20CB" w:rsidR="00041D9D" w:rsidRPr="003C1CFF" w:rsidRDefault="005E6FC3">
      <w:r w:rsidRPr="003C1CFF">
        <w:t>Among others, therefore, there is a Debt-for-Equity Swap as the only mathematically possible survival route. This will entail persuading the syndicate of the lenders who have provided the</w:t>
      </w:r>
      <w:r w:rsidR="00A11099" w:rsidRPr="003C1CFF">
        <w:t>£</w:t>
      </w:r>
      <w:r w:rsidRPr="003C1CFF">
        <w:t xml:space="preserve">36.9 billion in short-term credit lines to convert the claims on the debt into equity ownership. This is a typical troubled asset relief measure applied in immediate de-risking the balance sheet. Using debt to equity will allow the company to eliminate the interest payments due sooner, immediately raising the Interest Coverage Ratio and eliminating the cash leak. To the lenders, even though they might want cash back, it is a superior measure of recovery as compared to cents-on-the-dollar recovery they will have had in a formal liquidation (Carlyle Investment Management LLC, 2025). The plan is also consistent with the present trend of the so-called Private Equity-like interventions in the stock exchange that employs financial restructuring as an approach to reestablishing the operational level. The non-core asset divestitures must occur in parallel, although one </w:t>
      </w:r>
      <w:r w:rsidRPr="003C1CFF">
        <w:lastRenderedPageBreak/>
        <w:t>sh</w:t>
      </w:r>
      <w:r w:rsidR="0054186E" w:rsidRPr="003C1CFF">
        <w:t>ould avoid selling valuable Intellectual Property</w:t>
      </w:r>
      <w:r w:rsidRPr="003C1CFF">
        <w:t xml:space="preserve"> that is needed by the Project C innovation strategy (McKinsey &amp; Company, 2020).</w:t>
      </w:r>
    </w:p>
    <w:p w14:paraId="7FAA0273" w14:textId="77777777" w:rsidR="00041D9D" w:rsidRPr="003C1CFF" w:rsidRDefault="00041D9D" w:rsidP="008B6964">
      <w:pPr>
        <w:pStyle w:val="Heading2"/>
        <w:rPr>
          <w:color w:val="auto"/>
        </w:rPr>
      </w:pPr>
      <w:bookmarkStart w:id="13" w:name="_Toc217265202"/>
      <w:r w:rsidRPr="003C1CFF">
        <w:rPr>
          <w:color w:val="auto"/>
        </w:rPr>
        <w:t>4.2 Stakeholder and Operation Impact</w:t>
      </w:r>
      <w:bookmarkEnd w:id="13"/>
    </w:p>
    <w:p w14:paraId="382CF023" w14:textId="77777777" w:rsidR="00041D9D" w:rsidRPr="003C1CFF" w:rsidRDefault="00041D9D" w:rsidP="00041D9D">
      <w:r w:rsidRPr="003C1CFF">
        <w:t>The intended reorganization will be far reaching in terms of implications to the stakeholders of the firm and its operational flexibility. To lenders, the debt-for-equity swap makes them the owners and not creditors of the firm, and their interests are similar with the long-term recovery of the firm and not the short-term payment (Keown, Martin, and Petty, 2024). This removes the burden of the negative Interest coverage ratio and the operating cash flow formerly used to service the debt is not used to settle debt but to invest in the vital working capital amendments and the innovation of new products (Project C). To the current shareholders, dilution will be harsh, albeit it offers a price floor to the share price since it will eliminate the bankruptcy discount currently embedded in the stock (</w:t>
      </w:r>
      <w:proofErr w:type="spellStart"/>
      <w:r w:rsidRPr="003C1CFF">
        <w:t>Mauboussin</w:t>
      </w:r>
      <w:proofErr w:type="spellEnd"/>
      <w:r w:rsidRPr="003C1CFF">
        <w:t xml:space="preserve"> and Callahan, 2024).</w:t>
      </w:r>
    </w:p>
    <w:p w14:paraId="2F053A05" w14:textId="69ACFED5" w:rsidR="00041D9D" w:rsidRPr="003C1CFF" w:rsidRDefault="00041D9D" w:rsidP="00041D9D">
      <w:r w:rsidRPr="003C1CFF">
        <w:t>Operationally, the decrease in debt service liabilities brings about the flexibility of the firm. In present times, the cash management and covenant compliance concerns of the management are entirely short-term; with restructuring, the executive team will shift the emphasis back to strategic growth and operational excellence (</w:t>
      </w:r>
      <w:proofErr w:type="spellStart"/>
      <w:r w:rsidR="00442553" w:rsidRPr="003C1CFF">
        <w:t>Jeyasingh</w:t>
      </w:r>
      <w:proofErr w:type="spellEnd"/>
      <w:r w:rsidR="00442553" w:rsidRPr="003C1CFF">
        <w:t>, 2023</w:t>
      </w:r>
      <w:r w:rsidRPr="003C1CFF">
        <w:t>). It further enhances the Z-Score by making Equity (X 4) and decreasing Liabilities, which could potentially put the firm out of the Grey Zone and rebuild the confidence of suppliers, who subsequently may relax payment terms, which further simplifies the working capital cycle (</w:t>
      </w:r>
      <w:proofErr w:type="spellStart"/>
      <w:r w:rsidR="005A01FA" w:rsidRPr="003C1CFF">
        <w:t>Setyopurnomo</w:t>
      </w:r>
      <w:proofErr w:type="spellEnd"/>
      <w:r w:rsidR="005A01FA" w:rsidRPr="003C1CFF">
        <w:t xml:space="preserve"> et al., 2025</w:t>
      </w:r>
      <w:r w:rsidRPr="003C1CFF">
        <w:t>). This selfless circle of stabilizing the finances is the fundamental goal of the restructuring strategy, which establishes a stable base on which the new investment projects can be released.</w:t>
      </w:r>
    </w:p>
    <w:p w14:paraId="768F9A58" w14:textId="77777777" w:rsidR="00041D9D" w:rsidRPr="003C1CFF" w:rsidRDefault="00041D9D" w:rsidP="008B6964">
      <w:pPr>
        <w:pStyle w:val="Heading2"/>
        <w:rPr>
          <w:color w:val="auto"/>
        </w:rPr>
      </w:pPr>
      <w:bookmarkStart w:id="14" w:name="_Toc217265203"/>
      <w:r w:rsidRPr="003C1CFF">
        <w:rPr>
          <w:color w:val="auto"/>
        </w:rPr>
        <w:t>4.3 International and Community Concerns</w:t>
      </w:r>
      <w:bookmarkEnd w:id="14"/>
    </w:p>
    <w:p w14:paraId="047D6EDF" w14:textId="7EC4C19C" w:rsidR="005E6FC3" w:rsidRPr="003C1CFF" w:rsidRDefault="005E6FC3" w:rsidP="005E6FC3">
      <w:r w:rsidRPr="003C1CFF">
        <w:t>The reorganization of an international corporation such as General Electronics contributes to a weak geopolitical ecosystem being upset by the crisis in Ukraine and Middle East. These conflicts have structurally increased the cost of energ</w:t>
      </w:r>
      <w:r w:rsidR="00874BCA" w:rsidRPr="003C1CFF">
        <w:t>y and logistics, for example,</w:t>
      </w:r>
      <w:r w:rsidRPr="003C1CFF">
        <w:t xml:space="preserve"> </w:t>
      </w:r>
      <w:r w:rsidRPr="003C1CFF">
        <w:lastRenderedPageBreak/>
        <w:t>any restructuring plan that depends on the movement of goods across the borders has to consider increased costs of friction than during the pre-2022 period</w:t>
      </w:r>
      <w:r w:rsidR="00442553" w:rsidRPr="003C1CFF">
        <w:t xml:space="preserve"> (</w:t>
      </w:r>
      <w:proofErr w:type="spellStart"/>
      <w:r w:rsidR="009B4C64" w:rsidRPr="003C1CFF">
        <w:t>Radjawane</w:t>
      </w:r>
      <w:proofErr w:type="spellEnd"/>
      <w:r w:rsidR="009B4C64" w:rsidRPr="003C1CFF">
        <w:t xml:space="preserve"> and Anas, 2025</w:t>
      </w:r>
      <w:r w:rsidR="00442553" w:rsidRPr="003C1CFF">
        <w:t>)</w:t>
      </w:r>
      <w:r w:rsidRPr="003C1CFF">
        <w:t>. Moreover, the regulatory framework in relation to Transfer Pricing and Base Erosion and Profit Shifting (BEPS) on the global scene has become more restrictive. When General Electronics considers the possible assets divestiture or debt restructuring in various jurisdictions, it has to be careful that it does not run afoul of the OECD guidelines that would impose huge tax penalties to destabilize the liquidity recovery. Any misstep, including the creation of a capital gains tax event in one of the relatively high-tax jurisdictions to settle the debt in another, would eat up the liquidity the restructuring is supposed to maintain (</w:t>
      </w:r>
      <w:proofErr w:type="spellStart"/>
      <w:r w:rsidR="00442553" w:rsidRPr="003C1CFF">
        <w:t>Ipaki</w:t>
      </w:r>
      <w:proofErr w:type="spellEnd"/>
      <w:r w:rsidR="00442553" w:rsidRPr="003C1CFF">
        <w:t xml:space="preserve"> and </w:t>
      </w:r>
      <w:proofErr w:type="spellStart"/>
      <w:r w:rsidR="00442553" w:rsidRPr="003C1CFF">
        <w:t>hosseni</w:t>
      </w:r>
      <w:proofErr w:type="spellEnd"/>
      <w:r w:rsidR="005A01FA" w:rsidRPr="003C1CFF">
        <w:t>, 2025</w:t>
      </w:r>
      <w:r w:rsidRPr="003C1CFF">
        <w:t>).</w:t>
      </w:r>
    </w:p>
    <w:p w14:paraId="572BCF1C" w14:textId="3DD160DF" w:rsidR="00041D9D" w:rsidRPr="003C1CFF" w:rsidRDefault="005E6FC3" w:rsidP="005E6FC3">
      <w:r w:rsidRPr="003C1CFF">
        <w:t>In contrast to the shareholder-primacy period of the past, current stakeholders, such as governments and investors with an interest in ESG, question the manner in which a troubled firm treats its employees</w:t>
      </w:r>
      <w:r w:rsidR="00442553" w:rsidRPr="003C1CFF">
        <w:t xml:space="preserve"> (</w:t>
      </w:r>
      <w:r w:rsidR="009B4C64" w:rsidRPr="003C1CFF">
        <w:t>Briggs, 2025</w:t>
      </w:r>
      <w:r w:rsidR="00442553" w:rsidRPr="003C1CFF">
        <w:t>)</w:t>
      </w:r>
      <w:r w:rsidRPr="003C1CFF">
        <w:t>. Uncooperative layoff might result in strike or government rescue, especially in areas such as Europe where labor has a high protection. Thus, the reorganization should also consider ethical offboarding and retraining so that the downsizing does not appear as a liquidation of labor but rather as a change that has to be done to rescue the jobs left. This type of Just Transition is critical to its sustenance of the "Social License to Operate (Arm Holdings plc, 2025), as it prevents the needless brand backlash that may tend to drive the company out of its intended market consumers of its future Project C products (</w:t>
      </w:r>
      <w:r w:rsidR="00442553" w:rsidRPr="003C1CFF">
        <w:t>Flammer and Ioannou, 2021</w:t>
      </w:r>
      <w:r w:rsidRPr="003C1CFF">
        <w:t>).</w:t>
      </w:r>
    </w:p>
    <w:p w14:paraId="46B556FD" w14:textId="77777777" w:rsidR="0094620A" w:rsidRPr="003C1CFF" w:rsidRDefault="0094620A">
      <w:r w:rsidRPr="003C1CFF">
        <w:br w:type="page"/>
      </w:r>
    </w:p>
    <w:p w14:paraId="35D6FE61" w14:textId="77777777" w:rsidR="0094620A" w:rsidRPr="003C1CFF" w:rsidRDefault="0094620A" w:rsidP="008B6964">
      <w:pPr>
        <w:pStyle w:val="Heading1"/>
        <w:rPr>
          <w:color w:val="auto"/>
        </w:rPr>
      </w:pPr>
      <w:bookmarkStart w:id="15" w:name="_Toc217265204"/>
      <w:r w:rsidRPr="003C1CFF">
        <w:rPr>
          <w:color w:val="auto"/>
        </w:rPr>
        <w:lastRenderedPageBreak/>
        <w:t>5.0 Investment A</w:t>
      </w:r>
      <w:r w:rsidR="008B6964" w:rsidRPr="003C1CFF">
        <w:rPr>
          <w:color w:val="auto"/>
        </w:rPr>
        <w:t>ppraisal and Capital Budgeting</w:t>
      </w:r>
      <w:bookmarkEnd w:id="15"/>
    </w:p>
    <w:p w14:paraId="13E99A3F" w14:textId="77777777" w:rsidR="0094620A" w:rsidRPr="003C1CFF" w:rsidRDefault="0094620A" w:rsidP="008B6964">
      <w:pPr>
        <w:pStyle w:val="Heading2"/>
        <w:rPr>
          <w:color w:val="auto"/>
        </w:rPr>
      </w:pPr>
      <w:bookmarkStart w:id="16" w:name="_Toc217265205"/>
      <w:r w:rsidRPr="003C1CFF">
        <w:rPr>
          <w:color w:val="auto"/>
        </w:rPr>
        <w:t>5</w:t>
      </w:r>
      <w:r w:rsidR="008B6964" w:rsidRPr="003C1CFF">
        <w:rPr>
          <w:color w:val="auto"/>
        </w:rPr>
        <w:t>.1 Investment Appraisal Method</w:t>
      </w:r>
      <w:bookmarkEnd w:id="16"/>
    </w:p>
    <w:p w14:paraId="03CF0F8C" w14:textId="42FAE206" w:rsidR="0094620A" w:rsidRPr="003C1CFF" w:rsidRDefault="0094620A" w:rsidP="0094620A">
      <w:r w:rsidRPr="003C1CFF">
        <w:t>The decision on the type of investment appraisal methodology is the most critical in deciding the best direction to be taken going forward. Due to the delicate financial status of the firm and the expensive cost of ca</w:t>
      </w:r>
      <w:r w:rsidR="0054186E" w:rsidRPr="003C1CFF">
        <w:t>pital, Discounted Cashflow</w:t>
      </w:r>
      <w:r w:rsidRPr="003C1CFF">
        <w:t xml:space="preserve"> models, namely Net </w:t>
      </w:r>
      <w:r w:rsidR="0054186E" w:rsidRPr="003C1CFF">
        <w:t>Present Value</w:t>
      </w:r>
      <w:r w:rsidRPr="003C1CFF">
        <w:t xml:space="preserve"> a</w:t>
      </w:r>
      <w:r w:rsidR="0054186E" w:rsidRPr="003C1CFF">
        <w:t>nd Internal Rate of Return</w:t>
      </w:r>
      <w:r w:rsidRPr="003C1CFF">
        <w:t xml:space="preserve"> are put at the forefront compared to non-discounted approac</w:t>
      </w:r>
      <w:r w:rsidR="0054186E" w:rsidRPr="003C1CFF">
        <w:t>hes such as Payback Period</w:t>
      </w:r>
      <w:r w:rsidRPr="003C1CFF">
        <w:t xml:space="preserve"> and</w:t>
      </w:r>
      <w:r w:rsidR="0054186E" w:rsidRPr="003C1CFF">
        <w:t xml:space="preserve"> Accounting Rate of Return</w:t>
      </w:r>
      <w:r w:rsidRPr="003C1CFF">
        <w:t xml:space="preserve"> (</w:t>
      </w:r>
      <w:proofErr w:type="spellStart"/>
      <w:r w:rsidR="005A01FA" w:rsidRPr="003C1CFF">
        <w:t>Baliouskas</w:t>
      </w:r>
      <w:proofErr w:type="spellEnd"/>
      <w:r w:rsidR="005A01FA" w:rsidRPr="003C1CFF">
        <w:t xml:space="preserve"> et al., 2023</w:t>
      </w:r>
      <w:r w:rsidRPr="003C1CFF">
        <w:t>, 2024). This reasoning is based on the principle of Time Value of Money; a pound to which a firm can receive today is much more valuable to the firm that has liquidity constraints than a pound that it can receive five years down the line (Berk and DeMarzo, 2020). NPV gives the direct estimate of shareholder wealth creation which is a final goal of turnaround. Although Payback Period provides an understanding of the speed of liquidity recovery, which is an essential consideration at General Electronics, it does not consider the cash flows after the payback point and does not take into account th</w:t>
      </w:r>
      <w:r w:rsidR="00442553" w:rsidRPr="003C1CFF">
        <w:t>e risk-adjusted cost of capital</w:t>
      </w:r>
      <w:r w:rsidRPr="003C1CFF">
        <w:t>, which is a secondary limitation of the tool over a primary decision-making t</w:t>
      </w:r>
      <w:r w:rsidR="008B6964" w:rsidRPr="003C1CFF">
        <w:t>ool (</w:t>
      </w:r>
      <w:proofErr w:type="spellStart"/>
      <w:r w:rsidR="005A01FA" w:rsidRPr="003C1CFF">
        <w:t>Setyopurnomo</w:t>
      </w:r>
      <w:proofErr w:type="spellEnd"/>
      <w:r w:rsidR="005A01FA" w:rsidRPr="003C1CFF">
        <w:t xml:space="preserve"> et al., 2025</w:t>
      </w:r>
      <w:r w:rsidR="008B6964" w:rsidRPr="003C1CFF">
        <w:t>).</w:t>
      </w:r>
    </w:p>
    <w:p w14:paraId="39942B3A" w14:textId="77777777" w:rsidR="0094620A" w:rsidRPr="003C1CFF" w:rsidRDefault="0094620A" w:rsidP="008B6964">
      <w:pPr>
        <w:pStyle w:val="Heading2"/>
        <w:rPr>
          <w:color w:val="auto"/>
        </w:rPr>
      </w:pPr>
      <w:bookmarkStart w:id="17" w:name="_Toc217265206"/>
      <w:r w:rsidRPr="003C1CFF">
        <w:rPr>
          <w:color w:val="auto"/>
        </w:rPr>
        <w:t>5.2 Comparative Projects Analysis of Projects A, B, and C</w:t>
      </w:r>
      <w:bookmarkEnd w:id="17"/>
    </w:p>
    <w:p w14:paraId="39AAE9CC" w14:textId="6A84B9F8" w:rsidR="005E6FC3" w:rsidRPr="003C1CFF" w:rsidRDefault="005E6FC3" w:rsidP="005E6FC3">
      <w:r w:rsidRPr="003C1CFF">
        <w:t xml:space="preserve">The </w:t>
      </w:r>
      <w:r w:rsidR="00A20338" w:rsidRPr="003C1CFF">
        <w:t>relative comparison of the five</w:t>
      </w:r>
      <w:r w:rsidRPr="003C1CFF">
        <w:t xml:space="preserve"> investment projects should be put in the context not only as a financial decision, but as a strategic choice of the future identity of the company in a </w:t>
      </w:r>
      <w:r w:rsidR="003C1CFF" w:rsidRPr="003C1CFF">
        <w:t>fast-changing</w:t>
      </w:r>
      <w:r w:rsidRPr="003C1CFF">
        <w:t xml:space="preserve"> industry. Project B (Maintenance) with the negative NPV of -</w:t>
      </w:r>
      <w:r w:rsidR="00A11099" w:rsidRPr="003C1CFF">
        <w:t>£</w:t>
      </w:r>
      <w:r w:rsidRPr="003C1CFF">
        <w:t xml:space="preserve"> 7.26m and the zero IRR is a strategy of a managed decline. To spend</w:t>
      </w:r>
      <w:r w:rsidR="00A11099" w:rsidRPr="003C1CFF">
        <w:t>£</w:t>
      </w:r>
      <w:r w:rsidRPr="003C1CFF">
        <w:t>30m to keep things the same is similar to the approach that saw a company such as Kodak or Nokia relegated to obsolescence; it does not take into account the technological changes in the field of AI and 5G that are defining the consumer electronics</w:t>
      </w:r>
      <w:r w:rsidR="00442553" w:rsidRPr="003C1CFF">
        <w:t xml:space="preserve"> (</w:t>
      </w:r>
      <w:r w:rsidR="009B4C64" w:rsidRPr="003C1CFF">
        <w:t>Sharma, 2025</w:t>
      </w:r>
      <w:r w:rsidR="00442553" w:rsidRPr="003C1CFF">
        <w:t>)</w:t>
      </w:r>
      <w:r w:rsidRPr="003C1CFF">
        <w:t>. Through an industry that rival firms such as Apple and Huawei are investing billions in research and development to incorporate AI into their hardware, staying on par with them is tantamount to regression. Project B will ensure General Electronics is a "zombie company" - a company that is alive, but not economically significant (Keown, Martin, and Petty, 2024).</w:t>
      </w:r>
    </w:p>
    <w:p w14:paraId="37B03038" w14:textId="145ACF47" w:rsidR="005E6FC3" w:rsidRPr="003C1CFF" w:rsidRDefault="005E6FC3" w:rsidP="005E6FC3">
      <w:r w:rsidRPr="003C1CFF">
        <w:lastRenderedPageBreak/>
        <w:t>Project A (Expansion) is a good</w:t>
      </w:r>
      <w:r w:rsidR="00A11099" w:rsidRPr="003C1CFF">
        <w:t>£</w:t>
      </w:r>
      <w:r w:rsidRPr="003C1CFF">
        <w:t>1.33m NPV which is a mere more-of-the-same strategy. The decision to increase existing product lines in a market environment that is already saturated in the post-pandemic market, where demand is declining (as observed in Section 2.1) is a low-conviction bet. It is not a solution to the underlying problem that the products of the firm might be losing their relevance</w:t>
      </w:r>
      <w:r w:rsidR="00442553" w:rsidRPr="003C1CFF">
        <w:t xml:space="preserve"> (</w:t>
      </w:r>
      <w:proofErr w:type="spellStart"/>
      <w:r w:rsidR="009B4C64" w:rsidRPr="003C1CFF">
        <w:t>Gotteiner</w:t>
      </w:r>
      <w:proofErr w:type="spellEnd"/>
      <w:r w:rsidR="009B4C64" w:rsidRPr="003C1CFF">
        <w:t xml:space="preserve"> et al., 2019</w:t>
      </w:r>
      <w:r w:rsidR="00442553" w:rsidRPr="003C1CFF">
        <w:t>)</w:t>
      </w:r>
      <w:r w:rsidRPr="003C1CFF">
        <w:t>.</w:t>
      </w:r>
    </w:p>
    <w:p w14:paraId="5137D0F7" w14:textId="3322A8FA" w:rsidR="0094620A" w:rsidRPr="003C1CFF" w:rsidRDefault="005E6FC3" w:rsidP="005E6FC3">
      <w:r w:rsidRPr="003C1CFF">
        <w:t>The only project which suits the existential need of the current tech situation is project C (Innovation). Its NPV in</w:t>
      </w:r>
      <w:r w:rsidR="00A11099" w:rsidRPr="003C1CFF">
        <w:t>£</w:t>
      </w:r>
      <w:r w:rsidRPr="003C1CFF">
        <w:t>4.23m, and the IRR of 12.85 yields the highest financial returns, however, its strategic value is greater than the numbers. Its possible project, called Innovation, probably has to do with penetrating high-growth markets that include AI-enabled home appliances or energy-saving electronics, the one that the wider downturn has not yet led to but the demand in which continues to rise. Although the cash flows are fluctuating (</w:t>
      </w:r>
      <w:r w:rsidR="00A11099" w:rsidRPr="003C1CFF">
        <w:t>£</w:t>
      </w:r>
      <w:r w:rsidRPr="003C1CFF">
        <w:t xml:space="preserve"> 5m to</w:t>
      </w:r>
      <w:r w:rsidR="00A11099" w:rsidRPr="003C1CFF">
        <w:t>£</w:t>
      </w:r>
      <w:r w:rsidRPr="003C1CFF">
        <w:t>25m), the volatility is caused by the type of bets that are made in venture style to transform a legacy tech company</w:t>
      </w:r>
      <w:r w:rsidR="00442553" w:rsidRPr="003C1CFF">
        <w:t xml:space="preserve"> (</w:t>
      </w:r>
      <w:proofErr w:type="spellStart"/>
      <w:r w:rsidR="009B4C64" w:rsidRPr="003C1CFF">
        <w:t>Nyagiloh</w:t>
      </w:r>
      <w:proofErr w:type="spellEnd"/>
      <w:r w:rsidR="009B4C64" w:rsidRPr="003C1CFF">
        <w:t xml:space="preserve"> and </w:t>
      </w:r>
      <w:proofErr w:type="spellStart"/>
      <w:r w:rsidR="009B4C64" w:rsidRPr="003C1CFF">
        <w:t>Kilika</w:t>
      </w:r>
      <w:proofErr w:type="spellEnd"/>
      <w:r w:rsidR="009B4C64" w:rsidRPr="003C1CFF">
        <w:t>, 2020</w:t>
      </w:r>
      <w:r w:rsidR="00442553" w:rsidRPr="003C1CFF">
        <w:t>)</w:t>
      </w:r>
      <w:r w:rsidRPr="003C1CFF">
        <w:t>. The same way Microsoft managed to transit</w:t>
      </w:r>
      <w:r w:rsidR="00442553" w:rsidRPr="003C1CFF">
        <w:t>ion off Windows and into Cloud</w:t>
      </w:r>
      <w:r w:rsidRPr="003C1CFF">
        <w:t xml:space="preserve"> to jump-start growth, General Electronics needs to transition off old hardware and new innovative solutions. In absence of Project C, the restructuring process in Section 4.0 is meaningless as a debt free company with </w:t>
      </w:r>
      <w:proofErr w:type="spellStart"/>
      <w:r w:rsidRPr="003C1CFF">
        <w:t>out-dated</w:t>
      </w:r>
      <w:proofErr w:type="spellEnd"/>
      <w:r w:rsidRPr="003C1CFF">
        <w:t xml:space="preserve"> product has no future. Consequently, Project C is not only an investment, but the driver of the whole turnaround (</w:t>
      </w:r>
      <w:proofErr w:type="spellStart"/>
      <w:r w:rsidRPr="003C1CFF">
        <w:t>Mauboussin</w:t>
      </w:r>
      <w:proofErr w:type="spellEnd"/>
      <w:r w:rsidRPr="003C1CFF">
        <w:t xml:space="preserve"> and Callahan, 2024).</w:t>
      </w:r>
    </w:p>
    <w:p w14:paraId="65586D0B" w14:textId="7F8892BF" w:rsidR="0094620A" w:rsidRPr="003C1CFF" w:rsidRDefault="0094620A" w:rsidP="008B6964">
      <w:pPr>
        <w:pStyle w:val="Heading2"/>
        <w:rPr>
          <w:color w:val="auto"/>
        </w:rPr>
      </w:pPr>
      <w:bookmarkStart w:id="18" w:name="_Toc217265207"/>
      <w:r w:rsidRPr="003C1CFF">
        <w:rPr>
          <w:color w:val="auto"/>
        </w:rPr>
        <w:t>5.3 Capital Ration</w:t>
      </w:r>
      <w:r w:rsidR="008B6964" w:rsidRPr="003C1CFF">
        <w:rPr>
          <w:color w:val="auto"/>
        </w:rPr>
        <w:t>ing Decision (</w:t>
      </w:r>
      <w:r w:rsidR="00A11099" w:rsidRPr="003C1CFF">
        <w:rPr>
          <w:color w:val="auto"/>
        </w:rPr>
        <w:t>£</w:t>
      </w:r>
      <w:r w:rsidR="008B6964" w:rsidRPr="003C1CFF">
        <w:rPr>
          <w:color w:val="auto"/>
        </w:rPr>
        <w:t>60m Constraint)</w:t>
      </w:r>
      <w:bookmarkEnd w:id="18"/>
    </w:p>
    <w:p w14:paraId="0C5C2C9F" w14:textId="6F95CA55" w:rsidR="0094620A" w:rsidRPr="003C1CFF" w:rsidRDefault="0094620A" w:rsidP="0094620A">
      <w:r w:rsidRPr="003C1CFF">
        <w:t>Strict</w:t>
      </w:r>
      <w:r w:rsidR="00A11099" w:rsidRPr="003C1CFF">
        <w:t xml:space="preserve"> £</w:t>
      </w:r>
      <w:r w:rsidRPr="003C1CFF">
        <w:t>60 million capital rationing limit compels a mutually exclusive option of the viable alternatives. Project A (</w:t>
      </w:r>
      <w:r w:rsidR="00A11099" w:rsidRPr="003C1CFF">
        <w:t>£</w:t>
      </w:r>
      <w:r w:rsidRPr="003C1CFF">
        <w:t>40m) and Project C (</w:t>
      </w:r>
      <w:r w:rsidR="00A11099" w:rsidRPr="003C1CFF">
        <w:t>£</w:t>
      </w:r>
      <w:r w:rsidRPr="003C1CFF">
        <w:t>50m) cannot be financially managed by the firm since the sum total (</w:t>
      </w:r>
      <w:r w:rsidR="00A11099" w:rsidRPr="003C1CFF">
        <w:t>£</w:t>
      </w:r>
      <w:r w:rsidRPr="003C1CFF">
        <w:t>90m) is higher than the limit. This decision is hence based on the maximization of the total NPV subject to the</w:t>
      </w:r>
      <w:r w:rsidR="00A11099" w:rsidRPr="003C1CFF">
        <w:t xml:space="preserve"> £</w:t>
      </w:r>
      <w:r w:rsidRPr="003C1CFF">
        <w:t>60m constra</w:t>
      </w:r>
      <w:r w:rsidR="008B6964" w:rsidRPr="003C1CFF">
        <w:t>int (McKinsey &amp; Company, 2020).</w:t>
      </w:r>
    </w:p>
    <w:p w14:paraId="47287946" w14:textId="2D6B4087" w:rsidR="0094620A" w:rsidRPr="003C1CFF" w:rsidRDefault="0094620A" w:rsidP="0094620A">
      <w:r w:rsidRPr="003C1CFF">
        <w:rPr>
          <w:b/>
        </w:rPr>
        <w:t>Option 1:</w:t>
      </w:r>
      <w:r w:rsidR="00A11099" w:rsidRPr="003C1CFF">
        <w:t xml:space="preserve"> Select Project A only. Cost: </w:t>
      </w:r>
      <w:r w:rsidRPr="003C1CFF">
        <w:t xml:space="preserve">40m. Total </w:t>
      </w:r>
      <w:r w:rsidR="003C1CFF" w:rsidRPr="003C1CFF">
        <w:t>NPV: £</w:t>
      </w:r>
      <w:r w:rsidR="008B6964" w:rsidRPr="003C1CFF">
        <w:t xml:space="preserve">1.33m. Residual </w:t>
      </w:r>
      <w:r w:rsidR="003C1CFF" w:rsidRPr="003C1CFF">
        <w:t>Cash: £</w:t>
      </w:r>
      <w:r w:rsidR="008B6964" w:rsidRPr="003C1CFF">
        <w:t>20m.</w:t>
      </w:r>
    </w:p>
    <w:p w14:paraId="76C13E08" w14:textId="64884F70" w:rsidR="0094620A" w:rsidRPr="003C1CFF" w:rsidRDefault="0094620A" w:rsidP="0094620A">
      <w:r w:rsidRPr="003C1CFF">
        <w:rPr>
          <w:b/>
        </w:rPr>
        <w:t xml:space="preserve">Option 2: </w:t>
      </w:r>
      <w:r w:rsidR="00A11099" w:rsidRPr="003C1CFF">
        <w:t xml:space="preserve">Select Project C only. Cost: £ </w:t>
      </w:r>
      <w:r w:rsidRPr="003C1CFF">
        <w:t xml:space="preserve">50m. Total </w:t>
      </w:r>
      <w:r w:rsidR="003C1CFF" w:rsidRPr="003C1CFF">
        <w:t>NPV: £</w:t>
      </w:r>
      <w:r w:rsidRPr="003C1CFF">
        <w:t xml:space="preserve">4.23m. Residual </w:t>
      </w:r>
      <w:r w:rsidR="003C1CFF" w:rsidRPr="003C1CFF">
        <w:t>Cash: £</w:t>
      </w:r>
      <w:r w:rsidR="008B6964" w:rsidRPr="003C1CFF">
        <w:t>10m.</w:t>
      </w:r>
    </w:p>
    <w:p w14:paraId="6E759D4F" w14:textId="77777777" w:rsidR="0094620A" w:rsidRPr="003C1CFF" w:rsidRDefault="0094620A" w:rsidP="0094620A">
      <w:r w:rsidRPr="003C1CFF">
        <w:rPr>
          <w:b/>
        </w:rPr>
        <w:lastRenderedPageBreak/>
        <w:t>Combination:</w:t>
      </w:r>
      <w:r w:rsidRPr="003C1CFF">
        <w:t xml:space="preserve"> There is not a possibility o</w:t>
      </w:r>
      <w:r w:rsidR="008B6964" w:rsidRPr="003C1CFF">
        <w:t>f a combination within the cap.</w:t>
      </w:r>
    </w:p>
    <w:p w14:paraId="3120C8D3" w14:textId="206CFE9B" w:rsidR="0094620A" w:rsidRPr="003C1CFF" w:rsidRDefault="0094620A" w:rsidP="0094620A">
      <w:r w:rsidRPr="003C1CFF">
        <w:t>The mathematical choice is undisputed: Project C. It produces more shareholder value of the project than Project A (</w:t>
      </w:r>
      <w:r w:rsidR="00A11099" w:rsidRPr="003C1CFF">
        <w:t>£</w:t>
      </w:r>
      <w:r w:rsidRPr="003C1CFF">
        <w:t>4.23m vs</w:t>
      </w:r>
      <w:r w:rsidR="00A11099" w:rsidRPr="003C1CFF">
        <w:t>£</w:t>
      </w:r>
      <w:r w:rsidRPr="003C1CFF">
        <w:t>1.33m) and manages the money at hand more effectively. Although it has less cash left over (</w:t>
      </w:r>
      <w:r w:rsidR="00A11099" w:rsidRPr="003C1CFF">
        <w:t>£</w:t>
      </w:r>
      <w:r w:rsidRPr="003C1CFF">
        <w:t>10m vs</w:t>
      </w:r>
      <w:r w:rsidR="00A11099" w:rsidRPr="003C1CFF">
        <w:t>£</w:t>
      </w:r>
      <w:r w:rsidRPr="003C1CFF">
        <w:t>20m), it is more strategic to invest in high growth innovation that would potentially transform the future of the company than a modest scale-up (Project A) that will barely move the needle (Infos</w:t>
      </w:r>
      <w:r w:rsidR="008B6964" w:rsidRPr="003C1CFF">
        <w:t>ys BPM, 2023).</w:t>
      </w:r>
    </w:p>
    <w:p w14:paraId="51C51A7F" w14:textId="77777777" w:rsidR="0094620A" w:rsidRPr="003C1CFF" w:rsidRDefault="0094620A" w:rsidP="008B6964">
      <w:pPr>
        <w:pStyle w:val="Heading2"/>
        <w:rPr>
          <w:color w:val="auto"/>
        </w:rPr>
      </w:pPr>
      <w:bookmarkStart w:id="19" w:name="_Toc217265208"/>
      <w:r w:rsidRPr="003C1CFF">
        <w:rPr>
          <w:color w:val="auto"/>
        </w:rPr>
        <w:t>5.4 risk asses</w:t>
      </w:r>
      <w:r w:rsidR="008B6964" w:rsidRPr="003C1CFF">
        <w:rPr>
          <w:color w:val="auto"/>
        </w:rPr>
        <w:t>sment and Final recommendation</w:t>
      </w:r>
      <w:bookmarkEnd w:id="19"/>
    </w:p>
    <w:p w14:paraId="11965DCB" w14:textId="50865190" w:rsidR="0094620A" w:rsidRPr="003C1CFF" w:rsidRDefault="0094620A" w:rsidP="0094620A">
      <w:r w:rsidRPr="003C1CFF">
        <w:t>The last suggestion to go ahead with Project C should be balanced with the risk appraisal that is critical in accordance with the failing position of General Electronics. The first risk is the liquidity; Project C has periods of payback of 3.6 years, a little bit longer than 3.4 years under Project A. To a company in the Grey Zone, it is a huge risk to tie up</w:t>
      </w:r>
      <w:r w:rsidR="00A11099" w:rsidRPr="003C1CFF">
        <w:t>£</w:t>
      </w:r>
      <w:r w:rsidRPr="003C1CFF">
        <w:t>50m (The IFT, 2021). But the other- stagnation, or low-return investment, is sure to bring a slow death. Project C is the "Innovation" to turn around the sales drop which was observed in Section 2.1. This investment should be limited on the effective implementation of the Working Capital reforms (Section 3.0) and Debt Restructuring (Section 4.0) in order to avoid the liquidity risk. The</w:t>
      </w:r>
      <w:r w:rsidR="00442553" w:rsidRPr="003C1CFF">
        <w:t xml:space="preserve"> </w:t>
      </w:r>
      <w:r w:rsidR="00A11099" w:rsidRPr="003C1CFF">
        <w:t>£</w:t>
      </w:r>
      <w:r w:rsidRPr="003C1CFF">
        <w:t>50m outlay is unpayable by the firm without the liquidity that the receivables will provide, as well as the breathing room the debt re-</w:t>
      </w:r>
      <w:proofErr w:type="spellStart"/>
      <w:r w:rsidRPr="003C1CFF">
        <w:t>definancing</w:t>
      </w:r>
      <w:proofErr w:type="spellEnd"/>
      <w:r w:rsidRPr="003C1CFF">
        <w:t xml:space="preserve"> will provide</w:t>
      </w:r>
      <w:r w:rsidR="00442553" w:rsidRPr="003C1CFF">
        <w:t xml:space="preserve"> (</w:t>
      </w:r>
      <w:r w:rsidR="009B4C64" w:rsidRPr="003C1CFF">
        <w:t>Sinha and Mehta, 2023</w:t>
      </w:r>
      <w:r w:rsidR="00442553" w:rsidRPr="003C1CFF">
        <w:t>)</w:t>
      </w:r>
      <w:r w:rsidRPr="003C1CFF">
        <w:t>. Thus, it is proposed to have a coordinated implementation: to have strict gates to Project C funding release based on working capital milestones (</w:t>
      </w:r>
      <w:proofErr w:type="spellStart"/>
      <w:r w:rsidR="00442553" w:rsidRPr="003C1CFF">
        <w:t>Ipaki</w:t>
      </w:r>
      <w:proofErr w:type="spellEnd"/>
      <w:r w:rsidR="005A01FA" w:rsidRPr="003C1CFF">
        <w:t xml:space="preserve"> </w:t>
      </w:r>
      <w:r w:rsidR="00442553" w:rsidRPr="003C1CFF">
        <w:t xml:space="preserve">and </w:t>
      </w:r>
      <w:proofErr w:type="spellStart"/>
      <w:r w:rsidR="00442553" w:rsidRPr="003C1CFF">
        <w:t>Hosseni</w:t>
      </w:r>
      <w:proofErr w:type="spellEnd"/>
      <w:r w:rsidR="005A01FA" w:rsidRPr="003C1CFF">
        <w:t>, 2025</w:t>
      </w:r>
      <w:r w:rsidRPr="003C1CFF">
        <w:t xml:space="preserve">). This strikes a balance between the desperate need of </w:t>
      </w:r>
      <w:r w:rsidR="00D24652" w:rsidRPr="003C1CFF">
        <w:t>long-term</w:t>
      </w:r>
      <w:r w:rsidRPr="003C1CFF">
        <w:t xml:space="preserve"> growth (NPV) and the existential need of</w:t>
      </w:r>
      <w:r w:rsidR="00442553" w:rsidRPr="003C1CFF">
        <w:t xml:space="preserve"> short-term solvency</w:t>
      </w:r>
      <w:r w:rsidRPr="003C1CFF">
        <w:t>.</w:t>
      </w:r>
    </w:p>
    <w:p w14:paraId="186A3DD8" w14:textId="43F8C4B4" w:rsidR="008B6964" w:rsidRPr="003C1CFF" w:rsidRDefault="008B6964"/>
    <w:p w14:paraId="1E763188" w14:textId="77777777" w:rsidR="00442553" w:rsidRPr="003C1CFF" w:rsidRDefault="00442553">
      <w:pPr>
        <w:rPr>
          <w:rFonts w:eastAsiaTheme="majorEastAsia" w:cstheme="majorBidi"/>
          <w:sz w:val="32"/>
          <w:szCs w:val="32"/>
        </w:rPr>
      </w:pPr>
      <w:r w:rsidRPr="003C1CFF">
        <w:br w:type="page"/>
      </w:r>
    </w:p>
    <w:p w14:paraId="3ED33A0C" w14:textId="1801F73A" w:rsidR="0094620A" w:rsidRPr="003C1CFF" w:rsidRDefault="0094620A" w:rsidP="008B6964">
      <w:pPr>
        <w:pStyle w:val="Heading1"/>
        <w:rPr>
          <w:color w:val="auto"/>
        </w:rPr>
      </w:pPr>
      <w:bookmarkStart w:id="20" w:name="_Toc217265209"/>
      <w:r w:rsidRPr="003C1CFF">
        <w:rPr>
          <w:color w:val="auto"/>
        </w:rPr>
        <w:lastRenderedPageBreak/>
        <w:t>6.0 Conclusion and Recommendations</w:t>
      </w:r>
      <w:bookmarkEnd w:id="20"/>
    </w:p>
    <w:p w14:paraId="4866A923" w14:textId="65EEA254" w:rsidR="0094620A" w:rsidRPr="003C1CFF" w:rsidRDefault="0094620A" w:rsidP="0094620A">
      <w:r w:rsidRPr="003C1CFF">
        <w:t xml:space="preserve">The financial diagnosis of General Electronics shows a corporation at the later stages of distress where the operating profitability is at a disaster, and the cash reserves are at the lowest levels ever, and the capital structure is no longer sustainable. The Z-Score value of 2.82 can be used as a statistical alert that time is running out. Nevertheless, the situation can be recovered. The suggested turnaround plan is a three-party plan. First, Financial Stabilization by debt-to-equity swap in order to remove the negative interest coverage and solvency risk. Second, Operational Liquidity reform, which focuses on the reduction of Cash Operating Cycle through the </w:t>
      </w:r>
      <w:proofErr w:type="spellStart"/>
      <w:r w:rsidRPr="003C1CFF">
        <w:t>factorisation</w:t>
      </w:r>
      <w:proofErr w:type="spellEnd"/>
      <w:r w:rsidRPr="003C1CFF">
        <w:t xml:space="preserve"> of receivables and JIT inventory to unlock trapped cash (</w:t>
      </w:r>
      <w:r w:rsidR="005A01FA" w:rsidRPr="003C1CFF">
        <w:t>Ferreira et al., 2024</w:t>
      </w:r>
      <w:r w:rsidRPr="003C1CFF">
        <w:t>). Third, Strategic Growth with the immediate approval of Project C, maximizing the returns on the small</w:t>
      </w:r>
      <w:r w:rsidR="00A11099" w:rsidRPr="003C1CFF">
        <w:t>£</w:t>
      </w:r>
      <w:r w:rsidRPr="003C1CFF">
        <w:t xml:space="preserve">60m capital investment in order to initiate the recovery of the future revenues. Such a roadmap needs a firm leadership and no unethical performance, yet it is the only possible way to keep General Electronics out of any insolvency and allow it to add value to its stakeholders (Boudia and </w:t>
      </w:r>
      <w:proofErr w:type="spellStart"/>
      <w:r w:rsidRPr="003C1CFF">
        <w:t>Slevogt</w:t>
      </w:r>
      <w:proofErr w:type="spellEnd"/>
      <w:r w:rsidRPr="003C1CFF">
        <w:t>, 2025).</w:t>
      </w:r>
    </w:p>
    <w:p w14:paraId="25738832" w14:textId="77777777" w:rsidR="008B6964" w:rsidRPr="003C1CFF" w:rsidRDefault="008B6964">
      <w:r w:rsidRPr="003C1CFF">
        <w:br w:type="page"/>
      </w:r>
    </w:p>
    <w:p w14:paraId="5C3CAFE4" w14:textId="77777777" w:rsidR="008B6964" w:rsidRPr="003C1CFF" w:rsidRDefault="008B6964" w:rsidP="008B6964">
      <w:pPr>
        <w:pStyle w:val="Heading1"/>
        <w:rPr>
          <w:color w:val="auto"/>
        </w:rPr>
      </w:pPr>
      <w:bookmarkStart w:id="21" w:name="_Toc217265210"/>
      <w:r w:rsidRPr="003C1CFF">
        <w:rPr>
          <w:color w:val="auto"/>
        </w:rPr>
        <w:lastRenderedPageBreak/>
        <w:t>References</w:t>
      </w:r>
      <w:bookmarkEnd w:id="21"/>
    </w:p>
    <w:p w14:paraId="21D9B342" w14:textId="77777777" w:rsidR="003C1CFF" w:rsidRPr="003C1CFF" w:rsidRDefault="003C1CFF" w:rsidP="00E1304C">
      <w:pPr>
        <w:pStyle w:val="NormalWeb"/>
        <w:spacing w:line="360" w:lineRule="auto"/>
        <w:rPr>
          <w:rFonts w:ascii="Arial" w:hAnsi="Arial" w:cs="Arial"/>
        </w:rPr>
      </w:pPr>
      <w:r w:rsidRPr="003C1CFF">
        <w:rPr>
          <w:rStyle w:val="Strong"/>
          <w:rFonts w:ascii="Arial" w:hAnsi="Arial" w:cs="Arial"/>
          <w:b w:val="0"/>
          <w:bCs w:val="0"/>
        </w:rPr>
        <w:t>Apple Inc. (2020).</w:t>
      </w:r>
      <w:r w:rsidRPr="003C1CFF">
        <w:rPr>
          <w:rFonts w:ascii="Arial" w:hAnsi="Arial" w:cs="Arial"/>
        </w:rPr>
        <w:t xml:space="preserve"> </w:t>
      </w:r>
      <w:r w:rsidRPr="003C1CFF">
        <w:rPr>
          <w:rStyle w:val="Emphasis"/>
          <w:rFonts w:ascii="Arial" w:hAnsi="Arial" w:cs="Arial"/>
        </w:rPr>
        <w:t>Form 10-K annual report 2019</w:t>
      </w:r>
      <w:r w:rsidRPr="003C1CFF">
        <w:rPr>
          <w:rFonts w:ascii="Arial" w:hAnsi="Arial" w:cs="Arial"/>
        </w:rPr>
        <w:t>. https://investor.apple.com/financial-information/annual-reports</w:t>
      </w:r>
    </w:p>
    <w:p w14:paraId="37BEAB44" w14:textId="77777777" w:rsidR="003C1CFF" w:rsidRPr="003C1CFF" w:rsidRDefault="003C1CFF" w:rsidP="00D24652">
      <w:pPr>
        <w:ind w:left="720" w:hanging="720"/>
      </w:pPr>
      <w:r w:rsidRPr="003C1CFF">
        <w:t xml:space="preserve">Arm Holdings plc (2025) </w:t>
      </w:r>
      <w:r w:rsidRPr="003C1CFF">
        <w:rPr>
          <w:i/>
          <w:iCs/>
        </w:rPr>
        <w:t>Annual report and consolidated financial statements</w:t>
      </w:r>
      <w:r w:rsidRPr="003C1CFF">
        <w:t>. Arm Holdings plc.</w:t>
      </w:r>
    </w:p>
    <w:p w14:paraId="28BD23B3" w14:textId="77777777" w:rsidR="003C1CFF" w:rsidRPr="003C1CFF" w:rsidRDefault="003C1CFF" w:rsidP="005A01FA">
      <w:pPr>
        <w:ind w:left="720" w:hanging="720"/>
      </w:pPr>
      <w:proofErr w:type="spellStart"/>
      <w:r w:rsidRPr="003C1CFF">
        <w:t>Baliouskas</w:t>
      </w:r>
      <w:proofErr w:type="spellEnd"/>
      <w:r w:rsidRPr="003C1CFF">
        <w:t xml:space="preserve">, P., Llopis, J., Gasco, J. and Gonzalez, R. (2023) 'Implementing turnaround strategies as an entrepreneurial process', International Entrepreneurship and Management Journal, 19, pp. 2037–2063. </w:t>
      </w:r>
      <w:proofErr w:type="spellStart"/>
      <w:r w:rsidRPr="003C1CFF">
        <w:t>doi</w:t>
      </w:r>
      <w:proofErr w:type="spellEnd"/>
      <w:r w:rsidRPr="003C1CFF">
        <w:t xml:space="preserve">: 10.1007/s11365-022-00810-9. </w:t>
      </w:r>
    </w:p>
    <w:p w14:paraId="7B0F5541" w14:textId="77777777" w:rsidR="003C1CFF" w:rsidRPr="003C1CFF" w:rsidRDefault="003C1CFF" w:rsidP="005A01FA">
      <w:pPr>
        <w:ind w:left="720" w:hanging="720"/>
      </w:pPr>
      <w:r w:rsidRPr="003C1CFF">
        <w:t xml:space="preserve">Barker, V. L., Luger, J., Schmitt, A. and Xin, K. R. (2022) 'Corporate decline and turnarounds in times of digitalization', Long Range Planning, 57(1), 102211. </w:t>
      </w:r>
      <w:proofErr w:type="spellStart"/>
      <w:r w:rsidRPr="003C1CFF">
        <w:t>doi</w:t>
      </w:r>
      <w:proofErr w:type="spellEnd"/>
      <w:r w:rsidRPr="003C1CFF">
        <w:t xml:space="preserve">: 10.1016/j.lrp.2022.102211. </w:t>
      </w:r>
    </w:p>
    <w:p w14:paraId="1646868B" w14:textId="77777777" w:rsidR="003C1CFF" w:rsidRPr="003C1CFF" w:rsidRDefault="003C1CFF" w:rsidP="00D24652">
      <w:pPr>
        <w:ind w:left="720" w:hanging="720"/>
      </w:pPr>
      <w:r w:rsidRPr="003C1CFF">
        <w:t xml:space="preserve">Berk, J. and DeMarzo, P. (2020) </w:t>
      </w:r>
      <w:r w:rsidRPr="003C1CFF">
        <w:rPr>
          <w:i/>
          <w:iCs/>
        </w:rPr>
        <w:t>Corporate Finance</w:t>
      </w:r>
      <w:r w:rsidRPr="003C1CFF">
        <w:t xml:space="preserve">. 5th Global </w:t>
      </w:r>
      <w:proofErr w:type="spellStart"/>
      <w:r w:rsidRPr="003C1CFF">
        <w:t>edn</w:t>
      </w:r>
      <w:proofErr w:type="spellEnd"/>
      <w:r w:rsidRPr="003C1CFF">
        <w:t>. Pearson Education.</w:t>
      </w:r>
    </w:p>
    <w:p w14:paraId="2AA43393" w14:textId="77777777" w:rsidR="003C1CFF" w:rsidRPr="003C1CFF" w:rsidRDefault="003C1CFF" w:rsidP="00D24652">
      <w:pPr>
        <w:ind w:left="720" w:hanging="720"/>
      </w:pPr>
      <w:r w:rsidRPr="003C1CFF">
        <w:t xml:space="preserve">Boudia, M. and </w:t>
      </w:r>
      <w:proofErr w:type="spellStart"/>
      <w:r w:rsidRPr="003C1CFF">
        <w:t>Slevogt</w:t>
      </w:r>
      <w:proofErr w:type="spellEnd"/>
      <w:r w:rsidRPr="003C1CFF">
        <w:t xml:space="preserve">, E. (2025) 'Strategic turnaround management: Defining the success factors of corporate turnarounds', </w:t>
      </w:r>
      <w:r w:rsidRPr="003C1CFF">
        <w:rPr>
          <w:i/>
          <w:iCs/>
        </w:rPr>
        <w:t>Lahore Journal of Business</w:t>
      </w:r>
      <w:r w:rsidRPr="003C1CFF">
        <w:t>, 12.</w:t>
      </w:r>
    </w:p>
    <w:p w14:paraId="785B6744" w14:textId="77777777" w:rsidR="003C1CFF" w:rsidRPr="003C1CFF" w:rsidRDefault="003C1CFF" w:rsidP="005A01FA">
      <w:pPr>
        <w:ind w:left="720" w:hanging="720"/>
      </w:pPr>
      <w:r w:rsidRPr="003C1CFF">
        <w:t xml:space="preserve">Briggs, A. C. (2025) 'Investment appraisal methods and stock value of quoted small and medium scale enterprises: An estimated panel data study from Nigeria', Journal of Accounting and Financial Management, 11(11), pp. 1-18. </w:t>
      </w:r>
    </w:p>
    <w:p w14:paraId="659585E0" w14:textId="77777777" w:rsidR="003C1CFF" w:rsidRPr="003C1CFF" w:rsidRDefault="003C1CFF" w:rsidP="00D24652">
      <w:pPr>
        <w:ind w:left="720" w:hanging="720"/>
      </w:pPr>
      <w:r w:rsidRPr="003C1CFF">
        <w:t xml:space="preserve">Carlyle Investment Management LLC (2025) </w:t>
      </w:r>
      <w:r w:rsidRPr="003C1CFF">
        <w:rPr>
          <w:i/>
          <w:iCs/>
        </w:rPr>
        <w:t>Carlyle Investment Management LLC brochure</w:t>
      </w:r>
      <w:r w:rsidRPr="003C1CFF">
        <w:t>. Carlyle Investment Management LLC.</w:t>
      </w:r>
    </w:p>
    <w:p w14:paraId="343DCB0D" w14:textId="77777777" w:rsidR="003C1CFF" w:rsidRPr="003C1CFF" w:rsidRDefault="003C1CFF" w:rsidP="005A01FA">
      <w:pPr>
        <w:ind w:left="720" w:hanging="720"/>
      </w:pPr>
      <w:r w:rsidRPr="003C1CFF">
        <w:t xml:space="preserve">Ferreira, J., Fernandes, C. and </w:t>
      </w:r>
      <w:proofErr w:type="spellStart"/>
      <w:r w:rsidRPr="003C1CFF">
        <w:t>Ratten</w:t>
      </w:r>
      <w:proofErr w:type="spellEnd"/>
      <w:r w:rsidRPr="003C1CFF">
        <w:t xml:space="preserve">, V. (2024) 'Turnaround, decline, and strategic posture of SME: empirical evidence', Journal of the Knowledge Economy, 15, pp. 17972–18002. </w:t>
      </w:r>
      <w:proofErr w:type="spellStart"/>
      <w:r w:rsidRPr="003C1CFF">
        <w:t>doi</w:t>
      </w:r>
      <w:proofErr w:type="spellEnd"/>
      <w:r w:rsidRPr="003C1CFF">
        <w:t xml:space="preserve">: 10.1007/s13132-024-01734-1. </w:t>
      </w:r>
    </w:p>
    <w:p w14:paraId="41A3820C" w14:textId="77777777" w:rsidR="003C1CFF" w:rsidRPr="003C1CFF" w:rsidRDefault="003C1CFF" w:rsidP="005A01FA">
      <w:pPr>
        <w:ind w:left="720" w:hanging="720"/>
      </w:pPr>
      <w:r w:rsidRPr="003C1CFF">
        <w:lastRenderedPageBreak/>
        <w:t xml:space="preserve">Flammer, C. and Ioannou, I. (2021) 'Strategic management during the financial crisis: How firms adjust their strategic investments in response to credit market disruptions', Strategic Management Journal, 42(7), pp. 1275–1298. </w:t>
      </w:r>
      <w:proofErr w:type="spellStart"/>
      <w:r w:rsidRPr="003C1CFF">
        <w:t>doi</w:t>
      </w:r>
      <w:proofErr w:type="spellEnd"/>
      <w:r w:rsidRPr="003C1CFF">
        <w:t xml:space="preserve">: 10.1002/smj.3265. </w:t>
      </w:r>
    </w:p>
    <w:p w14:paraId="38C0D569" w14:textId="77777777" w:rsidR="003C1CFF" w:rsidRPr="003C1CFF" w:rsidRDefault="003C1CFF" w:rsidP="005A01FA">
      <w:pPr>
        <w:ind w:left="720" w:hanging="720"/>
      </w:pPr>
      <w:proofErr w:type="spellStart"/>
      <w:r w:rsidRPr="003C1CFF">
        <w:t>Gotteiner</w:t>
      </w:r>
      <w:proofErr w:type="spellEnd"/>
      <w:r w:rsidRPr="003C1CFF">
        <w:t xml:space="preserve">, S., Mas-Machuca, M. and Marimon, F. (2019) 'Turnaround Types, Stages, Strategies, and Tactics: Putting Things in Order', European Accounting and Management Review, 5(2), pp. 12–37. </w:t>
      </w:r>
    </w:p>
    <w:p w14:paraId="58C7E8D2" w14:textId="77777777" w:rsidR="003C1CFF" w:rsidRPr="003C1CFF" w:rsidRDefault="003C1CFF" w:rsidP="00D24652">
      <w:pPr>
        <w:ind w:left="720" w:hanging="720"/>
      </w:pPr>
      <w:r w:rsidRPr="003C1CFF">
        <w:t xml:space="preserve">Infosys BPM (2023) </w:t>
      </w:r>
      <w:r w:rsidRPr="003C1CFF">
        <w:rPr>
          <w:i/>
          <w:iCs/>
        </w:rPr>
        <w:t>How to maximize value from your finance and accounting outsourcing engagements</w:t>
      </w:r>
      <w:r w:rsidRPr="003C1CFF">
        <w:t>. Infosys BPM.</w:t>
      </w:r>
    </w:p>
    <w:p w14:paraId="083BABAA" w14:textId="77777777" w:rsidR="003C1CFF" w:rsidRPr="003C1CFF" w:rsidRDefault="003C1CFF" w:rsidP="005A01FA">
      <w:pPr>
        <w:ind w:left="720" w:hanging="720"/>
      </w:pPr>
      <w:proofErr w:type="spellStart"/>
      <w:r w:rsidRPr="003C1CFF">
        <w:t>Ipaki</w:t>
      </w:r>
      <w:proofErr w:type="spellEnd"/>
      <w:r w:rsidRPr="003C1CFF">
        <w:t xml:space="preserve">, B. and Hosseini, Z. (2025) 'Repair-oriented design and manufacturing strategies for circular electronic products, from mass customization/standardization to scalable repair economy', Results in Engineering, 25, 104169. </w:t>
      </w:r>
      <w:proofErr w:type="spellStart"/>
      <w:r w:rsidRPr="003C1CFF">
        <w:t>doi</w:t>
      </w:r>
      <w:proofErr w:type="spellEnd"/>
      <w:r w:rsidRPr="003C1CFF">
        <w:t xml:space="preserve">: 10.1016/j.rineng.2025.104169. </w:t>
      </w:r>
    </w:p>
    <w:p w14:paraId="74355765" w14:textId="77777777" w:rsidR="003C1CFF" w:rsidRPr="003C1CFF" w:rsidRDefault="003C1CFF" w:rsidP="00D24652">
      <w:pPr>
        <w:ind w:left="720" w:hanging="720"/>
      </w:pPr>
      <w:r w:rsidRPr="003C1CFF">
        <w:t xml:space="preserve">iRobot Corp (2025) </w:t>
      </w:r>
      <w:r w:rsidRPr="003C1CFF">
        <w:rPr>
          <w:i/>
          <w:iCs/>
        </w:rPr>
        <w:t>Form 10-K for iRobot Corp</w:t>
      </w:r>
      <w:r w:rsidRPr="003C1CFF">
        <w:t>. iRobot Corp.</w:t>
      </w:r>
    </w:p>
    <w:p w14:paraId="3D66B833" w14:textId="77777777" w:rsidR="003C1CFF" w:rsidRPr="003C1CFF" w:rsidRDefault="003C1CFF" w:rsidP="005A01FA">
      <w:pPr>
        <w:ind w:left="720" w:hanging="720"/>
      </w:pPr>
      <w:proofErr w:type="spellStart"/>
      <w:r w:rsidRPr="003C1CFF">
        <w:t>Jeyasingh</w:t>
      </w:r>
      <w:proofErr w:type="spellEnd"/>
      <w:r w:rsidRPr="003C1CFF">
        <w:t xml:space="preserve">, B. B. F. (2023) 'Factors determining turnaround strategies for declining, large, high-tech organizations', Journal of Business and Management Studies, 5(5), pp. 180-197. </w:t>
      </w:r>
      <w:proofErr w:type="spellStart"/>
      <w:r w:rsidRPr="003C1CFF">
        <w:t>doi</w:t>
      </w:r>
      <w:proofErr w:type="spellEnd"/>
      <w:r w:rsidRPr="003C1CFF">
        <w:t xml:space="preserve">: 10.32996/jhsss.2023.5.5.16. </w:t>
      </w:r>
    </w:p>
    <w:p w14:paraId="28B555C5" w14:textId="77777777" w:rsidR="003C1CFF" w:rsidRPr="003C1CFF" w:rsidRDefault="003C1CFF" w:rsidP="00D24652">
      <w:pPr>
        <w:ind w:left="720" w:hanging="720"/>
      </w:pPr>
      <w:r w:rsidRPr="003C1CFF">
        <w:t xml:space="preserve">Keown, A.J., Martin, J.D., and Petty, J.W. (2024) </w:t>
      </w:r>
      <w:r w:rsidRPr="003C1CFF">
        <w:rPr>
          <w:i/>
          <w:iCs/>
        </w:rPr>
        <w:t>Foundation of Finance</w:t>
      </w:r>
      <w:r w:rsidRPr="003C1CFF">
        <w:t xml:space="preserve">. 10th Global </w:t>
      </w:r>
      <w:proofErr w:type="spellStart"/>
      <w:r w:rsidRPr="003C1CFF">
        <w:t>edn</w:t>
      </w:r>
      <w:proofErr w:type="spellEnd"/>
      <w:r w:rsidRPr="003C1CFF">
        <w:t>. Pearson Education.</w:t>
      </w:r>
    </w:p>
    <w:p w14:paraId="4FA826DB" w14:textId="77777777" w:rsidR="003C1CFF" w:rsidRPr="003C1CFF" w:rsidRDefault="003C1CFF" w:rsidP="005A01FA">
      <w:pPr>
        <w:ind w:left="720" w:hanging="720"/>
      </w:pPr>
      <w:proofErr w:type="spellStart"/>
      <w:r w:rsidRPr="003C1CFF">
        <w:t>Khatwani</w:t>
      </w:r>
      <w:proofErr w:type="spellEnd"/>
      <w:r w:rsidRPr="003C1CFF">
        <w:t xml:space="preserve">, R., Mishra, M., Kumar, V. V. R. and Mitra, P. K. (2024) 'Creating quality portfolios using score-based models: a systematic review', Humanities and Social Sciences Communications, 11, 1615. </w:t>
      </w:r>
      <w:proofErr w:type="spellStart"/>
      <w:r w:rsidRPr="003C1CFF">
        <w:t>doi</w:t>
      </w:r>
      <w:proofErr w:type="spellEnd"/>
      <w:r w:rsidRPr="003C1CFF">
        <w:t xml:space="preserve">: 10.1057/s41599-024-03888-4. </w:t>
      </w:r>
    </w:p>
    <w:p w14:paraId="00E7738F" w14:textId="77777777" w:rsidR="003C1CFF" w:rsidRPr="003C1CFF" w:rsidRDefault="003C1CFF" w:rsidP="00D24652">
      <w:pPr>
        <w:ind w:left="720" w:hanging="720"/>
      </w:pPr>
      <w:proofErr w:type="spellStart"/>
      <w:r w:rsidRPr="003C1CFF">
        <w:t>Mauboussin</w:t>
      </w:r>
      <w:proofErr w:type="spellEnd"/>
      <w:r w:rsidRPr="003C1CFF">
        <w:t xml:space="preserve">, M.J. and Callahan, D. (2024) </w:t>
      </w:r>
      <w:r w:rsidRPr="003C1CFF">
        <w:rPr>
          <w:i/>
          <w:iCs/>
        </w:rPr>
        <w:t>Measuring the moat: Assessing the magnitude and sustainability of value creation</w:t>
      </w:r>
      <w:r w:rsidRPr="003C1CFF">
        <w:t>. Morgan Stanley.</w:t>
      </w:r>
    </w:p>
    <w:p w14:paraId="4A48D9D0" w14:textId="77777777" w:rsidR="003C1CFF" w:rsidRPr="003C1CFF" w:rsidRDefault="003C1CFF" w:rsidP="00D24652">
      <w:pPr>
        <w:ind w:left="720" w:hanging="720"/>
      </w:pPr>
      <w:r w:rsidRPr="003C1CFF">
        <w:t xml:space="preserve">McKinsey &amp; Company (2020) 'The path to true transformation', </w:t>
      </w:r>
      <w:r w:rsidRPr="003C1CFF">
        <w:rPr>
          <w:i/>
          <w:iCs/>
        </w:rPr>
        <w:t>McKinsey &amp; Company</w:t>
      </w:r>
      <w:r w:rsidRPr="003C1CFF">
        <w:t>.</w:t>
      </w:r>
    </w:p>
    <w:p w14:paraId="67D8E87D" w14:textId="77777777" w:rsidR="003C1CFF" w:rsidRPr="003C1CFF" w:rsidRDefault="003C1CFF" w:rsidP="00D24652">
      <w:pPr>
        <w:ind w:left="720" w:hanging="720"/>
      </w:pPr>
      <w:r w:rsidRPr="003C1CFF">
        <w:lastRenderedPageBreak/>
        <w:t xml:space="preserve">McKinsey &amp; Company (2020) 'Transformation with a capital T', </w:t>
      </w:r>
      <w:r w:rsidRPr="003C1CFF">
        <w:rPr>
          <w:i/>
          <w:iCs/>
        </w:rPr>
        <w:t>McKinsey Quarterly</w:t>
      </w:r>
      <w:r w:rsidRPr="003C1CFF">
        <w:t>.</w:t>
      </w:r>
    </w:p>
    <w:p w14:paraId="075BE63F" w14:textId="77777777" w:rsidR="003C1CFF" w:rsidRPr="003C1CFF" w:rsidRDefault="003C1CFF" w:rsidP="00E1304C">
      <w:pPr>
        <w:pStyle w:val="NormalWeb"/>
        <w:spacing w:line="360" w:lineRule="auto"/>
        <w:rPr>
          <w:rFonts w:ascii="Arial" w:hAnsi="Arial" w:cs="Arial"/>
        </w:rPr>
      </w:pPr>
      <w:r w:rsidRPr="003C1CFF">
        <w:rPr>
          <w:rStyle w:val="Strong"/>
          <w:rFonts w:ascii="Arial" w:hAnsi="Arial" w:cs="Arial"/>
          <w:b w:val="0"/>
          <w:bCs w:val="0"/>
        </w:rPr>
        <w:t>Nvidia Corporation. (2024).</w:t>
      </w:r>
      <w:r w:rsidRPr="003C1CFF">
        <w:rPr>
          <w:rFonts w:ascii="Arial" w:hAnsi="Arial" w:cs="Arial"/>
        </w:rPr>
        <w:t xml:space="preserve"> </w:t>
      </w:r>
      <w:r w:rsidRPr="003C1CFF">
        <w:rPr>
          <w:rStyle w:val="Emphasis"/>
          <w:rFonts w:ascii="Arial" w:hAnsi="Arial" w:cs="Arial"/>
        </w:rPr>
        <w:t>2023 annual report</w:t>
      </w:r>
      <w:r w:rsidRPr="003C1CFF">
        <w:rPr>
          <w:rFonts w:ascii="Arial" w:hAnsi="Arial" w:cs="Arial"/>
        </w:rPr>
        <w:t>. https://investor.nvidia.com/financial-information/annual-reports</w:t>
      </w:r>
    </w:p>
    <w:p w14:paraId="6B9CA267" w14:textId="77777777" w:rsidR="003C1CFF" w:rsidRPr="003C1CFF" w:rsidRDefault="003C1CFF" w:rsidP="005A01FA">
      <w:pPr>
        <w:ind w:left="720" w:hanging="720"/>
      </w:pPr>
      <w:proofErr w:type="spellStart"/>
      <w:r w:rsidRPr="003C1CFF">
        <w:t>Nyagiloh</w:t>
      </w:r>
      <w:proofErr w:type="spellEnd"/>
      <w:r w:rsidRPr="003C1CFF">
        <w:t xml:space="preserve">, K. A. and </w:t>
      </w:r>
      <w:proofErr w:type="spellStart"/>
      <w:r w:rsidRPr="003C1CFF">
        <w:t>Kilika</w:t>
      </w:r>
      <w:proofErr w:type="spellEnd"/>
      <w:r w:rsidRPr="003C1CFF">
        <w:t xml:space="preserve">, J. M. (2020) 'Theoretical review of turnaround strategy and its organizational outcomes', International Business Research, 13(2), p. 13. </w:t>
      </w:r>
      <w:proofErr w:type="spellStart"/>
      <w:r w:rsidRPr="003C1CFF">
        <w:t>doi</w:t>
      </w:r>
      <w:proofErr w:type="spellEnd"/>
      <w:r w:rsidRPr="003C1CFF">
        <w:t>: 10.5539/</w:t>
      </w:r>
      <w:proofErr w:type="gramStart"/>
      <w:r w:rsidRPr="003C1CFF">
        <w:t>ibr.v</w:t>
      </w:r>
      <w:proofErr w:type="gramEnd"/>
      <w:r w:rsidRPr="003C1CFF">
        <w:t xml:space="preserve">13n2p13. </w:t>
      </w:r>
    </w:p>
    <w:p w14:paraId="730F2700" w14:textId="77777777" w:rsidR="003C1CFF" w:rsidRPr="003C1CFF" w:rsidRDefault="003C1CFF" w:rsidP="005A01FA">
      <w:pPr>
        <w:ind w:left="720" w:hanging="720"/>
      </w:pPr>
      <w:r w:rsidRPr="003C1CFF">
        <w:t xml:space="preserve">Pfister, N., </w:t>
      </w:r>
      <w:proofErr w:type="spellStart"/>
      <w:r w:rsidRPr="003C1CFF">
        <w:t>Kendzia</w:t>
      </w:r>
      <w:proofErr w:type="spellEnd"/>
      <w:r w:rsidRPr="003C1CFF">
        <w:t xml:space="preserve">, M. J. and </w:t>
      </w:r>
      <w:proofErr w:type="spellStart"/>
      <w:r w:rsidRPr="003C1CFF">
        <w:t>Posth</w:t>
      </w:r>
      <w:proofErr w:type="spellEnd"/>
      <w:r w:rsidRPr="003C1CFF">
        <w:t xml:space="preserve">, J.-A. (2024) 'A two-step method for assessing enhanced value in turnaround, spin-off, and value stocks', Investment Management and Financial Innovations, 21(3), pp. 412-429. </w:t>
      </w:r>
      <w:proofErr w:type="spellStart"/>
      <w:r w:rsidRPr="003C1CFF">
        <w:t>doi</w:t>
      </w:r>
      <w:proofErr w:type="spellEnd"/>
      <w:r w:rsidRPr="003C1CFF">
        <w:t xml:space="preserve">: 10.21511/imfi.21(3).2024.33. </w:t>
      </w:r>
    </w:p>
    <w:p w14:paraId="27582642" w14:textId="77777777" w:rsidR="003C1CFF" w:rsidRPr="003C1CFF" w:rsidRDefault="003C1CFF" w:rsidP="00E1304C">
      <w:pPr>
        <w:pStyle w:val="NormalWeb"/>
        <w:spacing w:line="360" w:lineRule="auto"/>
        <w:rPr>
          <w:rFonts w:ascii="Arial" w:hAnsi="Arial" w:cs="Arial"/>
        </w:rPr>
      </w:pPr>
      <w:r w:rsidRPr="003C1CFF">
        <w:rPr>
          <w:rStyle w:val="Strong"/>
          <w:rFonts w:ascii="Arial" w:hAnsi="Arial" w:cs="Arial"/>
          <w:b w:val="0"/>
          <w:bCs w:val="0"/>
        </w:rPr>
        <w:t>Qualcomm Incorporated. (2024).</w:t>
      </w:r>
      <w:r w:rsidRPr="003C1CFF">
        <w:rPr>
          <w:rFonts w:ascii="Arial" w:hAnsi="Arial" w:cs="Arial"/>
        </w:rPr>
        <w:t xml:space="preserve"> </w:t>
      </w:r>
      <w:r w:rsidRPr="003C1CFF">
        <w:rPr>
          <w:rStyle w:val="Emphasis"/>
          <w:rFonts w:ascii="Arial" w:hAnsi="Arial" w:cs="Arial"/>
        </w:rPr>
        <w:t>Form 10-K annual report 2023</w:t>
      </w:r>
      <w:r w:rsidRPr="003C1CFF">
        <w:rPr>
          <w:rFonts w:ascii="Arial" w:hAnsi="Arial" w:cs="Arial"/>
        </w:rPr>
        <w:t>. https://investor.qualcomm.com/financials/annual-reports</w:t>
      </w:r>
    </w:p>
    <w:p w14:paraId="7BC0842B" w14:textId="77777777" w:rsidR="003C1CFF" w:rsidRPr="003C1CFF" w:rsidRDefault="003C1CFF" w:rsidP="005A01FA">
      <w:pPr>
        <w:ind w:left="720" w:hanging="720"/>
      </w:pPr>
      <w:proofErr w:type="spellStart"/>
      <w:r w:rsidRPr="003C1CFF">
        <w:t>Radjawane</w:t>
      </w:r>
      <w:proofErr w:type="spellEnd"/>
      <w:r w:rsidRPr="003C1CFF">
        <w:t xml:space="preserve">, C. and Anas, E. P. (2025) 'Analysis and implementation of turnaround strategies and their impact on company performance: a case study of an outsourcing company', </w:t>
      </w:r>
      <w:proofErr w:type="spellStart"/>
      <w:r w:rsidRPr="003C1CFF">
        <w:t>Ekombis</w:t>
      </w:r>
      <w:proofErr w:type="spellEnd"/>
      <w:r w:rsidRPr="003C1CFF">
        <w:t xml:space="preserve"> Review: </w:t>
      </w:r>
      <w:proofErr w:type="spellStart"/>
      <w:r w:rsidRPr="003C1CFF">
        <w:t>Jurnal</w:t>
      </w:r>
      <w:proofErr w:type="spellEnd"/>
      <w:r w:rsidRPr="003C1CFF">
        <w:t xml:space="preserve"> </w:t>
      </w:r>
      <w:proofErr w:type="spellStart"/>
      <w:r w:rsidRPr="003C1CFF">
        <w:t>Ilmiah</w:t>
      </w:r>
      <w:proofErr w:type="spellEnd"/>
      <w:r w:rsidRPr="003C1CFF">
        <w:t xml:space="preserve"> Ekonomi dan </w:t>
      </w:r>
      <w:proofErr w:type="spellStart"/>
      <w:r w:rsidRPr="003C1CFF">
        <w:t>Bisnis</w:t>
      </w:r>
      <w:proofErr w:type="spellEnd"/>
      <w:r w:rsidRPr="003C1CFF">
        <w:t xml:space="preserve">, 13(3), pp. 2763–2774. </w:t>
      </w:r>
      <w:proofErr w:type="spellStart"/>
      <w:r w:rsidRPr="003C1CFF">
        <w:t>doi</w:t>
      </w:r>
      <w:proofErr w:type="spellEnd"/>
      <w:r w:rsidRPr="003C1CFF">
        <w:t>: 10.37676/</w:t>
      </w:r>
      <w:proofErr w:type="gramStart"/>
      <w:r w:rsidRPr="003C1CFF">
        <w:t>ekombis.v</w:t>
      </w:r>
      <w:proofErr w:type="gramEnd"/>
      <w:r w:rsidRPr="003C1CFF">
        <w:t xml:space="preserve">13i3. </w:t>
      </w:r>
    </w:p>
    <w:p w14:paraId="239B6FCA" w14:textId="77777777" w:rsidR="003C1CFF" w:rsidRPr="003C1CFF" w:rsidRDefault="003C1CFF" w:rsidP="00E1304C">
      <w:pPr>
        <w:pStyle w:val="NormalWeb"/>
        <w:spacing w:line="360" w:lineRule="auto"/>
        <w:rPr>
          <w:rFonts w:ascii="Arial" w:hAnsi="Arial" w:cs="Arial"/>
        </w:rPr>
      </w:pPr>
      <w:r w:rsidRPr="003C1CFF">
        <w:rPr>
          <w:rStyle w:val="Strong"/>
          <w:rFonts w:ascii="Arial" w:hAnsi="Arial" w:cs="Arial"/>
          <w:b w:val="0"/>
          <w:bCs w:val="0"/>
        </w:rPr>
        <w:t>Samsung Electronics Co., Ltd. (2024).</w:t>
      </w:r>
      <w:r w:rsidRPr="003C1CFF">
        <w:rPr>
          <w:rFonts w:ascii="Arial" w:hAnsi="Arial" w:cs="Arial"/>
        </w:rPr>
        <w:t xml:space="preserve"> </w:t>
      </w:r>
      <w:r w:rsidRPr="003C1CFF">
        <w:rPr>
          <w:rStyle w:val="Emphasis"/>
          <w:rFonts w:ascii="Arial" w:hAnsi="Arial" w:cs="Arial"/>
        </w:rPr>
        <w:t>2023 annual report</w:t>
      </w:r>
      <w:r w:rsidRPr="003C1CFF">
        <w:rPr>
          <w:rFonts w:ascii="Arial" w:hAnsi="Arial" w:cs="Arial"/>
        </w:rPr>
        <w:t>. https://www.samsung.com/global/ir/financialinformation/annualreports</w:t>
      </w:r>
    </w:p>
    <w:p w14:paraId="1D1C7020" w14:textId="77777777" w:rsidR="003C1CFF" w:rsidRPr="003C1CFF" w:rsidRDefault="003C1CFF" w:rsidP="005A01FA">
      <w:pPr>
        <w:ind w:left="720" w:hanging="720"/>
      </w:pPr>
      <w:proofErr w:type="spellStart"/>
      <w:r w:rsidRPr="003C1CFF">
        <w:t>Setyopurnomo</w:t>
      </w:r>
      <w:proofErr w:type="spellEnd"/>
      <w:r w:rsidRPr="003C1CFF">
        <w:t xml:space="preserve">, R., </w:t>
      </w:r>
      <w:proofErr w:type="spellStart"/>
      <w:r w:rsidRPr="003C1CFF">
        <w:t>Wiryono</w:t>
      </w:r>
      <w:proofErr w:type="spellEnd"/>
      <w:r w:rsidRPr="003C1CFF">
        <w:t xml:space="preserve">, S. K., Lestari, Y. D. and Soekarno, S. (2025) 'Enhancing operation effectiveness by maximizing daily EBITDA as a turnaround strategy execution system to enhance operation performance and profitability', Journal of Open Innovation: Technology, Market, and Complexity, 11(1), 100431. </w:t>
      </w:r>
      <w:proofErr w:type="spellStart"/>
      <w:r w:rsidRPr="003C1CFF">
        <w:t>doi</w:t>
      </w:r>
      <w:proofErr w:type="spellEnd"/>
      <w:r w:rsidRPr="003C1CFF">
        <w:t xml:space="preserve">: 10.1016/j.joitmc.2024.100431. </w:t>
      </w:r>
    </w:p>
    <w:p w14:paraId="670649FF" w14:textId="77777777" w:rsidR="003C1CFF" w:rsidRPr="003C1CFF" w:rsidRDefault="003C1CFF" w:rsidP="005A01FA">
      <w:pPr>
        <w:ind w:left="720" w:hanging="720"/>
      </w:pPr>
      <w:r w:rsidRPr="003C1CFF">
        <w:lastRenderedPageBreak/>
        <w:t xml:space="preserve">Sharma, P. (2025) 'Capital Budgeting Techniques: Learn the Methods Businesses Use to Evaluate Potential Investments', Advances in Consumer Research, 2(2), pp. 519–530. </w:t>
      </w:r>
    </w:p>
    <w:p w14:paraId="7751BBB0" w14:textId="77777777" w:rsidR="003C1CFF" w:rsidRPr="003C1CFF" w:rsidRDefault="003C1CFF" w:rsidP="005A01FA">
      <w:pPr>
        <w:ind w:left="720" w:hanging="720"/>
      </w:pPr>
      <w:r w:rsidRPr="003C1CFF">
        <w:t xml:space="preserve">Sinha, A. K. and Mehta, A. (2023) 'Macy's, Inc.: “Polaris” turnaround strategy and the road ahead', The CASE Journal, 20(2), pp. 422-443. </w:t>
      </w:r>
      <w:proofErr w:type="spellStart"/>
      <w:r w:rsidRPr="003C1CFF">
        <w:t>doi</w:t>
      </w:r>
      <w:proofErr w:type="spellEnd"/>
      <w:r w:rsidRPr="003C1CFF">
        <w:t xml:space="preserve">: 10.1108/TCJ-06-2021-0087. </w:t>
      </w:r>
    </w:p>
    <w:p w14:paraId="159A390A" w14:textId="77777777" w:rsidR="003C1CFF" w:rsidRPr="003C1CFF" w:rsidRDefault="003C1CFF" w:rsidP="005A01FA">
      <w:pPr>
        <w:ind w:left="720" w:hanging="720"/>
      </w:pPr>
      <w:r w:rsidRPr="003C1CFF">
        <w:t xml:space="preserve">Tsai, C. H., </w:t>
      </w:r>
      <w:proofErr w:type="spellStart"/>
      <w:r w:rsidRPr="003C1CFF">
        <w:t>Eghdam</w:t>
      </w:r>
      <w:proofErr w:type="spellEnd"/>
      <w:r w:rsidRPr="003C1CFF">
        <w:t xml:space="preserve">, A., </w:t>
      </w:r>
      <w:proofErr w:type="spellStart"/>
      <w:r w:rsidRPr="003C1CFF">
        <w:t>Davoody</w:t>
      </w:r>
      <w:proofErr w:type="spellEnd"/>
      <w:r w:rsidRPr="003C1CFF">
        <w:t xml:space="preserve">, N., Wright, G., Flowerday, S. and Koch, S. (2020) 'Effects of Electronic Health Record Implementation and Barriers to Adoption and Use: A Scoping Review and Qualitative Analysis of the Content', Life, 10(12), p. 327. </w:t>
      </w:r>
      <w:proofErr w:type="spellStart"/>
      <w:r w:rsidRPr="003C1CFF">
        <w:t>doi</w:t>
      </w:r>
      <w:proofErr w:type="spellEnd"/>
      <w:r w:rsidRPr="003C1CFF">
        <w:t xml:space="preserve">: 10.3390/life10120327. </w:t>
      </w:r>
    </w:p>
    <w:p w14:paraId="23269F5F" w14:textId="77777777" w:rsidR="008B6964" w:rsidRPr="003C1CFF" w:rsidRDefault="008B6964">
      <w:r w:rsidRPr="003C1CFF">
        <w:br w:type="page"/>
      </w:r>
    </w:p>
    <w:p w14:paraId="1BBCC6C5" w14:textId="77777777" w:rsidR="008B6964" w:rsidRPr="003C1CFF" w:rsidRDefault="008B6964" w:rsidP="008B6964">
      <w:pPr>
        <w:pStyle w:val="Heading1"/>
        <w:rPr>
          <w:color w:val="auto"/>
        </w:rPr>
      </w:pPr>
      <w:bookmarkStart w:id="22" w:name="_Toc217265211"/>
      <w:r w:rsidRPr="003C1CFF">
        <w:rPr>
          <w:color w:val="auto"/>
        </w:rPr>
        <w:lastRenderedPageBreak/>
        <w:t>Appendices</w:t>
      </w:r>
      <w:bookmarkEnd w:id="22"/>
    </w:p>
    <w:p w14:paraId="34224371" w14:textId="77777777" w:rsidR="008B6964" w:rsidRPr="003C1CFF" w:rsidRDefault="008B6964" w:rsidP="008B6964">
      <w:pPr>
        <w:pStyle w:val="Heading2"/>
        <w:rPr>
          <w:color w:val="auto"/>
        </w:rPr>
      </w:pPr>
      <w:bookmarkStart w:id="23" w:name="_Toc217265212"/>
      <w:r w:rsidRPr="003C1CFF">
        <w:rPr>
          <w:color w:val="auto"/>
        </w:rPr>
        <w:t>Appendix A: Financial Statement Analysis</w:t>
      </w:r>
      <w:bookmarkEnd w:id="23"/>
    </w:p>
    <w:p w14:paraId="218211A8" w14:textId="77777777" w:rsidR="008B6964" w:rsidRPr="003C1CFF" w:rsidRDefault="008B6964" w:rsidP="008B6964">
      <w:pPr>
        <w:rPr>
          <w:b/>
          <w:bCs/>
        </w:rPr>
      </w:pPr>
      <w:r w:rsidRPr="003C1CFF">
        <w:rPr>
          <w:b/>
          <w:bCs/>
        </w:rPr>
        <w:t>A1. Horizontal Analysis (Trend Analysis)</w:t>
      </w:r>
    </w:p>
    <w:p w14:paraId="15EC1813" w14:textId="77777777" w:rsidR="008B6964" w:rsidRPr="003C1CFF" w:rsidRDefault="008B6964" w:rsidP="008B6964">
      <w:r w:rsidRPr="003C1CFF">
        <w:rPr>
          <w:i/>
          <w:iCs/>
        </w:rPr>
        <w:t>Tracks the percentage growth or decline of key line items against the 2020 base year (Index = 100).</w:t>
      </w:r>
    </w:p>
    <w:tbl>
      <w:tblPr>
        <w:tblW w:w="9910" w:type="dxa"/>
        <w:tblCellMar>
          <w:top w:w="15" w:type="dxa"/>
          <w:left w:w="15" w:type="dxa"/>
          <w:bottom w:w="15" w:type="dxa"/>
          <w:right w:w="15" w:type="dxa"/>
        </w:tblCellMar>
        <w:tblLook w:val="04A0" w:firstRow="1" w:lastRow="0" w:firstColumn="1" w:lastColumn="0" w:noHBand="0" w:noVBand="1"/>
      </w:tblPr>
      <w:tblGrid>
        <w:gridCol w:w="1721"/>
        <w:gridCol w:w="1161"/>
        <w:gridCol w:w="1054"/>
        <w:gridCol w:w="921"/>
        <w:gridCol w:w="1214"/>
        <w:gridCol w:w="1081"/>
        <w:gridCol w:w="2758"/>
      </w:tblGrid>
      <w:tr w:rsidR="003C1CFF" w:rsidRPr="003C1CFF" w14:paraId="3E4184AE" w14:textId="77777777" w:rsidTr="008B6964">
        <w:trPr>
          <w:tblHeader/>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1D6453AA" w14:textId="77777777" w:rsidR="008B6964" w:rsidRPr="003C1CFF" w:rsidRDefault="008B6964" w:rsidP="008B6964">
            <w:pPr>
              <w:rPr>
                <w:b/>
                <w:bCs/>
              </w:rPr>
            </w:pPr>
            <w:r w:rsidRPr="003C1CFF">
              <w:rPr>
                <w:b/>
                <w:bCs/>
              </w:rPr>
              <w:t>Line Item</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2CEA7487" w14:textId="77777777" w:rsidR="008B6964" w:rsidRPr="003C1CFF" w:rsidRDefault="008B6964" w:rsidP="008B6964">
            <w:pPr>
              <w:rPr>
                <w:b/>
                <w:bCs/>
              </w:rPr>
            </w:pPr>
            <w:r w:rsidRPr="003C1CFF">
              <w:rPr>
                <w:b/>
                <w:bCs/>
              </w:rPr>
              <w:t>2020 (Base)</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39853BBB" w14:textId="77777777" w:rsidR="008B6964" w:rsidRPr="003C1CFF" w:rsidRDefault="008B6964" w:rsidP="008B6964">
            <w:pPr>
              <w:rPr>
                <w:b/>
                <w:bCs/>
              </w:rPr>
            </w:pPr>
            <w:r w:rsidRPr="003C1CFF">
              <w:rPr>
                <w:b/>
                <w:bCs/>
              </w:rPr>
              <w:t>2021</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475142DC" w14:textId="77777777" w:rsidR="008B6964" w:rsidRPr="003C1CFF" w:rsidRDefault="008B6964" w:rsidP="008B6964">
            <w:pPr>
              <w:rPr>
                <w:b/>
                <w:bCs/>
              </w:rPr>
            </w:pPr>
            <w:r w:rsidRPr="003C1CFF">
              <w:rPr>
                <w:b/>
                <w:bCs/>
              </w:rPr>
              <w:t>2022</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137EC82B" w14:textId="77777777" w:rsidR="008B6964" w:rsidRPr="003C1CFF" w:rsidRDefault="008B6964" w:rsidP="008B6964">
            <w:pPr>
              <w:rPr>
                <w:b/>
                <w:bCs/>
              </w:rPr>
            </w:pPr>
            <w:r w:rsidRPr="003C1CFF">
              <w:rPr>
                <w:b/>
                <w:bCs/>
              </w:rPr>
              <w:t>2023</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01D1CFB9" w14:textId="77777777" w:rsidR="008B6964" w:rsidRPr="003C1CFF" w:rsidRDefault="008B6964" w:rsidP="008B6964">
            <w:pPr>
              <w:rPr>
                <w:b/>
                <w:bCs/>
              </w:rPr>
            </w:pPr>
            <w:r w:rsidRPr="003C1CFF">
              <w:rPr>
                <w:b/>
                <w:bCs/>
              </w:rPr>
              <w:t>2024</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691AA53A" w14:textId="77777777" w:rsidR="008B6964" w:rsidRPr="003C1CFF" w:rsidRDefault="008B6964" w:rsidP="008B6964">
            <w:pPr>
              <w:rPr>
                <w:b/>
                <w:bCs/>
              </w:rPr>
            </w:pPr>
            <w:r w:rsidRPr="003C1CFF">
              <w:rPr>
                <w:b/>
                <w:bCs/>
              </w:rPr>
              <w:t>5-Year Trend Insight</w:t>
            </w:r>
          </w:p>
        </w:tc>
      </w:tr>
      <w:tr w:rsidR="003C1CFF" w:rsidRPr="003C1CFF" w14:paraId="1612A9D9"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28BD32F" w14:textId="77777777" w:rsidR="008B6964" w:rsidRPr="003C1CFF" w:rsidRDefault="008B6964" w:rsidP="008B6964">
            <w:r w:rsidRPr="003C1CFF">
              <w:rPr>
                <w:b/>
                <w:bCs/>
              </w:rPr>
              <w:t>Net Sales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931B951" w14:textId="77777777" w:rsidR="008B6964" w:rsidRPr="003C1CFF" w:rsidRDefault="008B6964" w:rsidP="008B6964">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39F5363" w14:textId="77777777" w:rsidR="008B6964" w:rsidRPr="003C1CFF" w:rsidRDefault="008B6964" w:rsidP="008B6964">
            <w:r w:rsidRPr="003C1CFF">
              <w:t>97.9%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24EB34A" w14:textId="77777777" w:rsidR="008B6964" w:rsidRPr="003C1CFF" w:rsidRDefault="008B6964" w:rsidP="008B6964">
            <w:r w:rsidRPr="003C1CFF">
              <w:t>88.3%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040EBCE" w14:textId="77777777" w:rsidR="008B6964" w:rsidRPr="003C1CFF" w:rsidRDefault="008B6964" w:rsidP="008B6964">
            <w:r w:rsidRPr="003C1CFF">
              <w:t>68.4%</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5A33A72" w14:textId="77777777" w:rsidR="008B6964" w:rsidRPr="003C1CFF" w:rsidRDefault="008B6964" w:rsidP="008B6964">
            <w:r w:rsidRPr="003C1CFF">
              <w:rPr>
                <w:b/>
                <w:bCs/>
              </w:rPr>
              <w:t>64.2%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205DD96" w14:textId="77777777" w:rsidR="008B6964" w:rsidRPr="003C1CFF" w:rsidRDefault="008B6964" w:rsidP="008B6964">
            <w:r w:rsidRPr="003C1CFF">
              <w:rPr>
                <w:b/>
                <w:bCs/>
              </w:rPr>
              <w:t>Revenue has collapsed by ~36%</w:t>
            </w:r>
            <w:r w:rsidRPr="003C1CFF">
              <w:t> since 2020.</w:t>
            </w:r>
          </w:p>
        </w:tc>
      </w:tr>
      <w:tr w:rsidR="003C1CFF" w:rsidRPr="003C1CFF" w14:paraId="66A6571E"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50AA1F4" w14:textId="77777777" w:rsidR="008B6964" w:rsidRPr="003C1CFF" w:rsidRDefault="008B6964" w:rsidP="008B6964">
            <w:r w:rsidRPr="003C1CFF">
              <w:rPr>
                <w:b/>
                <w:bCs/>
              </w:rPr>
              <w:t>Cost of Sales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3F3E95A" w14:textId="77777777" w:rsidR="008B6964" w:rsidRPr="003C1CFF" w:rsidRDefault="008B6964" w:rsidP="008B6964">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F4C0820" w14:textId="77777777" w:rsidR="008B6964" w:rsidRPr="003C1CFF" w:rsidRDefault="008B6964" w:rsidP="008B6964">
            <w:r w:rsidRPr="003C1CFF">
              <w:t>97.8%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2E072B7" w14:textId="77777777" w:rsidR="008B6964" w:rsidRPr="003C1CFF" w:rsidRDefault="008B6964" w:rsidP="008B6964">
            <w:r w:rsidRPr="003C1CFF">
              <w:t>89.1%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79DAE13" w14:textId="77777777" w:rsidR="008B6964" w:rsidRPr="003C1CFF" w:rsidRDefault="008B6964" w:rsidP="008B6964">
            <w:r w:rsidRPr="003C1CFF">
              <w:t>73.6%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72BCF57" w14:textId="77777777" w:rsidR="008B6964" w:rsidRPr="003C1CFF" w:rsidRDefault="008B6964" w:rsidP="008B6964">
            <w:r w:rsidRPr="003C1CFF">
              <w:rPr>
                <w:b/>
                <w:bCs/>
              </w:rPr>
              <w:t>64.1%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6BE1E8A" w14:textId="77777777" w:rsidR="008B6964" w:rsidRPr="003C1CFF" w:rsidRDefault="008B6964" w:rsidP="008B6964">
            <w:r w:rsidRPr="003C1CFF">
              <w:t>Variable costs have tracked sales decline efficiently.</w:t>
            </w:r>
          </w:p>
        </w:tc>
      </w:tr>
      <w:tr w:rsidR="003C1CFF" w:rsidRPr="003C1CFF" w14:paraId="45633DAF"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6690293" w14:textId="77777777" w:rsidR="008B6964" w:rsidRPr="003C1CFF" w:rsidRDefault="008B6964" w:rsidP="008B6964">
            <w:r w:rsidRPr="003C1CFF">
              <w:rPr>
                <w:b/>
                <w:bCs/>
              </w:rPr>
              <w:t>Operating Expenses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59491B9" w14:textId="77777777" w:rsidR="008B6964" w:rsidRPr="003C1CFF" w:rsidRDefault="008B6964" w:rsidP="008B6964">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FA75B9F" w14:textId="77777777" w:rsidR="008B6964" w:rsidRPr="003C1CFF" w:rsidRDefault="008B6964" w:rsidP="008B6964">
            <w:r w:rsidRPr="003C1CFF">
              <w:t>107.8%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272AE71" w14:textId="77777777" w:rsidR="008B6964" w:rsidRPr="003C1CFF" w:rsidRDefault="008B6964" w:rsidP="008B6964">
            <w:r w:rsidRPr="003C1CFF">
              <w:t>99.1%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49AEA0F" w14:textId="77777777" w:rsidR="008B6964" w:rsidRPr="003C1CFF" w:rsidRDefault="008B6964" w:rsidP="008B6964">
            <w:r w:rsidRPr="003C1CFF">
              <w:t>131.6%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6122674" w14:textId="77777777" w:rsidR="008B6964" w:rsidRPr="003C1CFF" w:rsidRDefault="008B6964" w:rsidP="008B6964">
            <w:r w:rsidRPr="003C1CFF">
              <w:rPr>
                <w:b/>
                <w:bCs/>
              </w:rPr>
              <w:t>93.0%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15A044A" w14:textId="77777777" w:rsidR="008B6964" w:rsidRPr="003C1CFF" w:rsidRDefault="008B6964" w:rsidP="008B6964">
            <w:r w:rsidRPr="003C1CFF">
              <w:rPr>
                <w:b/>
                <w:bCs/>
              </w:rPr>
              <w:t>Fixed costs are "sticky"</w:t>
            </w:r>
            <w:r w:rsidRPr="003C1CFF">
              <w:t>; expenses fell only 7% while sales fell 36%.</w:t>
            </w:r>
          </w:p>
        </w:tc>
      </w:tr>
      <w:tr w:rsidR="003C1CFF" w:rsidRPr="003C1CFF" w14:paraId="44CA882E"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B424243" w14:textId="77777777" w:rsidR="008B6964" w:rsidRPr="003C1CFF" w:rsidRDefault="008B6964" w:rsidP="008B6964">
            <w:r w:rsidRPr="003C1CFF">
              <w:rPr>
                <w:b/>
                <w:bCs/>
              </w:rPr>
              <w:lastRenderedPageBreak/>
              <w:t>Operating Income (EBIT)</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7F4B619" w14:textId="77777777" w:rsidR="008B6964" w:rsidRPr="003C1CFF" w:rsidRDefault="008B6964" w:rsidP="008B6964">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1FA8192" w14:textId="77777777" w:rsidR="008B6964" w:rsidRPr="003C1CFF" w:rsidRDefault="008B6964" w:rsidP="008B6964">
            <w:r w:rsidRPr="003C1CFF">
              <w:t>62.4%</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249A97D" w14:textId="77777777" w:rsidR="008B6964" w:rsidRPr="003C1CFF" w:rsidRDefault="008B6964" w:rsidP="008B6964">
            <w:r w:rsidRPr="003C1CFF">
              <w:t>39.0%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EF7E605" w14:textId="77777777" w:rsidR="008B6964" w:rsidRPr="003C1CFF" w:rsidRDefault="008B6964" w:rsidP="008B6964">
            <w:r w:rsidRPr="003C1CFF">
              <w:t>(228.9%)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7401DD6" w14:textId="77777777" w:rsidR="008B6964" w:rsidRPr="003C1CFF" w:rsidRDefault="008B6964" w:rsidP="008B6964">
            <w:r w:rsidRPr="003C1CFF">
              <w:rPr>
                <w:b/>
                <w:bCs/>
              </w:rPr>
              <w:t>(41.0%)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1C59AA4" w14:textId="77777777" w:rsidR="008B6964" w:rsidRPr="003C1CFF" w:rsidRDefault="008B6964" w:rsidP="008B6964">
            <w:r w:rsidRPr="003C1CFF">
              <w:t>Profitability has been completely wiped out.</w:t>
            </w:r>
          </w:p>
        </w:tc>
      </w:tr>
      <w:tr w:rsidR="003C1CFF" w:rsidRPr="003C1CFF" w14:paraId="11C477B4"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8D71744" w14:textId="77777777" w:rsidR="008B6964" w:rsidRPr="003C1CFF" w:rsidRDefault="008B6964" w:rsidP="008B6964">
            <w:r w:rsidRPr="003C1CFF">
              <w:rPr>
                <w:b/>
                <w:bCs/>
              </w:rPr>
              <w:t>Net Income</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EA45B47" w14:textId="77777777" w:rsidR="008B6964" w:rsidRPr="003C1CFF" w:rsidRDefault="008B6964" w:rsidP="008B6964">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24E88E2" w14:textId="77777777" w:rsidR="008B6964" w:rsidRPr="003C1CFF" w:rsidRDefault="008B6964" w:rsidP="008B6964">
            <w:r w:rsidRPr="003C1CFF">
              <w:t>13.7%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9E63AFD" w14:textId="77777777" w:rsidR="008B6964" w:rsidRPr="003C1CFF" w:rsidRDefault="008B6964" w:rsidP="008B6964">
            <w:r w:rsidRPr="003C1CFF">
              <w:t>1.1%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071E38A" w14:textId="77777777" w:rsidR="008B6964" w:rsidRPr="003C1CFF" w:rsidRDefault="008B6964" w:rsidP="008B6964">
            <w:r w:rsidRPr="003C1CFF">
              <w:t>(254.7%)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C32E0B3" w14:textId="77777777" w:rsidR="008B6964" w:rsidRPr="003C1CFF" w:rsidRDefault="008B6964" w:rsidP="008B6964">
            <w:r w:rsidRPr="003C1CFF">
              <w:rPr>
                <w:b/>
                <w:bCs/>
              </w:rPr>
              <w:t>(62.3%)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6E31C60" w14:textId="77777777" w:rsidR="008B6964" w:rsidRPr="003C1CFF" w:rsidRDefault="008B6964" w:rsidP="008B6964">
            <w:r w:rsidRPr="003C1CFF">
              <w:t>The firm is now structurally loss-making.</w:t>
            </w:r>
          </w:p>
        </w:tc>
      </w:tr>
    </w:tbl>
    <w:p w14:paraId="3930EC4A" w14:textId="77777777" w:rsidR="008B6964" w:rsidRPr="003C1CFF" w:rsidRDefault="008B6964" w:rsidP="008B6964">
      <w:pPr>
        <w:rPr>
          <w:b/>
          <w:bCs/>
        </w:rPr>
      </w:pPr>
      <w:r w:rsidRPr="003C1CFF">
        <w:rPr>
          <w:b/>
          <w:bCs/>
        </w:rPr>
        <w:t>A2. Vertical Analysis (Common Size Income Statement)</w:t>
      </w:r>
    </w:p>
    <w:p w14:paraId="24E599B1" w14:textId="77777777" w:rsidR="008B6964" w:rsidRPr="003C1CFF" w:rsidRDefault="008B6964" w:rsidP="008B6964">
      <w:r w:rsidRPr="003C1CFF">
        <w:rPr>
          <w:i/>
          <w:iCs/>
        </w:rPr>
        <w:t>Expresses each line item as a percentage of Sales to isolate cost structure changes.</w:t>
      </w:r>
    </w:p>
    <w:tbl>
      <w:tblPr>
        <w:tblW w:w="9910" w:type="dxa"/>
        <w:tblCellMar>
          <w:top w:w="15" w:type="dxa"/>
          <w:left w:w="15" w:type="dxa"/>
          <w:bottom w:w="15" w:type="dxa"/>
          <w:right w:w="15" w:type="dxa"/>
        </w:tblCellMar>
        <w:tblLook w:val="04A0" w:firstRow="1" w:lastRow="0" w:firstColumn="1" w:lastColumn="0" w:noHBand="0" w:noVBand="1"/>
      </w:tblPr>
      <w:tblGrid>
        <w:gridCol w:w="1681"/>
        <w:gridCol w:w="1054"/>
        <w:gridCol w:w="1054"/>
        <w:gridCol w:w="1054"/>
        <w:gridCol w:w="1081"/>
        <w:gridCol w:w="1054"/>
        <w:gridCol w:w="2932"/>
      </w:tblGrid>
      <w:tr w:rsidR="003C1CFF" w:rsidRPr="003C1CFF" w14:paraId="409F2ADD" w14:textId="77777777" w:rsidTr="008B6964">
        <w:trPr>
          <w:tblHeader/>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1745E7BB" w14:textId="77777777" w:rsidR="008B6964" w:rsidRPr="003C1CFF" w:rsidRDefault="008B6964" w:rsidP="008B6964">
            <w:pPr>
              <w:rPr>
                <w:b/>
                <w:bCs/>
              </w:rPr>
            </w:pPr>
            <w:r w:rsidRPr="003C1CFF">
              <w:rPr>
                <w:b/>
                <w:bCs/>
              </w:rPr>
              <w:t>Line Item (% of Sales)</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6FD7AEE6" w14:textId="77777777" w:rsidR="008B6964" w:rsidRPr="003C1CFF" w:rsidRDefault="008B6964" w:rsidP="008B6964">
            <w:pPr>
              <w:rPr>
                <w:b/>
                <w:bCs/>
              </w:rPr>
            </w:pPr>
            <w:r w:rsidRPr="003C1CFF">
              <w:rPr>
                <w:b/>
                <w:bCs/>
              </w:rPr>
              <w:t>2020</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405D8FB6" w14:textId="77777777" w:rsidR="008B6964" w:rsidRPr="003C1CFF" w:rsidRDefault="008B6964" w:rsidP="008B6964">
            <w:pPr>
              <w:rPr>
                <w:b/>
                <w:bCs/>
              </w:rPr>
            </w:pPr>
            <w:r w:rsidRPr="003C1CFF">
              <w:rPr>
                <w:b/>
                <w:bCs/>
              </w:rPr>
              <w:t>2021</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605F1128" w14:textId="77777777" w:rsidR="008B6964" w:rsidRPr="003C1CFF" w:rsidRDefault="008B6964" w:rsidP="008B6964">
            <w:pPr>
              <w:rPr>
                <w:b/>
                <w:bCs/>
              </w:rPr>
            </w:pPr>
            <w:r w:rsidRPr="003C1CFF">
              <w:rPr>
                <w:b/>
                <w:bCs/>
              </w:rPr>
              <w:t>2022</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3A2215C8" w14:textId="77777777" w:rsidR="008B6964" w:rsidRPr="003C1CFF" w:rsidRDefault="008B6964" w:rsidP="008B6964">
            <w:pPr>
              <w:rPr>
                <w:b/>
                <w:bCs/>
              </w:rPr>
            </w:pPr>
            <w:r w:rsidRPr="003C1CFF">
              <w:rPr>
                <w:b/>
                <w:bCs/>
              </w:rPr>
              <w:t>2023</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48AA62DC" w14:textId="77777777" w:rsidR="008B6964" w:rsidRPr="003C1CFF" w:rsidRDefault="008B6964" w:rsidP="008B6964">
            <w:pPr>
              <w:rPr>
                <w:b/>
                <w:bCs/>
              </w:rPr>
            </w:pPr>
            <w:r w:rsidRPr="003C1CFF">
              <w:rPr>
                <w:b/>
                <w:bCs/>
              </w:rPr>
              <w:t>2024</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4B9F7D85" w14:textId="77777777" w:rsidR="008B6964" w:rsidRPr="003C1CFF" w:rsidRDefault="008B6964" w:rsidP="008B6964">
            <w:pPr>
              <w:rPr>
                <w:b/>
                <w:bCs/>
              </w:rPr>
            </w:pPr>
            <w:r w:rsidRPr="003C1CFF">
              <w:rPr>
                <w:b/>
                <w:bCs/>
              </w:rPr>
              <w:t>Critical Strategic Insight</w:t>
            </w:r>
          </w:p>
        </w:tc>
      </w:tr>
      <w:tr w:rsidR="003C1CFF" w:rsidRPr="003C1CFF" w14:paraId="540F0790"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53C2811" w14:textId="77777777" w:rsidR="008B6964" w:rsidRPr="003C1CFF" w:rsidRDefault="008B6964" w:rsidP="008B6964">
            <w:r w:rsidRPr="003C1CFF">
              <w:rPr>
                <w:b/>
                <w:bCs/>
              </w:rPr>
              <w:t>Net Sales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FD9EE76" w14:textId="77777777" w:rsidR="008B6964" w:rsidRPr="003C1CFF" w:rsidRDefault="008B6964" w:rsidP="008B6964">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69E2059" w14:textId="77777777" w:rsidR="008B6964" w:rsidRPr="003C1CFF" w:rsidRDefault="008B6964" w:rsidP="008B6964">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B4BDD5C" w14:textId="77777777" w:rsidR="008B6964" w:rsidRPr="003C1CFF" w:rsidRDefault="008B6964" w:rsidP="008B6964">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877E2E5" w14:textId="77777777" w:rsidR="008B6964" w:rsidRPr="003C1CFF" w:rsidRDefault="008B6964" w:rsidP="008B6964">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A48482D" w14:textId="77777777" w:rsidR="008B6964" w:rsidRPr="003C1CFF" w:rsidRDefault="008B6964" w:rsidP="008B6964">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205D026" w14:textId="77777777" w:rsidR="008B6964" w:rsidRPr="003C1CFF" w:rsidRDefault="008B6964" w:rsidP="008B6964"/>
        </w:tc>
      </w:tr>
      <w:tr w:rsidR="003C1CFF" w:rsidRPr="003C1CFF" w14:paraId="20FACD61"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FA1FD45" w14:textId="77777777" w:rsidR="008B6964" w:rsidRPr="003C1CFF" w:rsidRDefault="008B6964" w:rsidP="008B6964">
            <w:r w:rsidRPr="003C1CFF">
              <w:rPr>
                <w:b/>
                <w:bCs/>
              </w:rPr>
              <w:t>Cost of Sales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47E37BA" w14:textId="77777777" w:rsidR="008B6964" w:rsidRPr="003C1CFF" w:rsidRDefault="008B6964" w:rsidP="008B6964">
            <w:r w:rsidRPr="003C1CFF">
              <w:t>71.3%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92CB77B" w14:textId="77777777" w:rsidR="008B6964" w:rsidRPr="003C1CFF" w:rsidRDefault="008B6964" w:rsidP="008B6964">
            <w:r w:rsidRPr="003C1CFF">
              <w:t>71.2%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387CC84" w14:textId="77777777" w:rsidR="008B6964" w:rsidRPr="003C1CFF" w:rsidRDefault="008B6964" w:rsidP="008B6964">
            <w:r w:rsidRPr="003C1CFF">
              <w:t>71.9%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BBDADD6" w14:textId="77777777" w:rsidR="008B6964" w:rsidRPr="003C1CFF" w:rsidRDefault="008B6964" w:rsidP="008B6964">
            <w:r w:rsidRPr="003C1CFF">
              <w:t>76.8%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6C2A1F7" w14:textId="77777777" w:rsidR="008B6964" w:rsidRPr="003C1CFF" w:rsidRDefault="008B6964" w:rsidP="008B6964">
            <w:r w:rsidRPr="003C1CFF">
              <w:t>71.1%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3CC558D" w14:textId="77777777" w:rsidR="008B6964" w:rsidRPr="003C1CFF" w:rsidRDefault="008B6964" w:rsidP="008B6964">
            <w:r w:rsidRPr="003C1CFF">
              <w:t>Gross margins have recovered to historical norms (28.9%).</w:t>
            </w:r>
          </w:p>
        </w:tc>
      </w:tr>
      <w:tr w:rsidR="003C1CFF" w:rsidRPr="003C1CFF" w14:paraId="1152062F"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0A5BCD5" w14:textId="77777777" w:rsidR="008B6964" w:rsidRPr="003C1CFF" w:rsidRDefault="008B6964" w:rsidP="008B6964">
            <w:r w:rsidRPr="003C1CFF">
              <w:rPr>
                <w:b/>
                <w:bCs/>
              </w:rPr>
              <w:lastRenderedPageBreak/>
              <w:t>Operating Expenses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14A12DF" w14:textId="77777777" w:rsidR="008B6964" w:rsidRPr="003C1CFF" w:rsidRDefault="008B6964" w:rsidP="008B6964">
            <w:r w:rsidRPr="003C1CFF">
              <w:rPr>
                <w:b/>
                <w:bCs/>
              </w:rPr>
              <w:t>22.6%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1C2A02C" w14:textId="77777777" w:rsidR="008B6964" w:rsidRPr="003C1CFF" w:rsidRDefault="008B6964" w:rsidP="008B6964">
            <w:r w:rsidRPr="003C1CFF">
              <w:t>24.9%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2878370" w14:textId="77777777" w:rsidR="008B6964" w:rsidRPr="003C1CFF" w:rsidRDefault="008B6964" w:rsidP="008B6964">
            <w:r w:rsidRPr="003C1CFF">
              <w:t>25.4%</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3CA41A8" w14:textId="77777777" w:rsidR="008B6964" w:rsidRPr="003C1CFF" w:rsidRDefault="008B6964" w:rsidP="008B6964">
            <w:r w:rsidRPr="003C1CFF">
              <w:rPr>
                <w:b/>
                <w:bCs/>
              </w:rPr>
              <w:t>43.5%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145A3B9" w14:textId="77777777" w:rsidR="008B6964" w:rsidRPr="003C1CFF" w:rsidRDefault="008B6964" w:rsidP="008B6964">
            <w:r w:rsidRPr="003C1CFF">
              <w:rPr>
                <w:b/>
                <w:bCs/>
              </w:rPr>
              <w:t>32.7%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7A6B3F1" w14:textId="77777777" w:rsidR="008B6964" w:rsidRPr="003C1CFF" w:rsidRDefault="008B6964" w:rsidP="008B6964">
            <w:r w:rsidRPr="003C1CFF">
              <w:rPr>
                <w:b/>
                <w:bCs/>
              </w:rPr>
              <w:t>CRITICAL ISSUE:</w:t>
            </w:r>
            <w:r w:rsidRPr="003C1CFF">
              <w:t> </w:t>
            </w:r>
            <w:proofErr w:type="spellStart"/>
            <w:r w:rsidRPr="003C1CFF">
              <w:t>OpEx</w:t>
            </w:r>
            <w:proofErr w:type="spellEnd"/>
            <w:r w:rsidRPr="003C1CFF">
              <w:t xml:space="preserve"> has bloated from 22% to 33% of sales.</w:t>
            </w:r>
          </w:p>
        </w:tc>
      </w:tr>
      <w:tr w:rsidR="003C1CFF" w:rsidRPr="003C1CFF" w14:paraId="770DCC7D"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2C4068E" w14:textId="77777777" w:rsidR="008B6964" w:rsidRPr="003C1CFF" w:rsidRDefault="008B6964" w:rsidP="008B6964">
            <w:r w:rsidRPr="003C1CFF">
              <w:rPr>
                <w:b/>
                <w:bCs/>
              </w:rPr>
              <w:t>Operating Income</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53C2206" w14:textId="77777777" w:rsidR="008B6964" w:rsidRPr="003C1CFF" w:rsidRDefault="008B6964" w:rsidP="008B6964">
            <w:r w:rsidRPr="003C1CFF">
              <w:t>6.1%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EF1E8A3" w14:textId="77777777" w:rsidR="008B6964" w:rsidRPr="003C1CFF" w:rsidRDefault="008B6964" w:rsidP="008B6964">
            <w:r w:rsidRPr="003C1CFF">
              <w:t>3.9%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176B8B7" w14:textId="77777777" w:rsidR="008B6964" w:rsidRPr="003C1CFF" w:rsidRDefault="008B6964" w:rsidP="008B6964">
            <w:r w:rsidRPr="003C1CFF">
              <w:t>2.7%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29915ED" w14:textId="77777777" w:rsidR="008B6964" w:rsidRPr="003C1CFF" w:rsidRDefault="008B6964" w:rsidP="008B6964">
            <w:r w:rsidRPr="003C1CFF">
              <w:t>(20.3%)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5EB0FF2" w14:textId="77777777" w:rsidR="008B6964" w:rsidRPr="003C1CFF" w:rsidRDefault="008B6964" w:rsidP="008B6964">
            <w:r w:rsidRPr="003C1CFF">
              <w:t>(3.9%)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5CF9181" w14:textId="77777777" w:rsidR="008B6964" w:rsidRPr="003C1CFF" w:rsidRDefault="008B6964" w:rsidP="008B6964">
            <w:r w:rsidRPr="003C1CFF">
              <w:t xml:space="preserve">The loss is driven by the bloated </w:t>
            </w:r>
            <w:proofErr w:type="spellStart"/>
            <w:r w:rsidRPr="003C1CFF">
              <w:t>OpEx</w:t>
            </w:r>
            <w:proofErr w:type="spellEnd"/>
            <w:r w:rsidRPr="003C1CFF">
              <w:t xml:space="preserve"> ratio.</w:t>
            </w:r>
          </w:p>
        </w:tc>
      </w:tr>
    </w:tbl>
    <w:p w14:paraId="676AD450" w14:textId="77777777" w:rsidR="008B6964" w:rsidRPr="003C1CFF" w:rsidRDefault="008B6964" w:rsidP="008B6964">
      <w:pPr>
        <w:pStyle w:val="Heading2"/>
        <w:rPr>
          <w:color w:val="auto"/>
        </w:rPr>
      </w:pPr>
      <w:bookmarkStart w:id="24" w:name="_Toc217265213"/>
      <w:r w:rsidRPr="003C1CFF">
        <w:rPr>
          <w:color w:val="auto"/>
        </w:rPr>
        <w:t>Appendix B: Comprehensive Financial Ratio Analysis</w:t>
      </w:r>
      <w:bookmarkEnd w:id="24"/>
    </w:p>
    <w:p w14:paraId="085FF97A" w14:textId="77777777" w:rsidR="008B6964" w:rsidRPr="003C1CFF" w:rsidRDefault="008B6964" w:rsidP="008B6964">
      <w:pPr>
        <w:rPr>
          <w:b/>
          <w:bCs/>
        </w:rPr>
      </w:pPr>
      <w:r w:rsidRPr="003C1CFF">
        <w:rPr>
          <w:b/>
          <w:bCs/>
        </w:rPr>
        <w:t>Table B1: Profitability Ratios</w:t>
      </w:r>
    </w:p>
    <w:tbl>
      <w:tblPr>
        <w:tblW w:w="9910" w:type="dxa"/>
        <w:tblCellMar>
          <w:top w:w="15" w:type="dxa"/>
          <w:left w:w="15" w:type="dxa"/>
          <w:bottom w:w="15" w:type="dxa"/>
          <w:right w:w="15" w:type="dxa"/>
        </w:tblCellMar>
        <w:tblLook w:val="04A0" w:firstRow="1" w:lastRow="0" w:firstColumn="1" w:lastColumn="0" w:noHBand="0" w:noVBand="1"/>
      </w:tblPr>
      <w:tblGrid>
        <w:gridCol w:w="1860"/>
        <w:gridCol w:w="2593"/>
        <w:gridCol w:w="1054"/>
        <w:gridCol w:w="1054"/>
        <w:gridCol w:w="1054"/>
        <w:gridCol w:w="1214"/>
        <w:gridCol w:w="1081"/>
      </w:tblGrid>
      <w:tr w:rsidR="003C1CFF" w:rsidRPr="003C1CFF" w14:paraId="7A639536" w14:textId="77777777" w:rsidTr="008B6964">
        <w:trPr>
          <w:tblHeader/>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64F26CD3" w14:textId="77777777" w:rsidR="008B6964" w:rsidRPr="003C1CFF" w:rsidRDefault="008B6964" w:rsidP="008B6964">
            <w:pPr>
              <w:rPr>
                <w:b/>
                <w:bCs/>
              </w:rPr>
            </w:pPr>
            <w:r w:rsidRPr="003C1CFF">
              <w:rPr>
                <w:b/>
                <w:bCs/>
              </w:rPr>
              <w:t>Ratio</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4345BAA3" w14:textId="77777777" w:rsidR="008B6964" w:rsidRPr="003C1CFF" w:rsidRDefault="008B6964" w:rsidP="008B6964">
            <w:pPr>
              <w:rPr>
                <w:b/>
                <w:bCs/>
              </w:rPr>
            </w:pPr>
            <w:r w:rsidRPr="003C1CFF">
              <w:rPr>
                <w:b/>
                <w:bCs/>
              </w:rPr>
              <w:t>Formula</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6515CCD7" w14:textId="77777777" w:rsidR="008B6964" w:rsidRPr="003C1CFF" w:rsidRDefault="008B6964" w:rsidP="008B6964">
            <w:pPr>
              <w:rPr>
                <w:b/>
                <w:bCs/>
              </w:rPr>
            </w:pPr>
            <w:r w:rsidRPr="003C1CFF">
              <w:rPr>
                <w:b/>
                <w:bCs/>
              </w:rPr>
              <w:t>2020</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106034D7" w14:textId="77777777" w:rsidR="008B6964" w:rsidRPr="003C1CFF" w:rsidRDefault="008B6964" w:rsidP="008B6964">
            <w:pPr>
              <w:rPr>
                <w:b/>
                <w:bCs/>
              </w:rPr>
            </w:pPr>
            <w:r w:rsidRPr="003C1CFF">
              <w:rPr>
                <w:b/>
                <w:bCs/>
              </w:rPr>
              <w:t>2021</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55D7E2B0" w14:textId="77777777" w:rsidR="008B6964" w:rsidRPr="003C1CFF" w:rsidRDefault="008B6964" w:rsidP="008B6964">
            <w:pPr>
              <w:rPr>
                <w:b/>
                <w:bCs/>
              </w:rPr>
            </w:pPr>
            <w:r w:rsidRPr="003C1CFF">
              <w:rPr>
                <w:b/>
                <w:bCs/>
              </w:rPr>
              <w:t>2022</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562057D2" w14:textId="77777777" w:rsidR="008B6964" w:rsidRPr="003C1CFF" w:rsidRDefault="008B6964" w:rsidP="008B6964">
            <w:pPr>
              <w:rPr>
                <w:b/>
                <w:bCs/>
              </w:rPr>
            </w:pPr>
            <w:r w:rsidRPr="003C1CFF">
              <w:rPr>
                <w:b/>
                <w:bCs/>
              </w:rPr>
              <w:t>2023</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31D603FB" w14:textId="77777777" w:rsidR="008B6964" w:rsidRPr="003C1CFF" w:rsidRDefault="008B6964" w:rsidP="008B6964">
            <w:pPr>
              <w:rPr>
                <w:b/>
                <w:bCs/>
              </w:rPr>
            </w:pPr>
            <w:r w:rsidRPr="003C1CFF">
              <w:rPr>
                <w:b/>
                <w:bCs/>
              </w:rPr>
              <w:t>2024</w:t>
            </w:r>
          </w:p>
        </w:tc>
      </w:tr>
      <w:tr w:rsidR="003C1CFF" w:rsidRPr="003C1CFF" w14:paraId="1991EA1B"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960416F" w14:textId="77777777" w:rsidR="008B6964" w:rsidRPr="003C1CFF" w:rsidRDefault="008B6964" w:rsidP="008B6964">
            <w:r w:rsidRPr="003C1CFF">
              <w:rPr>
                <w:b/>
                <w:bCs/>
              </w:rPr>
              <w:t>Gross Margin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CBB333D" w14:textId="77777777" w:rsidR="008B6964" w:rsidRPr="003C1CFF" w:rsidRDefault="008B6964" w:rsidP="008B6964">
            <w:r w:rsidRPr="003C1CFF">
              <w:t>GP / Sales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4A984ED" w14:textId="77777777" w:rsidR="008B6964" w:rsidRPr="003C1CFF" w:rsidRDefault="008B6964" w:rsidP="008B6964">
            <w:r w:rsidRPr="003C1CFF">
              <w:t>28.67%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65D42CD" w14:textId="77777777" w:rsidR="008B6964" w:rsidRPr="003C1CFF" w:rsidRDefault="008B6964" w:rsidP="008B6964">
            <w:r w:rsidRPr="003C1CFF">
              <w:t>28.76%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2D88FFD" w14:textId="77777777" w:rsidR="008B6964" w:rsidRPr="003C1CFF" w:rsidRDefault="008B6964" w:rsidP="008B6964">
            <w:r w:rsidRPr="003C1CFF">
              <w:t>28.06%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9188466" w14:textId="77777777" w:rsidR="008B6964" w:rsidRPr="003C1CFF" w:rsidRDefault="008B6964" w:rsidP="008B6964">
            <w:r w:rsidRPr="003C1CFF">
              <w:t>23.20%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C9C0C55" w14:textId="77777777" w:rsidR="008B6964" w:rsidRPr="003C1CFF" w:rsidRDefault="008B6964" w:rsidP="008B6964">
            <w:r w:rsidRPr="003C1CFF">
              <w:t>28.87%</w:t>
            </w:r>
          </w:p>
        </w:tc>
      </w:tr>
      <w:tr w:rsidR="003C1CFF" w:rsidRPr="003C1CFF" w14:paraId="5FDC6F64"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DCEBD64" w14:textId="77777777" w:rsidR="008B6964" w:rsidRPr="003C1CFF" w:rsidRDefault="008B6964" w:rsidP="008B6964">
            <w:r w:rsidRPr="003C1CFF">
              <w:rPr>
                <w:b/>
                <w:bCs/>
              </w:rPr>
              <w:t>Operating Margin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F4465EA" w14:textId="77777777" w:rsidR="008B6964" w:rsidRPr="003C1CFF" w:rsidRDefault="008B6964" w:rsidP="008B6964">
            <w:r w:rsidRPr="003C1CFF">
              <w:t>EBIT / Sales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E06B1E1" w14:textId="77777777" w:rsidR="008B6964" w:rsidRPr="003C1CFF" w:rsidRDefault="008B6964" w:rsidP="008B6964">
            <w:r w:rsidRPr="003C1CFF">
              <w:t>6.06%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1E2BF7C" w14:textId="77777777" w:rsidR="008B6964" w:rsidRPr="003C1CFF" w:rsidRDefault="008B6964" w:rsidP="008B6964">
            <w:r w:rsidRPr="003C1CFF">
              <w:t>3.87%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2D8BB1B" w14:textId="77777777" w:rsidR="008B6964" w:rsidRPr="003C1CFF" w:rsidRDefault="008B6964" w:rsidP="008B6964">
            <w:r w:rsidRPr="003C1CFF">
              <w:t>2.68%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F8EEA74" w14:textId="77777777" w:rsidR="008B6964" w:rsidRPr="003C1CFF" w:rsidRDefault="008B6964" w:rsidP="008B6964">
            <w:r w:rsidRPr="003C1CFF">
              <w:t>(20.29%)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8C53058" w14:textId="77777777" w:rsidR="008B6964" w:rsidRPr="003C1CFF" w:rsidRDefault="008B6964" w:rsidP="008B6964">
            <w:r w:rsidRPr="003C1CFF">
              <w:t>(3.87%)</w:t>
            </w:r>
          </w:p>
        </w:tc>
      </w:tr>
      <w:tr w:rsidR="003C1CFF" w:rsidRPr="003C1CFF" w14:paraId="74A11914"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6AA3DD9" w14:textId="77777777" w:rsidR="008B6964" w:rsidRPr="003C1CFF" w:rsidRDefault="008B6964" w:rsidP="008B6964">
            <w:r w:rsidRPr="003C1CFF">
              <w:rPr>
                <w:b/>
                <w:bCs/>
              </w:rPr>
              <w:t>Net Profit Margin</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C138499" w14:textId="77777777" w:rsidR="008B6964" w:rsidRPr="003C1CFF" w:rsidRDefault="008B6964" w:rsidP="008B6964">
            <w:r w:rsidRPr="003C1CFF">
              <w:t>Net Income / Sales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3D2C875" w14:textId="77777777" w:rsidR="008B6964" w:rsidRPr="003C1CFF" w:rsidRDefault="008B6964" w:rsidP="008B6964">
            <w:r w:rsidRPr="003C1CFF">
              <w:t>6.28%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861197B" w14:textId="77777777" w:rsidR="008B6964" w:rsidRPr="003C1CFF" w:rsidRDefault="008B6964" w:rsidP="008B6964">
            <w:r w:rsidRPr="003C1CFF">
              <w:t>0.88%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01B4985" w14:textId="77777777" w:rsidR="008B6964" w:rsidRPr="003C1CFF" w:rsidRDefault="008B6964" w:rsidP="008B6964">
            <w:r w:rsidRPr="003C1CFF">
              <w:t>0.07%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1E031E3" w14:textId="77777777" w:rsidR="008B6964" w:rsidRPr="003C1CFF" w:rsidRDefault="008B6964" w:rsidP="008B6964">
            <w:r w:rsidRPr="003C1CFF">
              <w:t>(23.36%)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0E67848" w14:textId="77777777" w:rsidR="008B6964" w:rsidRPr="003C1CFF" w:rsidRDefault="008B6964" w:rsidP="008B6964">
            <w:r w:rsidRPr="003C1CFF">
              <w:t>(6.09%)</w:t>
            </w:r>
          </w:p>
        </w:tc>
      </w:tr>
      <w:tr w:rsidR="003C1CFF" w:rsidRPr="003C1CFF" w14:paraId="1E4FDBF2"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34C0A93" w14:textId="77777777" w:rsidR="008B6964" w:rsidRPr="003C1CFF" w:rsidRDefault="008B6964" w:rsidP="008B6964">
            <w:r w:rsidRPr="003C1CFF">
              <w:rPr>
                <w:b/>
                <w:bCs/>
              </w:rPr>
              <w:lastRenderedPageBreak/>
              <w:t>ROCE</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73EA269" w14:textId="77777777" w:rsidR="008B6964" w:rsidRPr="003C1CFF" w:rsidRDefault="008B6964" w:rsidP="008B6964">
            <w:r w:rsidRPr="003C1CFF">
              <w:t>EBIT / (Total Assets - Curr Liab)</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8E97D66" w14:textId="77777777" w:rsidR="008B6964" w:rsidRPr="003C1CFF" w:rsidRDefault="008B6964" w:rsidP="008B6964">
            <w:r w:rsidRPr="003C1CFF">
              <w:t>11.27%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07C7137" w14:textId="77777777" w:rsidR="008B6964" w:rsidRPr="003C1CFF" w:rsidRDefault="008B6964" w:rsidP="008B6964">
            <w:r w:rsidRPr="003C1CFF">
              <w:t>7.92%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1104FE7" w14:textId="77777777" w:rsidR="008B6964" w:rsidRPr="003C1CFF" w:rsidRDefault="008B6964" w:rsidP="008B6964">
            <w:r w:rsidRPr="003C1CFF">
              <w:t>5.06%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9D633C0" w14:textId="77777777" w:rsidR="008B6964" w:rsidRPr="003C1CFF" w:rsidRDefault="008B6964" w:rsidP="008B6964">
            <w:r w:rsidRPr="003C1CFF">
              <w:t>(43.81%)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98C16B4" w14:textId="77777777" w:rsidR="008B6964" w:rsidRPr="003C1CFF" w:rsidRDefault="008B6964" w:rsidP="008B6964">
            <w:r w:rsidRPr="003C1CFF">
              <w:t>(9.27%)</w:t>
            </w:r>
          </w:p>
        </w:tc>
      </w:tr>
    </w:tbl>
    <w:p w14:paraId="78B5A39C" w14:textId="77777777" w:rsidR="008B6964" w:rsidRPr="003C1CFF" w:rsidRDefault="008B6964" w:rsidP="008B6964">
      <w:pPr>
        <w:jc w:val="center"/>
        <w:rPr>
          <w:b/>
          <w:bCs/>
        </w:rPr>
      </w:pPr>
      <w:r w:rsidRPr="003C1CFF">
        <w:rPr>
          <w:noProof/>
        </w:rPr>
        <w:drawing>
          <wp:inline distT="0" distB="0" distL="0" distR="0" wp14:anchorId="1A19AC3F" wp14:editId="65F1A54E">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B528990" w14:textId="77777777" w:rsidR="008B6964" w:rsidRPr="003C1CFF" w:rsidRDefault="008B6964" w:rsidP="008B6964">
      <w:pPr>
        <w:rPr>
          <w:b/>
          <w:bCs/>
        </w:rPr>
      </w:pPr>
      <w:r w:rsidRPr="003C1CFF">
        <w:rPr>
          <w:b/>
          <w:bCs/>
        </w:rPr>
        <w:t>Table B2: Liquidity Ratios</w:t>
      </w:r>
    </w:p>
    <w:tbl>
      <w:tblPr>
        <w:tblW w:w="9910" w:type="dxa"/>
        <w:tblCellMar>
          <w:top w:w="15" w:type="dxa"/>
          <w:left w:w="15" w:type="dxa"/>
          <w:bottom w:w="15" w:type="dxa"/>
          <w:right w:w="15" w:type="dxa"/>
        </w:tblCellMar>
        <w:tblLook w:val="04A0" w:firstRow="1" w:lastRow="0" w:firstColumn="1" w:lastColumn="0" w:noHBand="0" w:noVBand="1"/>
      </w:tblPr>
      <w:tblGrid>
        <w:gridCol w:w="2173"/>
        <w:gridCol w:w="2992"/>
        <w:gridCol w:w="949"/>
        <w:gridCol w:w="949"/>
        <w:gridCol w:w="949"/>
        <w:gridCol w:w="949"/>
        <w:gridCol w:w="949"/>
      </w:tblGrid>
      <w:tr w:rsidR="003C1CFF" w:rsidRPr="003C1CFF" w14:paraId="650B23AD" w14:textId="77777777" w:rsidTr="008B6964">
        <w:trPr>
          <w:tblHeader/>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587436BF" w14:textId="77777777" w:rsidR="008B6964" w:rsidRPr="003C1CFF" w:rsidRDefault="008B6964" w:rsidP="008B6964">
            <w:pPr>
              <w:rPr>
                <w:b/>
                <w:bCs/>
              </w:rPr>
            </w:pPr>
            <w:r w:rsidRPr="003C1CFF">
              <w:rPr>
                <w:b/>
                <w:bCs/>
              </w:rPr>
              <w:t>Ratio</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7D652AB4" w14:textId="77777777" w:rsidR="008B6964" w:rsidRPr="003C1CFF" w:rsidRDefault="008B6964" w:rsidP="008B6964">
            <w:pPr>
              <w:rPr>
                <w:b/>
                <w:bCs/>
              </w:rPr>
            </w:pPr>
            <w:r w:rsidRPr="003C1CFF">
              <w:rPr>
                <w:b/>
                <w:bCs/>
              </w:rPr>
              <w:t>Formula</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2D243C1E" w14:textId="77777777" w:rsidR="008B6964" w:rsidRPr="003C1CFF" w:rsidRDefault="008B6964" w:rsidP="008B6964">
            <w:pPr>
              <w:rPr>
                <w:b/>
                <w:bCs/>
              </w:rPr>
            </w:pPr>
            <w:r w:rsidRPr="003C1CFF">
              <w:rPr>
                <w:b/>
                <w:bCs/>
              </w:rPr>
              <w:t>2020</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62232722" w14:textId="77777777" w:rsidR="008B6964" w:rsidRPr="003C1CFF" w:rsidRDefault="008B6964" w:rsidP="008B6964">
            <w:pPr>
              <w:rPr>
                <w:b/>
                <w:bCs/>
              </w:rPr>
            </w:pPr>
            <w:r w:rsidRPr="003C1CFF">
              <w:rPr>
                <w:b/>
                <w:bCs/>
              </w:rPr>
              <w:t>2021</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79A13431" w14:textId="77777777" w:rsidR="008B6964" w:rsidRPr="003C1CFF" w:rsidRDefault="008B6964" w:rsidP="008B6964">
            <w:pPr>
              <w:rPr>
                <w:b/>
                <w:bCs/>
              </w:rPr>
            </w:pPr>
            <w:r w:rsidRPr="003C1CFF">
              <w:rPr>
                <w:b/>
                <w:bCs/>
              </w:rPr>
              <w:t>2022</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385C2AC5" w14:textId="77777777" w:rsidR="008B6964" w:rsidRPr="003C1CFF" w:rsidRDefault="008B6964" w:rsidP="008B6964">
            <w:pPr>
              <w:rPr>
                <w:b/>
                <w:bCs/>
              </w:rPr>
            </w:pPr>
            <w:r w:rsidRPr="003C1CFF">
              <w:rPr>
                <w:b/>
                <w:bCs/>
              </w:rPr>
              <w:t>2023</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42E1A1DB" w14:textId="77777777" w:rsidR="008B6964" w:rsidRPr="003C1CFF" w:rsidRDefault="008B6964" w:rsidP="008B6964">
            <w:pPr>
              <w:rPr>
                <w:b/>
                <w:bCs/>
              </w:rPr>
            </w:pPr>
            <w:r w:rsidRPr="003C1CFF">
              <w:rPr>
                <w:b/>
                <w:bCs/>
              </w:rPr>
              <w:t>2024</w:t>
            </w:r>
          </w:p>
        </w:tc>
      </w:tr>
      <w:tr w:rsidR="003C1CFF" w:rsidRPr="003C1CFF" w14:paraId="5B8B409F"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7648ADF" w14:textId="77777777" w:rsidR="008B6964" w:rsidRPr="003C1CFF" w:rsidRDefault="008B6964" w:rsidP="008B6964">
            <w:r w:rsidRPr="003C1CFF">
              <w:rPr>
                <w:b/>
                <w:bCs/>
              </w:rPr>
              <w:t>Current Ratio</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73083D9" w14:textId="77777777" w:rsidR="008B6964" w:rsidRPr="003C1CFF" w:rsidRDefault="008B6964" w:rsidP="008B6964">
            <w:r w:rsidRPr="003C1CFF">
              <w:t>CA / CL</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B3EF8F8" w14:textId="77777777" w:rsidR="008B6964" w:rsidRPr="003C1CFF" w:rsidRDefault="008B6964" w:rsidP="008B6964">
            <w:r w:rsidRPr="003C1CFF">
              <w:t>1.82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9E21377" w14:textId="77777777" w:rsidR="008B6964" w:rsidRPr="003C1CFF" w:rsidRDefault="008B6964" w:rsidP="008B6964">
            <w:r w:rsidRPr="003C1CFF">
              <w:t>1.56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111A01D" w14:textId="77777777" w:rsidR="008B6964" w:rsidRPr="003C1CFF" w:rsidRDefault="008B6964" w:rsidP="008B6964">
            <w:r w:rsidRPr="003C1CFF">
              <w:t>1.56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C3830E2" w14:textId="77777777" w:rsidR="008B6964" w:rsidRPr="003C1CFF" w:rsidRDefault="008B6964" w:rsidP="008B6964">
            <w:r w:rsidRPr="003C1CFF">
              <w:t>1.61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2B8185C" w14:textId="77777777" w:rsidR="008B6964" w:rsidRPr="003C1CFF" w:rsidRDefault="008B6964" w:rsidP="008B6964">
            <w:r w:rsidRPr="003C1CFF">
              <w:t>1.53</w:t>
            </w:r>
          </w:p>
        </w:tc>
      </w:tr>
      <w:tr w:rsidR="003C1CFF" w:rsidRPr="003C1CFF" w14:paraId="5583F482"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83B08FE" w14:textId="77777777" w:rsidR="008B6964" w:rsidRPr="003C1CFF" w:rsidRDefault="008B6964" w:rsidP="008B6964">
            <w:r w:rsidRPr="003C1CFF">
              <w:rPr>
                <w:b/>
                <w:bCs/>
              </w:rPr>
              <w:t>Quick Ratio</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BD49F62" w14:textId="77777777" w:rsidR="008B6964" w:rsidRPr="003C1CFF" w:rsidRDefault="008B6964" w:rsidP="008B6964">
            <w:r w:rsidRPr="003C1CFF">
              <w:t>(CA - Inventory) / CL</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6F36BC4" w14:textId="77777777" w:rsidR="008B6964" w:rsidRPr="003C1CFF" w:rsidRDefault="008B6964" w:rsidP="008B6964">
            <w:r w:rsidRPr="003C1CFF">
              <w:t>1.15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379E6AA" w14:textId="77777777" w:rsidR="008B6964" w:rsidRPr="003C1CFF" w:rsidRDefault="008B6964" w:rsidP="008B6964">
            <w:r w:rsidRPr="003C1CFF">
              <w:t>0.94</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692E4E5" w14:textId="77777777" w:rsidR="008B6964" w:rsidRPr="003C1CFF" w:rsidRDefault="008B6964" w:rsidP="008B6964">
            <w:r w:rsidRPr="003C1CFF">
              <w:t>0.91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C63F690" w14:textId="77777777" w:rsidR="008B6964" w:rsidRPr="003C1CFF" w:rsidRDefault="008B6964" w:rsidP="008B6964">
            <w:r w:rsidRPr="003C1CFF">
              <w:t>1.06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1F6D631" w14:textId="77777777" w:rsidR="008B6964" w:rsidRPr="003C1CFF" w:rsidRDefault="008B6964" w:rsidP="008B6964">
            <w:r w:rsidRPr="003C1CFF">
              <w:t>1.03</w:t>
            </w:r>
          </w:p>
        </w:tc>
      </w:tr>
      <w:tr w:rsidR="003C1CFF" w:rsidRPr="003C1CFF" w14:paraId="63D1336C"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2480FD8" w14:textId="77777777" w:rsidR="008B6964" w:rsidRPr="003C1CFF" w:rsidRDefault="008B6964" w:rsidP="008B6964">
            <w:r w:rsidRPr="003C1CFF">
              <w:rPr>
                <w:b/>
                <w:bCs/>
              </w:rPr>
              <w:lastRenderedPageBreak/>
              <w:t>Cash Ratio</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194AB88" w14:textId="77777777" w:rsidR="008B6964" w:rsidRPr="003C1CFF" w:rsidRDefault="008B6964" w:rsidP="008B6964">
            <w:r w:rsidRPr="003C1CFF">
              <w:t>Cash / CL</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F8566FC" w14:textId="77777777" w:rsidR="008B6964" w:rsidRPr="003C1CFF" w:rsidRDefault="008B6964" w:rsidP="008B6964">
            <w:r w:rsidRPr="003C1CFF">
              <w:t>0.32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BCC9E92" w14:textId="77777777" w:rsidR="008B6964" w:rsidRPr="003C1CFF" w:rsidRDefault="008B6964" w:rsidP="008B6964">
            <w:r w:rsidRPr="003C1CFF">
              <w:t>0.28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3EC3CC0" w14:textId="77777777" w:rsidR="008B6964" w:rsidRPr="003C1CFF" w:rsidRDefault="008B6964" w:rsidP="008B6964">
            <w:r w:rsidRPr="003C1CFF">
              <w:t>0.31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8E3794D" w14:textId="77777777" w:rsidR="008B6964" w:rsidRPr="003C1CFF" w:rsidRDefault="008B6964" w:rsidP="008B6964">
            <w:r w:rsidRPr="003C1CFF">
              <w:t>0.27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9B159DD" w14:textId="77777777" w:rsidR="008B6964" w:rsidRPr="003C1CFF" w:rsidRDefault="008B6964" w:rsidP="008B6964">
            <w:r w:rsidRPr="003C1CFF">
              <w:rPr>
                <w:b/>
                <w:bCs/>
              </w:rPr>
              <w:t>0.17</w:t>
            </w:r>
          </w:p>
        </w:tc>
      </w:tr>
    </w:tbl>
    <w:p w14:paraId="6BAEA2A7" w14:textId="77777777" w:rsidR="008B6964" w:rsidRPr="003C1CFF" w:rsidRDefault="00F55433" w:rsidP="00F55433">
      <w:pPr>
        <w:jc w:val="center"/>
        <w:rPr>
          <w:b/>
          <w:bCs/>
        </w:rPr>
      </w:pPr>
      <w:r w:rsidRPr="003C1CFF">
        <w:rPr>
          <w:noProof/>
        </w:rPr>
        <w:drawing>
          <wp:inline distT="0" distB="0" distL="0" distR="0" wp14:anchorId="025F98ED" wp14:editId="287A6BAE">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5A2DA81" w14:textId="77777777" w:rsidR="008B6964" w:rsidRPr="003C1CFF" w:rsidRDefault="008B6964" w:rsidP="008B6964">
      <w:pPr>
        <w:rPr>
          <w:b/>
          <w:bCs/>
        </w:rPr>
      </w:pPr>
      <w:r w:rsidRPr="003C1CFF">
        <w:rPr>
          <w:b/>
          <w:bCs/>
        </w:rPr>
        <w:t>Table B3: Asset Efficiency Ratios</w:t>
      </w:r>
    </w:p>
    <w:tbl>
      <w:tblPr>
        <w:tblW w:w="9910" w:type="dxa"/>
        <w:tblCellMar>
          <w:top w:w="15" w:type="dxa"/>
          <w:left w:w="15" w:type="dxa"/>
          <w:bottom w:w="15" w:type="dxa"/>
          <w:right w:w="15" w:type="dxa"/>
        </w:tblCellMar>
        <w:tblLook w:val="04A0" w:firstRow="1" w:lastRow="0" w:firstColumn="1" w:lastColumn="0" w:noHBand="0" w:noVBand="1"/>
      </w:tblPr>
      <w:tblGrid>
        <w:gridCol w:w="2528"/>
        <w:gridCol w:w="2797"/>
        <w:gridCol w:w="917"/>
        <w:gridCol w:w="917"/>
        <w:gridCol w:w="917"/>
        <w:gridCol w:w="917"/>
        <w:gridCol w:w="917"/>
      </w:tblGrid>
      <w:tr w:rsidR="003C1CFF" w:rsidRPr="003C1CFF" w14:paraId="45D0EB97" w14:textId="77777777" w:rsidTr="008B6964">
        <w:trPr>
          <w:tblHeader/>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73A547D3" w14:textId="77777777" w:rsidR="008B6964" w:rsidRPr="003C1CFF" w:rsidRDefault="008B6964" w:rsidP="008B6964">
            <w:pPr>
              <w:rPr>
                <w:b/>
                <w:bCs/>
              </w:rPr>
            </w:pPr>
            <w:r w:rsidRPr="003C1CFF">
              <w:rPr>
                <w:b/>
                <w:bCs/>
              </w:rPr>
              <w:t>Ratio</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26C15600" w14:textId="77777777" w:rsidR="008B6964" w:rsidRPr="003C1CFF" w:rsidRDefault="008B6964" w:rsidP="008B6964">
            <w:pPr>
              <w:rPr>
                <w:b/>
                <w:bCs/>
              </w:rPr>
            </w:pPr>
            <w:r w:rsidRPr="003C1CFF">
              <w:rPr>
                <w:b/>
                <w:bCs/>
              </w:rPr>
              <w:t>Formula</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620D0AA6" w14:textId="77777777" w:rsidR="008B6964" w:rsidRPr="003C1CFF" w:rsidRDefault="008B6964" w:rsidP="008B6964">
            <w:pPr>
              <w:rPr>
                <w:b/>
                <w:bCs/>
              </w:rPr>
            </w:pPr>
            <w:r w:rsidRPr="003C1CFF">
              <w:rPr>
                <w:b/>
                <w:bCs/>
              </w:rPr>
              <w:t>2020</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295E7B8A" w14:textId="77777777" w:rsidR="008B6964" w:rsidRPr="003C1CFF" w:rsidRDefault="008B6964" w:rsidP="008B6964">
            <w:pPr>
              <w:rPr>
                <w:b/>
                <w:bCs/>
              </w:rPr>
            </w:pPr>
            <w:r w:rsidRPr="003C1CFF">
              <w:rPr>
                <w:b/>
                <w:bCs/>
              </w:rPr>
              <w:t>2021</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28B632ED" w14:textId="77777777" w:rsidR="008B6964" w:rsidRPr="003C1CFF" w:rsidRDefault="008B6964" w:rsidP="008B6964">
            <w:pPr>
              <w:rPr>
                <w:b/>
                <w:bCs/>
              </w:rPr>
            </w:pPr>
            <w:r w:rsidRPr="003C1CFF">
              <w:rPr>
                <w:b/>
                <w:bCs/>
              </w:rPr>
              <w:t>2022</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70CC871C" w14:textId="77777777" w:rsidR="008B6964" w:rsidRPr="003C1CFF" w:rsidRDefault="008B6964" w:rsidP="008B6964">
            <w:pPr>
              <w:rPr>
                <w:b/>
                <w:bCs/>
              </w:rPr>
            </w:pPr>
            <w:r w:rsidRPr="003C1CFF">
              <w:rPr>
                <w:b/>
                <w:bCs/>
              </w:rPr>
              <w:t>2023</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71683547" w14:textId="77777777" w:rsidR="008B6964" w:rsidRPr="003C1CFF" w:rsidRDefault="008B6964" w:rsidP="008B6964">
            <w:pPr>
              <w:rPr>
                <w:b/>
                <w:bCs/>
              </w:rPr>
            </w:pPr>
            <w:r w:rsidRPr="003C1CFF">
              <w:rPr>
                <w:b/>
                <w:bCs/>
              </w:rPr>
              <w:t>2024</w:t>
            </w:r>
          </w:p>
        </w:tc>
      </w:tr>
      <w:tr w:rsidR="003C1CFF" w:rsidRPr="003C1CFF" w14:paraId="3F5A8BA2"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AEAD100" w14:textId="77777777" w:rsidR="008B6964" w:rsidRPr="003C1CFF" w:rsidRDefault="008B6964" w:rsidP="008B6964">
            <w:r w:rsidRPr="003C1CFF">
              <w:rPr>
                <w:b/>
                <w:bCs/>
              </w:rPr>
              <w:t>Inventory Days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D60E257" w14:textId="77777777" w:rsidR="008B6964" w:rsidRPr="003C1CFF" w:rsidRDefault="008B6964" w:rsidP="008B6964">
            <w:r w:rsidRPr="003C1CFF">
              <w:t>(Inv / COGS) * 365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8D7E877" w14:textId="77777777" w:rsidR="008B6964" w:rsidRPr="003C1CFF" w:rsidRDefault="008B6964" w:rsidP="008B6964">
            <w:r w:rsidRPr="003C1CFF">
              <w:t>100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DFDF44B" w14:textId="77777777" w:rsidR="008B6964" w:rsidRPr="003C1CFF" w:rsidRDefault="008B6964" w:rsidP="008B6964">
            <w:r w:rsidRPr="003C1CFF">
              <w:t>115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291E400" w14:textId="77777777" w:rsidR="008B6964" w:rsidRPr="003C1CFF" w:rsidRDefault="008B6964" w:rsidP="008B6964">
            <w:r w:rsidRPr="003C1CFF">
              <w:t>131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1E48622" w14:textId="77777777" w:rsidR="008B6964" w:rsidRPr="003C1CFF" w:rsidRDefault="008B6964" w:rsidP="008B6964">
            <w:r w:rsidRPr="003C1CFF">
              <w:t>100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6FA6752" w14:textId="77777777" w:rsidR="008B6964" w:rsidRPr="003C1CFF" w:rsidRDefault="008B6964" w:rsidP="008B6964">
            <w:r w:rsidRPr="003C1CFF">
              <w:t>103</w:t>
            </w:r>
          </w:p>
        </w:tc>
      </w:tr>
      <w:tr w:rsidR="003C1CFF" w:rsidRPr="003C1CFF" w14:paraId="66E110FE"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FABA457" w14:textId="77777777" w:rsidR="008B6964" w:rsidRPr="003C1CFF" w:rsidRDefault="008B6964" w:rsidP="008B6964">
            <w:r w:rsidRPr="003C1CFF">
              <w:rPr>
                <w:b/>
                <w:bCs/>
              </w:rPr>
              <w:t>Receivable Days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6CC52F4" w14:textId="77777777" w:rsidR="008B6964" w:rsidRPr="003C1CFF" w:rsidRDefault="008B6964" w:rsidP="008B6964">
            <w:r w:rsidRPr="003C1CFF">
              <w:t>(Rec / Sales) * 365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7974112" w14:textId="77777777" w:rsidR="008B6964" w:rsidRPr="003C1CFF" w:rsidRDefault="008B6964" w:rsidP="008B6964">
            <w:r w:rsidRPr="003C1CFF">
              <w:t>77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0A80EA0" w14:textId="77777777" w:rsidR="008B6964" w:rsidRPr="003C1CFF" w:rsidRDefault="008B6964" w:rsidP="008B6964">
            <w:r w:rsidRPr="003C1CFF">
              <w:t>78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A460E14" w14:textId="77777777" w:rsidR="008B6964" w:rsidRPr="003C1CFF" w:rsidRDefault="008B6964" w:rsidP="008B6964">
            <w:r w:rsidRPr="003C1CFF">
              <w:t>76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C96FC24" w14:textId="77777777" w:rsidR="008B6964" w:rsidRPr="003C1CFF" w:rsidRDefault="008B6964" w:rsidP="008B6964">
            <w:r w:rsidRPr="003C1CFF">
              <w:t>98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753DA0D" w14:textId="77777777" w:rsidR="008B6964" w:rsidRPr="003C1CFF" w:rsidRDefault="008B6964" w:rsidP="008B6964">
            <w:r w:rsidRPr="003C1CFF">
              <w:rPr>
                <w:b/>
                <w:bCs/>
              </w:rPr>
              <w:t>106</w:t>
            </w:r>
          </w:p>
        </w:tc>
      </w:tr>
      <w:tr w:rsidR="003C1CFF" w:rsidRPr="003C1CFF" w14:paraId="2359B38C"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355CC3E" w14:textId="77777777" w:rsidR="008B6964" w:rsidRPr="003C1CFF" w:rsidRDefault="008B6964" w:rsidP="008B6964">
            <w:r w:rsidRPr="003C1CFF">
              <w:rPr>
                <w:b/>
                <w:bCs/>
              </w:rPr>
              <w:t>Payable Days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D895CE8" w14:textId="77777777" w:rsidR="008B6964" w:rsidRPr="003C1CFF" w:rsidRDefault="008B6964" w:rsidP="008B6964">
            <w:r w:rsidRPr="003C1CFF">
              <w:t>(Pay / COGS) * 365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9BE302F" w14:textId="77777777" w:rsidR="008B6964" w:rsidRPr="003C1CFF" w:rsidRDefault="008B6964" w:rsidP="008B6964">
            <w:r w:rsidRPr="003C1CFF">
              <w:t>69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04B5750" w14:textId="77777777" w:rsidR="008B6964" w:rsidRPr="003C1CFF" w:rsidRDefault="008B6964" w:rsidP="008B6964">
            <w:r w:rsidRPr="003C1CFF">
              <w:t>79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561628C" w14:textId="77777777" w:rsidR="008B6964" w:rsidRPr="003C1CFF" w:rsidRDefault="008B6964" w:rsidP="008B6964">
            <w:r w:rsidRPr="003C1CFF">
              <w:t>67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40E371B" w14:textId="77777777" w:rsidR="008B6964" w:rsidRPr="003C1CFF" w:rsidRDefault="008B6964" w:rsidP="008B6964">
            <w:r w:rsidRPr="003C1CFF">
              <w:t>64</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064BAA9" w14:textId="77777777" w:rsidR="008B6964" w:rsidRPr="003C1CFF" w:rsidRDefault="008B6964" w:rsidP="008B6964">
            <w:r w:rsidRPr="003C1CFF">
              <w:t>94</w:t>
            </w:r>
          </w:p>
        </w:tc>
      </w:tr>
      <w:tr w:rsidR="003C1CFF" w:rsidRPr="003C1CFF" w14:paraId="3E114E0D"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349C6A5" w14:textId="77777777" w:rsidR="008B6964" w:rsidRPr="003C1CFF" w:rsidRDefault="008B6964" w:rsidP="008B6964">
            <w:r w:rsidRPr="003C1CFF">
              <w:rPr>
                <w:b/>
                <w:bCs/>
              </w:rPr>
              <w:lastRenderedPageBreak/>
              <w:t>Asset Turnover</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056780B" w14:textId="77777777" w:rsidR="008B6964" w:rsidRPr="003C1CFF" w:rsidRDefault="008B6964" w:rsidP="008B6964">
            <w:r w:rsidRPr="003C1CFF">
              <w:t>Sales / Total Assets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047F825" w14:textId="77777777" w:rsidR="008B6964" w:rsidRPr="003C1CFF" w:rsidRDefault="008B6964" w:rsidP="008B6964">
            <w:r w:rsidRPr="003C1CFF">
              <w:t>1.20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407551F" w14:textId="77777777" w:rsidR="008B6964" w:rsidRPr="003C1CFF" w:rsidRDefault="008B6964" w:rsidP="008B6964">
            <w:r w:rsidRPr="003C1CFF">
              <w:t>1.18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8595884" w14:textId="77777777" w:rsidR="008B6964" w:rsidRPr="003C1CFF" w:rsidRDefault="008B6964" w:rsidP="008B6964">
            <w:r w:rsidRPr="003C1CFF">
              <w:t>1.08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6A58C3B" w14:textId="77777777" w:rsidR="008B6964" w:rsidRPr="003C1CFF" w:rsidRDefault="008B6964" w:rsidP="008B6964">
            <w:r w:rsidRPr="003C1CFF">
              <w:t>1.18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80189D4" w14:textId="77777777" w:rsidR="008B6964" w:rsidRPr="003C1CFF" w:rsidRDefault="008B6964" w:rsidP="008B6964">
            <w:r w:rsidRPr="003C1CFF">
              <w:t>1.22</w:t>
            </w:r>
          </w:p>
        </w:tc>
      </w:tr>
    </w:tbl>
    <w:p w14:paraId="38EC1FDD" w14:textId="77777777" w:rsidR="00F55433" w:rsidRPr="003C1CFF" w:rsidRDefault="00F55433" w:rsidP="00F55433">
      <w:pPr>
        <w:jc w:val="center"/>
        <w:rPr>
          <w:b/>
          <w:bCs/>
        </w:rPr>
      </w:pPr>
      <w:r w:rsidRPr="003C1CFF">
        <w:rPr>
          <w:noProof/>
        </w:rPr>
        <w:drawing>
          <wp:inline distT="0" distB="0" distL="0" distR="0" wp14:anchorId="7B81B2CC" wp14:editId="39B542FB">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58F44A4" w14:textId="77777777" w:rsidR="008B6964" w:rsidRPr="003C1CFF" w:rsidRDefault="008B6964" w:rsidP="008B6964">
      <w:pPr>
        <w:rPr>
          <w:b/>
          <w:bCs/>
        </w:rPr>
      </w:pPr>
      <w:r w:rsidRPr="003C1CFF">
        <w:rPr>
          <w:b/>
          <w:bCs/>
        </w:rPr>
        <w:t>Table B4: Gearing (Leverage) Ratios</w:t>
      </w:r>
    </w:p>
    <w:p w14:paraId="74491BDF" w14:textId="77777777" w:rsidR="008B6964" w:rsidRPr="003C1CFF" w:rsidRDefault="008B6964" w:rsidP="008B6964">
      <w:r w:rsidRPr="003C1CFF">
        <w:rPr>
          <w:i/>
          <w:iCs/>
        </w:rPr>
        <w:t>Note: Debt Definition = Interest-Bearing Debt (Lines of Credit + Leases)</w:t>
      </w:r>
    </w:p>
    <w:tbl>
      <w:tblPr>
        <w:tblW w:w="9910" w:type="dxa"/>
        <w:tblCellMar>
          <w:top w:w="15" w:type="dxa"/>
          <w:left w:w="15" w:type="dxa"/>
          <w:bottom w:w="15" w:type="dxa"/>
          <w:right w:w="15" w:type="dxa"/>
        </w:tblCellMar>
        <w:tblLook w:val="04A0" w:firstRow="1" w:lastRow="0" w:firstColumn="1" w:lastColumn="0" w:noHBand="0" w:noVBand="1"/>
      </w:tblPr>
      <w:tblGrid>
        <w:gridCol w:w="2281"/>
        <w:gridCol w:w="2266"/>
        <w:gridCol w:w="1059"/>
        <w:gridCol w:w="1059"/>
        <w:gridCol w:w="1059"/>
        <w:gridCol w:w="1127"/>
        <w:gridCol w:w="1059"/>
      </w:tblGrid>
      <w:tr w:rsidR="003C1CFF" w:rsidRPr="003C1CFF" w14:paraId="4C93A3D4" w14:textId="77777777" w:rsidTr="008B6964">
        <w:trPr>
          <w:tblHeader/>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33BF211D" w14:textId="77777777" w:rsidR="008B6964" w:rsidRPr="003C1CFF" w:rsidRDefault="008B6964" w:rsidP="008B6964">
            <w:pPr>
              <w:rPr>
                <w:b/>
                <w:bCs/>
              </w:rPr>
            </w:pPr>
            <w:r w:rsidRPr="003C1CFF">
              <w:rPr>
                <w:b/>
                <w:bCs/>
              </w:rPr>
              <w:t>Ratio</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46662CFA" w14:textId="77777777" w:rsidR="008B6964" w:rsidRPr="003C1CFF" w:rsidRDefault="008B6964" w:rsidP="008B6964">
            <w:pPr>
              <w:rPr>
                <w:b/>
                <w:bCs/>
              </w:rPr>
            </w:pPr>
            <w:r w:rsidRPr="003C1CFF">
              <w:rPr>
                <w:b/>
                <w:bCs/>
              </w:rPr>
              <w:t>Formula</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58D84BAF" w14:textId="77777777" w:rsidR="008B6964" w:rsidRPr="003C1CFF" w:rsidRDefault="008B6964" w:rsidP="008B6964">
            <w:pPr>
              <w:rPr>
                <w:b/>
                <w:bCs/>
              </w:rPr>
            </w:pPr>
            <w:r w:rsidRPr="003C1CFF">
              <w:rPr>
                <w:b/>
                <w:bCs/>
              </w:rPr>
              <w:t>2020</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7CDC62BF" w14:textId="77777777" w:rsidR="008B6964" w:rsidRPr="003C1CFF" w:rsidRDefault="008B6964" w:rsidP="008B6964">
            <w:pPr>
              <w:rPr>
                <w:b/>
                <w:bCs/>
              </w:rPr>
            </w:pPr>
            <w:r w:rsidRPr="003C1CFF">
              <w:rPr>
                <w:b/>
                <w:bCs/>
              </w:rPr>
              <w:t>2021</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2DC521FD" w14:textId="77777777" w:rsidR="008B6964" w:rsidRPr="003C1CFF" w:rsidRDefault="008B6964" w:rsidP="008B6964">
            <w:pPr>
              <w:rPr>
                <w:b/>
                <w:bCs/>
              </w:rPr>
            </w:pPr>
            <w:r w:rsidRPr="003C1CFF">
              <w:rPr>
                <w:b/>
                <w:bCs/>
              </w:rPr>
              <w:t>2022</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7EB5B043" w14:textId="77777777" w:rsidR="008B6964" w:rsidRPr="003C1CFF" w:rsidRDefault="008B6964" w:rsidP="008B6964">
            <w:pPr>
              <w:rPr>
                <w:b/>
                <w:bCs/>
              </w:rPr>
            </w:pPr>
            <w:r w:rsidRPr="003C1CFF">
              <w:rPr>
                <w:b/>
                <w:bCs/>
              </w:rPr>
              <w:t>2023</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1B37F3E0" w14:textId="77777777" w:rsidR="008B6964" w:rsidRPr="003C1CFF" w:rsidRDefault="008B6964" w:rsidP="008B6964">
            <w:pPr>
              <w:rPr>
                <w:b/>
                <w:bCs/>
              </w:rPr>
            </w:pPr>
            <w:r w:rsidRPr="003C1CFF">
              <w:rPr>
                <w:b/>
                <w:bCs/>
              </w:rPr>
              <w:t>2024</w:t>
            </w:r>
          </w:p>
        </w:tc>
      </w:tr>
      <w:tr w:rsidR="003C1CFF" w:rsidRPr="003C1CFF" w14:paraId="0DBEE7D6"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700D27B" w14:textId="77777777" w:rsidR="008B6964" w:rsidRPr="003C1CFF" w:rsidRDefault="008B6964" w:rsidP="008B6964">
            <w:r w:rsidRPr="003C1CFF">
              <w:rPr>
                <w:b/>
                <w:bCs/>
              </w:rPr>
              <w:t>Debt-to-Equity</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597AA0D" w14:textId="77777777" w:rsidR="008B6964" w:rsidRPr="003C1CFF" w:rsidRDefault="008B6964" w:rsidP="008B6964">
            <w:r w:rsidRPr="003C1CFF">
              <w:t>Total Debt / Equity</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66387BE" w14:textId="77777777" w:rsidR="008B6964" w:rsidRPr="003C1CFF" w:rsidRDefault="008B6964" w:rsidP="008B6964">
            <w:r w:rsidRPr="003C1CFF">
              <w:t>10.75%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35B67C1" w14:textId="77777777" w:rsidR="008B6964" w:rsidRPr="003C1CFF" w:rsidRDefault="008B6964" w:rsidP="008B6964">
            <w:r w:rsidRPr="003C1CFF">
              <w:t>25.46%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4A827E4" w14:textId="77777777" w:rsidR="008B6964" w:rsidRPr="003C1CFF" w:rsidRDefault="008B6964" w:rsidP="008B6964">
            <w:r w:rsidRPr="003C1CFF">
              <w:t>38.38%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20F01F6" w14:textId="77777777" w:rsidR="008B6964" w:rsidRPr="003C1CFF" w:rsidRDefault="008B6964" w:rsidP="008B6964">
            <w:r w:rsidRPr="003C1CFF">
              <w:t>37.76%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4CB13AE" w14:textId="77777777" w:rsidR="008B6964" w:rsidRPr="003C1CFF" w:rsidRDefault="008B6964" w:rsidP="008B6964">
            <w:r w:rsidRPr="003C1CFF">
              <w:t>30.17%</w:t>
            </w:r>
          </w:p>
        </w:tc>
      </w:tr>
      <w:tr w:rsidR="003C1CFF" w:rsidRPr="003C1CFF" w14:paraId="49B15622"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FD0A640" w14:textId="77777777" w:rsidR="008B6964" w:rsidRPr="003C1CFF" w:rsidRDefault="008B6964" w:rsidP="008B6964">
            <w:r w:rsidRPr="003C1CFF">
              <w:rPr>
                <w:b/>
                <w:bCs/>
              </w:rPr>
              <w:t>Interest Coverage</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286D738" w14:textId="77777777" w:rsidR="008B6964" w:rsidRPr="003C1CFF" w:rsidRDefault="008B6964" w:rsidP="008B6964">
            <w:r w:rsidRPr="003C1CFF">
              <w:t>EBIT / Interest Exp</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9FB3D75" w14:textId="77777777" w:rsidR="008B6964" w:rsidRPr="003C1CFF" w:rsidRDefault="008B6964" w:rsidP="008B6964">
            <w:r w:rsidRPr="003C1CFF">
              <w:t>26.21x</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671A199" w14:textId="77777777" w:rsidR="008B6964" w:rsidRPr="003C1CFF" w:rsidRDefault="008B6964" w:rsidP="008B6964">
            <w:r w:rsidRPr="003C1CFF">
              <w:t>41.08x</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0513A3B" w14:textId="77777777" w:rsidR="008B6964" w:rsidRPr="003C1CFF" w:rsidRDefault="008B6964" w:rsidP="008B6964">
            <w:r w:rsidRPr="003C1CFF">
              <w:t>6.61x</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733C680" w14:textId="77777777" w:rsidR="008B6964" w:rsidRPr="003C1CFF" w:rsidRDefault="008B6964" w:rsidP="008B6964">
            <w:r w:rsidRPr="003C1CFF">
              <w:t>(</w:t>
            </w:r>
            <w:proofErr w:type="gramStart"/>
            <w:r w:rsidRPr="003C1CFF">
              <w:t>19.69)x</w:t>
            </w:r>
            <w:proofErr w:type="gramEnd"/>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852C08A" w14:textId="77777777" w:rsidR="008B6964" w:rsidRPr="003C1CFF" w:rsidRDefault="008B6964" w:rsidP="008B6964">
            <w:r w:rsidRPr="003C1CFF">
              <w:t>(</w:t>
            </w:r>
            <w:proofErr w:type="gramStart"/>
            <w:r w:rsidRPr="003C1CFF">
              <w:t>4.55)x</w:t>
            </w:r>
            <w:proofErr w:type="gramEnd"/>
          </w:p>
        </w:tc>
      </w:tr>
    </w:tbl>
    <w:p w14:paraId="334234B0" w14:textId="77777777" w:rsidR="00F55433" w:rsidRPr="003C1CFF" w:rsidRDefault="00F55433" w:rsidP="00F55433">
      <w:pPr>
        <w:jc w:val="center"/>
        <w:rPr>
          <w:b/>
          <w:bCs/>
        </w:rPr>
      </w:pPr>
      <w:r w:rsidRPr="003C1CFF">
        <w:rPr>
          <w:noProof/>
        </w:rPr>
        <w:lastRenderedPageBreak/>
        <w:drawing>
          <wp:inline distT="0" distB="0" distL="0" distR="0" wp14:anchorId="79D76F39" wp14:editId="58D2C7F4">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DEC11B7" w14:textId="77777777" w:rsidR="008B6964" w:rsidRPr="003C1CFF" w:rsidRDefault="008B6964" w:rsidP="00F55433">
      <w:pPr>
        <w:pStyle w:val="Heading2"/>
        <w:rPr>
          <w:color w:val="auto"/>
        </w:rPr>
      </w:pPr>
      <w:bookmarkStart w:id="25" w:name="_Toc217265214"/>
      <w:r w:rsidRPr="003C1CFF">
        <w:rPr>
          <w:color w:val="auto"/>
        </w:rPr>
        <w:t>Appendix C: Corporate Failure Prediction (Detailed Altman Z-Score)</w:t>
      </w:r>
      <w:bookmarkEnd w:id="25"/>
    </w:p>
    <w:p w14:paraId="347061CA" w14:textId="77777777" w:rsidR="008B6964" w:rsidRPr="003C1CFF" w:rsidRDefault="008B6964" w:rsidP="008B6964">
      <w:r w:rsidRPr="003C1CFF">
        <w:rPr>
          <w:b/>
          <w:bCs/>
        </w:rPr>
        <w:t>Model:</w:t>
      </w:r>
      <w:r w:rsidRPr="003C1CFF">
        <w:t> Z = 1.2X</w:t>
      </w:r>
      <w:r w:rsidRPr="003C1CFF">
        <w:rPr>
          <w:vertAlign w:val="subscript"/>
        </w:rPr>
        <w:t>1</w:t>
      </w:r>
      <w:r w:rsidRPr="003C1CFF">
        <w:t> + 1.4X</w:t>
      </w:r>
      <w:r w:rsidRPr="003C1CFF">
        <w:rPr>
          <w:vertAlign w:val="subscript"/>
        </w:rPr>
        <w:t>2</w:t>
      </w:r>
      <w:r w:rsidRPr="003C1CFF">
        <w:t> + 3.3X</w:t>
      </w:r>
      <w:r w:rsidRPr="003C1CFF">
        <w:rPr>
          <w:vertAlign w:val="subscript"/>
        </w:rPr>
        <w:t>3</w:t>
      </w:r>
      <w:r w:rsidRPr="003C1CFF">
        <w:t> + 0.6X</w:t>
      </w:r>
      <w:r w:rsidRPr="003C1CFF">
        <w:rPr>
          <w:vertAlign w:val="subscript"/>
        </w:rPr>
        <w:t>4</w:t>
      </w:r>
      <w:r w:rsidRPr="003C1CFF">
        <w:t> + 1.0X</w:t>
      </w:r>
      <w:r w:rsidRPr="003C1CFF">
        <w:rPr>
          <w:vertAlign w:val="subscript"/>
        </w:rPr>
        <w:t>5</w:t>
      </w:r>
    </w:p>
    <w:tbl>
      <w:tblPr>
        <w:tblW w:w="9910" w:type="dxa"/>
        <w:tblCellMar>
          <w:top w:w="15" w:type="dxa"/>
          <w:left w:w="15" w:type="dxa"/>
          <w:bottom w:w="15" w:type="dxa"/>
          <w:right w:w="15" w:type="dxa"/>
        </w:tblCellMar>
        <w:tblLook w:val="04A0" w:firstRow="1" w:lastRow="0" w:firstColumn="1" w:lastColumn="0" w:noHBand="0" w:noVBand="1"/>
      </w:tblPr>
      <w:tblGrid>
        <w:gridCol w:w="1869"/>
        <w:gridCol w:w="1642"/>
        <w:gridCol w:w="841"/>
        <w:gridCol w:w="841"/>
        <w:gridCol w:w="841"/>
        <w:gridCol w:w="1001"/>
        <w:gridCol w:w="1001"/>
        <w:gridCol w:w="1874"/>
      </w:tblGrid>
      <w:tr w:rsidR="003C1CFF" w:rsidRPr="003C1CFF" w14:paraId="7A9C6C77" w14:textId="77777777" w:rsidTr="008B6964">
        <w:trPr>
          <w:tblHeader/>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566440B9" w14:textId="77777777" w:rsidR="008B6964" w:rsidRPr="003C1CFF" w:rsidRDefault="008B6964" w:rsidP="008B6964">
            <w:pPr>
              <w:rPr>
                <w:b/>
                <w:bCs/>
              </w:rPr>
            </w:pPr>
            <w:r w:rsidRPr="003C1CFF">
              <w:rPr>
                <w:b/>
                <w:bCs/>
              </w:rPr>
              <w:t>Component</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5F13D7D7" w14:textId="77777777" w:rsidR="008B6964" w:rsidRPr="003C1CFF" w:rsidRDefault="008B6964" w:rsidP="008B6964">
            <w:pPr>
              <w:rPr>
                <w:b/>
                <w:bCs/>
              </w:rPr>
            </w:pPr>
            <w:r w:rsidRPr="003C1CFF">
              <w:rPr>
                <w:b/>
                <w:bCs/>
              </w:rPr>
              <w:t>Metric</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174C3CC2" w14:textId="77777777" w:rsidR="008B6964" w:rsidRPr="003C1CFF" w:rsidRDefault="008B6964" w:rsidP="008B6964">
            <w:pPr>
              <w:rPr>
                <w:b/>
                <w:bCs/>
              </w:rPr>
            </w:pPr>
            <w:r w:rsidRPr="003C1CFF">
              <w:rPr>
                <w:b/>
                <w:bCs/>
              </w:rPr>
              <w:t>2020</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62C3964C" w14:textId="77777777" w:rsidR="008B6964" w:rsidRPr="003C1CFF" w:rsidRDefault="008B6964" w:rsidP="008B6964">
            <w:pPr>
              <w:rPr>
                <w:b/>
                <w:bCs/>
              </w:rPr>
            </w:pPr>
            <w:r w:rsidRPr="003C1CFF">
              <w:rPr>
                <w:b/>
                <w:bCs/>
              </w:rPr>
              <w:t>2021</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0469C7D1" w14:textId="77777777" w:rsidR="008B6964" w:rsidRPr="003C1CFF" w:rsidRDefault="008B6964" w:rsidP="008B6964">
            <w:pPr>
              <w:rPr>
                <w:b/>
                <w:bCs/>
              </w:rPr>
            </w:pPr>
            <w:r w:rsidRPr="003C1CFF">
              <w:rPr>
                <w:b/>
                <w:bCs/>
              </w:rPr>
              <w:t>2022</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6923471C" w14:textId="77777777" w:rsidR="008B6964" w:rsidRPr="003C1CFF" w:rsidRDefault="008B6964" w:rsidP="008B6964">
            <w:pPr>
              <w:rPr>
                <w:b/>
                <w:bCs/>
              </w:rPr>
            </w:pPr>
            <w:r w:rsidRPr="003C1CFF">
              <w:rPr>
                <w:b/>
                <w:bCs/>
              </w:rPr>
              <w:t>2023</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096BE121" w14:textId="77777777" w:rsidR="008B6964" w:rsidRPr="003C1CFF" w:rsidRDefault="008B6964" w:rsidP="008B6964">
            <w:pPr>
              <w:rPr>
                <w:b/>
                <w:bCs/>
              </w:rPr>
            </w:pPr>
            <w:r w:rsidRPr="003C1CFF">
              <w:rPr>
                <w:b/>
                <w:bCs/>
              </w:rPr>
              <w:t>2024</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0AA86E4E" w14:textId="77777777" w:rsidR="008B6964" w:rsidRPr="003C1CFF" w:rsidRDefault="008B6964" w:rsidP="008B6964">
            <w:pPr>
              <w:rPr>
                <w:b/>
                <w:bCs/>
              </w:rPr>
            </w:pPr>
            <w:r w:rsidRPr="003C1CFF">
              <w:rPr>
                <w:b/>
                <w:bCs/>
              </w:rPr>
              <w:t>Impact</w:t>
            </w:r>
          </w:p>
        </w:tc>
      </w:tr>
      <w:tr w:rsidR="003C1CFF" w:rsidRPr="003C1CFF" w14:paraId="03D9A86F"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DFA1208" w14:textId="77777777" w:rsidR="008B6964" w:rsidRPr="003C1CFF" w:rsidRDefault="008B6964" w:rsidP="008B6964">
            <w:r w:rsidRPr="003C1CFF">
              <w:rPr>
                <w:b/>
                <w:bCs/>
              </w:rPr>
              <w:t>X</w:t>
            </w:r>
            <w:r w:rsidRPr="003C1CFF">
              <w:rPr>
                <w:b/>
                <w:bCs/>
                <w:vertAlign w:val="subscript"/>
              </w:rPr>
              <w:t>1</w:t>
            </w:r>
            <w:r w:rsidRPr="003C1CFF">
              <w:rPr>
                <w:b/>
                <w:bCs/>
              </w:rPr>
              <w:t> (Weighted)</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D92A009" w14:textId="77777777" w:rsidR="008B6964" w:rsidRPr="003C1CFF" w:rsidRDefault="008B6964" w:rsidP="008B6964">
            <w:r w:rsidRPr="003C1CFF">
              <w:t>Liquidity (1.2 * WC/TA)</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D125F05" w14:textId="77777777" w:rsidR="008B6964" w:rsidRPr="003C1CFF" w:rsidRDefault="008B6964" w:rsidP="008B6964">
            <w:r w:rsidRPr="003C1CFF">
              <w:t>0.347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4D43648" w14:textId="77777777" w:rsidR="008B6964" w:rsidRPr="003C1CFF" w:rsidRDefault="008B6964" w:rsidP="008B6964">
            <w:r w:rsidRPr="003C1CFF">
              <w:t>0.283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C333E78" w14:textId="77777777" w:rsidR="008B6964" w:rsidRPr="003C1CFF" w:rsidRDefault="008B6964" w:rsidP="008B6964">
            <w:r w:rsidRPr="003C1CFF">
              <w:t>0.289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4F08B63" w14:textId="77777777" w:rsidR="008B6964" w:rsidRPr="003C1CFF" w:rsidRDefault="008B6964" w:rsidP="008B6964">
            <w:r w:rsidRPr="003C1CFF">
              <w:t>0.330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B20304E" w14:textId="77777777" w:rsidR="008B6964" w:rsidRPr="003C1CFF" w:rsidRDefault="008B6964" w:rsidP="008B6964">
            <w:r w:rsidRPr="003C1CFF">
              <w:t>0.312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CE9E3ED" w14:textId="77777777" w:rsidR="008B6964" w:rsidRPr="003C1CFF" w:rsidRDefault="008B6964" w:rsidP="008B6964">
            <w:r w:rsidRPr="003C1CFF">
              <w:t>Stable contribution.</w:t>
            </w:r>
          </w:p>
        </w:tc>
      </w:tr>
      <w:tr w:rsidR="003C1CFF" w:rsidRPr="003C1CFF" w14:paraId="7C395B77"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01F59AE" w14:textId="77777777" w:rsidR="008B6964" w:rsidRPr="003C1CFF" w:rsidRDefault="008B6964" w:rsidP="008B6964">
            <w:r w:rsidRPr="003C1CFF">
              <w:rPr>
                <w:b/>
                <w:bCs/>
              </w:rPr>
              <w:t>X</w:t>
            </w:r>
            <w:r w:rsidRPr="003C1CFF">
              <w:rPr>
                <w:b/>
                <w:bCs/>
                <w:vertAlign w:val="subscript"/>
              </w:rPr>
              <w:t>2</w:t>
            </w:r>
            <w:r w:rsidRPr="003C1CFF">
              <w:rPr>
                <w:b/>
                <w:bCs/>
              </w:rPr>
              <w:t> (Weighted)</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DC03A42" w14:textId="77777777" w:rsidR="008B6964" w:rsidRPr="003C1CFF" w:rsidRDefault="008B6964" w:rsidP="008B6964">
            <w:r w:rsidRPr="003C1CFF">
              <w:t xml:space="preserve">Profit </w:t>
            </w:r>
            <w:proofErr w:type="spellStart"/>
            <w:r w:rsidRPr="003C1CFF">
              <w:t>Accum</w:t>
            </w:r>
            <w:proofErr w:type="spellEnd"/>
            <w:r w:rsidRPr="003C1CFF">
              <w:t>. (1.4 * RE/TA)</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287CBD8" w14:textId="77777777" w:rsidR="008B6964" w:rsidRPr="003C1CFF" w:rsidRDefault="008B6964" w:rsidP="008B6964">
            <w:r w:rsidRPr="003C1CFF">
              <w:t>0.892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EA3FD74" w14:textId="77777777" w:rsidR="008B6964" w:rsidRPr="003C1CFF" w:rsidRDefault="008B6964" w:rsidP="008B6964">
            <w:r w:rsidRPr="003C1CFF">
              <w:t>0.906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43F18C5" w14:textId="77777777" w:rsidR="008B6964" w:rsidRPr="003C1CFF" w:rsidRDefault="008B6964" w:rsidP="008B6964">
            <w:r w:rsidRPr="003C1CFF">
              <w:t>0.918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3A5F7EF" w14:textId="77777777" w:rsidR="008B6964" w:rsidRPr="003C1CFF" w:rsidRDefault="008B6964" w:rsidP="008B6964">
            <w:r w:rsidRPr="003C1CFF">
              <w:t>0.915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12578C6" w14:textId="77777777" w:rsidR="008B6964" w:rsidRPr="003C1CFF" w:rsidRDefault="008B6964" w:rsidP="008B6964">
            <w:r w:rsidRPr="003C1CFF">
              <w:t>0.902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596FB74" w14:textId="77777777" w:rsidR="008B6964" w:rsidRPr="003C1CFF" w:rsidRDefault="008B6964" w:rsidP="008B6964">
            <w:r w:rsidRPr="003C1CFF">
              <w:t>Past profits masking failure.</w:t>
            </w:r>
          </w:p>
        </w:tc>
      </w:tr>
      <w:tr w:rsidR="003C1CFF" w:rsidRPr="003C1CFF" w14:paraId="605159A3"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F76EBA0" w14:textId="77777777" w:rsidR="008B6964" w:rsidRPr="003C1CFF" w:rsidRDefault="008B6964" w:rsidP="008B6964">
            <w:r w:rsidRPr="003C1CFF">
              <w:rPr>
                <w:b/>
                <w:bCs/>
              </w:rPr>
              <w:t>X</w:t>
            </w:r>
            <w:r w:rsidRPr="003C1CFF">
              <w:rPr>
                <w:b/>
                <w:bCs/>
                <w:vertAlign w:val="subscript"/>
              </w:rPr>
              <w:t>3</w:t>
            </w:r>
            <w:r w:rsidRPr="003C1CFF">
              <w:rPr>
                <w:b/>
                <w:bCs/>
              </w:rPr>
              <w:t> (Weighted)</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03A3BA8" w14:textId="77777777" w:rsidR="008B6964" w:rsidRPr="003C1CFF" w:rsidRDefault="008B6964" w:rsidP="008B6964">
            <w:r w:rsidRPr="003C1CFF">
              <w:t>Efficiency (3.3 * EBIT/TA)</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50F7066" w14:textId="77777777" w:rsidR="008B6964" w:rsidRPr="003C1CFF" w:rsidRDefault="008B6964" w:rsidP="008B6964">
            <w:r w:rsidRPr="003C1CFF">
              <w:t>0.241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C57E720" w14:textId="77777777" w:rsidR="008B6964" w:rsidRPr="003C1CFF" w:rsidRDefault="008B6964" w:rsidP="008B6964">
            <w:r w:rsidRPr="003C1CFF">
              <w:t>0.150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34A89F1" w14:textId="77777777" w:rsidR="008B6964" w:rsidRPr="003C1CFF" w:rsidRDefault="008B6964" w:rsidP="008B6964">
            <w:r w:rsidRPr="003C1CFF">
              <w:t>0.095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D9AE228" w14:textId="77777777" w:rsidR="008B6964" w:rsidRPr="003C1CFF" w:rsidRDefault="008B6964" w:rsidP="008B6964">
            <w:r w:rsidRPr="003C1CFF">
              <w:t>(0.791)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9E2D8E6" w14:textId="77777777" w:rsidR="008B6964" w:rsidRPr="003C1CFF" w:rsidRDefault="008B6964" w:rsidP="008B6964">
            <w:r w:rsidRPr="003C1CFF">
              <w:t>(0.156)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EA7A427" w14:textId="77777777" w:rsidR="008B6964" w:rsidRPr="003C1CFF" w:rsidRDefault="008B6964" w:rsidP="008B6964">
            <w:r w:rsidRPr="003C1CFF">
              <w:rPr>
                <w:b/>
                <w:bCs/>
              </w:rPr>
              <w:t>MAJOR DRAG</w:t>
            </w:r>
            <w:r w:rsidRPr="003C1CFF">
              <w:t>: Op. Losses.</w:t>
            </w:r>
          </w:p>
        </w:tc>
      </w:tr>
      <w:tr w:rsidR="003C1CFF" w:rsidRPr="003C1CFF" w14:paraId="1FE7F84A"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BE8AA84" w14:textId="77777777" w:rsidR="008B6964" w:rsidRPr="003C1CFF" w:rsidRDefault="008B6964" w:rsidP="008B6964">
            <w:r w:rsidRPr="003C1CFF">
              <w:rPr>
                <w:b/>
                <w:bCs/>
              </w:rPr>
              <w:lastRenderedPageBreak/>
              <w:t>X</w:t>
            </w:r>
            <w:r w:rsidRPr="003C1CFF">
              <w:rPr>
                <w:b/>
                <w:bCs/>
                <w:vertAlign w:val="subscript"/>
              </w:rPr>
              <w:t>4</w:t>
            </w:r>
            <w:r w:rsidRPr="003C1CFF">
              <w:rPr>
                <w:b/>
                <w:bCs/>
              </w:rPr>
              <w:t> (Weighted)</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7E25DCD" w14:textId="77777777" w:rsidR="008B6964" w:rsidRPr="003C1CFF" w:rsidRDefault="008B6964" w:rsidP="008B6964">
            <w:r w:rsidRPr="003C1CFF">
              <w:t>Solvency (0.6 * Eq/TL)</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2353EC3" w14:textId="77777777" w:rsidR="008B6964" w:rsidRPr="003C1CFF" w:rsidRDefault="008B6964" w:rsidP="008B6964">
            <w:r w:rsidRPr="003C1CFF">
              <w:t>0.954</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FB5AF02" w14:textId="77777777" w:rsidR="008B6964" w:rsidRPr="003C1CFF" w:rsidRDefault="008B6964" w:rsidP="008B6964">
            <w:r w:rsidRPr="003C1CFF">
              <w:t>0.706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807B657" w14:textId="77777777" w:rsidR="008B6964" w:rsidRPr="003C1CFF" w:rsidRDefault="008B6964" w:rsidP="008B6964">
            <w:r w:rsidRPr="003C1CFF">
              <w:t>0.683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AEB26EA" w14:textId="77777777" w:rsidR="008B6964" w:rsidRPr="003C1CFF" w:rsidRDefault="008B6964" w:rsidP="008B6964">
            <w:r w:rsidRPr="003C1CFF">
              <w:t>0.607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A40836B" w14:textId="77777777" w:rsidR="008B6964" w:rsidRPr="003C1CFF" w:rsidRDefault="008B6964" w:rsidP="008B6964">
            <w:r w:rsidRPr="003C1CFF">
              <w:t>0.540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7FEAAB7" w14:textId="77777777" w:rsidR="008B6964" w:rsidRPr="003C1CFF" w:rsidRDefault="008B6964" w:rsidP="008B6964">
            <w:r w:rsidRPr="003C1CFF">
              <w:t>Declining solvency buffer.</w:t>
            </w:r>
          </w:p>
        </w:tc>
      </w:tr>
      <w:tr w:rsidR="003C1CFF" w:rsidRPr="003C1CFF" w14:paraId="68A426FA"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12CDF24" w14:textId="77777777" w:rsidR="008B6964" w:rsidRPr="003C1CFF" w:rsidRDefault="008B6964" w:rsidP="008B6964">
            <w:r w:rsidRPr="003C1CFF">
              <w:rPr>
                <w:b/>
                <w:bCs/>
              </w:rPr>
              <w:t>X</w:t>
            </w:r>
            <w:r w:rsidRPr="003C1CFF">
              <w:rPr>
                <w:b/>
                <w:bCs/>
                <w:vertAlign w:val="subscript"/>
              </w:rPr>
              <w:t>5</w:t>
            </w:r>
            <w:r w:rsidRPr="003C1CFF">
              <w:rPr>
                <w:b/>
                <w:bCs/>
              </w:rPr>
              <w:t> (Weighted)</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1791AA7" w14:textId="77777777" w:rsidR="008B6964" w:rsidRPr="003C1CFF" w:rsidRDefault="008B6964" w:rsidP="008B6964">
            <w:r w:rsidRPr="003C1CFF">
              <w:t>Activity (1.0 * Sales/TA)</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E0069D0" w14:textId="77777777" w:rsidR="008B6964" w:rsidRPr="003C1CFF" w:rsidRDefault="008B6964" w:rsidP="008B6964">
            <w:r w:rsidRPr="003C1CFF">
              <w:t>1.205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0E80EAD" w14:textId="77777777" w:rsidR="008B6964" w:rsidRPr="003C1CFF" w:rsidRDefault="008B6964" w:rsidP="008B6964">
            <w:r w:rsidRPr="003C1CFF">
              <w:t>1.179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187F2F1" w14:textId="77777777" w:rsidR="008B6964" w:rsidRPr="003C1CFF" w:rsidRDefault="008B6964" w:rsidP="008B6964">
            <w:r w:rsidRPr="003C1CFF">
              <w:t>1.077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77FD734" w14:textId="77777777" w:rsidR="008B6964" w:rsidRPr="003C1CFF" w:rsidRDefault="008B6964" w:rsidP="008B6964">
            <w:r w:rsidRPr="003C1CFF">
              <w:t>1.182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E6F9C97" w14:textId="77777777" w:rsidR="008B6964" w:rsidRPr="003C1CFF" w:rsidRDefault="008B6964" w:rsidP="008B6964">
            <w:r w:rsidRPr="003C1CFF">
              <w:t>1.221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AD71743" w14:textId="77777777" w:rsidR="008B6964" w:rsidRPr="003C1CFF" w:rsidRDefault="008B6964" w:rsidP="008B6964">
            <w:r w:rsidRPr="003C1CFF">
              <w:t>Turnover consistent.</w:t>
            </w:r>
          </w:p>
        </w:tc>
      </w:tr>
      <w:tr w:rsidR="003C1CFF" w:rsidRPr="003C1CFF" w14:paraId="5B250109" w14:textId="77777777" w:rsidTr="008B6964">
        <w:tc>
          <w:tcPr>
            <w:tcW w:w="0" w:type="auto"/>
            <w:tcBorders>
              <w:top w:val="single" w:sz="6" w:space="0" w:color="000000"/>
              <w:left w:val="single" w:sz="6" w:space="0" w:color="000000"/>
              <w:bottom w:val="single" w:sz="6" w:space="0" w:color="000000"/>
              <w:right w:val="single" w:sz="6" w:space="0" w:color="000000"/>
            </w:tcBorders>
            <w:shd w:val="clear" w:color="auto" w:fill="E6E6E6"/>
            <w:tcMar>
              <w:top w:w="120" w:type="dxa"/>
              <w:left w:w="120" w:type="dxa"/>
              <w:bottom w:w="120" w:type="dxa"/>
              <w:right w:w="120" w:type="dxa"/>
            </w:tcMar>
            <w:vAlign w:val="center"/>
            <w:hideMark/>
          </w:tcPr>
          <w:p w14:paraId="7C782327" w14:textId="77777777" w:rsidR="008B6964" w:rsidRPr="003C1CFF" w:rsidRDefault="008B6964" w:rsidP="008B6964">
            <w:pPr>
              <w:rPr>
                <w:b/>
                <w:bCs/>
              </w:rPr>
            </w:pPr>
            <w:r w:rsidRPr="003C1CFF">
              <w:rPr>
                <w:b/>
                <w:bCs/>
              </w:rPr>
              <w:t>TOTAL Z-SCORE</w:t>
            </w:r>
          </w:p>
        </w:tc>
        <w:tc>
          <w:tcPr>
            <w:tcW w:w="0" w:type="auto"/>
            <w:tcBorders>
              <w:top w:val="single" w:sz="6" w:space="0" w:color="000000"/>
              <w:left w:val="single" w:sz="6" w:space="0" w:color="000000"/>
              <w:bottom w:val="single" w:sz="6" w:space="0" w:color="000000"/>
              <w:right w:val="single" w:sz="6" w:space="0" w:color="000000"/>
            </w:tcBorders>
            <w:shd w:val="clear" w:color="auto" w:fill="E6E6E6"/>
            <w:tcMar>
              <w:top w:w="120" w:type="dxa"/>
              <w:left w:w="120" w:type="dxa"/>
              <w:bottom w:w="120" w:type="dxa"/>
              <w:right w:w="120" w:type="dxa"/>
            </w:tcMar>
            <w:vAlign w:val="center"/>
            <w:hideMark/>
          </w:tcPr>
          <w:p w14:paraId="27E9834F" w14:textId="77777777" w:rsidR="008B6964" w:rsidRPr="003C1CFF" w:rsidRDefault="008B6964" w:rsidP="008B6964">
            <w:pPr>
              <w:rPr>
                <w:b/>
                <w:bCs/>
              </w:rPr>
            </w:pPr>
          </w:p>
        </w:tc>
        <w:tc>
          <w:tcPr>
            <w:tcW w:w="0" w:type="auto"/>
            <w:tcBorders>
              <w:top w:val="single" w:sz="6" w:space="0" w:color="000000"/>
              <w:left w:val="single" w:sz="6" w:space="0" w:color="000000"/>
              <w:bottom w:val="single" w:sz="6" w:space="0" w:color="000000"/>
              <w:right w:val="single" w:sz="6" w:space="0" w:color="000000"/>
            </w:tcBorders>
            <w:shd w:val="clear" w:color="auto" w:fill="E6E6E6"/>
            <w:tcMar>
              <w:top w:w="120" w:type="dxa"/>
              <w:left w:w="120" w:type="dxa"/>
              <w:bottom w:w="120" w:type="dxa"/>
              <w:right w:w="120" w:type="dxa"/>
            </w:tcMar>
            <w:vAlign w:val="center"/>
            <w:hideMark/>
          </w:tcPr>
          <w:p w14:paraId="445F3628" w14:textId="77777777" w:rsidR="008B6964" w:rsidRPr="003C1CFF" w:rsidRDefault="008B6964" w:rsidP="008B6964">
            <w:pPr>
              <w:rPr>
                <w:b/>
                <w:bCs/>
              </w:rPr>
            </w:pPr>
            <w:r w:rsidRPr="003C1CFF">
              <w:rPr>
                <w:b/>
                <w:bCs/>
              </w:rPr>
              <w:t>3.64</w:t>
            </w:r>
          </w:p>
        </w:tc>
        <w:tc>
          <w:tcPr>
            <w:tcW w:w="0" w:type="auto"/>
            <w:tcBorders>
              <w:top w:val="single" w:sz="6" w:space="0" w:color="000000"/>
              <w:left w:val="single" w:sz="6" w:space="0" w:color="000000"/>
              <w:bottom w:val="single" w:sz="6" w:space="0" w:color="000000"/>
              <w:right w:val="single" w:sz="6" w:space="0" w:color="000000"/>
            </w:tcBorders>
            <w:shd w:val="clear" w:color="auto" w:fill="E6E6E6"/>
            <w:tcMar>
              <w:top w:w="120" w:type="dxa"/>
              <w:left w:w="120" w:type="dxa"/>
              <w:bottom w:w="120" w:type="dxa"/>
              <w:right w:w="120" w:type="dxa"/>
            </w:tcMar>
            <w:vAlign w:val="center"/>
            <w:hideMark/>
          </w:tcPr>
          <w:p w14:paraId="13AD68D0" w14:textId="77777777" w:rsidR="008B6964" w:rsidRPr="003C1CFF" w:rsidRDefault="008B6964" w:rsidP="008B6964">
            <w:pPr>
              <w:rPr>
                <w:b/>
                <w:bCs/>
              </w:rPr>
            </w:pPr>
            <w:r w:rsidRPr="003C1CFF">
              <w:rPr>
                <w:b/>
                <w:bCs/>
              </w:rPr>
              <w:t>3.22</w:t>
            </w:r>
          </w:p>
        </w:tc>
        <w:tc>
          <w:tcPr>
            <w:tcW w:w="0" w:type="auto"/>
            <w:tcBorders>
              <w:top w:val="single" w:sz="6" w:space="0" w:color="000000"/>
              <w:left w:val="single" w:sz="6" w:space="0" w:color="000000"/>
              <w:bottom w:val="single" w:sz="6" w:space="0" w:color="000000"/>
              <w:right w:val="single" w:sz="6" w:space="0" w:color="000000"/>
            </w:tcBorders>
            <w:shd w:val="clear" w:color="auto" w:fill="E6E6E6"/>
            <w:tcMar>
              <w:top w:w="120" w:type="dxa"/>
              <w:left w:w="120" w:type="dxa"/>
              <w:bottom w:w="120" w:type="dxa"/>
              <w:right w:w="120" w:type="dxa"/>
            </w:tcMar>
            <w:vAlign w:val="center"/>
            <w:hideMark/>
          </w:tcPr>
          <w:p w14:paraId="7E9AA397" w14:textId="77777777" w:rsidR="008B6964" w:rsidRPr="003C1CFF" w:rsidRDefault="008B6964" w:rsidP="008B6964">
            <w:pPr>
              <w:rPr>
                <w:b/>
                <w:bCs/>
              </w:rPr>
            </w:pPr>
            <w:r w:rsidRPr="003C1CFF">
              <w:rPr>
                <w:b/>
                <w:bCs/>
              </w:rPr>
              <w:t>3.06</w:t>
            </w:r>
          </w:p>
        </w:tc>
        <w:tc>
          <w:tcPr>
            <w:tcW w:w="0" w:type="auto"/>
            <w:tcBorders>
              <w:top w:val="single" w:sz="6" w:space="0" w:color="000000"/>
              <w:left w:val="single" w:sz="6" w:space="0" w:color="000000"/>
              <w:bottom w:val="single" w:sz="6" w:space="0" w:color="000000"/>
              <w:right w:val="single" w:sz="6" w:space="0" w:color="000000"/>
            </w:tcBorders>
            <w:shd w:val="clear" w:color="auto" w:fill="E6E6E6"/>
            <w:tcMar>
              <w:top w:w="120" w:type="dxa"/>
              <w:left w:w="120" w:type="dxa"/>
              <w:bottom w:w="120" w:type="dxa"/>
              <w:right w:w="120" w:type="dxa"/>
            </w:tcMar>
            <w:vAlign w:val="center"/>
            <w:hideMark/>
          </w:tcPr>
          <w:p w14:paraId="0D82C242" w14:textId="77777777" w:rsidR="008B6964" w:rsidRPr="003C1CFF" w:rsidRDefault="008B6964" w:rsidP="008B6964">
            <w:pPr>
              <w:rPr>
                <w:b/>
                <w:bCs/>
              </w:rPr>
            </w:pPr>
            <w:r w:rsidRPr="003C1CFF">
              <w:rPr>
                <w:b/>
                <w:bCs/>
              </w:rPr>
              <w:t>2.24</w:t>
            </w:r>
          </w:p>
        </w:tc>
        <w:tc>
          <w:tcPr>
            <w:tcW w:w="0" w:type="auto"/>
            <w:tcBorders>
              <w:top w:val="single" w:sz="6" w:space="0" w:color="000000"/>
              <w:left w:val="single" w:sz="6" w:space="0" w:color="000000"/>
              <w:bottom w:val="single" w:sz="6" w:space="0" w:color="000000"/>
              <w:right w:val="single" w:sz="6" w:space="0" w:color="000000"/>
            </w:tcBorders>
            <w:shd w:val="clear" w:color="auto" w:fill="E6E6E6"/>
            <w:tcMar>
              <w:top w:w="120" w:type="dxa"/>
              <w:left w:w="120" w:type="dxa"/>
              <w:bottom w:w="120" w:type="dxa"/>
              <w:right w:w="120" w:type="dxa"/>
            </w:tcMar>
            <w:vAlign w:val="center"/>
            <w:hideMark/>
          </w:tcPr>
          <w:p w14:paraId="6C630EC1" w14:textId="77777777" w:rsidR="008B6964" w:rsidRPr="003C1CFF" w:rsidRDefault="008B6964" w:rsidP="008B6964">
            <w:pPr>
              <w:rPr>
                <w:b/>
                <w:bCs/>
              </w:rPr>
            </w:pPr>
            <w:r w:rsidRPr="003C1CFF">
              <w:rPr>
                <w:b/>
                <w:bCs/>
              </w:rPr>
              <w:t>2.82</w:t>
            </w:r>
          </w:p>
        </w:tc>
        <w:tc>
          <w:tcPr>
            <w:tcW w:w="0" w:type="auto"/>
            <w:tcBorders>
              <w:top w:val="single" w:sz="6" w:space="0" w:color="000000"/>
              <w:left w:val="single" w:sz="6" w:space="0" w:color="000000"/>
              <w:bottom w:val="single" w:sz="6" w:space="0" w:color="000000"/>
              <w:right w:val="single" w:sz="6" w:space="0" w:color="000000"/>
            </w:tcBorders>
            <w:shd w:val="clear" w:color="auto" w:fill="E6E6E6"/>
            <w:tcMar>
              <w:top w:w="120" w:type="dxa"/>
              <w:left w:w="120" w:type="dxa"/>
              <w:bottom w:w="120" w:type="dxa"/>
              <w:right w:w="120" w:type="dxa"/>
            </w:tcMar>
            <w:vAlign w:val="center"/>
            <w:hideMark/>
          </w:tcPr>
          <w:p w14:paraId="2F39E578" w14:textId="77777777" w:rsidR="008B6964" w:rsidRPr="003C1CFF" w:rsidRDefault="008B6964" w:rsidP="008B6964">
            <w:pPr>
              <w:rPr>
                <w:b/>
                <w:bCs/>
              </w:rPr>
            </w:pPr>
          </w:p>
        </w:tc>
      </w:tr>
      <w:tr w:rsidR="008B6964" w:rsidRPr="003C1CFF" w14:paraId="6CD07F0C"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5A5AB4F" w14:textId="77777777" w:rsidR="008B6964" w:rsidRPr="003C1CFF" w:rsidRDefault="008B6964" w:rsidP="008B6964">
            <w:r w:rsidRPr="003C1CFF">
              <w:rPr>
                <w:b/>
                <w:bCs/>
              </w:rPr>
              <w:t>Status</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FA9C4E6" w14:textId="77777777" w:rsidR="008B6964" w:rsidRPr="003C1CFF" w:rsidRDefault="008B6964" w:rsidP="008B6964"/>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EF3852C" w14:textId="77777777" w:rsidR="008B6964" w:rsidRPr="003C1CFF" w:rsidRDefault="008B6964" w:rsidP="008B6964">
            <w:r w:rsidRPr="003C1CFF">
              <w:t>Safe</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F48A5BF" w14:textId="77777777" w:rsidR="008B6964" w:rsidRPr="003C1CFF" w:rsidRDefault="008B6964" w:rsidP="008B6964">
            <w:r w:rsidRPr="003C1CFF">
              <w:t>Safe</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10B9C81" w14:textId="77777777" w:rsidR="008B6964" w:rsidRPr="003C1CFF" w:rsidRDefault="008B6964" w:rsidP="008B6964">
            <w:r w:rsidRPr="003C1CFF">
              <w:t>Safe</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57FCE1D" w14:textId="77777777" w:rsidR="008B6964" w:rsidRPr="003C1CFF" w:rsidRDefault="008B6964" w:rsidP="008B6964">
            <w:r w:rsidRPr="003C1CFF">
              <w:t>Grey</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31312CB" w14:textId="77777777" w:rsidR="008B6964" w:rsidRPr="003C1CFF" w:rsidRDefault="008B6964" w:rsidP="008B6964">
            <w:r w:rsidRPr="003C1CFF">
              <w:t>Grey</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DC4AA92" w14:textId="77777777" w:rsidR="008B6964" w:rsidRPr="003C1CFF" w:rsidRDefault="008B6964" w:rsidP="008B6964">
            <w:r w:rsidRPr="003C1CFF">
              <w:rPr>
                <w:b/>
                <w:bCs/>
              </w:rPr>
              <w:t>High Risk</w:t>
            </w:r>
          </w:p>
        </w:tc>
      </w:tr>
    </w:tbl>
    <w:p w14:paraId="4091B570" w14:textId="7EB3C31A" w:rsidR="00F55433" w:rsidRPr="003C1CFF" w:rsidRDefault="00F55433">
      <w:pPr>
        <w:rPr>
          <w:b/>
          <w:bCs/>
        </w:rPr>
      </w:pPr>
    </w:p>
    <w:p w14:paraId="30EA69BF" w14:textId="77777777" w:rsidR="00F55433" w:rsidRPr="003C1CFF" w:rsidRDefault="00F55433" w:rsidP="00F55433">
      <w:pPr>
        <w:jc w:val="center"/>
        <w:rPr>
          <w:b/>
          <w:bCs/>
        </w:rPr>
      </w:pPr>
      <w:r w:rsidRPr="003C1CFF">
        <w:rPr>
          <w:noProof/>
        </w:rPr>
        <w:drawing>
          <wp:inline distT="0" distB="0" distL="0" distR="0" wp14:anchorId="294DCB5C" wp14:editId="695AC5DF">
            <wp:extent cx="4406900" cy="2806700"/>
            <wp:effectExtent l="0" t="0" r="12700" b="127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BE798FB" w14:textId="77777777" w:rsidR="008B6964" w:rsidRPr="003C1CFF" w:rsidRDefault="008B6964" w:rsidP="00F55433">
      <w:pPr>
        <w:pStyle w:val="Heading2"/>
        <w:rPr>
          <w:color w:val="auto"/>
        </w:rPr>
      </w:pPr>
      <w:bookmarkStart w:id="26" w:name="_Toc217265215"/>
      <w:r w:rsidRPr="003C1CFF">
        <w:rPr>
          <w:color w:val="auto"/>
        </w:rPr>
        <w:lastRenderedPageBreak/>
        <w:t>Appendix D: Working Capital Management Cycle</w:t>
      </w:r>
      <w:bookmarkEnd w:id="26"/>
    </w:p>
    <w:p w14:paraId="6EE4B1CB" w14:textId="77777777" w:rsidR="008B6964" w:rsidRPr="003C1CFF" w:rsidRDefault="008B6964" w:rsidP="008B6964">
      <w:r w:rsidRPr="003C1CFF">
        <w:rPr>
          <w:b/>
          <w:bCs/>
        </w:rPr>
        <w:t>Formula:</w:t>
      </w:r>
      <w:r w:rsidRPr="003C1CFF">
        <w:t> COC = Inventory Days + Receivable Days - Payable Days</w:t>
      </w:r>
    </w:p>
    <w:tbl>
      <w:tblPr>
        <w:tblW w:w="9910" w:type="dxa"/>
        <w:tblCellMar>
          <w:top w:w="15" w:type="dxa"/>
          <w:left w:w="15" w:type="dxa"/>
          <w:bottom w:w="15" w:type="dxa"/>
          <w:right w:w="15" w:type="dxa"/>
        </w:tblCellMar>
        <w:tblLook w:val="04A0" w:firstRow="1" w:lastRow="0" w:firstColumn="1" w:lastColumn="0" w:noHBand="0" w:noVBand="1"/>
      </w:tblPr>
      <w:tblGrid>
        <w:gridCol w:w="774"/>
        <w:gridCol w:w="2137"/>
        <w:gridCol w:w="2311"/>
        <w:gridCol w:w="1915"/>
        <w:gridCol w:w="2773"/>
      </w:tblGrid>
      <w:tr w:rsidR="003C1CFF" w:rsidRPr="003C1CFF" w14:paraId="551B9CEB" w14:textId="77777777" w:rsidTr="008B6964">
        <w:trPr>
          <w:tblHeader/>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5685A611" w14:textId="77777777" w:rsidR="008B6964" w:rsidRPr="003C1CFF" w:rsidRDefault="008B6964" w:rsidP="008B6964">
            <w:pPr>
              <w:rPr>
                <w:b/>
                <w:bCs/>
              </w:rPr>
            </w:pPr>
            <w:r w:rsidRPr="003C1CFF">
              <w:rPr>
                <w:b/>
                <w:bCs/>
              </w:rPr>
              <w:t>Year</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6040B49D" w14:textId="77777777" w:rsidR="008B6964" w:rsidRPr="003C1CFF" w:rsidRDefault="008B6964" w:rsidP="008B6964">
            <w:pPr>
              <w:rPr>
                <w:b/>
                <w:bCs/>
              </w:rPr>
            </w:pPr>
            <w:r w:rsidRPr="003C1CFF">
              <w:rPr>
                <w:b/>
                <w:bCs/>
              </w:rPr>
              <w:t>Inventory Days (+)</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2D5DCE18" w14:textId="77777777" w:rsidR="008B6964" w:rsidRPr="003C1CFF" w:rsidRDefault="008B6964" w:rsidP="008B6964">
            <w:pPr>
              <w:rPr>
                <w:b/>
                <w:bCs/>
              </w:rPr>
            </w:pPr>
            <w:r w:rsidRPr="003C1CFF">
              <w:rPr>
                <w:b/>
                <w:bCs/>
              </w:rPr>
              <w:t>Receivable Days (+)</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02B82725" w14:textId="77777777" w:rsidR="008B6964" w:rsidRPr="003C1CFF" w:rsidRDefault="008B6964" w:rsidP="008B6964">
            <w:pPr>
              <w:rPr>
                <w:b/>
                <w:bCs/>
              </w:rPr>
            </w:pPr>
            <w:r w:rsidRPr="003C1CFF">
              <w:rPr>
                <w:b/>
                <w:bCs/>
              </w:rPr>
              <w:t>Payable Days (-)</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120" w:type="dxa"/>
              <w:left w:w="120" w:type="dxa"/>
              <w:bottom w:w="120" w:type="dxa"/>
              <w:right w:w="120" w:type="dxa"/>
            </w:tcMar>
            <w:vAlign w:val="center"/>
            <w:hideMark/>
          </w:tcPr>
          <w:p w14:paraId="6DC2614C" w14:textId="77777777" w:rsidR="008B6964" w:rsidRPr="003C1CFF" w:rsidRDefault="008B6964" w:rsidP="008B6964">
            <w:pPr>
              <w:rPr>
                <w:b/>
                <w:bCs/>
              </w:rPr>
            </w:pPr>
            <w:r w:rsidRPr="003C1CFF">
              <w:rPr>
                <w:b/>
                <w:bCs/>
              </w:rPr>
              <w:t>Cash Operating Cycle (=)</w:t>
            </w:r>
          </w:p>
        </w:tc>
      </w:tr>
      <w:tr w:rsidR="003C1CFF" w:rsidRPr="003C1CFF" w14:paraId="0CAFB08C"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F5FBAF7" w14:textId="77777777" w:rsidR="008B6964" w:rsidRPr="003C1CFF" w:rsidRDefault="008B6964" w:rsidP="008B6964">
            <w:r w:rsidRPr="003C1CFF">
              <w:rPr>
                <w:b/>
                <w:bCs/>
              </w:rPr>
              <w:t>2020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694562B" w14:textId="77777777" w:rsidR="008B6964" w:rsidRPr="003C1CFF" w:rsidRDefault="008B6964" w:rsidP="008B6964">
            <w:r w:rsidRPr="003C1CFF">
              <w:t>100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3BA918D" w14:textId="77777777" w:rsidR="008B6964" w:rsidRPr="003C1CFF" w:rsidRDefault="008B6964" w:rsidP="008B6964">
            <w:r w:rsidRPr="003C1CFF">
              <w:t>77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76EB792" w14:textId="77777777" w:rsidR="008B6964" w:rsidRPr="003C1CFF" w:rsidRDefault="008B6964" w:rsidP="008B6964">
            <w:r w:rsidRPr="003C1CFF">
              <w:t>(69)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D8544DD" w14:textId="77777777" w:rsidR="008B6964" w:rsidRPr="003C1CFF" w:rsidRDefault="008B6964" w:rsidP="008B6964">
            <w:r w:rsidRPr="003C1CFF">
              <w:rPr>
                <w:b/>
                <w:bCs/>
              </w:rPr>
              <w:t>108 Days</w:t>
            </w:r>
          </w:p>
        </w:tc>
      </w:tr>
      <w:tr w:rsidR="003C1CFF" w:rsidRPr="003C1CFF" w14:paraId="5D866A3E"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B14B1AB" w14:textId="77777777" w:rsidR="008B6964" w:rsidRPr="003C1CFF" w:rsidRDefault="008B6964" w:rsidP="008B6964">
            <w:r w:rsidRPr="003C1CFF">
              <w:rPr>
                <w:b/>
                <w:bCs/>
              </w:rPr>
              <w:t>2021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3F0B98C" w14:textId="77777777" w:rsidR="008B6964" w:rsidRPr="003C1CFF" w:rsidRDefault="008B6964" w:rsidP="008B6964">
            <w:r w:rsidRPr="003C1CFF">
              <w:t>115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50B142F" w14:textId="77777777" w:rsidR="008B6964" w:rsidRPr="003C1CFF" w:rsidRDefault="008B6964" w:rsidP="008B6964">
            <w:r w:rsidRPr="003C1CFF">
              <w:t>78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51257AB" w14:textId="77777777" w:rsidR="008B6964" w:rsidRPr="003C1CFF" w:rsidRDefault="008B6964" w:rsidP="008B6964">
            <w:r w:rsidRPr="003C1CFF">
              <w:t>(79)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BBA1A0E" w14:textId="77777777" w:rsidR="008B6964" w:rsidRPr="003C1CFF" w:rsidRDefault="008B6964" w:rsidP="008B6964">
            <w:r w:rsidRPr="003C1CFF">
              <w:rPr>
                <w:b/>
                <w:bCs/>
              </w:rPr>
              <w:t>114 Days</w:t>
            </w:r>
          </w:p>
        </w:tc>
      </w:tr>
      <w:tr w:rsidR="003C1CFF" w:rsidRPr="003C1CFF" w14:paraId="00CA2B58"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8A6C0BE" w14:textId="77777777" w:rsidR="008B6964" w:rsidRPr="003C1CFF" w:rsidRDefault="008B6964" w:rsidP="008B6964">
            <w:r w:rsidRPr="003C1CFF">
              <w:rPr>
                <w:b/>
                <w:bCs/>
              </w:rPr>
              <w:t>2022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03CE1F0" w14:textId="77777777" w:rsidR="008B6964" w:rsidRPr="003C1CFF" w:rsidRDefault="008B6964" w:rsidP="008B6964">
            <w:r w:rsidRPr="003C1CFF">
              <w:t>131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AB46E68" w14:textId="77777777" w:rsidR="008B6964" w:rsidRPr="003C1CFF" w:rsidRDefault="008B6964" w:rsidP="008B6964">
            <w:r w:rsidRPr="003C1CFF">
              <w:t>76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6FC6ACB" w14:textId="77777777" w:rsidR="008B6964" w:rsidRPr="003C1CFF" w:rsidRDefault="008B6964" w:rsidP="008B6964">
            <w:r w:rsidRPr="003C1CFF">
              <w:t>(67)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C99BBE6" w14:textId="77777777" w:rsidR="008B6964" w:rsidRPr="003C1CFF" w:rsidRDefault="008B6964" w:rsidP="008B6964">
            <w:r w:rsidRPr="003C1CFF">
              <w:rPr>
                <w:b/>
                <w:bCs/>
              </w:rPr>
              <w:t>140 Days</w:t>
            </w:r>
          </w:p>
        </w:tc>
      </w:tr>
      <w:tr w:rsidR="003C1CFF" w:rsidRPr="003C1CFF" w14:paraId="633365BA"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6ED78B4" w14:textId="77777777" w:rsidR="008B6964" w:rsidRPr="003C1CFF" w:rsidRDefault="008B6964" w:rsidP="008B6964">
            <w:r w:rsidRPr="003C1CFF">
              <w:rPr>
                <w:b/>
                <w:bCs/>
              </w:rPr>
              <w:t>2023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F3C71E6" w14:textId="77777777" w:rsidR="008B6964" w:rsidRPr="003C1CFF" w:rsidRDefault="008B6964" w:rsidP="008B6964">
            <w:r w:rsidRPr="003C1CFF">
              <w:t>100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CEA6810" w14:textId="77777777" w:rsidR="008B6964" w:rsidRPr="003C1CFF" w:rsidRDefault="008B6964" w:rsidP="008B6964">
            <w:r w:rsidRPr="003C1CFF">
              <w:t>98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7A6E9AF" w14:textId="77777777" w:rsidR="008B6964" w:rsidRPr="003C1CFF" w:rsidRDefault="008B6964" w:rsidP="008B6964">
            <w:r w:rsidRPr="003C1CFF">
              <w:t>(64)</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95F9711" w14:textId="77777777" w:rsidR="008B6964" w:rsidRPr="003C1CFF" w:rsidRDefault="008B6964" w:rsidP="008B6964">
            <w:r w:rsidRPr="003C1CFF">
              <w:rPr>
                <w:b/>
                <w:bCs/>
              </w:rPr>
              <w:t>134 Days</w:t>
            </w:r>
          </w:p>
        </w:tc>
      </w:tr>
      <w:tr w:rsidR="003C1CFF" w:rsidRPr="003C1CFF" w14:paraId="55D9B04D" w14:textId="77777777" w:rsidTr="008B6964">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5D288D5" w14:textId="77777777" w:rsidR="008B6964" w:rsidRPr="003C1CFF" w:rsidRDefault="008B6964" w:rsidP="008B6964">
            <w:r w:rsidRPr="003C1CFF">
              <w:rPr>
                <w:b/>
                <w:bCs/>
              </w:rPr>
              <w:t>2024</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8D81B50" w14:textId="77777777" w:rsidR="008B6964" w:rsidRPr="003C1CFF" w:rsidRDefault="008B6964" w:rsidP="008B6964">
            <w:r w:rsidRPr="003C1CFF">
              <w:t>103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59C8DEC" w14:textId="77777777" w:rsidR="008B6964" w:rsidRPr="003C1CFF" w:rsidRDefault="008B6964" w:rsidP="008B6964">
            <w:r w:rsidRPr="003C1CFF">
              <w:t>106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1FD89F9" w14:textId="77777777" w:rsidR="008B6964" w:rsidRPr="003C1CFF" w:rsidRDefault="008B6964" w:rsidP="008B6964">
            <w:r w:rsidRPr="003C1CFF">
              <w:t>(94)</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6A2FD3C" w14:textId="77777777" w:rsidR="008B6964" w:rsidRPr="003C1CFF" w:rsidRDefault="008B6964" w:rsidP="008B6964">
            <w:r w:rsidRPr="003C1CFF">
              <w:rPr>
                <w:b/>
                <w:bCs/>
              </w:rPr>
              <w:t>115 Days</w:t>
            </w:r>
          </w:p>
        </w:tc>
      </w:tr>
    </w:tbl>
    <w:p w14:paraId="1B4D5B15" w14:textId="77777777" w:rsidR="00F55433" w:rsidRPr="003C1CFF" w:rsidRDefault="00F55433" w:rsidP="00F55433">
      <w:pPr>
        <w:jc w:val="center"/>
        <w:rPr>
          <w:b/>
          <w:bCs/>
        </w:rPr>
      </w:pPr>
      <w:r w:rsidRPr="003C1CFF">
        <w:rPr>
          <w:noProof/>
        </w:rPr>
        <w:lastRenderedPageBreak/>
        <w:drawing>
          <wp:inline distT="0" distB="0" distL="0" distR="0" wp14:anchorId="38E9A186" wp14:editId="75E65A35">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1ABF7B2" w14:textId="77777777" w:rsidR="00F55433" w:rsidRPr="003C1CFF" w:rsidRDefault="00F55433">
      <w:pPr>
        <w:rPr>
          <w:b/>
          <w:bCs/>
        </w:rPr>
      </w:pPr>
      <w:r w:rsidRPr="003C1CFF">
        <w:rPr>
          <w:b/>
          <w:bCs/>
        </w:rPr>
        <w:br w:type="page"/>
      </w:r>
    </w:p>
    <w:p w14:paraId="7DAA9E6C" w14:textId="77777777" w:rsidR="00B60D91" w:rsidRPr="003C1CFF" w:rsidRDefault="00B60D91" w:rsidP="00B60D91">
      <w:pPr>
        <w:pStyle w:val="Heading2"/>
        <w:rPr>
          <w:color w:val="auto"/>
        </w:rPr>
      </w:pPr>
      <w:bookmarkStart w:id="27" w:name="_Toc217265216"/>
      <w:r w:rsidRPr="003C1CFF">
        <w:rPr>
          <w:color w:val="auto"/>
        </w:rPr>
        <w:lastRenderedPageBreak/>
        <w:t>Appendix E: Investment Appraisal and Capital Budgeting</w:t>
      </w:r>
      <w:bookmarkEnd w:id="27"/>
    </w:p>
    <w:p w14:paraId="158C9956" w14:textId="77777777" w:rsidR="00B60D91" w:rsidRPr="003C1CFF" w:rsidRDefault="00B60D91" w:rsidP="00B60D91">
      <w:pPr>
        <w:jc w:val="left"/>
      </w:pPr>
      <w:r w:rsidRPr="003C1CFF">
        <w:rPr>
          <w:b/>
          <w:bCs/>
        </w:rPr>
        <w:t>Parameters:</w:t>
      </w:r>
      <w:r w:rsidRPr="003C1CFF">
        <w:t> Discount Rate (r) = 10% | Capital Rationing Limit = £60,000,000</w:t>
      </w:r>
    </w:p>
    <w:p w14:paraId="4DE334B5" w14:textId="77777777" w:rsidR="00B60D91" w:rsidRPr="003C1CFF" w:rsidRDefault="00B60D91" w:rsidP="00B60D91">
      <w:pPr>
        <w:jc w:val="left"/>
        <w:rPr>
          <w:b/>
          <w:bCs/>
        </w:rPr>
      </w:pPr>
      <w:r w:rsidRPr="003C1CFF">
        <w:rPr>
          <w:b/>
          <w:bCs/>
        </w:rPr>
        <w:t>Project A: Expansion (Investment: £40m)</w:t>
      </w:r>
    </w:p>
    <w:tbl>
      <w:tblPr>
        <w:tblW w:w="9910" w:type="dxa"/>
        <w:tblCellMar>
          <w:top w:w="15" w:type="dxa"/>
          <w:left w:w="15" w:type="dxa"/>
          <w:bottom w:w="15" w:type="dxa"/>
          <w:right w:w="15" w:type="dxa"/>
        </w:tblCellMar>
        <w:tblLook w:val="04A0" w:firstRow="1" w:lastRow="0" w:firstColumn="1" w:lastColumn="0" w:noHBand="0" w:noVBand="1"/>
      </w:tblPr>
      <w:tblGrid>
        <w:gridCol w:w="814"/>
        <w:gridCol w:w="1830"/>
        <w:gridCol w:w="2356"/>
        <w:gridCol w:w="2046"/>
        <w:gridCol w:w="2864"/>
      </w:tblGrid>
      <w:tr w:rsidR="003C1CFF" w:rsidRPr="003C1CFF" w14:paraId="62D9DFBF" w14:textId="77777777" w:rsidTr="00B60D91">
        <w:trPr>
          <w:tblHeader/>
        </w:trPr>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2069F400" w14:textId="77777777" w:rsidR="00B60D91" w:rsidRPr="003C1CFF" w:rsidRDefault="00B60D91" w:rsidP="00B60D91">
            <w:pPr>
              <w:jc w:val="left"/>
              <w:rPr>
                <w:b/>
                <w:bCs/>
              </w:rPr>
            </w:pPr>
            <w:r w:rsidRPr="003C1CFF">
              <w:rPr>
                <w:b/>
                <w:bCs/>
              </w:rPr>
              <w:t>Year</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1BC25B3A" w14:textId="77777777" w:rsidR="00B60D91" w:rsidRPr="003C1CFF" w:rsidRDefault="00B60D91" w:rsidP="00B60D91">
            <w:pPr>
              <w:jc w:val="left"/>
              <w:rPr>
                <w:b/>
                <w:bCs/>
              </w:rPr>
            </w:pPr>
            <w:r w:rsidRPr="003C1CFF">
              <w:rPr>
                <w:b/>
                <w:bCs/>
              </w:rPr>
              <w:t>Cash Flow (£m)</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0A326E88" w14:textId="77777777" w:rsidR="00B60D91" w:rsidRPr="003C1CFF" w:rsidRDefault="00B60D91" w:rsidP="00B60D91">
            <w:pPr>
              <w:jc w:val="left"/>
              <w:rPr>
                <w:b/>
                <w:bCs/>
              </w:rPr>
            </w:pPr>
            <w:r w:rsidRPr="003C1CFF">
              <w:rPr>
                <w:b/>
                <w:bCs/>
              </w:rPr>
              <w:t>Discount Factor (10%)</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4BC6FC32" w14:textId="77777777" w:rsidR="00B60D91" w:rsidRPr="003C1CFF" w:rsidRDefault="00B60D91" w:rsidP="00B60D91">
            <w:pPr>
              <w:jc w:val="left"/>
              <w:rPr>
                <w:b/>
                <w:bCs/>
              </w:rPr>
            </w:pPr>
            <w:r w:rsidRPr="003C1CFF">
              <w:rPr>
                <w:b/>
                <w:bCs/>
              </w:rPr>
              <w:t>Present Value (£m)</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2BC5EB1F" w14:textId="77777777" w:rsidR="00B60D91" w:rsidRPr="003C1CFF" w:rsidRDefault="00B60D91" w:rsidP="00B60D91">
            <w:pPr>
              <w:jc w:val="left"/>
              <w:rPr>
                <w:b/>
                <w:bCs/>
              </w:rPr>
            </w:pPr>
            <w:r w:rsidRPr="003C1CFF">
              <w:rPr>
                <w:b/>
                <w:bCs/>
              </w:rPr>
              <w:t>Cumulative Cash Flow (£m)</w:t>
            </w:r>
          </w:p>
        </w:tc>
      </w:tr>
      <w:tr w:rsidR="003C1CFF" w:rsidRPr="003C1CFF" w14:paraId="63662FF6"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B699A45" w14:textId="77777777" w:rsidR="00B60D91" w:rsidRPr="003C1CFF" w:rsidRDefault="00B60D91" w:rsidP="00B60D91">
            <w:pPr>
              <w:jc w:val="left"/>
            </w:pPr>
            <w:r w:rsidRPr="003C1CFF">
              <w:t>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D503AE1" w14:textId="77777777" w:rsidR="00B60D91" w:rsidRPr="003C1CFF" w:rsidRDefault="00B60D91" w:rsidP="00B60D91">
            <w:pPr>
              <w:jc w:val="left"/>
            </w:pPr>
            <w:r w:rsidRPr="003C1CFF">
              <w:t>(40.00)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9EFC693" w14:textId="77777777" w:rsidR="00B60D91" w:rsidRPr="003C1CFF" w:rsidRDefault="00B60D91" w:rsidP="00B60D91">
            <w:pPr>
              <w:jc w:val="left"/>
            </w:pPr>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EA19A31" w14:textId="77777777" w:rsidR="00B60D91" w:rsidRPr="003C1CFF" w:rsidRDefault="00B60D91" w:rsidP="00B60D91">
            <w:pPr>
              <w:jc w:val="left"/>
            </w:pPr>
            <w:r w:rsidRPr="003C1CFF">
              <w:t>(40.00)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8A52AC2" w14:textId="77777777" w:rsidR="00B60D91" w:rsidRPr="003C1CFF" w:rsidRDefault="00B60D91" w:rsidP="00B60D91">
            <w:pPr>
              <w:jc w:val="left"/>
            </w:pPr>
            <w:r w:rsidRPr="003C1CFF">
              <w:t>(40.00)</w:t>
            </w:r>
          </w:p>
        </w:tc>
      </w:tr>
      <w:tr w:rsidR="003C1CFF" w:rsidRPr="003C1CFF" w14:paraId="72D9B57B"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24AE840" w14:textId="77777777" w:rsidR="00B60D91" w:rsidRPr="003C1CFF" w:rsidRDefault="00B60D91" w:rsidP="00B60D91">
            <w:pPr>
              <w:jc w:val="left"/>
            </w:pPr>
            <w:r w:rsidRPr="003C1CFF">
              <w:t>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EBCD110" w14:textId="77777777" w:rsidR="00B60D91" w:rsidRPr="003C1CFF" w:rsidRDefault="00B60D91" w:rsidP="00B60D91">
            <w:pPr>
              <w:jc w:val="left"/>
            </w:pPr>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CAD4FA4" w14:textId="77777777" w:rsidR="00B60D91" w:rsidRPr="003C1CFF" w:rsidRDefault="00B60D91" w:rsidP="00B60D91">
            <w:pPr>
              <w:jc w:val="left"/>
            </w:pPr>
            <w:r w:rsidRPr="003C1CFF">
              <w:t>0.909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FD53817" w14:textId="77777777" w:rsidR="00B60D91" w:rsidRPr="003C1CFF" w:rsidRDefault="00B60D91" w:rsidP="00B60D91">
            <w:pPr>
              <w:jc w:val="left"/>
            </w:pPr>
            <w:r w:rsidRPr="003C1CFF">
              <w:t>9.09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1D5D1AD" w14:textId="77777777" w:rsidR="00B60D91" w:rsidRPr="003C1CFF" w:rsidRDefault="00B60D91" w:rsidP="00B60D91">
            <w:pPr>
              <w:jc w:val="left"/>
            </w:pPr>
            <w:r w:rsidRPr="003C1CFF">
              <w:t>(30.00)</w:t>
            </w:r>
          </w:p>
        </w:tc>
      </w:tr>
      <w:tr w:rsidR="003C1CFF" w:rsidRPr="003C1CFF" w14:paraId="76B846E0"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5143582" w14:textId="77777777" w:rsidR="00B60D91" w:rsidRPr="003C1CFF" w:rsidRDefault="00B60D91" w:rsidP="00B60D91">
            <w:pPr>
              <w:jc w:val="left"/>
            </w:pPr>
            <w:r w:rsidRPr="003C1CFF">
              <w:t>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3557F97" w14:textId="77777777" w:rsidR="00B60D91" w:rsidRPr="003C1CFF" w:rsidRDefault="00B60D91" w:rsidP="00B60D91">
            <w:pPr>
              <w:jc w:val="left"/>
            </w:pPr>
            <w:r w:rsidRPr="003C1CFF">
              <w:t>12.00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20C82A5" w14:textId="77777777" w:rsidR="00B60D91" w:rsidRPr="003C1CFF" w:rsidRDefault="00B60D91" w:rsidP="00B60D91">
            <w:pPr>
              <w:jc w:val="left"/>
            </w:pPr>
            <w:r w:rsidRPr="003C1CFF">
              <w:t>0.826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4FCD606" w14:textId="77777777" w:rsidR="00B60D91" w:rsidRPr="003C1CFF" w:rsidRDefault="00B60D91" w:rsidP="00B60D91">
            <w:pPr>
              <w:jc w:val="left"/>
            </w:pPr>
            <w:r w:rsidRPr="003C1CFF">
              <w:t>9.91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2AB751A" w14:textId="77777777" w:rsidR="00B60D91" w:rsidRPr="003C1CFF" w:rsidRDefault="00B60D91" w:rsidP="00B60D91">
            <w:pPr>
              <w:jc w:val="left"/>
            </w:pPr>
            <w:r w:rsidRPr="003C1CFF">
              <w:t>(18.00)</w:t>
            </w:r>
          </w:p>
        </w:tc>
      </w:tr>
      <w:tr w:rsidR="003C1CFF" w:rsidRPr="003C1CFF" w14:paraId="665D5BB4"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683F6D0" w14:textId="77777777" w:rsidR="00B60D91" w:rsidRPr="003C1CFF" w:rsidRDefault="00B60D91" w:rsidP="00B60D91">
            <w:pPr>
              <w:jc w:val="left"/>
            </w:pPr>
            <w:r w:rsidRPr="003C1CFF">
              <w:t>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FA051B8" w14:textId="77777777" w:rsidR="00B60D91" w:rsidRPr="003C1CFF" w:rsidRDefault="00B60D91" w:rsidP="00B60D91">
            <w:pPr>
              <w:jc w:val="left"/>
            </w:pPr>
            <w:r w:rsidRPr="003C1CFF">
              <w:t>14.00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46BD69D" w14:textId="77777777" w:rsidR="00B60D91" w:rsidRPr="003C1CFF" w:rsidRDefault="00B60D91" w:rsidP="00B60D91">
            <w:pPr>
              <w:jc w:val="left"/>
            </w:pPr>
            <w:r w:rsidRPr="003C1CFF">
              <w:t>0.751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815058C" w14:textId="77777777" w:rsidR="00B60D91" w:rsidRPr="003C1CFF" w:rsidRDefault="00B60D91" w:rsidP="00B60D91">
            <w:pPr>
              <w:jc w:val="left"/>
            </w:pPr>
            <w:r w:rsidRPr="003C1CFF">
              <w:t>10.51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982B4C2" w14:textId="77777777" w:rsidR="00B60D91" w:rsidRPr="003C1CFF" w:rsidRDefault="00B60D91" w:rsidP="00B60D91">
            <w:pPr>
              <w:jc w:val="left"/>
            </w:pPr>
            <w:r w:rsidRPr="003C1CFF">
              <w:t>(4.00)</w:t>
            </w:r>
          </w:p>
        </w:tc>
      </w:tr>
      <w:tr w:rsidR="003C1CFF" w:rsidRPr="003C1CFF" w14:paraId="5698C7C8"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693F171" w14:textId="77777777" w:rsidR="00B60D91" w:rsidRPr="003C1CFF" w:rsidRDefault="00B60D91" w:rsidP="00B60D91">
            <w:pPr>
              <w:jc w:val="left"/>
            </w:pPr>
            <w:r w:rsidRPr="003C1CFF">
              <w:t>4</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4A248DB" w14:textId="77777777" w:rsidR="00B60D91" w:rsidRPr="003C1CFF" w:rsidRDefault="00B60D91" w:rsidP="00B60D91">
            <w:pPr>
              <w:jc w:val="left"/>
            </w:pPr>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0D1B401" w14:textId="77777777" w:rsidR="00B60D91" w:rsidRPr="003C1CFF" w:rsidRDefault="00B60D91" w:rsidP="00B60D91">
            <w:pPr>
              <w:jc w:val="left"/>
            </w:pPr>
            <w:r w:rsidRPr="003C1CFF">
              <w:t>0.683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7F357E9" w14:textId="77777777" w:rsidR="00B60D91" w:rsidRPr="003C1CFF" w:rsidRDefault="00B60D91" w:rsidP="00B60D91">
            <w:pPr>
              <w:jc w:val="left"/>
            </w:pPr>
            <w:r w:rsidRPr="003C1CFF">
              <w:t>6.83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D8085C5" w14:textId="77777777" w:rsidR="00B60D91" w:rsidRPr="003C1CFF" w:rsidRDefault="00B60D91" w:rsidP="00B60D91">
            <w:pPr>
              <w:jc w:val="left"/>
            </w:pPr>
            <w:r w:rsidRPr="003C1CFF">
              <w:t>6.00</w:t>
            </w:r>
          </w:p>
        </w:tc>
      </w:tr>
      <w:tr w:rsidR="003C1CFF" w:rsidRPr="003C1CFF" w14:paraId="3762F298"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E352F1B" w14:textId="77777777" w:rsidR="00B60D91" w:rsidRPr="003C1CFF" w:rsidRDefault="00B60D91" w:rsidP="00B60D91">
            <w:pPr>
              <w:jc w:val="left"/>
            </w:pPr>
            <w:r w:rsidRPr="003C1CFF">
              <w:t>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95CE46B" w14:textId="77777777" w:rsidR="00B60D91" w:rsidRPr="003C1CFF" w:rsidRDefault="00B60D91" w:rsidP="00B60D91">
            <w:pPr>
              <w:jc w:val="left"/>
            </w:pPr>
            <w:r w:rsidRPr="003C1CFF">
              <w:t>8.00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BB3ACE6" w14:textId="77777777" w:rsidR="00B60D91" w:rsidRPr="003C1CFF" w:rsidRDefault="00B60D91" w:rsidP="00B60D91">
            <w:pPr>
              <w:jc w:val="left"/>
            </w:pPr>
            <w:r w:rsidRPr="003C1CFF">
              <w:t>0.621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6FCA6BB" w14:textId="77777777" w:rsidR="00B60D91" w:rsidRPr="003C1CFF" w:rsidRDefault="00B60D91" w:rsidP="00B60D91">
            <w:pPr>
              <w:jc w:val="left"/>
            </w:pPr>
            <w:r w:rsidRPr="003C1CFF">
              <w:t>4.97</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5953019" w14:textId="77777777" w:rsidR="00B60D91" w:rsidRPr="003C1CFF" w:rsidRDefault="00B60D91" w:rsidP="00B60D91">
            <w:pPr>
              <w:jc w:val="left"/>
            </w:pPr>
            <w:r w:rsidRPr="003C1CFF">
              <w:t>14.00</w:t>
            </w:r>
          </w:p>
        </w:tc>
      </w:tr>
      <w:tr w:rsidR="003C1CFF" w:rsidRPr="003C1CFF" w14:paraId="7832F943" w14:textId="77777777" w:rsidTr="00B60D91">
        <w:tc>
          <w:tcPr>
            <w:tcW w:w="0" w:type="auto"/>
            <w:tcBorders>
              <w:top w:val="single" w:sz="6" w:space="0" w:color="000000"/>
              <w:left w:val="single" w:sz="6" w:space="0" w:color="000000"/>
              <w:bottom w:val="single" w:sz="6" w:space="0" w:color="000000"/>
              <w:right w:val="single" w:sz="6" w:space="0" w:color="000000"/>
            </w:tcBorders>
            <w:shd w:val="clear" w:color="auto" w:fill="F9F9F9"/>
            <w:tcMar>
              <w:top w:w="120" w:type="dxa"/>
              <w:left w:w="120" w:type="dxa"/>
              <w:bottom w:w="120" w:type="dxa"/>
              <w:right w:w="120" w:type="dxa"/>
            </w:tcMar>
            <w:vAlign w:val="center"/>
            <w:hideMark/>
          </w:tcPr>
          <w:p w14:paraId="6A017DF1" w14:textId="77777777" w:rsidR="00B60D91" w:rsidRPr="003C1CFF" w:rsidRDefault="00B60D91" w:rsidP="00B60D91">
            <w:pPr>
              <w:jc w:val="left"/>
              <w:rPr>
                <w:b/>
                <w:bCs/>
              </w:rPr>
            </w:pPr>
            <w:r w:rsidRPr="003C1CFF">
              <w:rPr>
                <w:b/>
                <w:bCs/>
              </w:rPr>
              <w:t>Total</w:t>
            </w:r>
          </w:p>
        </w:tc>
        <w:tc>
          <w:tcPr>
            <w:tcW w:w="0" w:type="auto"/>
            <w:tcBorders>
              <w:top w:val="single" w:sz="6" w:space="0" w:color="000000"/>
              <w:left w:val="single" w:sz="6" w:space="0" w:color="000000"/>
              <w:bottom w:val="single" w:sz="6" w:space="0" w:color="000000"/>
              <w:right w:val="single" w:sz="6" w:space="0" w:color="000000"/>
            </w:tcBorders>
            <w:shd w:val="clear" w:color="auto" w:fill="F9F9F9"/>
            <w:tcMar>
              <w:top w:w="120" w:type="dxa"/>
              <w:left w:w="120" w:type="dxa"/>
              <w:bottom w:w="120" w:type="dxa"/>
              <w:right w:w="120" w:type="dxa"/>
            </w:tcMar>
            <w:vAlign w:val="center"/>
            <w:hideMark/>
          </w:tcPr>
          <w:p w14:paraId="564986C1" w14:textId="77777777" w:rsidR="00B60D91" w:rsidRPr="003C1CFF" w:rsidRDefault="00B60D91" w:rsidP="00B60D91">
            <w:pPr>
              <w:jc w:val="left"/>
              <w:rPr>
                <w:b/>
                <w:bCs/>
              </w:rPr>
            </w:pPr>
            <w:r w:rsidRPr="003C1CFF">
              <w:rPr>
                <w:b/>
                <w:bCs/>
              </w:rPr>
              <w:t>14.00 (Net Profit)</w:t>
            </w:r>
          </w:p>
        </w:tc>
        <w:tc>
          <w:tcPr>
            <w:tcW w:w="0" w:type="auto"/>
            <w:tcBorders>
              <w:top w:val="single" w:sz="6" w:space="0" w:color="000000"/>
              <w:left w:val="single" w:sz="6" w:space="0" w:color="000000"/>
              <w:bottom w:val="single" w:sz="6" w:space="0" w:color="000000"/>
              <w:right w:val="single" w:sz="6" w:space="0" w:color="000000"/>
            </w:tcBorders>
            <w:shd w:val="clear" w:color="auto" w:fill="F9F9F9"/>
            <w:tcMar>
              <w:top w:w="120" w:type="dxa"/>
              <w:left w:w="120" w:type="dxa"/>
              <w:bottom w:w="120" w:type="dxa"/>
              <w:right w:w="120" w:type="dxa"/>
            </w:tcMar>
            <w:vAlign w:val="center"/>
            <w:hideMark/>
          </w:tcPr>
          <w:p w14:paraId="5DC36BC9" w14:textId="77777777" w:rsidR="00B60D91" w:rsidRPr="003C1CFF" w:rsidRDefault="00B60D91" w:rsidP="00B60D91">
            <w:pPr>
              <w:jc w:val="left"/>
              <w:rPr>
                <w:b/>
                <w:bCs/>
              </w:rPr>
            </w:pPr>
          </w:p>
        </w:tc>
        <w:tc>
          <w:tcPr>
            <w:tcW w:w="0" w:type="auto"/>
            <w:tcBorders>
              <w:top w:val="single" w:sz="6" w:space="0" w:color="000000"/>
              <w:left w:val="single" w:sz="6" w:space="0" w:color="000000"/>
              <w:bottom w:val="single" w:sz="6" w:space="0" w:color="000000"/>
              <w:right w:val="single" w:sz="6" w:space="0" w:color="000000"/>
            </w:tcBorders>
            <w:shd w:val="clear" w:color="auto" w:fill="F9F9F9"/>
            <w:tcMar>
              <w:top w:w="120" w:type="dxa"/>
              <w:left w:w="120" w:type="dxa"/>
              <w:bottom w:w="120" w:type="dxa"/>
              <w:right w:w="120" w:type="dxa"/>
            </w:tcMar>
            <w:vAlign w:val="center"/>
            <w:hideMark/>
          </w:tcPr>
          <w:p w14:paraId="2D0AD769" w14:textId="77777777" w:rsidR="00B60D91" w:rsidRPr="003C1CFF" w:rsidRDefault="00B60D91" w:rsidP="00B60D91">
            <w:pPr>
              <w:jc w:val="left"/>
              <w:rPr>
                <w:b/>
                <w:bCs/>
              </w:rPr>
            </w:pPr>
            <w:r w:rsidRPr="003C1CFF">
              <w:rPr>
                <w:b/>
                <w:bCs/>
              </w:rPr>
              <w:t>NPV: £1.31m</w:t>
            </w:r>
          </w:p>
        </w:tc>
        <w:tc>
          <w:tcPr>
            <w:tcW w:w="0" w:type="auto"/>
            <w:tcBorders>
              <w:top w:val="single" w:sz="6" w:space="0" w:color="000000"/>
              <w:left w:val="single" w:sz="6" w:space="0" w:color="000000"/>
              <w:bottom w:val="single" w:sz="6" w:space="0" w:color="000000"/>
              <w:right w:val="single" w:sz="6" w:space="0" w:color="000000"/>
            </w:tcBorders>
            <w:shd w:val="clear" w:color="auto" w:fill="F9F9F9"/>
            <w:tcMar>
              <w:top w:w="120" w:type="dxa"/>
              <w:left w:w="120" w:type="dxa"/>
              <w:bottom w:w="120" w:type="dxa"/>
              <w:right w:w="120" w:type="dxa"/>
            </w:tcMar>
            <w:vAlign w:val="center"/>
            <w:hideMark/>
          </w:tcPr>
          <w:p w14:paraId="13F6A55F" w14:textId="77777777" w:rsidR="00B60D91" w:rsidRPr="003C1CFF" w:rsidRDefault="00B60D91" w:rsidP="00B60D91">
            <w:pPr>
              <w:jc w:val="left"/>
              <w:rPr>
                <w:b/>
                <w:bCs/>
              </w:rPr>
            </w:pPr>
          </w:p>
        </w:tc>
      </w:tr>
    </w:tbl>
    <w:p w14:paraId="569171AE" w14:textId="77777777" w:rsidR="00B60D91" w:rsidRPr="003C1CFF" w:rsidRDefault="00B60D91" w:rsidP="00B60D91">
      <w:pPr>
        <w:jc w:val="left"/>
      </w:pPr>
      <w:r w:rsidRPr="003C1CFF">
        <w:rPr>
          <w:b/>
          <w:bCs/>
        </w:rPr>
        <w:lastRenderedPageBreak/>
        <w:t>Key Metrics &amp; Formulas:</w:t>
      </w:r>
      <w:r w:rsidRPr="003C1CFF">
        <w:br/>
      </w:r>
      <w:r w:rsidRPr="003C1CFF">
        <w:br/>
      </w:r>
      <w:r w:rsidRPr="003C1CFF">
        <w:rPr>
          <w:b/>
          <w:bCs/>
        </w:rPr>
        <w:t>1. Net Present Value (NPV):</w:t>
      </w:r>
      <w:r w:rsidRPr="003C1CFF">
        <w:t> £1.31m</w:t>
      </w:r>
      <w:r w:rsidRPr="003C1CFF">
        <w:br/>
      </w:r>
      <w:r w:rsidRPr="003C1CFF">
        <w:rPr>
          <w:i/>
          <w:iCs/>
        </w:rPr>
        <w:t>Formula:</w:t>
      </w:r>
      <w:r w:rsidRPr="003C1CFF">
        <w:t> </w:t>
      </w:r>
      <w:proofErr w:type="gramStart"/>
      <w:r w:rsidRPr="003C1CFF">
        <w:t>Σ(</w:t>
      </w:r>
      <w:proofErr w:type="gramEnd"/>
      <w:r w:rsidRPr="003C1CFF">
        <w:t>PV Inflows) - Initial Investment = 41.31 - 40.00</w:t>
      </w:r>
      <w:r w:rsidRPr="003C1CFF">
        <w:br/>
      </w:r>
      <w:r w:rsidRPr="003C1CFF">
        <w:br/>
      </w:r>
      <w:r w:rsidRPr="003C1CFF">
        <w:rPr>
          <w:b/>
          <w:bCs/>
        </w:rPr>
        <w:t>2. Payback Period (PBP):</w:t>
      </w:r>
      <w:r w:rsidRPr="003C1CFF">
        <w:t> 3.4 Years</w:t>
      </w:r>
      <w:r w:rsidRPr="003C1CFF">
        <w:br/>
      </w:r>
      <w:r w:rsidRPr="003C1CFF">
        <w:rPr>
          <w:i/>
          <w:iCs/>
        </w:rPr>
        <w:t>Formula:</w:t>
      </w:r>
      <w:r w:rsidRPr="003C1CFF">
        <w:t> Full Years + (Unrecovered Amount / Cash Flow in Next Year)</w:t>
      </w:r>
      <w:r w:rsidRPr="003C1CFF">
        <w:br/>
      </w:r>
      <w:r w:rsidRPr="003C1CFF">
        <w:rPr>
          <w:i/>
          <w:iCs/>
        </w:rPr>
        <w:t>Calculation:</w:t>
      </w:r>
      <w:r w:rsidRPr="003C1CFF">
        <w:t> 3 Years + (4 / 10) = 3.4</w:t>
      </w:r>
      <w:r w:rsidRPr="003C1CFF">
        <w:br/>
      </w:r>
      <w:r w:rsidRPr="003C1CFF">
        <w:br/>
      </w:r>
      <w:r w:rsidRPr="003C1CFF">
        <w:rPr>
          <w:b/>
          <w:bCs/>
        </w:rPr>
        <w:t>3. Accounting Rate of Return (ARR):</w:t>
      </w:r>
      <w:r w:rsidRPr="003C1CFF">
        <w:t> 14.0%</w:t>
      </w:r>
      <w:r w:rsidRPr="003C1CFF">
        <w:br/>
      </w:r>
      <w:r w:rsidRPr="003C1CFF">
        <w:rPr>
          <w:i/>
          <w:iCs/>
        </w:rPr>
        <w:t>Formula:</w:t>
      </w:r>
      <w:r w:rsidRPr="003C1CFF">
        <w:t> (Average Annual Profit / Average Investment) × 100</w:t>
      </w:r>
      <w:r w:rsidRPr="003C1CFF">
        <w:br/>
      </w:r>
      <w:r w:rsidRPr="003C1CFF">
        <w:rPr>
          <w:i/>
          <w:iCs/>
        </w:rPr>
        <w:t>Calculation:</w:t>
      </w:r>
      <w:r w:rsidRPr="003C1CFF">
        <w:t> ((14 ÷ 5) / ((40 + 0) ÷ 2)) = 2.8 / 20 = 14.0%</w:t>
      </w:r>
      <w:r w:rsidRPr="003C1CFF">
        <w:br/>
      </w:r>
      <w:r w:rsidRPr="003C1CFF">
        <w:br/>
      </w:r>
      <w:r w:rsidRPr="003C1CFF">
        <w:rPr>
          <w:b/>
          <w:bCs/>
        </w:rPr>
        <w:t>4. Profitability Index (PI):</w:t>
      </w:r>
      <w:r w:rsidRPr="003C1CFF">
        <w:t> 1.03</w:t>
      </w:r>
      <w:r w:rsidRPr="003C1CFF">
        <w:br/>
      </w:r>
      <w:r w:rsidRPr="003C1CFF">
        <w:rPr>
          <w:i/>
          <w:iCs/>
        </w:rPr>
        <w:t>Formula:</w:t>
      </w:r>
      <w:r w:rsidRPr="003C1CFF">
        <w:t> PV of Inflows / Initial Investment = 41.31 / 40.00</w:t>
      </w:r>
      <w:r w:rsidRPr="003C1CFF">
        <w:br/>
      </w:r>
      <w:r w:rsidRPr="003C1CFF">
        <w:br/>
      </w:r>
      <w:r w:rsidRPr="003C1CFF">
        <w:rPr>
          <w:b/>
          <w:bCs/>
        </w:rPr>
        <w:t>5. Internal Rate of Return (IRR):</w:t>
      </w:r>
      <w:r w:rsidRPr="003C1CFF">
        <w:t> 11.41%</w:t>
      </w:r>
      <w:r w:rsidRPr="003C1CFF">
        <w:br/>
      </w:r>
      <w:r w:rsidRPr="003C1CFF">
        <w:rPr>
          <w:i/>
          <w:iCs/>
        </w:rPr>
        <w:t>Formula:</w:t>
      </w:r>
      <w:r w:rsidRPr="003C1CFF">
        <w:t> Linear Interpolation between 10% (NPV +1.31) and 15% (NPV -3.32)</w:t>
      </w:r>
    </w:p>
    <w:p w14:paraId="24C3013F" w14:textId="77777777" w:rsidR="00B60D91" w:rsidRPr="003C1CFF" w:rsidRDefault="00B60D91" w:rsidP="00B60D91">
      <w:pPr>
        <w:jc w:val="left"/>
        <w:rPr>
          <w:b/>
          <w:bCs/>
        </w:rPr>
      </w:pPr>
      <w:r w:rsidRPr="003C1CFF">
        <w:rPr>
          <w:b/>
          <w:bCs/>
        </w:rPr>
        <w:t>Project B: Maintenance (Investment: £30m)</w:t>
      </w:r>
    </w:p>
    <w:tbl>
      <w:tblPr>
        <w:tblW w:w="9910" w:type="dxa"/>
        <w:tblCellMar>
          <w:top w:w="15" w:type="dxa"/>
          <w:left w:w="15" w:type="dxa"/>
          <w:bottom w:w="15" w:type="dxa"/>
          <w:right w:w="15" w:type="dxa"/>
        </w:tblCellMar>
        <w:tblLook w:val="04A0" w:firstRow="1" w:lastRow="0" w:firstColumn="1" w:lastColumn="0" w:noHBand="0" w:noVBand="1"/>
      </w:tblPr>
      <w:tblGrid>
        <w:gridCol w:w="815"/>
        <w:gridCol w:w="1746"/>
        <w:gridCol w:w="2375"/>
        <w:gridCol w:w="2087"/>
        <w:gridCol w:w="2887"/>
      </w:tblGrid>
      <w:tr w:rsidR="003C1CFF" w:rsidRPr="003C1CFF" w14:paraId="1A911258" w14:textId="77777777" w:rsidTr="00B60D91">
        <w:trPr>
          <w:tblHeader/>
        </w:trPr>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681389FA" w14:textId="77777777" w:rsidR="00B60D91" w:rsidRPr="003C1CFF" w:rsidRDefault="00B60D91" w:rsidP="00B60D91">
            <w:pPr>
              <w:jc w:val="left"/>
              <w:rPr>
                <w:b/>
                <w:bCs/>
              </w:rPr>
            </w:pPr>
            <w:r w:rsidRPr="003C1CFF">
              <w:rPr>
                <w:b/>
                <w:bCs/>
              </w:rPr>
              <w:t>Year</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50A12F95" w14:textId="77777777" w:rsidR="00B60D91" w:rsidRPr="003C1CFF" w:rsidRDefault="00B60D91" w:rsidP="00B60D91">
            <w:pPr>
              <w:jc w:val="left"/>
              <w:rPr>
                <w:b/>
                <w:bCs/>
              </w:rPr>
            </w:pPr>
            <w:r w:rsidRPr="003C1CFF">
              <w:rPr>
                <w:b/>
                <w:bCs/>
              </w:rPr>
              <w:t>Cash Flow (£m)</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52AB5952" w14:textId="77777777" w:rsidR="00B60D91" w:rsidRPr="003C1CFF" w:rsidRDefault="00B60D91" w:rsidP="00B60D91">
            <w:pPr>
              <w:jc w:val="left"/>
              <w:rPr>
                <w:b/>
                <w:bCs/>
              </w:rPr>
            </w:pPr>
            <w:r w:rsidRPr="003C1CFF">
              <w:rPr>
                <w:b/>
                <w:bCs/>
              </w:rPr>
              <w:t>Discount Factor (10%)</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128E71BD" w14:textId="77777777" w:rsidR="00B60D91" w:rsidRPr="003C1CFF" w:rsidRDefault="00B60D91" w:rsidP="00B60D91">
            <w:pPr>
              <w:jc w:val="left"/>
              <w:rPr>
                <w:b/>
                <w:bCs/>
              </w:rPr>
            </w:pPr>
            <w:r w:rsidRPr="003C1CFF">
              <w:rPr>
                <w:b/>
                <w:bCs/>
              </w:rPr>
              <w:t>Present Value (£m)</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7DAE160E" w14:textId="77777777" w:rsidR="00B60D91" w:rsidRPr="003C1CFF" w:rsidRDefault="00B60D91" w:rsidP="00B60D91">
            <w:pPr>
              <w:jc w:val="left"/>
              <w:rPr>
                <w:b/>
                <w:bCs/>
              </w:rPr>
            </w:pPr>
            <w:r w:rsidRPr="003C1CFF">
              <w:rPr>
                <w:b/>
                <w:bCs/>
              </w:rPr>
              <w:t>Cumulative Cash Flow (£m)</w:t>
            </w:r>
          </w:p>
        </w:tc>
      </w:tr>
      <w:tr w:rsidR="003C1CFF" w:rsidRPr="003C1CFF" w14:paraId="456EE700"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A798C2A" w14:textId="77777777" w:rsidR="00B60D91" w:rsidRPr="003C1CFF" w:rsidRDefault="00B60D91" w:rsidP="00B60D91">
            <w:pPr>
              <w:jc w:val="left"/>
            </w:pPr>
            <w:r w:rsidRPr="003C1CFF">
              <w:t>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4030B10" w14:textId="77777777" w:rsidR="00B60D91" w:rsidRPr="003C1CFF" w:rsidRDefault="00B60D91" w:rsidP="00B60D91">
            <w:pPr>
              <w:jc w:val="left"/>
            </w:pPr>
            <w:r w:rsidRPr="003C1CFF">
              <w:t>(30.00)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3CC3C8D" w14:textId="77777777" w:rsidR="00B60D91" w:rsidRPr="003C1CFF" w:rsidRDefault="00B60D91" w:rsidP="00B60D91">
            <w:pPr>
              <w:jc w:val="left"/>
            </w:pPr>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D3BE1F5" w14:textId="77777777" w:rsidR="00B60D91" w:rsidRPr="003C1CFF" w:rsidRDefault="00B60D91" w:rsidP="00B60D91">
            <w:pPr>
              <w:jc w:val="left"/>
            </w:pPr>
            <w:r w:rsidRPr="003C1CFF">
              <w:t>(30.00)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D587434" w14:textId="77777777" w:rsidR="00B60D91" w:rsidRPr="003C1CFF" w:rsidRDefault="00B60D91" w:rsidP="00B60D91">
            <w:pPr>
              <w:jc w:val="left"/>
            </w:pPr>
            <w:r w:rsidRPr="003C1CFF">
              <w:t>(30.00)</w:t>
            </w:r>
          </w:p>
        </w:tc>
      </w:tr>
      <w:tr w:rsidR="003C1CFF" w:rsidRPr="003C1CFF" w14:paraId="490913D0"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AA0CB6F" w14:textId="77777777" w:rsidR="00B60D91" w:rsidRPr="003C1CFF" w:rsidRDefault="00B60D91" w:rsidP="00B60D91">
            <w:pPr>
              <w:jc w:val="left"/>
            </w:pPr>
            <w:r w:rsidRPr="003C1CFF">
              <w:t>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5A93266" w14:textId="77777777" w:rsidR="00B60D91" w:rsidRPr="003C1CFF" w:rsidRDefault="00B60D91" w:rsidP="00B60D91">
            <w:pPr>
              <w:jc w:val="left"/>
            </w:pPr>
            <w:r w:rsidRPr="003C1CFF">
              <w:t>6.00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6FF3B10" w14:textId="77777777" w:rsidR="00B60D91" w:rsidRPr="003C1CFF" w:rsidRDefault="00B60D91" w:rsidP="00B60D91">
            <w:pPr>
              <w:jc w:val="left"/>
            </w:pPr>
            <w:r w:rsidRPr="003C1CFF">
              <w:t>0.909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8899DA4" w14:textId="77777777" w:rsidR="00B60D91" w:rsidRPr="003C1CFF" w:rsidRDefault="00B60D91" w:rsidP="00B60D91">
            <w:pPr>
              <w:jc w:val="left"/>
            </w:pPr>
            <w:r w:rsidRPr="003C1CFF">
              <w:t>5.45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2718BB3" w14:textId="77777777" w:rsidR="00B60D91" w:rsidRPr="003C1CFF" w:rsidRDefault="00B60D91" w:rsidP="00B60D91">
            <w:pPr>
              <w:jc w:val="left"/>
            </w:pPr>
            <w:r w:rsidRPr="003C1CFF">
              <w:t>(24.00)</w:t>
            </w:r>
          </w:p>
        </w:tc>
      </w:tr>
      <w:tr w:rsidR="003C1CFF" w:rsidRPr="003C1CFF" w14:paraId="1EADBF59"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C49FED5" w14:textId="77777777" w:rsidR="00B60D91" w:rsidRPr="003C1CFF" w:rsidRDefault="00B60D91" w:rsidP="00B60D91">
            <w:pPr>
              <w:jc w:val="left"/>
            </w:pPr>
            <w:r w:rsidRPr="003C1CFF">
              <w:lastRenderedPageBreak/>
              <w:t>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DC21D47" w14:textId="77777777" w:rsidR="00B60D91" w:rsidRPr="003C1CFF" w:rsidRDefault="00B60D91" w:rsidP="00B60D91">
            <w:pPr>
              <w:jc w:val="left"/>
            </w:pPr>
            <w:r w:rsidRPr="003C1CFF">
              <w:t>6.00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AE9F5D9" w14:textId="77777777" w:rsidR="00B60D91" w:rsidRPr="003C1CFF" w:rsidRDefault="00B60D91" w:rsidP="00B60D91">
            <w:pPr>
              <w:jc w:val="left"/>
            </w:pPr>
            <w:r w:rsidRPr="003C1CFF">
              <w:t>0.826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C89637E" w14:textId="77777777" w:rsidR="00B60D91" w:rsidRPr="003C1CFF" w:rsidRDefault="00B60D91" w:rsidP="00B60D91">
            <w:pPr>
              <w:jc w:val="left"/>
            </w:pPr>
            <w:r w:rsidRPr="003C1CFF">
              <w:t>4.96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DBAB490" w14:textId="77777777" w:rsidR="00B60D91" w:rsidRPr="003C1CFF" w:rsidRDefault="00B60D91" w:rsidP="00B60D91">
            <w:pPr>
              <w:jc w:val="left"/>
            </w:pPr>
            <w:r w:rsidRPr="003C1CFF">
              <w:t>(18.00)</w:t>
            </w:r>
          </w:p>
        </w:tc>
      </w:tr>
      <w:tr w:rsidR="003C1CFF" w:rsidRPr="003C1CFF" w14:paraId="7A76D748"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A92744E" w14:textId="77777777" w:rsidR="00B60D91" w:rsidRPr="003C1CFF" w:rsidRDefault="00B60D91" w:rsidP="00B60D91">
            <w:pPr>
              <w:jc w:val="left"/>
            </w:pPr>
            <w:r w:rsidRPr="003C1CFF">
              <w:t>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F8485F1" w14:textId="77777777" w:rsidR="00B60D91" w:rsidRPr="003C1CFF" w:rsidRDefault="00B60D91" w:rsidP="00B60D91">
            <w:pPr>
              <w:jc w:val="left"/>
            </w:pPr>
            <w:r w:rsidRPr="003C1CFF">
              <w:t>6.00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A132B79" w14:textId="77777777" w:rsidR="00B60D91" w:rsidRPr="003C1CFF" w:rsidRDefault="00B60D91" w:rsidP="00B60D91">
            <w:pPr>
              <w:jc w:val="left"/>
            </w:pPr>
            <w:r w:rsidRPr="003C1CFF">
              <w:t>0.751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C7767EC" w14:textId="77777777" w:rsidR="00B60D91" w:rsidRPr="003C1CFF" w:rsidRDefault="00B60D91" w:rsidP="00B60D91">
            <w:pPr>
              <w:jc w:val="left"/>
            </w:pPr>
            <w:r w:rsidRPr="003C1CFF">
              <w:t>4.51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BDA8D98" w14:textId="77777777" w:rsidR="00B60D91" w:rsidRPr="003C1CFF" w:rsidRDefault="00B60D91" w:rsidP="00B60D91">
            <w:pPr>
              <w:jc w:val="left"/>
            </w:pPr>
            <w:r w:rsidRPr="003C1CFF">
              <w:t>(12.00)</w:t>
            </w:r>
          </w:p>
        </w:tc>
      </w:tr>
      <w:tr w:rsidR="003C1CFF" w:rsidRPr="003C1CFF" w14:paraId="2D06955E"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C2DE7E8" w14:textId="77777777" w:rsidR="00B60D91" w:rsidRPr="003C1CFF" w:rsidRDefault="00B60D91" w:rsidP="00B60D91">
            <w:pPr>
              <w:jc w:val="left"/>
            </w:pPr>
            <w:r w:rsidRPr="003C1CFF">
              <w:t>4</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82687C5" w14:textId="77777777" w:rsidR="00B60D91" w:rsidRPr="003C1CFF" w:rsidRDefault="00B60D91" w:rsidP="00B60D91">
            <w:pPr>
              <w:jc w:val="left"/>
            </w:pPr>
            <w:r w:rsidRPr="003C1CFF">
              <w:t>6.00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9337E44" w14:textId="77777777" w:rsidR="00B60D91" w:rsidRPr="003C1CFF" w:rsidRDefault="00B60D91" w:rsidP="00B60D91">
            <w:pPr>
              <w:jc w:val="left"/>
            </w:pPr>
            <w:r w:rsidRPr="003C1CFF">
              <w:t>0.683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77FA72F" w14:textId="77777777" w:rsidR="00B60D91" w:rsidRPr="003C1CFF" w:rsidRDefault="00B60D91" w:rsidP="00B60D91">
            <w:pPr>
              <w:jc w:val="left"/>
            </w:pPr>
            <w:r w:rsidRPr="003C1CFF">
              <w:t>4.10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73D7D8F" w14:textId="77777777" w:rsidR="00B60D91" w:rsidRPr="003C1CFF" w:rsidRDefault="00B60D91" w:rsidP="00B60D91">
            <w:pPr>
              <w:jc w:val="left"/>
            </w:pPr>
            <w:r w:rsidRPr="003C1CFF">
              <w:t>(6.00)</w:t>
            </w:r>
          </w:p>
        </w:tc>
      </w:tr>
      <w:tr w:rsidR="003C1CFF" w:rsidRPr="003C1CFF" w14:paraId="5DB203A4"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09CF663" w14:textId="77777777" w:rsidR="00B60D91" w:rsidRPr="003C1CFF" w:rsidRDefault="00B60D91" w:rsidP="00B60D91">
            <w:pPr>
              <w:jc w:val="left"/>
            </w:pPr>
            <w:r w:rsidRPr="003C1CFF">
              <w:t>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0A5197E" w14:textId="77777777" w:rsidR="00B60D91" w:rsidRPr="003C1CFF" w:rsidRDefault="00B60D91" w:rsidP="00B60D91">
            <w:pPr>
              <w:jc w:val="left"/>
            </w:pPr>
            <w:r w:rsidRPr="003C1CFF">
              <w:t>6.00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8CFD568" w14:textId="77777777" w:rsidR="00B60D91" w:rsidRPr="003C1CFF" w:rsidRDefault="00B60D91" w:rsidP="00B60D91">
            <w:pPr>
              <w:jc w:val="left"/>
            </w:pPr>
            <w:r w:rsidRPr="003C1CFF">
              <w:t>0.621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83AE06F" w14:textId="77777777" w:rsidR="00B60D91" w:rsidRPr="003C1CFF" w:rsidRDefault="00B60D91" w:rsidP="00B60D91">
            <w:pPr>
              <w:jc w:val="left"/>
            </w:pPr>
            <w:r w:rsidRPr="003C1CFF">
              <w:t>3.72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5C0BA25" w14:textId="77777777" w:rsidR="00B60D91" w:rsidRPr="003C1CFF" w:rsidRDefault="00B60D91" w:rsidP="00B60D91">
            <w:pPr>
              <w:jc w:val="left"/>
            </w:pPr>
            <w:r w:rsidRPr="003C1CFF">
              <w:t>0.00</w:t>
            </w:r>
          </w:p>
        </w:tc>
      </w:tr>
      <w:tr w:rsidR="003C1CFF" w:rsidRPr="003C1CFF" w14:paraId="17E687C4" w14:textId="77777777" w:rsidTr="00B60D91">
        <w:tc>
          <w:tcPr>
            <w:tcW w:w="0" w:type="auto"/>
            <w:tcBorders>
              <w:top w:val="single" w:sz="6" w:space="0" w:color="000000"/>
              <w:left w:val="single" w:sz="6" w:space="0" w:color="000000"/>
              <w:bottom w:val="single" w:sz="6" w:space="0" w:color="000000"/>
              <w:right w:val="single" w:sz="6" w:space="0" w:color="000000"/>
            </w:tcBorders>
            <w:shd w:val="clear" w:color="auto" w:fill="F9F9F9"/>
            <w:tcMar>
              <w:top w:w="120" w:type="dxa"/>
              <w:left w:w="120" w:type="dxa"/>
              <w:bottom w:w="120" w:type="dxa"/>
              <w:right w:w="120" w:type="dxa"/>
            </w:tcMar>
            <w:vAlign w:val="center"/>
            <w:hideMark/>
          </w:tcPr>
          <w:p w14:paraId="1142A17E" w14:textId="77777777" w:rsidR="00B60D91" w:rsidRPr="003C1CFF" w:rsidRDefault="00B60D91" w:rsidP="00B60D91">
            <w:pPr>
              <w:jc w:val="left"/>
              <w:rPr>
                <w:b/>
                <w:bCs/>
              </w:rPr>
            </w:pPr>
            <w:r w:rsidRPr="003C1CFF">
              <w:rPr>
                <w:b/>
                <w:bCs/>
              </w:rPr>
              <w:t>Total</w:t>
            </w:r>
          </w:p>
        </w:tc>
        <w:tc>
          <w:tcPr>
            <w:tcW w:w="0" w:type="auto"/>
            <w:tcBorders>
              <w:top w:val="single" w:sz="6" w:space="0" w:color="000000"/>
              <w:left w:val="single" w:sz="6" w:space="0" w:color="000000"/>
              <w:bottom w:val="single" w:sz="6" w:space="0" w:color="000000"/>
              <w:right w:val="single" w:sz="6" w:space="0" w:color="000000"/>
            </w:tcBorders>
            <w:shd w:val="clear" w:color="auto" w:fill="F9F9F9"/>
            <w:tcMar>
              <w:top w:w="120" w:type="dxa"/>
              <w:left w:w="120" w:type="dxa"/>
              <w:bottom w:w="120" w:type="dxa"/>
              <w:right w:w="120" w:type="dxa"/>
            </w:tcMar>
            <w:vAlign w:val="center"/>
            <w:hideMark/>
          </w:tcPr>
          <w:p w14:paraId="443A1C5D" w14:textId="77777777" w:rsidR="00B60D91" w:rsidRPr="003C1CFF" w:rsidRDefault="00B60D91" w:rsidP="00B60D91">
            <w:pPr>
              <w:jc w:val="left"/>
              <w:rPr>
                <w:b/>
                <w:bCs/>
              </w:rPr>
            </w:pPr>
            <w:r w:rsidRPr="003C1CFF">
              <w:rPr>
                <w:b/>
                <w:bCs/>
              </w:rPr>
              <w:t>0.00 (Net Profit)</w:t>
            </w:r>
          </w:p>
        </w:tc>
        <w:tc>
          <w:tcPr>
            <w:tcW w:w="0" w:type="auto"/>
            <w:tcBorders>
              <w:top w:val="single" w:sz="6" w:space="0" w:color="000000"/>
              <w:left w:val="single" w:sz="6" w:space="0" w:color="000000"/>
              <w:bottom w:val="single" w:sz="6" w:space="0" w:color="000000"/>
              <w:right w:val="single" w:sz="6" w:space="0" w:color="000000"/>
            </w:tcBorders>
            <w:shd w:val="clear" w:color="auto" w:fill="F9F9F9"/>
            <w:tcMar>
              <w:top w:w="120" w:type="dxa"/>
              <w:left w:w="120" w:type="dxa"/>
              <w:bottom w:w="120" w:type="dxa"/>
              <w:right w:w="120" w:type="dxa"/>
            </w:tcMar>
            <w:vAlign w:val="center"/>
            <w:hideMark/>
          </w:tcPr>
          <w:p w14:paraId="045F0178" w14:textId="77777777" w:rsidR="00B60D91" w:rsidRPr="003C1CFF" w:rsidRDefault="00B60D91" w:rsidP="00B60D91">
            <w:pPr>
              <w:jc w:val="left"/>
              <w:rPr>
                <w:b/>
                <w:bCs/>
              </w:rPr>
            </w:pPr>
          </w:p>
        </w:tc>
        <w:tc>
          <w:tcPr>
            <w:tcW w:w="0" w:type="auto"/>
            <w:tcBorders>
              <w:top w:val="single" w:sz="6" w:space="0" w:color="000000"/>
              <w:left w:val="single" w:sz="6" w:space="0" w:color="000000"/>
              <w:bottom w:val="single" w:sz="6" w:space="0" w:color="000000"/>
              <w:right w:val="single" w:sz="6" w:space="0" w:color="000000"/>
            </w:tcBorders>
            <w:shd w:val="clear" w:color="auto" w:fill="F9F9F9"/>
            <w:tcMar>
              <w:top w:w="120" w:type="dxa"/>
              <w:left w:w="120" w:type="dxa"/>
              <w:bottom w:w="120" w:type="dxa"/>
              <w:right w:w="120" w:type="dxa"/>
            </w:tcMar>
            <w:vAlign w:val="center"/>
            <w:hideMark/>
          </w:tcPr>
          <w:p w14:paraId="4BC7F85D" w14:textId="77777777" w:rsidR="00B60D91" w:rsidRPr="003C1CFF" w:rsidRDefault="00B60D91" w:rsidP="00B60D91">
            <w:pPr>
              <w:jc w:val="left"/>
              <w:rPr>
                <w:b/>
                <w:bCs/>
              </w:rPr>
            </w:pPr>
            <w:r w:rsidRPr="003C1CFF">
              <w:rPr>
                <w:b/>
                <w:bCs/>
              </w:rPr>
              <w:t>NPV: (£7.25m)</w:t>
            </w:r>
          </w:p>
        </w:tc>
        <w:tc>
          <w:tcPr>
            <w:tcW w:w="0" w:type="auto"/>
            <w:tcBorders>
              <w:top w:val="single" w:sz="6" w:space="0" w:color="000000"/>
              <w:left w:val="single" w:sz="6" w:space="0" w:color="000000"/>
              <w:bottom w:val="single" w:sz="6" w:space="0" w:color="000000"/>
              <w:right w:val="single" w:sz="6" w:space="0" w:color="000000"/>
            </w:tcBorders>
            <w:shd w:val="clear" w:color="auto" w:fill="F9F9F9"/>
            <w:tcMar>
              <w:top w:w="120" w:type="dxa"/>
              <w:left w:w="120" w:type="dxa"/>
              <w:bottom w:w="120" w:type="dxa"/>
              <w:right w:w="120" w:type="dxa"/>
            </w:tcMar>
            <w:vAlign w:val="center"/>
            <w:hideMark/>
          </w:tcPr>
          <w:p w14:paraId="518FE239" w14:textId="77777777" w:rsidR="00B60D91" w:rsidRPr="003C1CFF" w:rsidRDefault="00B60D91" w:rsidP="00B60D91">
            <w:pPr>
              <w:jc w:val="left"/>
              <w:rPr>
                <w:b/>
                <w:bCs/>
              </w:rPr>
            </w:pPr>
          </w:p>
        </w:tc>
      </w:tr>
    </w:tbl>
    <w:p w14:paraId="21F815B3" w14:textId="77777777" w:rsidR="00B60D91" w:rsidRPr="003C1CFF" w:rsidRDefault="00B60D91" w:rsidP="00B60D91">
      <w:pPr>
        <w:jc w:val="left"/>
        <w:rPr>
          <w:b/>
          <w:bCs/>
        </w:rPr>
      </w:pPr>
      <w:r w:rsidRPr="003C1CFF">
        <w:rPr>
          <w:b/>
          <w:bCs/>
        </w:rPr>
        <w:t>Key Metrics &amp; Formulas:</w:t>
      </w:r>
      <w:r w:rsidRPr="003C1CFF">
        <w:br/>
      </w:r>
      <w:r w:rsidRPr="003C1CFF">
        <w:br/>
      </w:r>
      <w:r w:rsidRPr="003C1CFF">
        <w:rPr>
          <w:b/>
          <w:bCs/>
        </w:rPr>
        <w:t>1. Net Present Value (NPV):</w:t>
      </w:r>
      <w:r w:rsidRPr="003C1CFF">
        <w:t> (£7.25m) [REJECT]</w:t>
      </w:r>
      <w:r w:rsidRPr="003C1CFF">
        <w:br/>
      </w:r>
      <w:r w:rsidRPr="003C1CFF">
        <w:rPr>
          <w:i/>
          <w:iCs/>
        </w:rPr>
        <w:t>Formula:</w:t>
      </w:r>
      <w:r w:rsidRPr="003C1CFF">
        <w:t> </w:t>
      </w:r>
      <w:proofErr w:type="gramStart"/>
      <w:r w:rsidRPr="003C1CFF">
        <w:t>Σ(</w:t>
      </w:r>
      <w:proofErr w:type="gramEnd"/>
      <w:r w:rsidRPr="003C1CFF">
        <w:t>PV Inflows) - Initial Investment = 22.75 - 30.00</w:t>
      </w:r>
      <w:r w:rsidRPr="003C1CFF">
        <w:br/>
      </w:r>
      <w:r w:rsidRPr="003C1CFF">
        <w:br/>
      </w:r>
      <w:r w:rsidRPr="003C1CFF">
        <w:rPr>
          <w:b/>
          <w:bCs/>
        </w:rPr>
        <w:t>2. Payback Period (PBP):</w:t>
      </w:r>
      <w:r w:rsidRPr="003C1CFF">
        <w:t> 5.0 Years</w:t>
      </w:r>
      <w:r w:rsidRPr="003C1CFF">
        <w:br/>
      </w:r>
      <w:r w:rsidRPr="003C1CFF">
        <w:rPr>
          <w:i/>
          <w:iCs/>
        </w:rPr>
        <w:t>Calculation:</w:t>
      </w:r>
      <w:r w:rsidRPr="003C1CFF">
        <w:t> 30 Investment / 6 Annual Inflow = 5 Years (Breakeven at end of life)</w:t>
      </w:r>
      <w:r w:rsidRPr="003C1CFF">
        <w:br/>
      </w:r>
      <w:r w:rsidRPr="003C1CFF">
        <w:br/>
      </w:r>
      <w:r w:rsidRPr="003C1CFF">
        <w:rPr>
          <w:b/>
          <w:bCs/>
        </w:rPr>
        <w:t>3. Accounting Rate of Return (ARR):</w:t>
      </w:r>
      <w:r w:rsidRPr="003C1CFF">
        <w:t> 0.0%</w:t>
      </w:r>
      <w:r w:rsidRPr="003C1CFF">
        <w:br/>
      </w:r>
      <w:r w:rsidRPr="003C1CFF">
        <w:rPr>
          <w:i/>
          <w:iCs/>
        </w:rPr>
        <w:t>Calculation:</w:t>
      </w:r>
      <w:r w:rsidRPr="003C1CFF">
        <w:t> ((0 ÷ 5) / 15) = 0%</w:t>
      </w:r>
      <w:r w:rsidRPr="003C1CFF">
        <w:br/>
      </w:r>
      <w:r w:rsidRPr="003C1CFF">
        <w:br/>
      </w:r>
    </w:p>
    <w:p w14:paraId="01F322A1" w14:textId="49F0479C" w:rsidR="00B60D91" w:rsidRPr="003C1CFF" w:rsidRDefault="00B60D91" w:rsidP="00B60D91">
      <w:pPr>
        <w:jc w:val="left"/>
      </w:pPr>
      <w:r w:rsidRPr="003C1CFF">
        <w:rPr>
          <w:b/>
          <w:bCs/>
        </w:rPr>
        <w:lastRenderedPageBreak/>
        <w:t>4. Profitability Index (PI):</w:t>
      </w:r>
      <w:r w:rsidRPr="003C1CFF">
        <w:t> 0.76</w:t>
      </w:r>
      <w:r w:rsidRPr="003C1CFF">
        <w:br/>
      </w:r>
      <w:r w:rsidRPr="003C1CFF">
        <w:rPr>
          <w:i/>
          <w:iCs/>
        </w:rPr>
        <w:t>Formula:</w:t>
      </w:r>
      <w:r w:rsidRPr="003C1CFF">
        <w:t> 22.75 / 30.00</w:t>
      </w:r>
      <w:r w:rsidRPr="003C1CFF">
        <w:br/>
      </w:r>
      <w:r w:rsidRPr="003C1CFF">
        <w:br/>
      </w:r>
      <w:r w:rsidRPr="003C1CFF">
        <w:rPr>
          <w:b/>
          <w:bCs/>
        </w:rPr>
        <w:t>5. Internal Rate of Return (IRR):</w:t>
      </w:r>
      <w:r w:rsidRPr="003C1CFF">
        <w:t> 0.0%</w:t>
      </w:r>
      <w:r w:rsidRPr="003C1CFF">
        <w:br/>
      </w:r>
      <w:r w:rsidRPr="003C1CFF">
        <w:rPr>
          <w:i/>
          <w:iCs/>
        </w:rPr>
        <w:t>Note:</w:t>
      </w:r>
      <w:r w:rsidRPr="003C1CFF">
        <w:t> Total inflows exactly equal initial investment (undiscounted).</w:t>
      </w:r>
    </w:p>
    <w:p w14:paraId="67842558" w14:textId="77777777" w:rsidR="00B60D91" w:rsidRPr="003C1CFF" w:rsidRDefault="00B60D91" w:rsidP="00B60D91">
      <w:pPr>
        <w:jc w:val="left"/>
        <w:rPr>
          <w:b/>
          <w:bCs/>
        </w:rPr>
      </w:pPr>
      <w:r w:rsidRPr="003C1CFF">
        <w:rPr>
          <w:b/>
          <w:bCs/>
        </w:rPr>
        <w:t>Project C: Innovation (Investment: £50m)</w:t>
      </w:r>
    </w:p>
    <w:tbl>
      <w:tblPr>
        <w:tblW w:w="9910" w:type="dxa"/>
        <w:tblCellMar>
          <w:top w:w="15" w:type="dxa"/>
          <w:left w:w="15" w:type="dxa"/>
          <w:bottom w:w="15" w:type="dxa"/>
          <w:right w:w="15" w:type="dxa"/>
        </w:tblCellMar>
        <w:tblLook w:val="04A0" w:firstRow="1" w:lastRow="0" w:firstColumn="1" w:lastColumn="0" w:noHBand="0" w:noVBand="1"/>
      </w:tblPr>
      <w:tblGrid>
        <w:gridCol w:w="814"/>
        <w:gridCol w:w="1830"/>
        <w:gridCol w:w="2356"/>
        <w:gridCol w:w="2046"/>
        <w:gridCol w:w="2864"/>
      </w:tblGrid>
      <w:tr w:rsidR="003C1CFF" w:rsidRPr="003C1CFF" w14:paraId="0AF72A0A" w14:textId="77777777" w:rsidTr="00B60D91">
        <w:trPr>
          <w:tblHeader/>
        </w:trPr>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53999D47" w14:textId="77777777" w:rsidR="00B60D91" w:rsidRPr="003C1CFF" w:rsidRDefault="00B60D91" w:rsidP="00B60D91">
            <w:pPr>
              <w:jc w:val="left"/>
              <w:rPr>
                <w:b/>
                <w:bCs/>
              </w:rPr>
            </w:pPr>
            <w:r w:rsidRPr="003C1CFF">
              <w:rPr>
                <w:b/>
                <w:bCs/>
              </w:rPr>
              <w:t>Year</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47338462" w14:textId="77777777" w:rsidR="00B60D91" w:rsidRPr="003C1CFF" w:rsidRDefault="00B60D91" w:rsidP="00B60D91">
            <w:pPr>
              <w:jc w:val="left"/>
              <w:rPr>
                <w:b/>
                <w:bCs/>
              </w:rPr>
            </w:pPr>
            <w:r w:rsidRPr="003C1CFF">
              <w:rPr>
                <w:b/>
                <w:bCs/>
              </w:rPr>
              <w:t>Cash Flow (£m)</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1E6A8A68" w14:textId="77777777" w:rsidR="00B60D91" w:rsidRPr="003C1CFF" w:rsidRDefault="00B60D91" w:rsidP="00B60D91">
            <w:pPr>
              <w:jc w:val="left"/>
              <w:rPr>
                <w:b/>
                <w:bCs/>
              </w:rPr>
            </w:pPr>
            <w:r w:rsidRPr="003C1CFF">
              <w:rPr>
                <w:b/>
                <w:bCs/>
              </w:rPr>
              <w:t>Discount Factor (10%)</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784C7359" w14:textId="77777777" w:rsidR="00B60D91" w:rsidRPr="003C1CFF" w:rsidRDefault="00B60D91" w:rsidP="00B60D91">
            <w:pPr>
              <w:jc w:val="left"/>
              <w:rPr>
                <w:b/>
                <w:bCs/>
              </w:rPr>
            </w:pPr>
            <w:r w:rsidRPr="003C1CFF">
              <w:rPr>
                <w:b/>
                <w:bCs/>
              </w:rPr>
              <w:t>Present Value (£m)</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27F206AF" w14:textId="77777777" w:rsidR="00B60D91" w:rsidRPr="003C1CFF" w:rsidRDefault="00B60D91" w:rsidP="00B60D91">
            <w:pPr>
              <w:jc w:val="left"/>
              <w:rPr>
                <w:b/>
                <w:bCs/>
              </w:rPr>
            </w:pPr>
            <w:r w:rsidRPr="003C1CFF">
              <w:rPr>
                <w:b/>
                <w:bCs/>
              </w:rPr>
              <w:t>Cumulative Cash Flow (£m)</w:t>
            </w:r>
          </w:p>
        </w:tc>
      </w:tr>
      <w:tr w:rsidR="003C1CFF" w:rsidRPr="003C1CFF" w14:paraId="15E65B69"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7147987" w14:textId="77777777" w:rsidR="00B60D91" w:rsidRPr="003C1CFF" w:rsidRDefault="00B60D91" w:rsidP="00B60D91">
            <w:pPr>
              <w:jc w:val="left"/>
            </w:pPr>
            <w:r w:rsidRPr="003C1CFF">
              <w:t>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7871D36" w14:textId="77777777" w:rsidR="00B60D91" w:rsidRPr="003C1CFF" w:rsidRDefault="00B60D91" w:rsidP="00B60D91">
            <w:pPr>
              <w:jc w:val="left"/>
            </w:pPr>
            <w:r w:rsidRPr="003C1CFF">
              <w:t>(50.00)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5789369" w14:textId="77777777" w:rsidR="00B60D91" w:rsidRPr="003C1CFF" w:rsidRDefault="00B60D91" w:rsidP="00B60D91">
            <w:pPr>
              <w:jc w:val="left"/>
            </w:pPr>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DBBE11C" w14:textId="77777777" w:rsidR="00B60D91" w:rsidRPr="003C1CFF" w:rsidRDefault="00B60D91" w:rsidP="00B60D91">
            <w:pPr>
              <w:jc w:val="left"/>
            </w:pPr>
            <w:r w:rsidRPr="003C1CFF">
              <w:t>(50.00)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BB7D154" w14:textId="77777777" w:rsidR="00B60D91" w:rsidRPr="003C1CFF" w:rsidRDefault="00B60D91" w:rsidP="00B60D91">
            <w:pPr>
              <w:jc w:val="left"/>
            </w:pPr>
            <w:r w:rsidRPr="003C1CFF">
              <w:t>(50.00)</w:t>
            </w:r>
          </w:p>
        </w:tc>
      </w:tr>
      <w:tr w:rsidR="003C1CFF" w:rsidRPr="003C1CFF" w14:paraId="7F57921D"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14D8118" w14:textId="77777777" w:rsidR="00B60D91" w:rsidRPr="003C1CFF" w:rsidRDefault="00B60D91" w:rsidP="00B60D91">
            <w:pPr>
              <w:jc w:val="left"/>
            </w:pPr>
            <w:r w:rsidRPr="003C1CFF">
              <w:t>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55E472A" w14:textId="77777777" w:rsidR="00B60D91" w:rsidRPr="003C1CFF" w:rsidRDefault="00B60D91" w:rsidP="00B60D91">
            <w:pPr>
              <w:jc w:val="left"/>
            </w:pPr>
            <w:r w:rsidRPr="003C1CFF">
              <w:t>5.00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CDD011C" w14:textId="77777777" w:rsidR="00B60D91" w:rsidRPr="003C1CFF" w:rsidRDefault="00B60D91" w:rsidP="00B60D91">
            <w:pPr>
              <w:jc w:val="left"/>
            </w:pPr>
            <w:r w:rsidRPr="003C1CFF">
              <w:t>0.909</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5804365" w14:textId="77777777" w:rsidR="00B60D91" w:rsidRPr="003C1CFF" w:rsidRDefault="00B60D91" w:rsidP="00B60D91">
            <w:pPr>
              <w:jc w:val="left"/>
            </w:pPr>
            <w:r w:rsidRPr="003C1CFF">
              <w:t>4.55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4A66AB0" w14:textId="77777777" w:rsidR="00B60D91" w:rsidRPr="003C1CFF" w:rsidRDefault="00B60D91" w:rsidP="00B60D91">
            <w:pPr>
              <w:jc w:val="left"/>
            </w:pPr>
            <w:r w:rsidRPr="003C1CFF">
              <w:t>(45.00)</w:t>
            </w:r>
          </w:p>
        </w:tc>
      </w:tr>
      <w:tr w:rsidR="003C1CFF" w:rsidRPr="003C1CFF" w14:paraId="4289678A"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D8D5ADE" w14:textId="77777777" w:rsidR="00B60D91" w:rsidRPr="003C1CFF" w:rsidRDefault="00B60D91" w:rsidP="00B60D91">
            <w:pPr>
              <w:jc w:val="left"/>
            </w:pPr>
            <w:r w:rsidRPr="003C1CFF">
              <w:t>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2E3EC10" w14:textId="77777777" w:rsidR="00B60D91" w:rsidRPr="003C1CFF" w:rsidRDefault="00B60D91" w:rsidP="00B60D91">
            <w:pPr>
              <w:jc w:val="left"/>
            </w:pPr>
            <w:r w:rsidRPr="003C1CFF">
              <w:t>10.00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CE3ED7D" w14:textId="77777777" w:rsidR="00B60D91" w:rsidRPr="003C1CFF" w:rsidRDefault="00B60D91" w:rsidP="00B60D91">
            <w:pPr>
              <w:jc w:val="left"/>
            </w:pPr>
            <w:r w:rsidRPr="003C1CFF">
              <w:t>0.826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F1ABFC8" w14:textId="77777777" w:rsidR="00B60D91" w:rsidRPr="003C1CFF" w:rsidRDefault="00B60D91" w:rsidP="00B60D91">
            <w:pPr>
              <w:jc w:val="left"/>
            </w:pPr>
            <w:r w:rsidRPr="003C1CFF">
              <w:t>8.26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03C40A9" w14:textId="77777777" w:rsidR="00B60D91" w:rsidRPr="003C1CFF" w:rsidRDefault="00B60D91" w:rsidP="00B60D91">
            <w:pPr>
              <w:jc w:val="left"/>
            </w:pPr>
            <w:r w:rsidRPr="003C1CFF">
              <w:t>(35.00)</w:t>
            </w:r>
          </w:p>
        </w:tc>
      </w:tr>
      <w:tr w:rsidR="003C1CFF" w:rsidRPr="003C1CFF" w14:paraId="5A02675D"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C55F24D" w14:textId="77777777" w:rsidR="00B60D91" w:rsidRPr="003C1CFF" w:rsidRDefault="00B60D91" w:rsidP="00B60D91">
            <w:pPr>
              <w:jc w:val="left"/>
            </w:pPr>
            <w:r w:rsidRPr="003C1CFF">
              <w:t>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83D2D4A" w14:textId="77777777" w:rsidR="00B60D91" w:rsidRPr="003C1CFF" w:rsidRDefault="00B60D91" w:rsidP="00B60D91">
            <w:pPr>
              <w:jc w:val="left"/>
            </w:pPr>
            <w:r w:rsidRPr="003C1CFF">
              <w:t>20.00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DFF6E5C" w14:textId="77777777" w:rsidR="00B60D91" w:rsidRPr="003C1CFF" w:rsidRDefault="00B60D91" w:rsidP="00B60D91">
            <w:pPr>
              <w:jc w:val="left"/>
            </w:pPr>
            <w:r w:rsidRPr="003C1CFF">
              <w:t>0.751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B39B0A4" w14:textId="77777777" w:rsidR="00B60D91" w:rsidRPr="003C1CFF" w:rsidRDefault="00B60D91" w:rsidP="00B60D91">
            <w:pPr>
              <w:jc w:val="left"/>
            </w:pPr>
            <w:r w:rsidRPr="003C1CFF">
              <w:t>15.02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F3A48A9" w14:textId="77777777" w:rsidR="00B60D91" w:rsidRPr="003C1CFF" w:rsidRDefault="00B60D91" w:rsidP="00B60D91">
            <w:pPr>
              <w:jc w:val="left"/>
            </w:pPr>
            <w:r w:rsidRPr="003C1CFF">
              <w:t>(15.00)</w:t>
            </w:r>
          </w:p>
        </w:tc>
      </w:tr>
      <w:tr w:rsidR="003C1CFF" w:rsidRPr="003C1CFF" w14:paraId="4D17C07C"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944512C" w14:textId="77777777" w:rsidR="00B60D91" w:rsidRPr="003C1CFF" w:rsidRDefault="00B60D91" w:rsidP="00B60D91">
            <w:pPr>
              <w:jc w:val="left"/>
            </w:pPr>
            <w:r w:rsidRPr="003C1CFF">
              <w:t>4</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CEADE86" w14:textId="77777777" w:rsidR="00B60D91" w:rsidRPr="003C1CFF" w:rsidRDefault="00B60D91" w:rsidP="00B60D91">
            <w:pPr>
              <w:jc w:val="left"/>
            </w:pPr>
            <w:r w:rsidRPr="003C1CFF">
              <w:t>25.00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96796D8" w14:textId="77777777" w:rsidR="00B60D91" w:rsidRPr="003C1CFF" w:rsidRDefault="00B60D91" w:rsidP="00B60D91">
            <w:pPr>
              <w:jc w:val="left"/>
            </w:pPr>
            <w:r w:rsidRPr="003C1CFF">
              <w:t>0.683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6129FFB" w14:textId="77777777" w:rsidR="00B60D91" w:rsidRPr="003C1CFF" w:rsidRDefault="00B60D91" w:rsidP="00B60D91">
            <w:pPr>
              <w:jc w:val="left"/>
            </w:pPr>
            <w:r w:rsidRPr="003C1CFF">
              <w:t>17.08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3902CEA" w14:textId="77777777" w:rsidR="00B60D91" w:rsidRPr="003C1CFF" w:rsidRDefault="00B60D91" w:rsidP="00B60D91">
            <w:pPr>
              <w:jc w:val="left"/>
            </w:pPr>
            <w:r w:rsidRPr="003C1CFF">
              <w:t>10.00</w:t>
            </w:r>
          </w:p>
        </w:tc>
      </w:tr>
      <w:tr w:rsidR="003C1CFF" w:rsidRPr="003C1CFF" w14:paraId="4FF5945B"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234026B9" w14:textId="77777777" w:rsidR="00B60D91" w:rsidRPr="003C1CFF" w:rsidRDefault="00B60D91" w:rsidP="00B60D91">
            <w:pPr>
              <w:jc w:val="left"/>
            </w:pPr>
            <w:r w:rsidRPr="003C1CFF">
              <w:t>5</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F1A3A3B" w14:textId="77777777" w:rsidR="00B60D91" w:rsidRPr="003C1CFF" w:rsidRDefault="00B60D91" w:rsidP="00B60D91">
            <w:pPr>
              <w:jc w:val="left"/>
            </w:pPr>
            <w:r w:rsidRPr="003C1CFF">
              <w:t>15.00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C38DE05" w14:textId="77777777" w:rsidR="00B60D91" w:rsidRPr="003C1CFF" w:rsidRDefault="00B60D91" w:rsidP="00B60D91">
            <w:pPr>
              <w:jc w:val="left"/>
            </w:pPr>
            <w:r w:rsidRPr="003C1CFF">
              <w:t>0.621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CAA57F0" w14:textId="77777777" w:rsidR="00B60D91" w:rsidRPr="003C1CFF" w:rsidRDefault="00B60D91" w:rsidP="00B60D91">
            <w:pPr>
              <w:jc w:val="left"/>
            </w:pPr>
            <w:r w:rsidRPr="003C1CFF">
              <w:t>9.32</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DFC37CC" w14:textId="77777777" w:rsidR="00B60D91" w:rsidRPr="003C1CFF" w:rsidRDefault="00B60D91" w:rsidP="00B60D91">
            <w:pPr>
              <w:jc w:val="left"/>
            </w:pPr>
            <w:r w:rsidRPr="003C1CFF">
              <w:t>25.00</w:t>
            </w:r>
          </w:p>
        </w:tc>
      </w:tr>
      <w:tr w:rsidR="003C1CFF" w:rsidRPr="003C1CFF" w14:paraId="2233A68F" w14:textId="77777777" w:rsidTr="00B60D91">
        <w:tc>
          <w:tcPr>
            <w:tcW w:w="0" w:type="auto"/>
            <w:tcBorders>
              <w:top w:val="single" w:sz="6" w:space="0" w:color="000000"/>
              <w:left w:val="single" w:sz="6" w:space="0" w:color="000000"/>
              <w:bottom w:val="single" w:sz="6" w:space="0" w:color="000000"/>
              <w:right w:val="single" w:sz="6" w:space="0" w:color="000000"/>
            </w:tcBorders>
            <w:shd w:val="clear" w:color="auto" w:fill="DFF0D8"/>
            <w:tcMar>
              <w:top w:w="120" w:type="dxa"/>
              <w:left w:w="120" w:type="dxa"/>
              <w:bottom w:w="120" w:type="dxa"/>
              <w:right w:w="120" w:type="dxa"/>
            </w:tcMar>
            <w:vAlign w:val="center"/>
            <w:hideMark/>
          </w:tcPr>
          <w:p w14:paraId="1B493BA8" w14:textId="77777777" w:rsidR="00B60D91" w:rsidRPr="003C1CFF" w:rsidRDefault="00B60D91" w:rsidP="00B60D91">
            <w:pPr>
              <w:jc w:val="left"/>
              <w:rPr>
                <w:b/>
                <w:bCs/>
              </w:rPr>
            </w:pPr>
            <w:r w:rsidRPr="003C1CFF">
              <w:rPr>
                <w:b/>
                <w:bCs/>
              </w:rPr>
              <w:t>Total</w:t>
            </w:r>
          </w:p>
        </w:tc>
        <w:tc>
          <w:tcPr>
            <w:tcW w:w="0" w:type="auto"/>
            <w:tcBorders>
              <w:top w:val="single" w:sz="6" w:space="0" w:color="000000"/>
              <w:left w:val="single" w:sz="6" w:space="0" w:color="000000"/>
              <w:bottom w:val="single" w:sz="6" w:space="0" w:color="000000"/>
              <w:right w:val="single" w:sz="6" w:space="0" w:color="000000"/>
            </w:tcBorders>
            <w:shd w:val="clear" w:color="auto" w:fill="DFF0D8"/>
            <w:tcMar>
              <w:top w:w="120" w:type="dxa"/>
              <w:left w:w="120" w:type="dxa"/>
              <w:bottom w:w="120" w:type="dxa"/>
              <w:right w:w="120" w:type="dxa"/>
            </w:tcMar>
            <w:vAlign w:val="center"/>
            <w:hideMark/>
          </w:tcPr>
          <w:p w14:paraId="63825247" w14:textId="77777777" w:rsidR="00B60D91" w:rsidRPr="003C1CFF" w:rsidRDefault="00B60D91" w:rsidP="00B60D91">
            <w:pPr>
              <w:jc w:val="left"/>
              <w:rPr>
                <w:b/>
                <w:bCs/>
              </w:rPr>
            </w:pPr>
            <w:r w:rsidRPr="003C1CFF">
              <w:rPr>
                <w:b/>
                <w:bCs/>
              </w:rPr>
              <w:t>25.00 (Net Profit)</w:t>
            </w:r>
          </w:p>
        </w:tc>
        <w:tc>
          <w:tcPr>
            <w:tcW w:w="0" w:type="auto"/>
            <w:tcBorders>
              <w:top w:val="single" w:sz="6" w:space="0" w:color="000000"/>
              <w:left w:val="single" w:sz="6" w:space="0" w:color="000000"/>
              <w:bottom w:val="single" w:sz="6" w:space="0" w:color="000000"/>
              <w:right w:val="single" w:sz="6" w:space="0" w:color="000000"/>
            </w:tcBorders>
            <w:shd w:val="clear" w:color="auto" w:fill="DFF0D8"/>
            <w:tcMar>
              <w:top w:w="120" w:type="dxa"/>
              <w:left w:w="120" w:type="dxa"/>
              <w:bottom w:w="120" w:type="dxa"/>
              <w:right w:w="120" w:type="dxa"/>
            </w:tcMar>
            <w:vAlign w:val="center"/>
            <w:hideMark/>
          </w:tcPr>
          <w:p w14:paraId="199B5B1E" w14:textId="77777777" w:rsidR="00B60D91" w:rsidRPr="003C1CFF" w:rsidRDefault="00B60D91" w:rsidP="00B60D91">
            <w:pPr>
              <w:jc w:val="left"/>
              <w:rPr>
                <w:b/>
                <w:bCs/>
              </w:rPr>
            </w:pPr>
          </w:p>
        </w:tc>
        <w:tc>
          <w:tcPr>
            <w:tcW w:w="0" w:type="auto"/>
            <w:tcBorders>
              <w:top w:val="single" w:sz="6" w:space="0" w:color="000000"/>
              <w:left w:val="single" w:sz="6" w:space="0" w:color="000000"/>
              <w:bottom w:val="single" w:sz="6" w:space="0" w:color="000000"/>
              <w:right w:val="single" w:sz="6" w:space="0" w:color="000000"/>
            </w:tcBorders>
            <w:shd w:val="clear" w:color="auto" w:fill="DFF0D8"/>
            <w:tcMar>
              <w:top w:w="120" w:type="dxa"/>
              <w:left w:w="120" w:type="dxa"/>
              <w:bottom w:w="120" w:type="dxa"/>
              <w:right w:w="120" w:type="dxa"/>
            </w:tcMar>
            <w:vAlign w:val="center"/>
            <w:hideMark/>
          </w:tcPr>
          <w:p w14:paraId="780341E5" w14:textId="77777777" w:rsidR="00B60D91" w:rsidRPr="003C1CFF" w:rsidRDefault="00B60D91" w:rsidP="00B60D91">
            <w:pPr>
              <w:jc w:val="left"/>
              <w:rPr>
                <w:b/>
                <w:bCs/>
              </w:rPr>
            </w:pPr>
            <w:r w:rsidRPr="003C1CFF">
              <w:rPr>
                <w:b/>
                <w:bCs/>
              </w:rPr>
              <w:t>NPV: £4.23m</w:t>
            </w:r>
          </w:p>
        </w:tc>
        <w:tc>
          <w:tcPr>
            <w:tcW w:w="0" w:type="auto"/>
            <w:tcBorders>
              <w:top w:val="single" w:sz="6" w:space="0" w:color="000000"/>
              <w:left w:val="single" w:sz="6" w:space="0" w:color="000000"/>
              <w:bottom w:val="single" w:sz="6" w:space="0" w:color="000000"/>
              <w:right w:val="single" w:sz="6" w:space="0" w:color="000000"/>
            </w:tcBorders>
            <w:shd w:val="clear" w:color="auto" w:fill="DFF0D8"/>
            <w:tcMar>
              <w:top w:w="120" w:type="dxa"/>
              <w:left w:w="120" w:type="dxa"/>
              <w:bottom w:w="120" w:type="dxa"/>
              <w:right w:w="120" w:type="dxa"/>
            </w:tcMar>
            <w:vAlign w:val="center"/>
            <w:hideMark/>
          </w:tcPr>
          <w:p w14:paraId="3003F0A5" w14:textId="77777777" w:rsidR="00B60D91" w:rsidRPr="003C1CFF" w:rsidRDefault="00B60D91" w:rsidP="00B60D91">
            <w:pPr>
              <w:jc w:val="left"/>
              <w:rPr>
                <w:b/>
                <w:bCs/>
              </w:rPr>
            </w:pPr>
          </w:p>
        </w:tc>
      </w:tr>
    </w:tbl>
    <w:p w14:paraId="328993C4" w14:textId="77777777" w:rsidR="00B60D91" w:rsidRPr="003C1CFF" w:rsidRDefault="00B60D91" w:rsidP="00B60D91">
      <w:pPr>
        <w:jc w:val="left"/>
      </w:pPr>
      <w:r w:rsidRPr="003C1CFF">
        <w:rPr>
          <w:b/>
          <w:bCs/>
        </w:rPr>
        <w:lastRenderedPageBreak/>
        <w:t>Key Metrics &amp; Formulas:</w:t>
      </w:r>
      <w:r w:rsidRPr="003C1CFF">
        <w:br/>
      </w:r>
      <w:r w:rsidRPr="003C1CFF">
        <w:br/>
      </w:r>
      <w:r w:rsidRPr="003C1CFF">
        <w:rPr>
          <w:b/>
          <w:bCs/>
        </w:rPr>
        <w:t>1. Net Present Value (NPV):</w:t>
      </w:r>
      <w:r w:rsidRPr="003C1CFF">
        <w:t> £4.23m [ACCEPT]</w:t>
      </w:r>
      <w:r w:rsidRPr="003C1CFF">
        <w:br/>
      </w:r>
      <w:r w:rsidRPr="003C1CFF">
        <w:rPr>
          <w:i/>
          <w:iCs/>
        </w:rPr>
        <w:t>Formula:</w:t>
      </w:r>
      <w:r w:rsidRPr="003C1CFF">
        <w:t> </w:t>
      </w:r>
      <w:proofErr w:type="gramStart"/>
      <w:r w:rsidRPr="003C1CFF">
        <w:t>Σ(</w:t>
      </w:r>
      <w:proofErr w:type="gramEnd"/>
      <w:r w:rsidRPr="003C1CFF">
        <w:t>PV Inflows) - Initial Investment = 54.23 - 50.00</w:t>
      </w:r>
      <w:r w:rsidRPr="003C1CFF">
        <w:br/>
      </w:r>
      <w:r w:rsidRPr="003C1CFF">
        <w:br/>
      </w:r>
      <w:r w:rsidRPr="003C1CFF">
        <w:rPr>
          <w:b/>
          <w:bCs/>
        </w:rPr>
        <w:t>2. Payback Period (PBP):</w:t>
      </w:r>
      <w:r w:rsidRPr="003C1CFF">
        <w:t> 3.6 Years</w:t>
      </w:r>
      <w:r w:rsidRPr="003C1CFF">
        <w:br/>
      </w:r>
      <w:r w:rsidRPr="003C1CFF">
        <w:rPr>
          <w:i/>
          <w:iCs/>
        </w:rPr>
        <w:t>Calculation:</w:t>
      </w:r>
      <w:r w:rsidRPr="003C1CFF">
        <w:t> 3 Years + (15 Unrecovered / 25 Cash Flow in Year 4) = 3.6</w:t>
      </w:r>
      <w:r w:rsidRPr="003C1CFF">
        <w:br/>
      </w:r>
      <w:r w:rsidRPr="003C1CFF">
        <w:br/>
      </w:r>
      <w:r w:rsidRPr="003C1CFF">
        <w:rPr>
          <w:b/>
          <w:bCs/>
        </w:rPr>
        <w:t>3. Accounting Rate of Return (ARR):</w:t>
      </w:r>
      <w:r w:rsidRPr="003C1CFF">
        <w:t> 20.0%</w:t>
      </w:r>
      <w:r w:rsidRPr="003C1CFF">
        <w:br/>
      </w:r>
      <w:r w:rsidRPr="003C1CFF">
        <w:rPr>
          <w:i/>
          <w:iCs/>
        </w:rPr>
        <w:t>Calculation:</w:t>
      </w:r>
      <w:r w:rsidRPr="003C1CFF">
        <w:t> ((25 Profit ÷ 5) / ((50 + 0) ÷ 2)) = 5.0 / 25.0 = 20.0%</w:t>
      </w:r>
      <w:r w:rsidRPr="003C1CFF">
        <w:br/>
      </w:r>
      <w:r w:rsidRPr="003C1CFF">
        <w:br/>
      </w:r>
      <w:r w:rsidRPr="003C1CFF">
        <w:rPr>
          <w:b/>
          <w:bCs/>
        </w:rPr>
        <w:t>4. Profitability Index (PI):</w:t>
      </w:r>
      <w:r w:rsidRPr="003C1CFF">
        <w:t> 1.08</w:t>
      </w:r>
      <w:r w:rsidRPr="003C1CFF">
        <w:br/>
      </w:r>
      <w:r w:rsidRPr="003C1CFF">
        <w:rPr>
          <w:i/>
          <w:iCs/>
        </w:rPr>
        <w:t>Formula:</w:t>
      </w:r>
      <w:r w:rsidRPr="003C1CFF">
        <w:t> 54.23 / 50.00</w:t>
      </w:r>
      <w:r w:rsidRPr="003C1CFF">
        <w:br/>
      </w:r>
      <w:r w:rsidRPr="003C1CFF">
        <w:br/>
      </w:r>
      <w:r w:rsidRPr="003C1CFF">
        <w:rPr>
          <w:b/>
          <w:bCs/>
        </w:rPr>
        <w:t>5. Internal Rate of Return (IRR):</w:t>
      </w:r>
      <w:r w:rsidRPr="003C1CFF">
        <w:t> 12.86%</w:t>
      </w:r>
      <w:r w:rsidRPr="003C1CFF">
        <w:br/>
      </w:r>
      <w:r w:rsidRPr="003C1CFF">
        <w:rPr>
          <w:i/>
          <w:iCs/>
        </w:rPr>
        <w:t>Formula:</w:t>
      </w:r>
      <w:r w:rsidRPr="003C1CFF">
        <w:t> Linear Interpolation between 10% (NPV +4.23) and 15% (NPV -3.17)</w:t>
      </w:r>
    </w:p>
    <w:p w14:paraId="62F69B8B" w14:textId="77777777" w:rsidR="00B60D91" w:rsidRPr="003C1CFF" w:rsidRDefault="00B60D91" w:rsidP="00B60D91">
      <w:pPr>
        <w:jc w:val="left"/>
        <w:rPr>
          <w:b/>
          <w:bCs/>
        </w:rPr>
      </w:pPr>
      <w:r w:rsidRPr="003C1CFF">
        <w:rPr>
          <w:b/>
          <w:bCs/>
        </w:rPr>
        <w:t>Final Decision Summary</w:t>
      </w:r>
    </w:p>
    <w:tbl>
      <w:tblPr>
        <w:tblW w:w="9910" w:type="dxa"/>
        <w:tblCellMar>
          <w:top w:w="15" w:type="dxa"/>
          <w:left w:w="15" w:type="dxa"/>
          <w:bottom w:w="15" w:type="dxa"/>
          <w:right w:w="15" w:type="dxa"/>
        </w:tblCellMar>
        <w:tblLook w:val="04A0" w:firstRow="1" w:lastRow="0" w:firstColumn="1" w:lastColumn="0" w:noHBand="0" w:noVBand="1"/>
      </w:tblPr>
      <w:tblGrid>
        <w:gridCol w:w="2604"/>
        <w:gridCol w:w="1495"/>
        <w:gridCol w:w="1495"/>
        <w:gridCol w:w="1495"/>
        <w:gridCol w:w="2821"/>
      </w:tblGrid>
      <w:tr w:rsidR="003C1CFF" w:rsidRPr="003C1CFF" w14:paraId="48CB900D" w14:textId="77777777" w:rsidTr="00B60D91">
        <w:trPr>
          <w:tblHeader/>
        </w:trPr>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29BA1F6E" w14:textId="77777777" w:rsidR="00B60D91" w:rsidRPr="003C1CFF" w:rsidRDefault="00B60D91" w:rsidP="00B60D91">
            <w:pPr>
              <w:jc w:val="left"/>
              <w:rPr>
                <w:b/>
                <w:bCs/>
              </w:rPr>
            </w:pPr>
            <w:r w:rsidRPr="003C1CFF">
              <w:rPr>
                <w:b/>
                <w:bCs/>
              </w:rPr>
              <w:t>Metric</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64548312" w14:textId="77777777" w:rsidR="00B60D91" w:rsidRPr="003C1CFF" w:rsidRDefault="00B60D91" w:rsidP="00B60D91">
            <w:pPr>
              <w:jc w:val="left"/>
              <w:rPr>
                <w:b/>
                <w:bCs/>
              </w:rPr>
            </w:pPr>
            <w:r w:rsidRPr="003C1CFF">
              <w:rPr>
                <w:b/>
                <w:bCs/>
              </w:rPr>
              <w:t>Project A</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193527A7" w14:textId="77777777" w:rsidR="00B60D91" w:rsidRPr="003C1CFF" w:rsidRDefault="00B60D91" w:rsidP="00B60D91">
            <w:pPr>
              <w:jc w:val="left"/>
              <w:rPr>
                <w:b/>
                <w:bCs/>
              </w:rPr>
            </w:pPr>
            <w:r w:rsidRPr="003C1CFF">
              <w:rPr>
                <w:b/>
                <w:bCs/>
              </w:rPr>
              <w:t>Project B</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273EEA8A" w14:textId="77777777" w:rsidR="00B60D91" w:rsidRPr="003C1CFF" w:rsidRDefault="00B60D91" w:rsidP="00B60D91">
            <w:pPr>
              <w:jc w:val="left"/>
              <w:rPr>
                <w:b/>
                <w:bCs/>
              </w:rPr>
            </w:pPr>
            <w:r w:rsidRPr="003C1CFF">
              <w:rPr>
                <w:b/>
                <w:bCs/>
              </w:rPr>
              <w:t>Project C</w:t>
            </w:r>
          </w:p>
        </w:tc>
        <w:tc>
          <w:tcPr>
            <w:tcW w:w="0" w:type="auto"/>
            <w:tcBorders>
              <w:top w:val="single" w:sz="6" w:space="0" w:color="000000"/>
              <w:left w:val="single" w:sz="6" w:space="0" w:color="000000"/>
              <w:bottom w:val="single" w:sz="6" w:space="0" w:color="000000"/>
              <w:right w:val="single" w:sz="6" w:space="0" w:color="000000"/>
            </w:tcBorders>
            <w:shd w:val="clear" w:color="auto" w:fill="E0E0E0"/>
            <w:tcMar>
              <w:top w:w="120" w:type="dxa"/>
              <w:left w:w="120" w:type="dxa"/>
              <w:bottom w:w="120" w:type="dxa"/>
              <w:right w:w="120" w:type="dxa"/>
            </w:tcMar>
            <w:vAlign w:val="center"/>
            <w:hideMark/>
          </w:tcPr>
          <w:p w14:paraId="33B884CE" w14:textId="77777777" w:rsidR="00B60D91" w:rsidRPr="003C1CFF" w:rsidRDefault="00B60D91" w:rsidP="00B60D91">
            <w:pPr>
              <w:jc w:val="left"/>
              <w:rPr>
                <w:b/>
                <w:bCs/>
              </w:rPr>
            </w:pPr>
            <w:r w:rsidRPr="003C1CFF">
              <w:rPr>
                <w:b/>
                <w:bCs/>
              </w:rPr>
              <w:t>Decision Criteria</w:t>
            </w:r>
          </w:p>
        </w:tc>
      </w:tr>
      <w:tr w:rsidR="003C1CFF" w:rsidRPr="003C1CFF" w14:paraId="2CEDBA24"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4622BEC" w14:textId="77777777" w:rsidR="00B60D91" w:rsidRPr="003C1CFF" w:rsidRDefault="00B60D91" w:rsidP="00B60D91">
            <w:pPr>
              <w:jc w:val="left"/>
            </w:pPr>
            <w:r w:rsidRPr="003C1CFF">
              <w:rPr>
                <w:b/>
                <w:bCs/>
              </w:rPr>
              <w:t>Initial Cost</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053BD77A" w14:textId="77777777" w:rsidR="00B60D91" w:rsidRPr="003C1CFF" w:rsidRDefault="00B60D91" w:rsidP="00B60D91">
            <w:pPr>
              <w:jc w:val="left"/>
            </w:pPr>
            <w:r w:rsidRPr="003C1CFF">
              <w:t>£40m</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3C61585" w14:textId="77777777" w:rsidR="00B60D91" w:rsidRPr="003C1CFF" w:rsidRDefault="00B60D91" w:rsidP="00B60D91">
            <w:pPr>
              <w:jc w:val="left"/>
            </w:pPr>
            <w:r w:rsidRPr="003C1CFF">
              <w:t>£30m</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13483FB" w14:textId="77777777" w:rsidR="00B60D91" w:rsidRPr="003C1CFF" w:rsidRDefault="00B60D91" w:rsidP="00B60D91">
            <w:pPr>
              <w:jc w:val="left"/>
            </w:pPr>
            <w:r w:rsidRPr="003C1CFF">
              <w:t>£50m</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6B806E8" w14:textId="77777777" w:rsidR="00B60D91" w:rsidRPr="003C1CFF" w:rsidRDefault="00B60D91" w:rsidP="00B60D91">
            <w:pPr>
              <w:jc w:val="left"/>
            </w:pPr>
            <w:r w:rsidRPr="003C1CFF">
              <w:t>Must be &lt; £60m</w:t>
            </w:r>
          </w:p>
        </w:tc>
      </w:tr>
      <w:tr w:rsidR="003C1CFF" w:rsidRPr="003C1CFF" w14:paraId="218C0235"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70AB1F9" w14:textId="77777777" w:rsidR="00B60D91" w:rsidRPr="003C1CFF" w:rsidRDefault="00B60D91" w:rsidP="00B60D91">
            <w:pPr>
              <w:jc w:val="left"/>
            </w:pPr>
            <w:r w:rsidRPr="003C1CFF">
              <w:rPr>
                <w:b/>
                <w:bCs/>
              </w:rPr>
              <w:t>NPV</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05A6E75" w14:textId="77777777" w:rsidR="00B60D91" w:rsidRPr="003C1CFF" w:rsidRDefault="00B60D91" w:rsidP="00B60D91">
            <w:pPr>
              <w:jc w:val="left"/>
            </w:pPr>
            <w:r w:rsidRPr="003C1CFF">
              <w:t>£1.31m</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84C3F8B" w14:textId="77777777" w:rsidR="00B60D91" w:rsidRPr="003C1CFF" w:rsidRDefault="00B60D91" w:rsidP="00B60D91">
            <w:pPr>
              <w:jc w:val="left"/>
            </w:pPr>
            <w:r w:rsidRPr="003C1CFF">
              <w:t>(£7.25m)</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02E8473" w14:textId="77777777" w:rsidR="00B60D91" w:rsidRPr="003C1CFF" w:rsidRDefault="00B60D91" w:rsidP="00B60D91">
            <w:pPr>
              <w:jc w:val="left"/>
            </w:pPr>
            <w:r w:rsidRPr="003C1CFF">
              <w:rPr>
                <w:b/>
                <w:bCs/>
              </w:rPr>
              <w:t>£4.23m</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39BF828" w14:textId="77777777" w:rsidR="00B60D91" w:rsidRPr="003C1CFF" w:rsidRDefault="00B60D91" w:rsidP="00B60D91">
            <w:pPr>
              <w:jc w:val="left"/>
            </w:pPr>
            <w:r w:rsidRPr="003C1CFF">
              <w:t>Maximize Wealth</w:t>
            </w:r>
          </w:p>
        </w:tc>
      </w:tr>
      <w:tr w:rsidR="003C1CFF" w:rsidRPr="003C1CFF" w14:paraId="28733628"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33D5F68" w14:textId="77777777" w:rsidR="00B60D91" w:rsidRPr="003C1CFF" w:rsidRDefault="00B60D91" w:rsidP="00B60D91">
            <w:pPr>
              <w:jc w:val="left"/>
            </w:pPr>
            <w:r w:rsidRPr="003C1CFF">
              <w:rPr>
                <w:b/>
                <w:bCs/>
              </w:rPr>
              <w:t>IRR</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3481DC71" w14:textId="77777777" w:rsidR="00B60D91" w:rsidRPr="003C1CFF" w:rsidRDefault="00B60D91" w:rsidP="00B60D91">
            <w:pPr>
              <w:jc w:val="left"/>
            </w:pPr>
            <w:r w:rsidRPr="003C1CFF">
              <w:t>11.41%</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4F2B5B6" w14:textId="77777777" w:rsidR="00B60D91" w:rsidRPr="003C1CFF" w:rsidRDefault="00B60D91" w:rsidP="00B60D91">
            <w:pPr>
              <w:jc w:val="left"/>
            </w:pPr>
            <w:r w:rsidRPr="003C1CFF">
              <w:t>0.00%</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1E31FF14" w14:textId="77777777" w:rsidR="00B60D91" w:rsidRPr="003C1CFF" w:rsidRDefault="00B60D91" w:rsidP="00B60D91">
            <w:pPr>
              <w:jc w:val="left"/>
            </w:pPr>
            <w:r w:rsidRPr="003C1CFF">
              <w:rPr>
                <w:b/>
                <w:bCs/>
              </w:rPr>
              <w:t>12.86%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7F1374C2" w14:textId="77777777" w:rsidR="00B60D91" w:rsidRPr="003C1CFF" w:rsidRDefault="00B60D91" w:rsidP="00B60D91">
            <w:pPr>
              <w:jc w:val="left"/>
            </w:pPr>
            <w:r w:rsidRPr="003C1CFF">
              <w:t>Highest Efficiency</w:t>
            </w:r>
          </w:p>
        </w:tc>
      </w:tr>
      <w:tr w:rsidR="003C1CFF" w:rsidRPr="003C1CFF" w14:paraId="6E557E27" w14:textId="77777777" w:rsidTr="00B60D91">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66F163C9" w14:textId="77777777" w:rsidR="00B60D91" w:rsidRPr="003C1CFF" w:rsidRDefault="00B60D91" w:rsidP="00B60D91">
            <w:pPr>
              <w:jc w:val="left"/>
            </w:pPr>
            <w:r w:rsidRPr="003C1CFF">
              <w:rPr>
                <w:b/>
                <w:bCs/>
              </w:rPr>
              <w:lastRenderedPageBreak/>
              <w:t>PI</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558E0C41" w14:textId="77777777" w:rsidR="00B60D91" w:rsidRPr="003C1CFF" w:rsidRDefault="00B60D91" w:rsidP="00B60D91">
            <w:pPr>
              <w:jc w:val="left"/>
            </w:pPr>
            <w:r w:rsidRPr="003C1CFF">
              <w:t>1.03</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5790B94" w14:textId="77777777" w:rsidR="00B60D91" w:rsidRPr="003C1CFF" w:rsidRDefault="00B60D91" w:rsidP="00B60D91">
            <w:pPr>
              <w:jc w:val="left"/>
            </w:pPr>
            <w:r w:rsidRPr="003C1CFF">
              <w:t>0.76</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FBE112B" w14:textId="77777777" w:rsidR="00B60D91" w:rsidRPr="003C1CFF" w:rsidRDefault="00B60D91" w:rsidP="00B60D91">
            <w:pPr>
              <w:jc w:val="left"/>
            </w:pPr>
            <w:r w:rsidRPr="003C1CFF">
              <w:rPr>
                <w:b/>
                <w:bCs/>
              </w:rPr>
              <w:t>1.08</w:t>
            </w:r>
          </w:p>
        </w:tc>
        <w:tc>
          <w:tcPr>
            <w:tcW w:w="0" w:type="auto"/>
            <w:tcBorders>
              <w:top w:val="single" w:sz="6" w:space="0" w:color="000000"/>
              <w:left w:val="single" w:sz="6" w:space="0" w:color="000000"/>
              <w:bottom w:val="single" w:sz="6" w:space="0" w:color="000000"/>
              <w:right w:val="single" w:sz="6" w:space="0" w:color="000000"/>
            </w:tcBorders>
            <w:tcMar>
              <w:top w:w="120" w:type="dxa"/>
              <w:left w:w="120" w:type="dxa"/>
              <w:bottom w:w="120" w:type="dxa"/>
              <w:right w:w="120" w:type="dxa"/>
            </w:tcMar>
            <w:vAlign w:val="center"/>
            <w:hideMark/>
          </w:tcPr>
          <w:p w14:paraId="49A587BF" w14:textId="77777777" w:rsidR="00B60D91" w:rsidRPr="003C1CFF" w:rsidRDefault="00B60D91" w:rsidP="00B60D91">
            <w:pPr>
              <w:jc w:val="left"/>
            </w:pPr>
            <w:r w:rsidRPr="003C1CFF">
              <w:t>Value per £ Invested</w:t>
            </w:r>
          </w:p>
        </w:tc>
      </w:tr>
      <w:tr w:rsidR="003C1CFF" w:rsidRPr="003C1CFF" w14:paraId="6CD0FCA3" w14:textId="77777777" w:rsidTr="00B60D91">
        <w:tc>
          <w:tcPr>
            <w:tcW w:w="0" w:type="auto"/>
            <w:tcBorders>
              <w:top w:val="single" w:sz="6" w:space="0" w:color="000000"/>
              <w:left w:val="single" w:sz="6" w:space="0" w:color="000000"/>
              <w:bottom w:val="single" w:sz="6" w:space="0" w:color="000000"/>
              <w:right w:val="single" w:sz="6" w:space="0" w:color="000000"/>
            </w:tcBorders>
            <w:shd w:val="clear" w:color="auto" w:fill="DFF0D8"/>
            <w:tcMar>
              <w:top w:w="120" w:type="dxa"/>
              <w:left w:w="120" w:type="dxa"/>
              <w:bottom w:w="120" w:type="dxa"/>
              <w:right w:w="120" w:type="dxa"/>
            </w:tcMar>
            <w:vAlign w:val="center"/>
            <w:hideMark/>
          </w:tcPr>
          <w:p w14:paraId="60D5A137" w14:textId="77777777" w:rsidR="00B60D91" w:rsidRPr="003C1CFF" w:rsidRDefault="00B60D91" w:rsidP="00B60D91">
            <w:pPr>
              <w:jc w:val="left"/>
              <w:rPr>
                <w:b/>
                <w:bCs/>
              </w:rPr>
            </w:pPr>
            <w:r w:rsidRPr="003C1CFF">
              <w:rPr>
                <w:b/>
                <w:bCs/>
              </w:rPr>
              <w:t>Recommendation</w:t>
            </w:r>
          </w:p>
        </w:tc>
        <w:tc>
          <w:tcPr>
            <w:tcW w:w="0" w:type="auto"/>
            <w:tcBorders>
              <w:top w:val="single" w:sz="6" w:space="0" w:color="000000"/>
              <w:left w:val="single" w:sz="6" w:space="0" w:color="000000"/>
              <w:bottom w:val="single" w:sz="6" w:space="0" w:color="000000"/>
              <w:right w:val="single" w:sz="6" w:space="0" w:color="000000"/>
            </w:tcBorders>
            <w:shd w:val="clear" w:color="auto" w:fill="DFF0D8"/>
            <w:tcMar>
              <w:top w:w="120" w:type="dxa"/>
              <w:left w:w="120" w:type="dxa"/>
              <w:bottom w:w="120" w:type="dxa"/>
              <w:right w:w="120" w:type="dxa"/>
            </w:tcMar>
            <w:vAlign w:val="center"/>
            <w:hideMark/>
          </w:tcPr>
          <w:p w14:paraId="7E96AF57" w14:textId="77777777" w:rsidR="00B60D91" w:rsidRPr="003C1CFF" w:rsidRDefault="00B60D91" w:rsidP="00B60D91">
            <w:pPr>
              <w:jc w:val="left"/>
              <w:rPr>
                <w:b/>
                <w:bCs/>
              </w:rPr>
            </w:pPr>
            <w:r w:rsidRPr="003C1CFF">
              <w:rPr>
                <w:b/>
                <w:bCs/>
              </w:rPr>
              <w:t>Reject</w:t>
            </w:r>
          </w:p>
        </w:tc>
        <w:tc>
          <w:tcPr>
            <w:tcW w:w="0" w:type="auto"/>
            <w:tcBorders>
              <w:top w:val="single" w:sz="6" w:space="0" w:color="000000"/>
              <w:left w:val="single" w:sz="6" w:space="0" w:color="000000"/>
              <w:bottom w:val="single" w:sz="6" w:space="0" w:color="000000"/>
              <w:right w:val="single" w:sz="6" w:space="0" w:color="000000"/>
            </w:tcBorders>
            <w:shd w:val="clear" w:color="auto" w:fill="DFF0D8"/>
            <w:tcMar>
              <w:top w:w="120" w:type="dxa"/>
              <w:left w:w="120" w:type="dxa"/>
              <w:bottom w:w="120" w:type="dxa"/>
              <w:right w:w="120" w:type="dxa"/>
            </w:tcMar>
            <w:vAlign w:val="center"/>
            <w:hideMark/>
          </w:tcPr>
          <w:p w14:paraId="75D1A02D" w14:textId="77777777" w:rsidR="00B60D91" w:rsidRPr="003C1CFF" w:rsidRDefault="00B60D91" w:rsidP="00B60D91">
            <w:pPr>
              <w:jc w:val="left"/>
              <w:rPr>
                <w:b/>
                <w:bCs/>
              </w:rPr>
            </w:pPr>
            <w:r w:rsidRPr="003C1CFF">
              <w:rPr>
                <w:b/>
                <w:bCs/>
              </w:rPr>
              <w:t>Reject</w:t>
            </w:r>
          </w:p>
        </w:tc>
        <w:tc>
          <w:tcPr>
            <w:tcW w:w="0" w:type="auto"/>
            <w:tcBorders>
              <w:top w:val="single" w:sz="6" w:space="0" w:color="000000"/>
              <w:left w:val="single" w:sz="6" w:space="0" w:color="000000"/>
              <w:bottom w:val="single" w:sz="6" w:space="0" w:color="000000"/>
              <w:right w:val="single" w:sz="6" w:space="0" w:color="000000"/>
            </w:tcBorders>
            <w:shd w:val="clear" w:color="auto" w:fill="DFF0D8"/>
            <w:tcMar>
              <w:top w:w="120" w:type="dxa"/>
              <w:left w:w="120" w:type="dxa"/>
              <w:bottom w:w="120" w:type="dxa"/>
              <w:right w:w="120" w:type="dxa"/>
            </w:tcMar>
            <w:vAlign w:val="center"/>
            <w:hideMark/>
          </w:tcPr>
          <w:p w14:paraId="05FADD0E" w14:textId="77777777" w:rsidR="00B60D91" w:rsidRPr="003C1CFF" w:rsidRDefault="00B60D91" w:rsidP="00B60D91">
            <w:pPr>
              <w:jc w:val="left"/>
              <w:rPr>
                <w:b/>
                <w:bCs/>
              </w:rPr>
            </w:pPr>
            <w:r w:rsidRPr="003C1CFF">
              <w:rPr>
                <w:b/>
                <w:bCs/>
              </w:rPr>
              <w:t>ACCEPT</w:t>
            </w:r>
          </w:p>
        </w:tc>
        <w:tc>
          <w:tcPr>
            <w:tcW w:w="0" w:type="auto"/>
            <w:tcBorders>
              <w:top w:val="single" w:sz="6" w:space="0" w:color="000000"/>
              <w:left w:val="single" w:sz="6" w:space="0" w:color="000000"/>
              <w:bottom w:val="single" w:sz="6" w:space="0" w:color="000000"/>
              <w:right w:val="single" w:sz="6" w:space="0" w:color="000000"/>
            </w:tcBorders>
            <w:shd w:val="clear" w:color="auto" w:fill="DFF0D8"/>
            <w:tcMar>
              <w:top w:w="120" w:type="dxa"/>
              <w:left w:w="120" w:type="dxa"/>
              <w:bottom w:w="120" w:type="dxa"/>
              <w:right w:w="120" w:type="dxa"/>
            </w:tcMar>
            <w:vAlign w:val="center"/>
            <w:hideMark/>
          </w:tcPr>
          <w:p w14:paraId="03FF1B8F" w14:textId="77777777" w:rsidR="00B60D91" w:rsidRPr="003C1CFF" w:rsidRDefault="00B60D91" w:rsidP="00B60D91">
            <w:pPr>
              <w:jc w:val="left"/>
              <w:rPr>
                <w:b/>
                <w:bCs/>
              </w:rPr>
            </w:pPr>
            <w:r w:rsidRPr="003C1CFF">
              <w:rPr>
                <w:b/>
                <w:bCs/>
              </w:rPr>
              <w:t>Select Project C</w:t>
            </w:r>
          </w:p>
        </w:tc>
      </w:tr>
    </w:tbl>
    <w:p w14:paraId="3423E3F6" w14:textId="332FAB12" w:rsidR="008B6964" w:rsidRPr="003C1CFF" w:rsidRDefault="008B6964" w:rsidP="008B6964">
      <w:pPr>
        <w:jc w:val="left"/>
      </w:pPr>
    </w:p>
    <w:p w14:paraId="5FED2C08" w14:textId="77777777" w:rsidR="008B6964" w:rsidRPr="003C1CFF" w:rsidRDefault="008B6964" w:rsidP="00563CFE">
      <w:pPr>
        <w:pStyle w:val="Heading2"/>
        <w:rPr>
          <w:color w:val="auto"/>
        </w:rPr>
      </w:pPr>
      <w:bookmarkStart w:id="28" w:name="_Toc217265217"/>
      <w:r w:rsidRPr="003C1CFF">
        <w:rPr>
          <w:color w:val="auto"/>
        </w:rPr>
        <w:t>Appendix F: Methodology and Data Verification</w:t>
      </w:r>
      <w:bookmarkEnd w:id="28"/>
    </w:p>
    <w:p w14:paraId="28BF1CAE" w14:textId="77777777" w:rsidR="008B6964" w:rsidRPr="003C1CFF" w:rsidRDefault="008B6964" w:rsidP="008B6964">
      <w:r w:rsidRPr="003C1CFF">
        <w:rPr>
          <w:i/>
          <w:iCs/>
        </w:rPr>
        <w:t>The following notes detail the source data and formulas used to ensure strategic accuracy.</w:t>
      </w:r>
    </w:p>
    <w:p w14:paraId="46BBF6A8" w14:textId="77777777" w:rsidR="008B6964" w:rsidRPr="003C1CFF" w:rsidRDefault="008B6964" w:rsidP="008B6964">
      <w:r w:rsidRPr="003C1CFF">
        <w:rPr>
          <w:b/>
          <w:bCs/>
        </w:rPr>
        <w:t>1. Profitability &amp; ROCE</w:t>
      </w:r>
    </w:p>
    <w:p w14:paraId="33F274C2" w14:textId="77777777" w:rsidR="008B6964" w:rsidRPr="003C1CFF" w:rsidRDefault="008B6964" w:rsidP="008B6964">
      <w:pPr>
        <w:numPr>
          <w:ilvl w:val="0"/>
          <w:numId w:val="1"/>
        </w:numPr>
      </w:pPr>
      <w:r w:rsidRPr="003C1CFF">
        <w:rPr>
          <w:b/>
          <w:bCs/>
        </w:rPr>
        <w:t>Operating Income:</w:t>
      </w:r>
      <w:r w:rsidRPr="003C1CFF">
        <w:t> Uses "Operating income (loss)" line from the Income Statement (EBIT).</w:t>
      </w:r>
    </w:p>
    <w:p w14:paraId="7775F543" w14:textId="77777777" w:rsidR="008B6964" w:rsidRPr="003C1CFF" w:rsidRDefault="008B6964" w:rsidP="008B6964">
      <w:pPr>
        <w:numPr>
          <w:ilvl w:val="0"/>
          <w:numId w:val="1"/>
        </w:numPr>
      </w:pPr>
      <w:r w:rsidRPr="003C1CFF">
        <w:rPr>
          <w:b/>
          <w:bCs/>
        </w:rPr>
        <w:t>ROCE Calculation:</w:t>
      </w:r>
      <w:r w:rsidRPr="003C1CFF">
        <w:t> The denominator used is </w:t>
      </w:r>
      <w:r w:rsidRPr="003C1CFF">
        <w:rPr>
          <w:i/>
          <w:iCs/>
        </w:rPr>
        <w:t>Capital Employed</w:t>
      </w:r>
      <w:r w:rsidRPr="003C1CFF">
        <w:t>, defined as </w:t>
      </w:r>
      <w:r w:rsidRPr="003C1CFF">
        <w:rPr>
          <w:b/>
          <w:bCs/>
        </w:rPr>
        <w:t>Total Assets minus Current Liabilities</w:t>
      </w:r>
      <w:r w:rsidRPr="003C1CFF">
        <w:t>. This accurately measures the long-term capital invested in the business.</w:t>
      </w:r>
      <w:r w:rsidRPr="003C1CFF">
        <w:br/>
      </w:r>
      <w:r w:rsidRPr="003C1CFF">
        <w:rPr>
          <w:i/>
          <w:iCs/>
        </w:rPr>
        <w:t>Verification (2024): (15,297) / (323,354 - 158,291) = -9.27%.</w:t>
      </w:r>
    </w:p>
    <w:p w14:paraId="034F13CA" w14:textId="77777777" w:rsidR="008B6964" w:rsidRPr="003C1CFF" w:rsidRDefault="008B6964" w:rsidP="008B6964">
      <w:r w:rsidRPr="003C1CFF">
        <w:rPr>
          <w:b/>
          <w:bCs/>
        </w:rPr>
        <w:t>2. Gearing (Debt-to-Equity)</w:t>
      </w:r>
    </w:p>
    <w:p w14:paraId="0BB6D705" w14:textId="77777777" w:rsidR="008B6964" w:rsidRPr="003C1CFF" w:rsidRDefault="008B6964" w:rsidP="008B6964">
      <w:pPr>
        <w:numPr>
          <w:ilvl w:val="0"/>
          <w:numId w:val="2"/>
        </w:numPr>
      </w:pPr>
      <w:r w:rsidRPr="003C1CFF">
        <w:rPr>
          <w:b/>
          <w:bCs/>
        </w:rPr>
        <w:t>Definition of Debt:</w:t>
      </w:r>
      <w:r w:rsidRPr="003C1CFF">
        <w:t> "Total Debt" is strictly defined as </w:t>
      </w:r>
      <w:r w:rsidRPr="003C1CFF">
        <w:rPr>
          <w:b/>
          <w:bCs/>
        </w:rPr>
        <w:t>Interest-Bearing Liabilities</w:t>
      </w:r>
      <w:r w:rsidRPr="003C1CFF">
        <w:t> (Lines of Credit + Leases).</w:t>
      </w:r>
    </w:p>
    <w:p w14:paraId="00639BDC" w14:textId="77777777" w:rsidR="008B6964" w:rsidRPr="003C1CFF" w:rsidRDefault="008B6964" w:rsidP="008B6964">
      <w:pPr>
        <w:numPr>
          <w:ilvl w:val="0"/>
          <w:numId w:val="2"/>
        </w:numPr>
      </w:pPr>
      <w:r w:rsidRPr="003C1CFF">
        <w:rPr>
          <w:b/>
          <w:bCs/>
        </w:rPr>
        <w:t>Formula Inputs:</w:t>
      </w:r>
      <w:r w:rsidRPr="003C1CFF">
        <w:t> Total Debt = Lines of Credit (Current) + Operating Lease Obligations (Long-Term).</w:t>
      </w:r>
    </w:p>
    <w:p w14:paraId="403C9F49" w14:textId="672416DE" w:rsidR="00C849C6" w:rsidRPr="003C1CFF" w:rsidRDefault="008B6964" w:rsidP="008B6964">
      <w:pPr>
        <w:numPr>
          <w:ilvl w:val="0"/>
          <w:numId w:val="2"/>
        </w:numPr>
      </w:pPr>
      <w:r w:rsidRPr="003C1CFF">
        <w:rPr>
          <w:b/>
          <w:bCs/>
        </w:rPr>
        <w:lastRenderedPageBreak/>
        <w:t>Justification:</w:t>
      </w:r>
      <w:r w:rsidRPr="003C1CFF">
        <w:t> Including Accounts Payable in "Total Debt" would distort the leverage ratio, as trade credit is non-interest bearing.</w:t>
      </w:r>
      <w:r w:rsidRPr="003C1CFF">
        <w:br/>
      </w:r>
      <w:r w:rsidRPr="003C1CFF">
        <w:rPr>
          <w:i/>
          <w:iCs/>
        </w:rPr>
        <w:t>Verification (2024): (£36,960 + £9,232) / £153,105 = 30.17%.</w:t>
      </w:r>
    </w:p>
    <w:p w14:paraId="70B78D56" w14:textId="77777777" w:rsidR="008B6964" w:rsidRPr="003C1CFF" w:rsidRDefault="008B6964" w:rsidP="008B6964">
      <w:r w:rsidRPr="003C1CFF">
        <w:rPr>
          <w:b/>
          <w:bCs/>
        </w:rPr>
        <w:t>3. Efficiency Ratios (Days Calculation)</w:t>
      </w:r>
    </w:p>
    <w:p w14:paraId="4CB61C25" w14:textId="77777777" w:rsidR="008B6964" w:rsidRPr="003C1CFF" w:rsidRDefault="008B6964" w:rsidP="008B6964">
      <w:pPr>
        <w:numPr>
          <w:ilvl w:val="0"/>
          <w:numId w:val="3"/>
        </w:numPr>
      </w:pPr>
      <w:r w:rsidRPr="003C1CFF">
        <w:rPr>
          <w:b/>
          <w:bCs/>
        </w:rPr>
        <w:t>Convention:</w:t>
      </w:r>
      <w:r w:rsidRPr="003C1CFF">
        <w:t> A 365-day year is used for all "Days" calculations.</w:t>
      </w:r>
    </w:p>
    <w:p w14:paraId="016293AF" w14:textId="77777777" w:rsidR="008B6964" w:rsidRPr="003C1CFF" w:rsidRDefault="008B6964" w:rsidP="008B6964">
      <w:pPr>
        <w:numPr>
          <w:ilvl w:val="0"/>
          <w:numId w:val="3"/>
        </w:numPr>
      </w:pPr>
      <w:r w:rsidRPr="003C1CFF">
        <w:rPr>
          <w:b/>
          <w:bCs/>
        </w:rPr>
        <w:t>Receivable Days:</w:t>
      </w:r>
      <w:r w:rsidRPr="003C1CFF">
        <w:t> Calculated as (Accounts Receivable / Sales) × 365.</w:t>
      </w:r>
      <w:r w:rsidRPr="003C1CFF">
        <w:br/>
      </w:r>
      <w:r w:rsidRPr="003C1CFF">
        <w:rPr>
          <w:i/>
          <w:iCs/>
        </w:rPr>
        <w:t>Verification (2024): (114,182 / 394,879) * 365 = 105.5 (rounded to 106).</w:t>
      </w:r>
    </w:p>
    <w:p w14:paraId="3DC844B1" w14:textId="77777777" w:rsidR="008B6964" w:rsidRPr="003C1CFF" w:rsidRDefault="008B6964" w:rsidP="008B6964"/>
    <w:p w14:paraId="470002E8" w14:textId="77777777" w:rsidR="008B6964" w:rsidRPr="003C1CFF" w:rsidRDefault="008B6964" w:rsidP="008B6964"/>
    <w:p w14:paraId="667C63F5" w14:textId="77777777" w:rsidR="00041D9D" w:rsidRPr="003C1CFF" w:rsidRDefault="00041D9D" w:rsidP="00041D9D"/>
    <w:sectPr w:rsidR="00041D9D" w:rsidRPr="003C1CFF" w:rsidSect="001F3316">
      <w:footerReference w:type="default" r:id="rId15"/>
      <w:pgSz w:w="12240" w:h="15840" w:code="1"/>
      <w:pgMar w:top="1701" w:right="1418" w:bottom="1418" w:left="1418" w:header="720" w:footer="720" w:gutter="0"/>
      <w:pgBorders w:offsetFrom="page">
        <w:top w:val="single" w:sz="4" w:space="24" w:color="auto"/>
        <w:left w:val="single" w:sz="4" w:space="24" w:color="auto"/>
        <w:bottom w:val="single" w:sz="4" w:space="24" w:color="auto"/>
        <w:right w:val="single" w:sz="4" w:space="24" w:color="auto"/>
      </w:pgBorders>
      <w:cols w:space="720"/>
      <w:docGrid w:linePitch="36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5741B" w14:textId="77777777" w:rsidR="004628D1" w:rsidRDefault="004628D1" w:rsidP="00041D9D">
      <w:pPr>
        <w:spacing w:before="0" w:after="0" w:line="240" w:lineRule="auto"/>
      </w:pPr>
      <w:r>
        <w:separator/>
      </w:r>
    </w:p>
  </w:endnote>
  <w:endnote w:type="continuationSeparator" w:id="0">
    <w:p w14:paraId="482C7ECB" w14:textId="77777777" w:rsidR="004628D1" w:rsidRDefault="004628D1" w:rsidP="00041D9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9850674"/>
      <w:docPartObj>
        <w:docPartGallery w:val="Page Numbers (Bottom of Page)"/>
        <w:docPartUnique/>
      </w:docPartObj>
    </w:sdtPr>
    <w:sdtEndPr>
      <w:rPr>
        <w:color w:val="7F7F7F" w:themeColor="background1" w:themeShade="7F"/>
        <w:spacing w:val="60"/>
      </w:rPr>
    </w:sdtEndPr>
    <w:sdtContent>
      <w:p w14:paraId="5EA8F7B8" w14:textId="7577DF13" w:rsidR="005A01FA" w:rsidRDefault="005A01FA">
        <w:pPr>
          <w:pStyle w:val="Footer"/>
          <w:pBdr>
            <w:top w:val="single" w:sz="4" w:space="1" w:color="D9D9D9" w:themeColor="background1" w:themeShade="D9"/>
          </w:pBdr>
          <w:jc w:val="right"/>
        </w:pPr>
        <w:r>
          <w:fldChar w:fldCharType="begin"/>
        </w:r>
        <w:r>
          <w:instrText xml:space="preserve"> PAGE   \* MERGEFORMAT </w:instrText>
        </w:r>
        <w:r>
          <w:fldChar w:fldCharType="separate"/>
        </w:r>
        <w:r w:rsidR="00233B7E">
          <w:rPr>
            <w:noProof/>
          </w:rPr>
          <w:t>1</w:t>
        </w:r>
        <w:r>
          <w:rPr>
            <w:noProof/>
          </w:rPr>
          <w:fldChar w:fldCharType="end"/>
        </w:r>
        <w:r>
          <w:t xml:space="preserve"> | </w:t>
        </w:r>
        <w:r>
          <w:rPr>
            <w:color w:val="7F7F7F" w:themeColor="background1" w:themeShade="7F"/>
            <w:spacing w:val="60"/>
          </w:rPr>
          <w:t>Page</w:t>
        </w:r>
      </w:p>
    </w:sdtContent>
  </w:sdt>
  <w:p w14:paraId="133438C5" w14:textId="77777777" w:rsidR="005A01FA" w:rsidRDefault="005A01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279E6" w14:textId="77777777" w:rsidR="004628D1" w:rsidRDefault="004628D1" w:rsidP="00041D9D">
      <w:pPr>
        <w:spacing w:before="0" w:after="0" w:line="240" w:lineRule="auto"/>
      </w:pPr>
      <w:r>
        <w:separator/>
      </w:r>
    </w:p>
  </w:footnote>
  <w:footnote w:type="continuationSeparator" w:id="0">
    <w:p w14:paraId="7B24AAD7" w14:textId="77777777" w:rsidR="004628D1" w:rsidRDefault="004628D1" w:rsidP="00041D9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A06F9"/>
    <w:multiLevelType w:val="hybridMultilevel"/>
    <w:tmpl w:val="6292D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027FA2"/>
    <w:multiLevelType w:val="multilevel"/>
    <w:tmpl w:val="715E9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027E33"/>
    <w:multiLevelType w:val="hybridMultilevel"/>
    <w:tmpl w:val="5C94039E"/>
    <w:lvl w:ilvl="0" w:tplc="CD90CBA0">
      <w:numFmt w:val="bullet"/>
      <w:lvlText w:val=""/>
      <w:lvlJc w:val="left"/>
      <w:pPr>
        <w:ind w:left="760" w:hanging="40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FF1E3F"/>
    <w:multiLevelType w:val="multilevel"/>
    <w:tmpl w:val="F8126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F96000"/>
    <w:multiLevelType w:val="multilevel"/>
    <w:tmpl w:val="3C760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1500086">
    <w:abstractNumId w:val="3"/>
  </w:num>
  <w:num w:numId="2" w16cid:durableId="1236168475">
    <w:abstractNumId w:val="4"/>
  </w:num>
  <w:num w:numId="3" w16cid:durableId="1925801878">
    <w:abstractNumId w:val="1"/>
  </w:num>
  <w:num w:numId="4" w16cid:durableId="1215192163">
    <w:abstractNumId w:val="0"/>
  </w:num>
  <w:num w:numId="5" w16cid:durableId="7407152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35"/>
  <w:drawingGridVerticalSpacing w:val="367"/>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1D9D"/>
    <w:rsid w:val="00041D9D"/>
    <w:rsid w:val="00084B4A"/>
    <w:rsid w:val="000C68EC"/>
    <w:rsid w:val="001457B4"/>
    <w:rsid w:val="00182AA5"/>
    <w:rsid w:val="001F3316"/>
    <w:rsid w:val="002315F8"/>
    <w:rsid w:val="00233B7E"/>
    <w:rsid w:val="003C1CFF"/>
    <w:rsid w:val="004322BB"/>
    <w:rsid w:val="00442553"/>
    <w:rsid w:val="00457FD7"/>
    <w:rsid w:val="004628D1"/>
    <w:rsid w:val="00484C8E"/>
    <w:rsid w:val="004B5322"/>
    <w:rsid w:val="00530C3F"/>
    <w:rsid w:val="0054186E"/>
    <w:rsid w:val="00563CFE"/>
    <w:rsid w:val="005A01FA"/>
    <w:rsid w:val="005E6FC3"/>
    <w:rsid w:val="006065A9"/>
    <w:rsid w:val="00634ECD"/>
    <w:rsid w:val="007D1BA2"/>
    <w:rsid w:val="00874BCA"/>
    <w:rsid w:val="008B6964"/>
    <w:rsid w:val="0094620A"/>
    <w:rsid w:val="00953B85"/>
    <w:rsid w:val="0095790A"/>
    <w:rsid w:val="009B4C64"/>
    <w:rsid w:val="009D6020"/>
    <w:rsid w:val="00A11099"/>
    <w:rsid w:val="00A20338"/>
    <w:rsid w:val="00A61585"/>
    <w:rsid w:val="00AA240F"/>
    <w:rsid w:val="00B37D16"/>
    <w:rsid w:val="00B60D91"/>
    <w:rsid w:val="00BD1ABB"/>
    <w:rsid w:val="00BE22AA"/>
    <w:rsid w:val="00C15CE0"/>
    <w:rsid w:val="00C20AC0"/>
    <w:rsid w:val="00C849C6"/>
    <w:rsid w:val="00CE0000"/>
    <w:rsid w:val="00CE43F0"/>
    <w:rsid w:val="00D24652"/>
    <w:rsid w:val="00E1304C"/>
    <w:rsid w:val="00E95CB3"/>
    <w:rsid w:val="00F1688D"/>
    <w:rsid w:val="00F55433"/>
    <w:rsid w:val="00F620FC"/>
    <w:rsid w:val="00F707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DAE4F"/>
  <w15:chartTrackingRefBased/>
  <w15:docId w15:val="{78F3C5BC-A164-41C0-AA2D-066F5E6C6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sz w:val="24"/>
        <w:szCs w:val="24"/>
        <w:lang w:val="en-US" w:eastAsia="en-US" w:bidi="ar-SA"/>
      </w:rPr>
    </w:rPrDefault>
    <w:pPrDefault>
      <w:pPr>
        <w:spacing w:before="3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0AC0"/>
    <w:pPr>
      <w:keepNext/>
      <w:keepLines/>
      <w:spacing w:before="24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1688D"/>
    <w:pPr>
      <w:keepNext/>
      <w:keepLines/>
      <w:spacing w:before="4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semiHidden/>
    <w:unhideWhenUsed/>
    <w:qFormat/>
    <w:rsid w:val="00B60D91"/>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1688D"/>
    <w:rPr>
      <w:rFonts w:eastAsiaTheme="majorEastAsia" w:cstheme="majorBidi"/>
      <w:color w:val="2E74B5" w:themeColor="accent1" w:themeShade="BF"/>
      <w:sz w:val="28"/>
      <w:szCs w:val="26"/>
      <w:lang w:val="en-GB"/>
    </w:rPr>
  </w:style>
  <w:style w:type="character" w:customStyle="1" w:styleId="Heading1Char">
    <w:name w:val="Heading 1 Char"/>
    <w:basedOn w:val="DefaultParagraphFont"/>
    <w:link w:val="Heading1"/>
    <w:uiPriority w:val="9"/>
    <w:rsid w:val="00C20AC0"/>
    <w:rPr>
      <w:rFonts w:eastAsiaTheme="majorEastAsia" w:cstheme="majorBidi"/>
      <w:color w:val="2E74B5" w:themeColor="accent1" w:themeShade="BF"/>
      <w:sz w:val="32"/>
      <w:szCs w:val="32"/>
      <w:lang w:val="en-GB"/>
    </w:rPr>
  </w:style>
  <w:style w:type="paragraph" w:styleId="Header">
    <w:name w:val="header"/>
    <w:basedOn w:val="Normal"/>
    <w:link w:val="HeaderChar"/>
    <w:uiPriority w:val="99"/>
    <w:unhideWhenUsed/>
    <w:rsid w:val="00041D9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41D9D"/>
  </w:style>
  <w:style w:type="paragraph" w:styleId="Footer">
    <w:name w:val="footer"/>
    <w:basedOn w:val="Normal"/>
    <w:link w:val="FooterChar"/>
    <w:uiPriority w:val="99"/>
    <w:unhideWhenUsed/>
    <w:rsid w:val="00041D9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41D9D"/>
  </w:style>
  <w:style w:type="paragraph" w:styleId="TOCHeading">
    <w:name w:val="TOC Heading"/>
    <w:basedOn w:val="Heading1"/>
    <w:next w:val="Normal"/>
    <w:uiPriority w:val="39"/>
    <w:unhideWhenUsed/>
    <w:qFormat/>
    <w:rsid w:val="00AA240F"/>
    <w:pPr>
      <w:spacing w:after="0" w:line="259" w:lineRule="auto"/>
      <w:jc w:val="left"/>
      <w:outlineLvl w:val="9"/>
    </w:pPr>
    <w:rPr>
      <w:rFonts w:asciiTheme="majorHAnsi" w:hAnsiTheme="majorHAnsi"/>
    </w:rPr>
  </w:style>
  <w:style w:type="paragraph" w:styleId="TOC1">
    <w:name w:val="toc 1"/>
    <w:basedOn w:val="Normal"/>
    <w:next w:val="Normal"/>
    <w:autoRedefine/>
    <w:uiPriority w:val="39"/>
    <w:unhideWhenUsed/>
    <w:rsid w:val="00AA240F"/>
    <w:pPr>
      <w:spacing w:after="100"/>
    </w:pPr>
  </w:style>
  <w:style w:type="paragraph" w:styleId="TOC2">
    <w:name w:val="toc 2"/>
    <w:basedOn w:val="Normal"/>
    <w:next w:val="Normal"/>
    <w:autoRedefine/>
    <w:uiPriority w:val="39"/>
    <w:unhideWhenUsed/>
    <w:rsid w:val="00AA240F"/>
    <w:pPr>
      <w:spacing w:after="100"/>
      <w:ind w:left="240"/>
    </w:pPr>
  </w:style>
  <w:style w:type="character" w:styleId="Hyperlink">
    <w:name w:val="Hyperlink"/>
    <w:basedOn w:val="DefaultParagraphFont"/>
    <w:uiPriority w:val="99"/>
    <w:unhideWhenUsed/>
    <w:rsid w:val="00AA240F"/>
    <w:rPr>
      <w:color w:val="0563C1" w:themeColor="hyperlink"/>
      <w:u w:val="single"/>
    </w:rPr>
  </w:style>
  <w:style w:type="paragraph" w:styleId="ListParagraph">
    <w:name w:val="List Paragraph"/>
    <w:basedOn w:val="Normal"/>
    <w:uiPriority w:val="34"/>
    <w:qFormat/>
    <w:rsid w:val="00C849C6"/>
    <w:pPr>
      <w:ind w:left="720"/>
      <w:contextualSpacing/>
    </w:pPr>
  </w:style>
  <w:style w:type="character" w:customStyle="1" w:styleId="Heading3Char">
    <w:name w:val="Heading 3 Char"/>
    <w:basedOn w:val="DefaultParagraphFont"/>
    <w:link w:val="Heading3"/>
    <w:uiPriority w:val="9"/>
    <w:semiHidden/>
    <w:rsid w:val="00B60D91"/>
    <w:rPr>
      <w:rFonts w:asciiTheme="majorHAnsi" w:eastAsiaTheme="majorEastAsia" w:hAnsiTheme="majorHAnsi" w:cstheme="majorBidi"/>
      <w:color w:val="1F4D78" w:themeColor="accent1" w:themeShade="7F"/>
    </w:rPr>
  </w:style>
  <w:style w:type="paragraph" w:styleId="NormalWeb">
    <w:name w:val="Normal (Web)"/>
    <w:basedOn w:val="Normal"/>
    <w:uiPriority w:val="99"/>
    <w:semiHidden/>
    <w:unhideWhenUsed/>
    <w:rsid w:val="00E1304C"/>
    <w:pPr>
      <w:spacing w:before="100" w:beforeAutospacing="1" w:after="100" w:afterAutospacing="1" w:line="240" w:lineRule="auto"/>
      <w:jc w:val="left"/>
    </w:pPr>
    <w:rPr>
      <w:rFonts w:ascii="Times New Roman" w:eastAsia="Times New Roman" w:hAnsi="Times New Roman"/>
    </w:rPr>
  </w:style>
  <w:style w:type="character" w:styleId="Strong">
    <w:name w:val="Strong"/>
    <w:basedOn w:val="DefaultParagraphFont"/>
    <w:uiPriority w:val="22"/>
    <w:qFormat/>
    <w:rsid w:val="00E1304C"/>
    <w:rPr>
      <w:b/>
      <w:bCs/>
    </w:rPr>
  </w:style>
  <w:style w:type="character" w:styleId="Emphasis">
    <w:name w:val="Emphasis"/>
    <w:basedOn w:val="DefaultParagraphFont"/>
    <w:uiPriority w:val="20"/>
    <w:qFormat/>
    <w:rsid w:val="00E1304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4748258">
      <w:bodyDiv w:val="1"/>
      <w:marLeft w:val="0"/>
      <w:marRight w:val="0"/>
      <w:marTop w:val="0"/>
      <w:marBottom w:val="0"/>
      <w:divBdr>
        <w:top w:val="none" w:sz="0" w:space="0" w:color="auto"/>
        <w:left w:val="none" w:sz="0" w:space="0" w:color="auto"/>
        <w:bottom w:val="none" w:sz="0" w:space="0" w:color="auto"/>
        <w:right w:val="none" w:sz="0" w:space="0" w:color="auto"/>
      </w:divBdr>
    </w:div>
    <w:div w:id="676351738">
      <w:bodyDiv w:val="1"/>
      <w:marLeft w:val="0"/>
      <w:marRight w:val="0"/>
      <w:marTop w:val="0"/>
      <w:marBottom w:val="0"/>
      <w:divBdr>
        <w:top w:val="none" w:sz="0" w:space="0" w:color="auto"/>
        <w:left w:val="none" w:sz="0" w:space="0" w:color="auto"/>
        <w:bottom w:val="none" w:sz="0" w:space="0" w:color="auto"/>
        <w:right w:val="none" w:sz="0" w:space="0" w:color="auto"/>
      </w:divBdr>
    </w:div>
    <w:div w:id="724639623">
      <w:bodyDiv w:val="1"/>
      <w:marLeft w:val="0"/>
      <w:marRight w:val="0"/>
      <w:marTop w:val="0"/>
      <w:marBottom w:val="0"/>
      <w:divBdr>
        <w:top w:val="none" w:sz="0" w:space="0" w:color="auto"/>
        <w:left w:val="none" w:sz="0" w:space="0" w:color="auto"/>
        <w:bottom w:val="none" w:sz="0" w:space="0" w:color="auto"/>
        <w:right w:val="none" w:sz="0" w:space="0" w:color="auto"/>
      </w:divBdr>
      <w:divsChild>
        <w:div w:id="264773826">
          <w:marLeft w:val="0"/>
          <w:marRight w:val="0"/>
          <w:marTop w:val="0"/>
          <w:marBottom w:val="300"/>
          <w:divBdr>
            <w:top w:val="single" w:sz="6" w:space="11" w:color="CCCCCC"/>
            <w:left w:val="single" w:sz="6" w:space="11" w:color="CCCCCC"/>
            <w:bottom w:val="single" w:sz="6" w:space="11" w:color="CCCCCC"/>
            <w:right w:val="single" w:sz="6" w:space="11" w:color="CCCCCC"/>
          </w:divBdr>
        </w:div>
        <w:div w:id="715809691">
          <w:marLeft w:val="0"/>
          <w:marRight w:val="0"/>
          <w:marTop w:val="0"/>
          <w:marBottom w:val="300"/>
          <w:divBdr>
            <w:top w:val="single" w:sz="6" w:space="11" w:color="CCCCCC"/>
            <w:left w:val="single" w:sz="6" w:space="11" w:color="CCCCCC"/>
            <w:bottom w:val="single" w:sz="6" w:space="11" w:color="CCCCCC"/>
            <w:right w:val="single" w:sz="6" w:space="11" w:color="CCCCCC"/>
          </w:divBdr>
        </w:div>
        <w:div w:id="2053921682">
          <w:marLeft w:val="0"/>
          <w:marRight w:val="0"/>
          <w:marTop w:val="0"/>
          <w:marBottom w:val="300"/>
          <w:divBdr>
            <w:top w:val="single" w:sz="6" w:space="11" w:color="CCCCCC"/>
            <w:left w:val="single" w:sz="6" w:space="11" w:color="CCCCCC"/>
            <w:bottom w:val="single" w:sz="6" w:space="11" w:color="CCCCCC"/>
            <w:right w:val="single" w:sz="6" w:space="11" w:color="CCCCCC"/>
          </w:divBdr>
        </w:div>
      </w:divsChild>
    </w:div>
    <w:div w:id="1231889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Profitability</a:t>
            </a:r>
            <a:r>
              <a:rPr lang="en-US" baseline="0"/>
              <a:t> Ratios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Sheet1!$R$6</c:f>
              <c:strCache>
                <c:ptCount val="1"/>
                <c:pt idx="0">
                  <c:v>Gross Margin</c:v>
                </c:pt>
              </c:strCache>
            </c:strRef>
          </c:tx>
          <c:spPr>
            <a:ln w="28575" cap="rnd">
              <a:solidFill>
                <a:schemeClr val="accent1"/>
              </a:solidFill>
              <a:round/>
            </a:ln>
            <a:effectLst/>
          </c:spPr>
          <c:marker>
            <c:symbol val="none"/>
          </c:marker>
          <c:cat>
            <c:numRef>
              <c:f>Sheet1!$S$5:$W$5</c:f>
              <c:numCache>
                <c:formatCode>General</c:formatCode>
                <c:ptCount val="5"/>
                <c:pt idx="0">
                  <c:v>2020</c:v>
                </c:pt>
                <c:pt idx="1">
                  <c:v>2021</c:v>
                </c:pt>
                <c:pt idx="2">
                  <c:v>2022</c:v>
                </c:pt>
                <c:pt idx="3">
                  <c:v>2023</c:v>
                </c:pt>
                <c:pt idx="4">
                  <c:v>2024</c:v>
                </c:pt>
              </c:numCache>
            </c:numRef>
          </c:cat>
          <c:val>
            <c:numRef>
              <c:f>Sheet1!$S$6:$W$6</c:f>
              <c:numCache>
                <c:formatCode>0.00%</c:formatCode>
                <c:ptCount val="5"/>
                <c:pt idx="0">
                  <c:v>0.28670000000000001</c:v>
                </c:pt>
                <c:pt idx="1">
                  <c:v>0.28760000000000002</c:v>
                </c:pt>
                <c:pt idx="2">
                  <c:v>0.28060000000000002</c:v>
                </c:pt>
                <c:pt idx="3">
                  <c:v>0.23200000000000001</c:v>
                </c:pt>
                <c:pt idx="4">
                  <c:v>0.28870000000000001</c:v>
                </c:pt>
              </c:numCache>
            </c:numRef>
          </c:val>
          <c:smooth val="0"/>
          <c:extLst>
            <c:ext xmlns:c16="http://schemas.microsoft.com/office/drawing/2014/chart" uri="{C3380CC4-5D6E-409C-BE32-E72D297353CC}">
              <c16:uniqueId val="{00000000-49CE-457F-ABCE-B64F407B6634}"/>
            </c:ext>
          </c:extLst>
        </c:ser>
        <c:ser>
          <c:idx val="1"/>
          <c:order val="1"/>
          <c:tx>
            <c:strRef>
              <c:f>Sheet1!$R$7</c:f>
              <c:strCache>
                <c:ptCount val="1"/>
                <c:pt idx="0">
                  <c:v>Operating Margin</c:v>
                </c:pt>
              </c:strCache>
            </c:strRef>
          </c:tx>
          <c:spPr>
            <a:ln w="28575" cap="rnd">
              <a:solidFill>
                <a:schemeClr val="accent2"/>
              </a:solidFill>
              <a:round/>
            </a:ln>
            <a:effectLst/>
          </c:spPr>
          <c:marker>
            <c:symbol val="none"/>
          </c:marker>
          <c:cat>
            <c:numRef>
              <c:f>Sheet1!$S$5:$W$5</c:f>
              <c:numCache>
                <c:formatCode>General</c:formatCode>
                <c:ptCount val="5"/>
                <c:pt idx="0">
                  <c:v>2020</c:v>
                </c:pt>
                <c:pt idx="1">
                  <c:v>2021</c:v>
                </c:pt>
                <c:pt idx="2">
                  <c:v>2022</c:v>
                </c:pt>
                <c:pt idx="3">
                  <c:v>2023</c:v>
                </c:pt>
                <c:pt idx="4">
                  <c:v>2024</c:v>
                </c:pt>
              </c:numCache>
            </c:numRef>
          </c:cat>
          <c:val>
            <c:numRef>
              <c:f>Sheet1!$S$7:$W$7</c:f>
              <c:numCache>
                <c:formatCode>0.00%</c:formatCode>
                <c:ptCount val="5"/>
                <c:pt idx="0">
                  <c:v>6.0600000000000001E-2</c:v>
                </c:pt>
                <c:pt idx="1">
                  <c:v>3.8699999999999998E-2</c:v>
                </c:pt>
                <c:pt idx="2">
                  <c:v>2.6800000000000001E-2</c:v>
                </c:pt>
                <c:pt idx="3">
                  <c:v>-0.2029</c:v>
                </c:pt>
                <c:pt idx="4">
                  <c:v>-3.8699999999999998E-2</c:v>
                </c:pt>
              </c:numCache>
            </c:numRef>
          </c:val>
          <c:smooth val="0"/>
          <c:extLst>
            <c:ext xmlns:c16="http://schemas.microsoft.com/office/drawing/2014/chart" uri="{C3380CC4-5D6E-409C-BE32-E72D297353CC}">
              <c16:uniqueId val="{00000001-49CE-457F-ABCE-B64F407B6634}"/>
            </c:ext>
          </c:extLst>
        </c:ser>
        <c:ser>
          <c:idx val="2"/>
          <c:order val="2"/>
          <c:tx>
            <c:strRef>
              <c:f>Sheet1!$R$8</c:f>
              <c:strCache>
                <c:ptCount val="1"/>
                <c:pt idx="0">
                  <c:v>Net Profit Margin</c:v>
                </c:pt>
              </c:strCache>
            </c:strRef>
          </c:tx>
          <c:spPr>
            <a:ln w="28575" cap="rnd">
              <a:solidFill>
                <a:schemeClr val="accent3"/>
              </a:solidFill>
              <a:round/>
            </a:ln>
            <a:effectLst/>
          </c:spPr>
          <c:marker>
            <c:symbol val="none"/>
          </c:marker>
          <c:cat>
            <c:numRef>
              <c:f>Sheet1!$S$5:$W$5</c:f>
              <c:numCache>
                <c:formatCode>General</c:formatCode>
                <c:ptCount val="5"/>
                <c:pt idx="0">
                  <c:v>2020</c:v>
                </c:pt>
                <c:pt idx="1">
                  <c:v>2021</c:v>
                </c:pt>
                <c:pt idx="2">
                  <c:v>2022</c:v>
                </c:pt>
                <c:pt idx="3">
                  <c:v>2023</c:v>
                </c:pt>
                <c:pt idx="4">
                  <c:v>2024</c:v>
                </c:pt>
              </c:numCache>
            </c:numRef>
          </c:cat>
          <c:val>
            <c:numRef>
              <c:f>Sheet1!$S$8:$W$8</c:f>
              <c:numCache>
                <c:formatCode>0.00%</c:formatCode>
                <c:ptCount val="5"/>
                <c:pt idx="0">
                  <c:v>6.2799999999999995E-2</c:v>
                </c:pt>
                <c:pt idx="1">
                  <c:v>8.8000000000000005E-3</c:v>
                </c:pt>
                <c:pt idx="2">
                  <c:v>6.9999999999999999E-4</c:v>
                </c:pt>
                <c:pt idx="3">
                  <c:v>-0.2336</c:v>
                </c:pt>
                <c:pt idx="4">
                  <c:v>-6.0900000000000003E-2</c:v>
                </c:pt>
              </c:numCache>
            </c:numRef>
          </c:val>
          <c:smooth val="0"/>
          <c:extLst>
            <c:ext xmlns:c16="http://schemas.microsoft.com/office/drawing/2014/chart" uri="{C3380CC4-5D6E-409C-BE32-E72D297353CC}">
              <c16:uniqueId val="{00000002-49CE-457F-ABCE-B64F407B6634}"/>
            </c:ext>
          </c:extLst>
        </c:ser>
        <c:ser>
          <c:idx val="3"/>
          <c:order val="3"/>
          <c:tx>
            <c:strRef>
              <c:f>Sheet1!$R$9</c:f>
              <c:strCache>
                <c:ptCount val="1"/>
                <c:pt idx="0">
                  <c:v>ROCE</c:v>
                </c:pt>
              </c:strCache>
            </c:strRef>
          </c:tx>
          <c:spPr>
            <a:ln w="28575" cap="rnd">
              <a:solidFill>
                <a:schemeClr val="accent4"/>
              </a:solidFill>
              <a:round/>
            </a:ln>
            <a:effectLst/>
          </c:spPr>
          <c:marker>
            <c:symbol val="none"/>
          </c:marker>
          <c:cat>
            <c:numRef>
              <c:f>Sheet1!$S$5:$W$5</c:f>
              <c:numCache>
                <c:formatCode>General</c:formatCode>
                <c:ptCount val="5"/>
                <c:pt idx="0">
                  <c:v>2020</c:v>
                </c:pt>
                <c:pt idx="1">
                  <c:v>2021</c:v>
                </c:pt>
                <c:pt idx="2">
                  <c:v>2022</c:v>
                </c:pt>
                <c:pt idx="3">
                  <c:v>2023</c:v>
                </c:pt>
                <c:pt idx="4">
                  <c:v>2024</c:v>
                </c:pt>
              </c:numCache>
            </c:numRef>
          </c:cat>
          <c:val>
            <c:numRef>
              <c:f>Sheet1!$S$9:$W$9</c:f>
              <c:numCache>
                <c:formatCode>0.00%</c:formatCode>
                <c:ptCount val="5"/>
                <c:pt idx="0">
                  <c:v>0.11269999999999999</c:v>
                </c:pt>
                <c:pt idx="1">
                  <c:v>7.9200000000000007E-2</c:v>
                </c:pt>
                <c:pt idx="2">
                  <c:v>5.0599999999999999E-2</c:v>
                </c:pt>
                <c:pt idx="3">
                  <c:v>-0.43809999999999999</c:v>
                </c:pt>
                <c:pt idx="4">
                  <c:v>-9.2700000000000005E-2</c:v>
                </c:pt>
              </c:numCache>
            </c:numRef>
          </c:val>
          <c:smooth val="0"/>
          <c:extLst>
            <c:ext xmlns:c16="http://schemas.microsoft.com/office/drawing/2014/chart" uri="{C3380CC4-5D6E-409C-BE32-E72D297353CC}">
              <c16:uniqueId val="{00000003-49CE-457F-ABCE-B64F407B6634}"/>
            </c:ext>
          </c:extLst>
        </c:ser>
        <c:dLbls>
          <c:showLegendKey val="0"/>
          <c:showVal val="0"/>
          <c:showCatName val="0"/>
          <c:showSerName val="0"/>
          <c:showPercent val="0"/>
          <c:showBubbleSize val="0"/>
        </c:dLbls>
        <c:smooth val="0"/>
        <c:axId val="479403896"/>
        <c:axId val="479403568"/>
      </c:lineChart>
      <c:catAx>
        <c:axId val="4794038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403568"/>
        <c:crosses val="autoZero"/>
        <c:auto val="1"/>
        <c:lblAlgn val="ctr"/>
        <c:lblOffset val="100"/>
        <c:noMultiLvlLbl val="0"/>
      </c:catAx>
      <c:valAx>
        <c:axId val="47940356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403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Liquidity</a:t>
            </a:r>
            <a:r>
              <a:rPr lang="en-US" baseline="0"/>
              <a:t> Ratios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Current Ratio</c:v>
                </c:pt>
              </c:strCache>
            </c:strRef>
          </c:tx>
          <c:spPr>
            <a:solidFill>
              <a:schemeClr val="accent1"/>
            </a:solidFill>
            <a:ln>
              <a:noFill/>
            </a:ln>
            <a:effectLst/>
          </c:spPr>
          <c:invertIfNegative val="0"/>
          <c:cat>
            <c:numRef>
              <c:f>Sheet1!$B$1:$G$1</c:f>
              <c:numCache>
                <c:formatCode>General</c:formatCode>
                <c:ptCount val="6"/>
                <c:pt idx="1">
                  <c:v>2020</c:v>
                </c:pt>
                <c:pt idx="2">
                  <c:v>2021</c:v>
                </c:pt>
                <c:pt idx="3">
                  <c:v>2022</c:v>
                </c:pt>
                <c:pt idx="4">
                  <c:v>2023</c:v>
                </c:pt>
                <c:pt idx="5">
                  <c:v>2024</c:v>
                </c:pt>
              </c:numCache>
            </c:numRef>
          </c:cat>
          <c:val>
            <c:numRef>
              <c:f>Sheet1!$B$2:$G$2</c:f>
              <c:numCache>
                <c:formatCode>General</c:formatCode>
                <c:ptCount val="6"/>
                <c:pt idx="1">
                  <c:v>1.82</c:v>
                </c:pt>
                <c:pt idx="2">
                  <c:v>1.56</c:v>
                </c:pt>
                <c:pt idx="3">
                  <c:v>1.56</c:v>
                </c:pt>
                <c:pt idx="4">
                  <c:v>1.61</c:v>
                </c:pt>
                <c:pt idx="5">
                  <c:v>1.53</c:v>
                </c:pt>
              </c:numCache>
            </c:numRef>
          </c:val>
          <c:extLst>
            <c:ext xmlns:c16="http://schemas.microsoft.com/office/drawing/2014/chart" uri="{C3380CC4-5D6E-409C-BE32-E72D297353CC}">
              <c16:uniqueId val="{00000000-A63F-47DE-B2F7-23C82897B14A}"/>
            </c:ext>
          </c:extLst>
        </c:ser>
        <c:ser>
          <c:idx val="1"/>
          <c:order val="1"/>
          <c:tx>
            <c:strRef>
              <c:f>Sheet1!$A$3</c:f>
              <c:strCache>
                <c:ptCount val="1"/>
                <c:pt idx="0">
                  <c:v>Quick Ratio</c:v>
                </c:pt>
              </c:strCache>
            </c:strRef>
          </c:tx>
          <c:spPr>
            <a:solidFill>
              <a:schemeClr val="accent2"/>
            </a:solidFill>
            <a:ln>
              <a:noFill/>
            </a:ln>
            <a:effectLst/>
          </c:spPr>
          <c:invertIfNegative val="0"/>
          <c:cat>
            <c:numRef>
              <c:f>Sheet1!$B$1:$G$1</c:f>
              <c:numCache>
                <c:formatCode>General</c:formatCode>
                <c:ptCount val="6"/>
                <c:pt idx="1">
                  <c:v>2020</c:v>
                </c:pt>
                <c:pt idx="2">
                  <c:v>2021</c:v>
                </c:pt>
                <c:pt idx="3">
                  <c:v>2022</c:v>
                </c:pt>
                <c:pt idx="4">
                  <c:v>2023</c:v>
                </c:pt>
                <c:pt idx="5">
                  <c:v>2024</c:v>
                </c:pt>
              </c:numCache>
            </c:numRef>
          </c:cat>
          <c:val>
            <c:numRef>
              <c:f>Sheet1!$B$3:$G$3</c:f>
              <c:numCache>
                <c:formatCode>General</c:formatCode>
                <c:ptCount val="6"/>
                <c:pt idx="1">
                  <c:v>1.1499999999999999</c:v>
                </c:pt>
                <c:pt idx="2">
                  <c:v>0.94</c:v>
                </c:pt>
                <c:pt idx="3">
                  <c:v>0.91</c:v>
                </c:pt>
                <c:pt idx="4">
                  <c:v>1.06</c:v>
                </c:pt>
                <c:pt idx="5">
                  <c:v>1.03</c:v>
                </c:pt>
              </c:numCache>
            </c:numRef>
          </c:val>
          <c:extLst>
            <c:ext xmlns:c16="http://schemas.microsoft.com/office/drawing/2014/chart" uri="{C3380CC4-5D6E-409C-BE32-E72D297353CC}">
              <c16:uniqueId val="{00000001-A63F-47DE-B2F7-23C82897B14A}"/>
            </c:ext>
          </c:extLst>
        </c:ser>
        <c:ser>
          <c:idx val="2"/>
          <c:order val="2"/>
          <c:tx>
            <c:strRef>
              <c:f>Sheet1!$A$4</c:f>
              <c:strCache>
                <c:ptCount val="1"/>
                <c:pt idx="0">
                  <c:v>Cash Ratio</c:v>
                </c:pt>
              </c:strCache>
            </c:strRef>
          </c:tx>
          <c:spPr>
            <a:solidFill>
              <a:schemeClr val="accent3"/>
            </a:solidFill>
            <a:ln>
              <a:noFill/>
            </a:ln>
            <a:effectLst/>
          </c:spPr>
          <c:invertIfNegative val="0"/>
          <c:cat>
            <c:numRef>
              <c:f>Sheet1!$B$1:$G$1</c:f>
              <c:numCache>
                <c:formatCode>General</c:formatCode>
                <c:ptCount val="6"/>
                <c:pt idx="1">
                  <c:v>2020</c:v>
                </c:pt>
                <c:pt idx="2">
                  <c:v>2021</c:v>
                </c:pt>
                <c:pt idx="3">
                  <c:v>2022</c:v>
                </c:pt>
                <c:pt idx="4">
                  <c:v>2023</c:v>
                </c:pt>
                <c:pt idx="5">
                  <c:v>2024</c:v>
                </c:pt>
              </c:numCache>
            </c:numRef>
          </c:cat>
          <c:val>
            <c:numRef>
              <c:f>Sheet1!$B$4:$G$4</c:f>
              <c:numCache>
                <c:formatCode>General</c:formatCode>
                <c:ptCount val="6"/>
                <c:pt idx="1">
                  <c:v>0.32</c:v>
                </c:pt>
                <c:pt idx="2">
                  <c:v>0.28000000000000003</c:v>
                </c:pt>
                <c:pt idx="3">
                  <c:v>0.31</c:v>
                </c:pt>
                <c:pt idx="4">
                  <c:v>0.27</c:v>
                </c:pt>
                <c:pt idx="5">
                  <c:v>0.17</c:v>
                </c:pt>
              </c:numCache>
            </c:numRef>
          </c:val>
          <c:extLst>
            <c:ext xmlns:c16="http://schemas.microsoft.com/office/drawing/2014/chart" uri="{C3380CC4-5D6E-409C-BE32-E72D297353CC}">
              <c16:uniqueId val="{00000002-A63F-47DE-B2F7-23C82897B14A}"/>
            </c:ext>
          </c:extLst>
        </c:ser>
        <c:dLbls>
          <c:showLegendKey val="0"/>
          <c:showVal val="0"/>
          <c:showCatName val="0"/>
          <c:showSerName val="0"/>
          <c:showPercent val="0"/>
          <c:showBubbleSize val="0"/>
        </c:dLbls>
        <c:gapWidth val="219"/>
        <c:overlap val="-27"/>
        <c:axId val="390681720"/>
        <c:axId val="390687624"/>
      </c:barChart>
      <c:catAx>
        <c:axId val="390681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687624"/>
        <c:crosses val="autoZero"/>
        <c:auto val="1"/>
        <c:lblAlgn val="ctr"/>
        <c:lblOffset val="100"/>
        <c:noMultiLvlLbl val="0"/>
      </c:catAx>
      <c:valAx>
        <c:axId val="3906876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681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Asset</a:t>
            </a:r>
            <a:r>
              <a:rPr lang="en-US" baseline="0"/>
              <a:t> Effciency Ratios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Sheet1!$C$22</c:f>
              <c:strCache>
                <c:ptCount val="1"/>
                <c:pt idx="0">
                  <c:v>2020</c:v>
                </c:pt>
              </c:strCache>
            </c:strRef>
          </c:tx>
          <c:spPr>
            <a:solidFill>
              <a:schemeClr val="accent2"/>
            </a:solidFill>
            <a:ln>
              <a:noFill/>
            </a:ln>
            <a:effectLst/>
          </c:spPr>
          <c:invertIfNegative val="0"/>
          <c:cat>
            <c:strRef>
              <c:f>Sheet1!$A$23:$A$26</c:f>
              <c:strCache>
                <c:ptCount val="4"/>
                <c:pt idx="0">
                  <c:v>Inventory Days</c:v>
                </c:pt>
                <c:pt idx="1">
                  <c:v>Receivable Days</c:v>
                </c:pt>
                <c:pt idx="2">
                  <c:v>Payable Days</c:v>
                </c:pt>
                <c:pt idx="3">
                  <c:v>Asset Turnover</c:v>
                </c:pt>
              </c:strCache>
            </c:strRef>
          </c:cat>
          <c:val>
            <c:numRef>
              <c:f>Sheet1!$C$23:$C$26</c:f>
              <c:numCache>
                <c:formatCode>General</c:formatCode>
                <c:ptCount val="4"/>
                <c:pt idx="0">
                  <c:v>100</c:v>
                </c:pt>
                <c:pt idx="1">
                  <c:v>77</c:v>
                </c:pt>
                <c:pt idx="2">
                  <c:v>69</c:v>
                </c:pt>
                <c:pt idx="3">
                  <c:v>1.2</c:v>
                </c:pt>
              </c:numCache>
            </c:numRef>
          </c:val>
          <c:extLst>
            <c:ext xmlns:c16="http://schemas.microsoft.com/office/drawing/2014/chart" uri="{C3380CC4-5D6E-409C-BE32-E72D297353CC}">
              <c16:uniqueId val="{00000000-A23F-46FC-8F1E-A3A167088ACA}"/>
            </c:ext>
          </c:extLst>
        </c:ser>
        <c:ser>
          <c:idx val="2"/>
          <c:order val="2"/>
          <c:tx>
            <c:strRef>
              <c:f>Sheet1!$D$22</c:f>
              <c:strCache>
                <c:ptCount val="1"/>
                <c:pt idx="0">
                  <c:v>2021</c:v>
                </c:pt>
              </c:strCache>
            </c:strRef>
          </c:tx>
          <c:spPr>
            <a:solidFill>
              <a:schemeClr val="accent3"/>
            </a:solidFill>
            <a:ln>
              <a:noFill/>
            </a:ln>
            <a:effectLst/>
          </c:spPr>
          <c:invertIfNegative val="0"/>
          <c:cat>
            <c:strRef>
              <c:f>Sheet1!$A$23:$A$26</c:f>
              <c:strCache>
                <c:ptCount val="4"/>
                <c:pt idx="0">
                  <c:v>Inventory Days</c:v>
                </c:pt>
                <c:pt idx="1">
                  <c:v>Receivable Days</c:v>
                </c:pt>
                <c:pt idx="2">
                  <c:v>Payable Days</c:v>
                </c:pt>
                <c:pt idx="3">
                  <c:v>Asset Turnover</c:v>
                </c:pt>
              </c:strCache>
            </c:strRef>
          </c:cat>
          <c:val>
            <c:numRef>
              <c:f>Sheet1!$D$23:$D$26</c:f>
              <c:numCache>
                <c:formatCode>General</c:formatCode>
                <c:ptCount val="4"/>
                <c:pt idx="0">
                  <c:v>115</c:v>
                </c:pt>
                <c:pt idx="1">
                  <c:v>78</c:v>
                </c:pt>
                <c:pt idx="2">
                  <c:v>79</c:v>
                </c:pt>
                <c:pt idx="3">
                  <c:v>1.18</c:v>
                </c:pt>
              </c:numCache>
            </c:numRef>
          </c:val>
          <c:extLst>
            <c:ext xmlns:c16="http://schemas.microsoft.com/office/drawing/2014/chart" uri="{C3380CC4-5D6E-409C-BE32-E72D297353CC}">
              <c16:uniqueId val="{00000001-A23F-46FC-8F1E-A3A167088ACA}"/>
            </c:ext>
          </c:extLst>
        </c:ser>
        <c:ser>
          <c:idx val="3"/>
          <c:order val="3"/>
          <c:tx>
            <c:strRef>
              <c:f>Sheet1!$E$22</c:f>
              <c:strCache>
                <c:ptCount val="1"/>
                <c:pt idx="0">
                  <c:v>2022</c:v>
                </c:pt>
              </c:strCache>
            </c:strRef>
          </c:tx>
          <c:spPr>
            <a:solidFill>
              <a:schemeClr val="accent4"/>
            </a:solidFill>
            <a:ln>
              <a:noFill/>
            </a:ln>
            <a:effectLst/>
          </c:spPr>
          <c:invertIfNegative val="0"/>
          <c:cat>
            <c:strRef>
              <c:f>Sheet1!$A$23:$A$26</c:f>
              <c:strCache>
                <c:ptCount val="4"/>
                <c:pt idx="0">
                  <c:v>Inventory Days</c:v>
                </c:pt>
                <c:pt idx="1">
                  <c:v>Receivable Days</c:v>
                </c:pt>
                <c:pt idx="2">
                  <c:v>Payable Days</c:v>
                </c:pt>
                <c:pt idx="3">
                  <c:v>Asset Turnover</c:v>
                </c:pt>
              </c:strCache>
            </c:strRef>
          </c:cat>
          <c:val>
            <c:numRef>
              <c:f>Sheet1!$E$23:$E$26</c:f>
              <c:numCache>
                <c:formatCode>General</c:formatCode>
                <c:ptCount val="4"/>
                <c:pt idx="0">
                  <c:v>131</c:v>
                </c:pt>
                <c:pt idx="1">
                  <c:v>76</c:v>
                </c:pt>
                <c:pt idx="2">
                  <c:v>67</c:v>
                </c:pt>
                <c:pt idx="3">
                  <c:v>1.08</c:v>
                </c:pt>
              </c:numCache>
            </c:numRef>
          </c:val>
          <c:extLst>
            <c:ext xmlns:c16="http://schemas.microsoft.com/office/drawing/2014/chart" uri="{C3380CC4-5D6E-409C-BE32-E72D297353CC}">
              <c16:uniqueId val="{00000002-A23F-46FC-8F1E-A3A167088ACA}"/>
            </c:ext>
          </c:extLst>
        </c:ser>
        <c:ser>
          <c:idx val="4"/>
          <c:order val="4"/>
          <c:tx>
            <c:strRef>
              <c:f>Sheet1!$F$22</c:f>
              <c:strCache>
                <c:ptCount val="1"/>
                <c:pt idx="0">
                  <c:v>2023</c:v>
                </c:pt>
              </c:strCache>
            </c:strRef>
          </c:tx>
          <c:spPr>
            <a:solidFill>
              <a:schemeClr val="accent5"/>
            </a:solidFill>
            <a:ln>
              <a:noFill/>
            </a:ln>
            <a:effectLst/>
          </c:spPr>
          <c:invertIfNegative val="0"/>
          <c:cat>
            <c:strRef>
              <c:f>Sheet1!$A$23:$A$26</c:f>
              <c:strCache>
                <c:ptCount val="4"/>
                <c:pt idx="0">
                  <c:v>Inventory Days</c:v>
                </c:pt>
                <c:pt idx="1">
                  <c:v>Receivable Days</c:v>
                </c:pt>
                <c:pt idx="2">
                  <c:v>Payable Days</c:v>
                </c:pt>
                <c:pt idx="3">
                  <c:v>Asset Turnover</c:v>
                </c:pt>
              </c:strCache>
            </c:strRef>
          </c:cat>
          <c:val>
            <c:numRef>
              <c:f>Sheet1!$F$23:$F$26</c:f>
              <c:numCache>
                <c:formatCode>General</c:formatCode>
                <c:ptCount val="4"/>
                <c:pt idx="0">
                  <c:v>100</c:v>
                </c:pt>
                <c:pt idx="1">
                  <c:v>98</c:v>
                </c:pt>
                <c:pt idx="2">
                  <c:v>64</c:v>
                </c:pt>
                <c:pt idx="3">
                  <c:v>1.18</c:v>
                </c:pt>
              </c:numCache>
            </c:numRef>
          </c:val>
          <c:extLst>
            <c:ext xmlns:c16="http://schemas.microsoft.com/office/drawing/2014/chart" uri="{C3380CC4-5D6E-409C-BE32-E72D297353CC}">
              <c16:uniqueId val="{00000003-A23F-46FC-8F1E-A3A167088ACA}"/>
            </c:ext>
          </c:extLst>
        </c:ser>
        <c:ser>
          <c:idx val="5"/>
          <c:order val="5"/>
          <c:tx>
            <c:strRef>
              <c:f>Sheet1!$G$22</c:f>
              <c:strCache>
                <c:ptCount val="1"/>
                <c:pt idx="0">
                  <c:v>2024</c:v>
                </c:pt>
              </c:strCache>
            </c:strRef>
          </c:tx>
          <c:spPr>
            <a:solidFill>
              <a:schemeClr val="accent6"/>
            </a:solidFill>
            <a:ln>
              <a:noFill/>
            </a:ln>
            <a:effectLst/>
          </c:spPr>
          <c:invertIfNegative val="0"/>
          <c:cat>
            <c:strRef>
              <c:f>Sheet1!$A$23:$A$26</c:f>
              <c:strCache>
                <c:ptCount val="4"/>
                <c:pt idx="0">
                  <c:v>Inventory Days</c:v>
                </c:pt>
                <c:pt idx="1">
                  <c:v>Receivable Days</c:v>
                </c:pt>
                <c:pt idx="2">
                  <c:v>Payable Days</c:v>
                </c:pt>
                <c:pt idx="3">
                  <c:v>Asset Turnover</c:v>
                </c:pt>
              </c:strCache>
            </c:strRef>
          </c:cat>
          <c:val>
            <c:numRef>
              <c:f>Sheet1!$G$23:$G$26</c:f>
              <c:numCache>
                <c:formatCode>General</c:formatCode>
                <c:ptCount val="4"/>
                <c:pt idx="0">
                  <c:v>103</c:v>
                </c:pt>
                <c:pt idx="1">
                  <c:v>106</c:v>
                </c:pt>
                <c:pt idx="2">
                  <c:v>94</c:v>
                </c:pt>
                <c:pt idx="3">
                  <c:v>1.22</c:v>
                </c:pt>
              </c:numCache>
            </c:numRef>
          </c:val>
          <c:extLst>
            <c:ext xmlns:c16="http://schemas.microsoft.com/office/drawing/2014/chart" uri="{C3380CC4-5D6E-409C-BE32-E72D297353CC}">
              <c16:uniqueId val="{00000004-A23F-46FC-8F1E-A3A167088ACA}"/>
            </c:ext>
          </c:extLst>
        </c:ser>
        <c:dLbls>
          <c:showLegendKey val="0"/>
          <c:showVal val="0"/>
          <c:showCatName val="0"/>
          <c:showSerName val="0"/>
          <c:showPercent val="0"/>
          <c:showBubbleSize val="0"/>
        </c:dLbls>
        <c:gapWidth val="219"/>
        <c:overlap val="-27"/>
        <c:axId val="577391464"/>
        <c:axId val="577398024"/>
        <c:extLst>
          <c:ext xmlns:c15="http://schemas.microsoft.com/office/drawing/2012/chart" uri="{02D57815-91ED-43cb-92C2-25804820EDAC}">
            <c15:filteredBarSeries>
              <c15:ser>
                <c:idx val="0"/>
                <c:order val="0"/>
                <c:tx>
                  <c:strRef>
                    <c:extLst>
                      <c:ext uri="{02D57815-91ED-43cb-92C2-25804820EDAC}">
                        <c15:formulaRef>
                          <c15:sqref>Sheet1!$B$22</c15:sqref>
                        </c15:formulaRef>
                      </c:ext>
                    </c:extLst>
                    <c:strCache>
                      <c:ptCount val="1"/>
                    </c:strCache>
                  </c:strRef>
                </c:tx>
                <c:spPr>
                  <a:solidFill>
                    <a:schemeClr val="accent1"/>
                  </a:solidFill>
                  <a:ln>
                    <a:noFill/>
                  </a:ln>
                  <a:effectLst/>
                </c:spPr>
                <c:invertIfNegative val="0"/>
                <c:cat>
                  <c:strRef>
                    <c:extLst>
                      <c:ext uri="{02D57815-91ED-43cb-92C2-25804820EDAC}">
                        <c15:formulaRef>
                          <c15:sqref>Sheet1!$A$23:$A$26</c15:sqref>
                        </c15:formulaRef>
                      </c:ext>
                    </c:extLst>
                    <c:strCache>
                      <c:ptCount val="4"/>
                      <c:pt idx="0">
                        <c:v>Inventory Days</c:v>
                      </c:pt>
                      <c:pt idx="1">
                        <c:v>Receivable Days</c:v>
                      </c:pt>
                      <c:pt idx="2">
                        <c:v>Payable Days</c:v>
                      </c:pt>
                      <c:pt idx="3">
                        <c:v>Asset Turnover</c:v>
                      </c:pt>
                    </c:strCache>
                  </c:strRef>
                </c:cat>
                <c:val>
                  <c:numRef>
                    <c:extLst>
                      <c:ext uri="{02D57815-91ED-43cb-92C2-25804820EDAC}">
                        <c15:formulaRef>
                          <c15:sqref>Sheet1!$B$23:$B$26</c15:sqref>
                        </c15:formulaRef>
                      </c:ext>
                    </c:extLst>
                    <c:numCache>
                      <c:formatCode>General</c:formatCode>
                      <c:ptCount val="4"/>
                    </c:numCache>
                  </c:numRef>
                </c:val>
                <c:extLst>
                  <c:ext xmlns:c16="http://schemas.microsoft.com/office/drawing/2014/chart" uri="{C3380CC4-5D6E-409C-BE32-E72D297353CC}">
                    <c16:uniqueId val="{00000005-A23F-46FC-8F1E-A3A167088ACA}"/>
                  </c:ext>
                </c:extLst>
              </c15:ser>
            </c15:filteredBarSeries>
          </c:ext>
        </c:extLst>
      </c:barChart>
      <c:catAx>
        <c:axId val="577391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398024"/>
        <c:crosses val="autoZero"/>
        <c:auto val="1"/>
        <c:lblAlgn val="ctr"/>
        <c:lblOffset val="100"/>
        <c:noMultiLvlLbl val="0"/>
      </c:catAx>
      <c:valAx>
        <c:axId val="577398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391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Gearing</a:t>
            </a:r>
            <a:r>
              <a:rPr lang="en-US" baseline="0"/>
              <a:t>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Sheet1!$A$40</c:f>
              <c:strCache>
                <c:ptCount val="1"/>
                <c:pt idx="0">
                  <c:v>Debt-to-Equity</c:v>
                </c:pt>
              </c:strCache>
            </c:strRef>
          </c:tx>
          <c:spPr>
            <a:solidFill>
              <a:schemeClr val="accent1"/>
            </a:solidFill>
            <a:ln>
              <a:noFill/>
            </a:ln>
            <a:effectLst/>
          </c:spPr>
          <c:invertIfNegative val="0"/>
          <c:cat>
            <c:numRef>
              <c:f>Sheet1!$B$39:$F$39</c:f>
              <c:numCache>
                <c:formatCode>General</c:formatCode>
                <c:ptCount val="5"/>
                <c:pt idx="0">
                  <c:v>2020</c:v>
                </c:pt>
                <c:pt idx="1">
                  <c:v>2021</c:v>
                </c:pt>
                <c:pt idx="2">
                  <c:v>2022</c:v>
                </c:pt>
                <c:pt idx="3">
                  <c:v>2023</c:v>
                </c:pt>
                <c:pt idx="4">
                  <c:v>2024</c:v>
                </c:pt>
              </c:numCache>
            </c:numRef>
          </c:cat>
          <c:val>
            <c:numRef>
              <c:f>Sheet1!$B$40:$F$40</c:f>
              <c:numCache>
                <c:formatCode>0.00%</c:formatCode>
                <c:ptCount val="5"/>
                <c:pt idx="0">
                  <c:v>0.1075</c:v>
                </c:pt>
                <c:pt idx="1">
                  <c:v>0.25459999999999999</c:v>
                </c:pt>
                <c:pt idx="2">
                  <c:v>0.38379999999999997</c:v>
                </c:pt>
                <c:pt idx="3">
                  <c:v>0.37759999999999999</c:v>
                </c:pt>
                <c:pt idx="4">
                  <c:v>0.30170000000000002</c:v>
                </c:pt>
              </c:numCache>
            </c:numRef>
          </c:val>
          <c:extLst>
            <c:ext xmlns:c16="http://schemas.microsoft.com/office/drawing/2014/chart" uri="{C3380CC4-5D6E-409C-BE32-E72D297353CC}">
              <c16:uniqueId val="{00000000-1FE5-4339-87DD-B5D743BBB5B2}"/>
            </c:ext>
          </c:extLst>
        </c:ser>
        <c:ser>
          <c:idx val="1"/>
          <c:order val="1"/>
          <c:tx>
            <c:strRef>
              <c:f>Sheet1!$A$41</c:f>
              <c:strCache>
                <c:ptCount val="1"/>
                <c:pt idx="0">
                  <c:v>Interest Coverage</c:v>
                </c:pt>
              </c:strCache>
            </c:strRef>
          </c:tx>
          <c:spPr>
            <a:solidFill>
              <a:schemeClr val="accent2"/>
            </a:solidFill>
            <a:ln>
              <a:noFill/>
            </a:ln>
            <a:effectLst/>
          </c:spPr>
          <c:invertIfNegative val="0"/>
          <c:cat>
            <c:numRef>
              <c:f>Sheet1!$B$39:$F$39</c:f>
              <c:numCache>
                <c:formatCode>General</c:formatCode>
                <c:ptCount val="5"/>
                <c:pt idx="0">
                  <c:v>2020</c:v>
                </c:pt>
                <c:pt idx="1">
                  <c:v>2021</c:v>
                </c:pt>
                <c:pt idx="2">
                  <c:v>2022</c:v>
                </c:pt>
                <c:pt idx="3">
                  <c:v>2023</c:v>
                </c:pt>
                <c:pt idx="4">
                  <c:v>2024</c:v>
                </c:pt>
              </c:numCache>
            </c:numRef>
          </c:cat>
          <c:val>
            <c:numRef>
              <c:f>Sheet1!$B$41:$F$41</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1-1FE5-4339-87DD-B5D743BBB5B2}"/>
            </c:ext>
          </c:extLst>
        </c:ser>
        <c:dLbls>
          <c:showLegendKey val="0"/>
          <c:showVal val="0"/>
          <c:showCatName val="0"/>
          <c:showSerName val="0"/>
          <c:showPercent val="0"/>
          <c:showBubbleSize val="0"/>
        </c:dLbls>
        <c:gapWidth val="219"/>
        <c:overlap val="-27"/>
        <c:axId val="488227424"/>
        <c:axId val="488223488"/>
      </c:barChart>
      <c:catAx>
        <c:axId val="488227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223488"/>
        <c:crosses val="autoZero"/>
        <c:auto val="1"/>
        <c:lblAlgn val="ctr"/>
        <c:lblOffset val="100"/>
        <c:noMultiLvlLbl val="0"/>
      </c:catAx>
      <c:valAx>
        <c:axId val="48822348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227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Altman</a:t>
            </a:r>
            <a:r>
              <a:rPr lang="en-US" baseline="0"/>
              <a:t> Z score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Sheet1!$Q$34</c:f>
              <c:strCache>
                <c:ptCount val="1"/>
                <c:pt idx="0">
                  <c:v>X1 (Weighted)</c:v>
                </c:pt>
              </c:strCache>
            </c:strRef>
          </c:tx>
          <c:spPr>
            <a:ln w="28575" cap="rnd">
              <a:solidFill>
                <a:schemeClr val="accent1"/>
              </a:solidFill>
              <a:round/>
            </a:ln>
            <a:effectLst/>
          </c:spPr>
          <c:marker>
            <c:symbol val="none"/>
          </c:marker>
          <c:cat>
            <c:numRef>
              <c:f>Sheet1!$R$33:$W$33</c:f>
              <c:numCache>
                <c:formatCode>General</c:formatCode>
                <c:ptCount val="6"/>
                <c:pt idx="1">
                  <c:v>2020</c:v>
                </c:pt>
                <c:pt idx="2">
                  <c:v>2021</c:v>
                </c:pt>
                <c:pt idx="3">
                  <c:v>2022</c:v>
                </c:pt>
                <c:pt idx="4">
                  <c:v>2023</c:v>
                </c:pt>
                <c:pt idx="5">
                  <c:v>2024</c:v>
                </c:pt>
              </c:numCache>
            </c:numRef>
          </c:cat>
          <c:val>
            <c:numRef>
              <c:f>Sheet1!$R$34:$W$34</c:f>
              <c:numCache>
                <c:formatCode>General</c:formatCode>
                <c:ptCount val="6"/>
                <c:pt idx="1">
                  <c:v>0.34699999999999998</c:v>
                </c:pt>
                <c:pt idx="2">
                  <c:v>0.28299999999999997</c:v>
                </c:pt>
                <c:pt idx="3">
                  <c:v>0.28899999999999998</c:v>
                </c:pt>
                <c:pt idx="4">
                  <c:v>0.33</c:v>
                </c:pt>
                <c:pt idx="5">
                  <c:v>0.312</c:v>
                </c:pt>
              </c:numCache>
            </c:numRef>
          </c:val>
          <c:smooth val="0"/>
          <c:extLst>
            <c:ext xmlns:c16="http://schemas.microsoft.com/office/drawing/2014/chart" uri="{C3380CC4-5D6E-409C-BE32-E72D297353CC}">
              <c16:uniqueId val="{00000000-ADDE-4149-8486-29694399EE61}"/>
            </c:ext>
          </c:extLst>
        </c:ser>
        <c:ser>
          <c:idx val="1"/>
          <c:order val="1"/>
          <c:tx>
            <c:strRef>
              <c:f>Sheet1!$Q$35</c:f>
              <c:strCache>
                <c:ptCount val="1"/>
                <c:pt idx="0">
                  <c:v>X2 (Weighted)</c:v>
                </c:pt>
              </c:strCache>
            </c:strRef>
          </c:tx>
          <c:spPr>
            <a:ln w="28575" cap="rnd">
              <a:solidFill>
                <a:schemeClr val="accent2"/>
              </a:solidFill>
              <a:round/>
            </a:ln>
            <a:effectLst/>
          </c:spPr>
          <c:marker>
            <c:symbol val="none"/>
          </c:marker>
          <c:cat>
            <c:numRef>
              <c:f>Sheet1!$R$33:$W$33</c:f>
              <c:numCache>
                <c:formatCode>General</c:formatCode>
                <c:ptCount val="6"/>
                <c:pt idx="1">
                  <c:v>2020</c:v>
                </c:pt>
                <c:pt idx="2">
                  <c:v>2021</c:v>
                </c:pt>
                <c:pt idx="3">
                  <c:v>2022</c:v>
                </c:pt>
                <c:pt idx="4">
                  <c:v>2023</c:v>
                </c:pt>
                <c:pt idx="5">
                  <c:v>2024</c:v>
                </c:pt>
              </c:numCache>
            </c:numRef>
          </c:cat>
          <c:val>
            <c:numRef>
              <c:f>Sheet1!$R$35:$W$35</c:f>
              <c:numCache>
                <c:formatCode>General</c:formatCode>
                <c:ptCount val="6"/>
                <c:pt idx="1">
                  <c:v>0.89200000000000002</c:v>
                </c:pt>
                <c:pt idx="2">
                  <c:v>0.90600000000000003</c:v>
                </c:pt>
                <c:pt idx="3">
                  <c:v>0.91800000000000004</c:v>
                </c:pt>
                <c:pt idx="4">
                  <c:v>0.91500000000000004</c:v>
                </c:pt>
                <c:pt idx="5">
                  <c:v>0.90200000000000002</c:v>
                </c:pt>
              </c:numCache>
            </c:numRef>
          </c:val>
          <c:smooth val="0"/>
          <c:extLst>
            <c:ext xmlns:c16="http://schemas.microsoft.com/office/drawing/2014/chart" uri="{C3380CC4-5D6E-409C-BE32-E72D297353CC}">
              <c16:uniqueId val="{00000001-ADDE-4149-8486-29694399EE61}"/>
            </c:ext>
          </c:extLst>
        </c:ser>
        <c:ser>
          <c:idx val="2"/>
          <c:order val="2"/>
          <c:tx>
            <c:strRef>
              <c:f>Sheet1!$Q$36</c:f>
              <c:strCache>
                <c:ptCount val="1"/>
                <c:pt idx="0">
                  <c:v>X3 (Weighted)</c:v>
                </c:pt>
              </c:strCache>
            </c:strRef>
          </c:tx>
          <c:spPr>
            <a:ln w="28575" cap="rnd">
              <a:solidFill>
                <a:schemeClr val="accent3"/>
              </a:solidFill>
              <a:round/>
            </a:ln>
            <a:effectLst/>
          </c:spPr>
          <c:marker>
            <c:symbol val="none"/>
          </c:marker>
          <c:cat>
            <c:numRef>
              <c:f>Sheet1!$R$33:$W$33</c:f>
              <c:numCache>
                <c:formatCode>General</c:formatCode>
                <c:ptCount val="6"/>
                <c:pt idx="1">
                  <c:v>2020</c:v>
                </c:pt>
                <c:pt idx="2">
                  <c:v>2021</c:v>
                </c:pt>
                <c:pt idx="3">
                  <c:v>2022</c:v>
                </c:pt>
                <c:pt idx="4">
                  <c:v>2023</c:v>
                </c:pt>
                <c:pt idx="5">
                  <c:v>2024</c:v>
                </c:pt>
              </c:numCache>
            </c:numRef>
          </c:cat>
          <c:val>
            <c:numRef>
              <c:f>Sheet1!$R$36:$W$36</c:f>
              <c:numCache>
                <c:formatCode>General</c:formatCode>
                <c:ptCount val="6"/>
                <c:pt idx="1">
                  <c:v>0.24099999999999999</c:v>
                </c:pt>
                <c:pt idx="2">
                  <c:v>0.15</c:v>
                </c:pt>
                <c:pt idx="3">
                  <c:v>9.5000000000000001E-2</c:v>
                </c:pt>
                <c:pt idx="4">
                  <c:v>-0.79100000000000004</c:v>
                </c:pt>
                <c:pt idx="5">
                  <c:v>-0.156</c:v>
                </c:pt>
              </c:numCache>
            </c:numRef>
          </c:val>
          <c:smooth val="0"/>
          <c:extLst>
            <c:ext xmlns:c16="http://schemas.microsoft.com/office/drawing/2014/chart" uri="{C3380CC4-5D6E-409C-BE32-E72D297353CC}">
              <c16:uniqueId val="{00000002-ADDE-4149-8486-29694399EE61}"/>
            </c:ext>
          </c:extLst>
        </c:ser>
        <c:ser>
          <c:idx val="3"/>
          <c:order val="3"/>
          <c:tx>
            <c:strRef>
              <c:f>Sheet1!$Q$37</c:f>
              <c:strCache>
                <c:ptCount val="1"/>
                <c:pt idx="0">
                  <c:v>X4 (Weighted)</c:v>
                </c:pt>
              </c:strCache>
            </c:strRef>
          </c:tx>
          <c:spPr>
            <a:ln w="28575" cap="rnd">
              <a:solidFill>
                <a:schemeClr val="accent4"/>
              </a:solidFill>
              <a:round/>
            </a:ln>
            <a:effectLst/>
          </c:spPr>
          <c:marker>
            <c:symbol val="none"/>
          </c:marker>
          <c:cat>
            <c:numRef>
              <c:f>Sheet1!$R$33:$W$33</c:f>
              <c:numCache>
                <c:formatCode>General</c:formatCode>
                <c:ptCount val="6"/>
                <c:pt idx="1">
                  <c:v>2020</c:v>
                </c:pt>
                <c:pt idx="2">
                  <c:v>2021</c:v>
                </c:pt>
                <c:pt idx="3">
                  <c:v>2022</c:v>
                </c:pt>
                <c:pt idx="4">
                  <c:v>2023</c:v>
                </c:pt>
                <c:pt idx="5">
                  <c:v>2024</c:v>
                </c:pt>
              </c:numCache>
            </c:numRef>
          </c:cat>
          <c:val>
            <c:numRef>
              <c:f>Sheet1!$R$37:$W$37</c:f>
              <c:numCache>
                <c:formatCode>General</c:formatCode>
                <c:ptCount val="6"/>
                <c:pt idx="1">
                  <c:v>0.95399999999999996</c:v>
                </c:pt>
                <c:pt idx="2">
                  <c:v>0.70599999999999996</c:v>
                </c:pt>
                <c:pt idx="3">
                  <c:v>0.68300000000000005</c:v>
                </c:pt>
                <c:pt idx="4">
                  <c:v>0.60699999999999998</c:v>
                </c:pt>
                <c:pt idx="5">
                  <c:v>0.54</c:v>
                </c:pt>
              </c:numCache>
            </c:numRef>
          </c:val>
          <c:smooth val="0"/>
          <c:extLst>
            <c:ext xmlns:c16="http://schemas.microsoft.com/office/drawing/2014/chart" uri="{C3380CC4-5D6E-409C-BE32-E72D297353CC}">
              <c16:uniqueId val="{00000003-ADDE-4149-8486-29694399EE61}"/>
            </c:ext>
          </c:extLst>
        </c:ser>
        <c:ser>
          <c:idx val="4"/>
          <c:order val="4"/>
          <c:tx>
            <c:strRef>
              <c:f>Sheet1!$Q$38</c:f>
              <c:strCache>
                <c:ptCount val="1"/>
                <c:pt idx="0">
                  <c:v>X5 (Weighted)</c:v>
                </c:pt>
              </c:strCache>
            </c:strRef>
          </c:tx>
          <c:spPr>
            <a:ln w="28575" cap="rnd">
              <a:solidFill>
                <a:schemeClr val="accent5"/>
              </a:solidFill>
              <a:round/>
            </a:ln>
            <a:effectLst/>
          </c:spPr>
          <c:marker>
            <c:symbol val="none"/>
          </c:marker>
          <c:cat>
            <c:numRef>
              <c:f>Sheet1!$R$33:$W$33</c:f>
              <c:numCache>
                <c:formatCode>General</c:formatCode>
                <c:ptCount val="6"/>
                <c:pt idx="1">
                  <c:v>2020</c:v>
                </c:pt>
                <c:pt idx="2">
                  <c:v>2021</c:v>
                </c:pt>
                <c:pt idx="3">
                  <c:v>2022</c:v>
                </c:pt>
                <c:pt idx="4">
                  <c:v>2023</c:v>
                </c:pt>
                <c:pt idx="5">
                  <c:v>2024</c:v>
                </c:pt>
              </c:numCache>
            </c:numRef>
          </c:cat>
          <c:val>
            <c:numRef>
              <c:f>Sheet1!$R$38:$W$38</c:f>
              <c:numCache>
                <c:formatCode>General</c:formatCode>
                <c:ptCount val="6"/>
                <c:pt idx="1">
                  <c:v>1.2050000000000001</c:v>
                </c:pt>
                <c:pt idx="2">
                  <c:v>1.179</c:v>
                </c:pt>
                <c:pt idx="3">
                  <c:v>1.077</c:v>
                </c:pt>
                <c:pt idx="4">
                  <c:v>1.1819999999999999</c:v>
                </c:pt>
                <c:pt idx="5">
                  <c:v>1.2210000000000001</c:v>
                </c:pt>
              </c:numCache>
            </c:numRef>
          </c:val>
          <c:smooth val="0"/>
          <c:extLst>
            <c:ext xmlns:c16="http://schemas.microsoft.com/office/drawing/2014/chart" uri="{C3380CC4-5D6E-409C-BE32-E72D297353CC}">
              <c16:uniqueId val="{00000004-ADDE-4149-8486-29694399EE61}"/>
            </c:ext>
          </c:extLst>
        </c:ser>
        <c:ser>
          <c:idx val="5"/>
          <c:order val="5"/>
          <c:tx>
            <c:strRef>
              <c:f>Sheet1!$Q$39</c:f>
              <c:strCache>
                <c:ptCount val="1"/>
                <c:pt idx="0">
                  <c:v>TOTAL Z-SCORE</c:v>
                </c:pt>
              </c:strCache>
            </c:strRef>
          </c:tx>
          <c:spPr>
            <a:ln w="28575" cap="rnd">
              <a:solidFill>
                <a:schemeClr val="accent6"/>
              </a:solidFill>
              <a:round/>
            </a:ln>
            <a:effectLst/>
          </c:spPr>
          <c:marker>
            <c:symbol val="none"/>
          </c:marker>
          <c:cat>
            <c:numRef>
              <c:f>Sheet1!$R$33:$W$33</c:f>
              <c:numCache>
                <c:formatCode>General</c:formatCode>
                <c:ptCount val="6"/>
                <c:pt idx="1">
                  <c:v>2020</c:v>
                </c:pt>
                <c:pt idx="2">
                  <c:v>2021</c:v>
                </c:pt>
                <c:pt idx="3">
                  <c:v>2022</c:v>
                </c:pt>
                <c:pt idx="4">
                  <c:v>2023</c:v>
                </c:pt>
                <c:pt idx="5">
                  <c:v>2024</c:v>
                </c:pt>
              </c:numCache>
            </c:numRef>
          </c:cat>
          <c:val>
            <c:numRef>
              <c:f>Sheet1!$R$39:$W$39</c:f>
              <c:numCache>
                <c:formatCode>General</c:formatCode>
                <c:ptCount val="6"/>
                <c:pt idx="1">
                  <c:v>3.64</c:v>
                </c:pt>
                <c:pt idx="2">
                  <c:v>3.22</c:v>
                </c:pt>
                <c:pt idx="3">
                  <c:v>3.06</c:v>
                </c:pt>
                <c:pt idx="4">
                  <c:v>2.2400000000000002</c:v>
                </c:pt>
                <c:pt idx="5">
                  <c:v>2.82</c:v>
                </c:pt>
              </c:numCache>
            </c:numRef>
          </c:val>
          <c:smooth val="0"/>
          <c:extLst>
            <c:ext xmlns:c16="http://schemas.microsoft.com/office/drawing/2014/chart" uri="{C3380CC4-5D6E-409C-BE32-E72D297353CC}">
              <c16:uniqueId val="{00000005-ADDE-4149-8486-29694399EE61}"/>
            </c:ext>
          </c:extLst>
        </c:ser>
        <c:dLbls>
          <c:showLegendKey val="0"/>
          <c:showVal val="0"/>
          <c:showCatName val="0"/>
          <c:showSerName val="0"/>
          <c:showPercent val="0"/>
          <c:showBubbleSize val="0"/>
        </c:dLbls>
        <c:smooth val="0"/>
        <c:axId val="386877040"/>
        <c:axId val="386871136"/>
      </c:lineChart>
      <c:catAx>
        <c:axId val="386877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6871136"/>
        <c:crosses val="autoZero"/>
        <c:auto val="1"/>
        <c:lblAlgn val="ctr"/>
        <c:lblOffset val="100"/>
        <c:noMultiLvlLbl val="0"/>
      </c:catAx>
      <c:valAx>
        <c:axId val="386871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6877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Working Capital Management Cycle</a:t>
            </a:r>
            <a:endParaRPr lang="en-US" b="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Sheet1!$M$50</c:f>
              <c:strCache>
                <c:ptCount val="1"/>
                <c:pt idx="0">
                  <c:v>2020</c:v>
                </c:pt>
              </c:strCache>
            </c:strRef>
          </c:tx>
          <c:spPr>
            <a:solidFill>
              <a:schemeClr val="accent1"/>
            </a:solidFill>
            <a:ln>
              <a:noFill/>
            </a:ln>
            <a:effectLst/>
          </c:spPr>
          <c:invertIfNegative val="0"/>
          <c:cat>
            <c:strRef>
              <c:f>Sheet1!$N$49:$R$49</c:f>
              <c:strCache>
                <c:ptCount val="4"/>
                <c:pt idx="0">
                  <c:v>Inventory Days (+)</c:v>
                </c:pt>
                <c:pt idx="1">
                  <c:v>Receivable Days (+)</c:v>
                </c:pt>
                <c:pt idx="2">
                  <c:v>Payable Days (-)</c:v>
                </c:pt>
                <c:pt idx="3">
                  <c:v>Cash Operating Cycle (=)</c:v>
                </c:pt>
              </c:strCache>
            </c:strRef>
          </c:cat>
          <c:val>
            <c:numRef>
              <c:f>Sheet1!$N$50:$R$50</c:f>
              <c:numCache>
                <c:formatCode>General</c:formatCode>
                <c:ptCount val="5"/>
                <c:pt idx="0">
                  <c:v>100</c:v>
                </c:pt>
                <c:pt idx="1">
                  <c:v>77</c:v>
                </c:pt>
                <c:pt idx="2">
                  <c:v>-69</c:v>
                </c:pt>
                <c:pt idx="3">
                  <c:v>0</c:v>
                </c:pt>
              </c:numCache>
            </c:numRef>
          </c:val>
          <c:extLst>
            <c:ext xmlns:c16="http://schemas.microsoft.com/office/drawing/2014/chart" uri="{C3380CC4-5D6E-409C-BE32-E72D297353CC}">
              <c16:uniqueId val="{00000000-C5B8-4498-825D-CDDBBE0F8380}"/>
            </c:ext>
          </c:extLst>
        </c:ser>
        <c:ser>
          <c:idx val="1"/>
          <c:order val="1"/>
          <c:tx>
            <c:strRef>
              <c:f>Sheet1!$M$51</c:f>
              <c:strCache>
                <c:ptCount val="1"/>
                <c:pt idx="0">
                  <c:v>2021</c:v>
                </c:pt>
              </c:strCache>
            </c:strRef>
          </c:tx>
          <c:spPr>
            <a:solidFill>
              <a:schemeClr val="accent2"/>
            </a:solidFill>
            <a:ln>
              <a:noFill/>
            </a:ln>
            <a:effectLst/>
          </c:spPr>
          <c:invertIfNegative val="0"/>
          <c:cat>
            <c:strRef>
              <c:f>Sheet1!$N$49:$R$49</c:f>
              <c:strCache>
                <c:ptCount val="4"/>
                <c:pt idx="0">
                  <c:v>Inventory Days (+)</c:v>
                </c:pt>
                <c:pt idx="1">
                  <c:v>Receivable Days (+)</c:v>
                </c:pt>
                <c:pt idx="2">
                  <c:v>Payable Days (-)</c:v>
                </c:pt>
                <c:pt idx="3">
                  <c:v>Cash Operating Cycle (=)</c:v>
                </c:pt>
              </c:strCache>
            </c:strRef>
          </c:cat>
          <c:val>
            <c:numRef>
              <c:f>Sheet1!$N$51:$R$51</c:f>
              <c:numCache>
                <c:formatCode>General</c:formatCode>
                <c:ptCount val="5"/>
                <c:pt idx="0">
                  <c:v>115</c:v>
                </c:pt>
                <c:pt idx="1">
                  <c:v>78</c:v>
                </c:pt>
                <c:pt idx="2">
                  <c:v>-79</c:v>
                </c:pt>
                <c:pt idx="3">
                  <c:v>0</c:v>
                </c:pt>
              </c:numCache>
            </c:numRef>
          </c:val>
          <c:extLst>
            <c:ext xmlns:c16="http://schemas.microsoft.com/office/drawing/2014/chart" uri="{C3380CC4-5D6E-409C-BE32-E72D297353CC}">
              <c16:uniqueId val="{00000001-C5B8-4498-825D-CDDBBE0F8380}"/>
            </c:ext>
          </c:extLst>
        </c:ser>
        <c:ser>
          <c:idx val="2"/>
          <c:order val="2"/>
          <c:tx>
            <c:strRef>
              <c:f>Sheet1!$M$52</c:f>
              <c:strCache>
                <c:ptCount val="1"/>
                <c:pt idx="0">
                  <c:v>2022</c:v>
                </c:pt>
              </c:strCache>
            </c:strRef>
          </c:tx>
          <c:spPr>
            <a:solidFill>
              <a:schemeClr val="accent3"/>
            </a:solidFill>
            <a:ln>
              <a:noFill/>
            </a:ln>
            <a:effectLst/>
          </c:spPr>
          <c:invertIfNegative val="0"/>
          <c:cat>
            <c:strRef>
              <c:f>Sheet1!$N$49:$R$49</c:f>
              <c:strCache>
                <c:ptCount val="4"/>
                <c:pt idx="0">
                  <c:v>Inventory Days (+)</c:v>
                </c:pt>
                <c:pt idx="1">
                  <c:v>Receivable Days (+)</c:v>
                </c:pt>
                <c:pt idx="2">
                  <c:v>Payable Days (-)</c:v>
                </c:pt>
                <c:pt idx="3">
                  <c:v>Cash Operating Cycle (=)</c:v>
                </c:pt>
              </c:strCache>
            </c:strRef>
          </c:cat>
          <c:val>
            <c:numRef>
              <c:f>Sheet1!$N$52:$R$52</c:f>
              <c:numCache>
                <c:formatCode>General</c:formatCode>
                <c:ptCount val="5"/>
                <c:pt idx="0">
                  <c:v>131</c:v>
                </c:pt>
                <c:pt idx="1">
                  <c:v>76</c:v>
                </c:pt>
                <c:pt idx="2">
                  <c:v>-67</c:v>
                </c:pt>
                <c:pt idx="3">
                  <c:v>0</c:v>
                </c:pt>
              </c:numCache>
            </c:numRef>
          </c:val>
          <c:extLst>
            <c:ext xmlns:c16="http://schemas.microsoft.com/office/drawing/2014/chart" uri="{C3380CC4-5D6E-409C-BE32-E72D297353CC}">
              <c16:uniqueId val="{00000002-C5B8-4498-825D-CDDBBE0F8380}"/>
            </c:ext>
          </c:extLst>
        </c:ser>
        <c:ser>
          <c:idx val="3"/>
          <c:order val="3"/>
          <c:tx>
            <c:strRef>
              <c:f>Sheet1!$M$53</c:f>
              <c:strCache>
                <c:ptCount val="1"/>
                <c:pt idx="0">
                  <c:v>2023</c:v>
                </c:pt>
              </c:strCache>
            </c:strRef>
          </c:tx>
          <c:spPr>
            <a:solidFill>
              <a:schemeClr val="accent4"/>
            </a:solidFill>
            <a:ln>
              <a:noFill/>
            </a:ln>
            <a:effectLst/>
          </c:spPr>
          <c:invertIfNegative val="0"/>
          <c:cat>
            <c:strRef>
              <c:f>Sheet1!$N$49:$R$49</c:f>
              <c:strCache>
                <c:ptCount val="4"/>
                <c:pt idx="0">
                  <c:v>Inventory Days (+)</c:v>
                </c:pt>
                <c:pt idx="1">
                  <c:v>Receivable Days (+)</c:v>
                </c:pt>
                <c:pt idx="2">
                  <c:v>Payable Days (-)</c:v>
                </c:pt>
                <c:pt idx="3">
                  <c:v>Cash Operating Cycle (=)</c:v>
                </c:pt>
              </c:strCache>
            </c:strRef>
          </c:cat>
          <c:val>
            <c:numRef>
              <c:f>Sheet1!$N$53:$R$53</c:f>
              <c:numCache>
                <c:formatCode>General</c:formatCode>
                <c:ptCount val="5"/>
                <c:pt idx="0">
                  <c:v>100</c:v>
                </c:pt>
                <c:pt idx="1">
                  <c:v>98</c:v>
                </c:pt>
                <c:pt idx="2">
                  <c:v>-64</c:v>
                </c:pt>
                <c:pt idx="3">
                  <c:v>0</c:v>
                </c:pt>
              </c:numCache>
            </c:numRef>
          </c:val>
          <c:extLst>
            <c:ext xmlns:c16="http://schemas.microsoft.com/office/drawing/2014/chart" uri="{C3380CC4-5D6E-409C-BE32-E72D297353CC}">
              <c16:uniqueId val="{00000003-C5B8-4498-825D-CDDBBE0F8380}"/>
            </c:ext>
          </c:extLst>
        </c:ser>
        <c:ser>
          <c:idx val="4"/>
          <c:order val="4"/>
          <c:tx>
            <c:strRef>
              <c:f>Sheet1!$M$54</c:f>
              <c:strCache>
                <c:ptCount val="1"/>
                <c:pt idx="0">
                  <c:v>2024</c:v>
                </c:pt>
              </c:strCache>
            </c:strRef>
          </c:tx>
          <c:spPr>
            <a:solidFill>
              <a:schemeClr val="accent5"/>
            </a:solidFill>
            <a:ln>
              <a:noFill/>
            </a:ln>
            <a:effectLst/>
          </c:spPr>
          <c:invertIfNegative val="0"/>
          <c:cat>
            <c:strRef>
              <c:f>Sheet1!$N$49:$R$49</c:f>
              <c:strCache>
                <c:ptCount val="4"/>
                <c:pt idx="0">
                  <c:v>Inventory Days (+)</c:v>
                </c:pt>
                <c:pt idx="1">
                  <c:v>Receivable Days (+)</c:v>
                </c:pt>
                <c:pt idx="2">
                  <c:v>Payable Days (-)</c:v>
                </c:pt>
                <c:pt idx="3">
                  <c:v>Cash Operating Cycle (=)</c:v>
                </c:pt>
              </c:strCache>
            </c:strRef>
          </c:cat>
          <c:val>
            <c:numRef>
              <c:f>Sheet1!$N$54:$R$54</c:f>
              <c:numCache>
                <c:formatCode>General</c:formatCode>
                <c:ptCount val="5"/>
                <c:pt idx="0">
                  <c:v>103</c:v>
                </c:pt>
                <c:pt idx="1">
                  <c:v>106</c:v>
                </c:pt>
                <c:pt idx="2">
                  <c:v>-94</c:v>
                </c:pt>
                <c:pt idx="3">
                  <c:v>0</c:v>
                </c:pt>
              </c:numCache>
            </c:numRef>
          </c:val>
          <c:extLst>
            <c:ext xmlns:c16="http://schemas.microsoft.com/office/drawing/2014/chart" uri="{C3380CC4-5D6E-409C-BE32-E72D297353CC}">
              <c16:uniqueId val="{00000004-C5B8-4498-825D-CDDBBE0F8380}"/>
            </c:ext>
          </c:extLst>
        </c:ser>
        <c:dLbls>
          <c:showLegendKey val="0"/>
          <c:showVal val="0"/>
          <c:showCatName val="0"/>
          <c:showSerName val="0"/>
          <c:showPercent val="0"/>
          <c:showBubbleSize val="0"/>
        </c:dLbls>
        <c:gapWidth val="182"/>
        <c:axId val="484143104"/>
        <c:axId val="484145400"/>
      </c:barChart>
      <c:catAx>
        <c:axId val="4841431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145400"/>
        <c:crosses val="autoZero"/>
        <c:auto val="1"/>
        <c:lblAlgn val="ctr"/>
        <c:lblOffset val="100"/>
        <c:noMultiLvlLbl val="0"/>
      </c:catAx>
      <c:valAx>
        <c:axId val="4841454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1431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6EE160-182F-412E-9ED9-F896A1ED3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41</Pages>
  <Words>7562</Words>
  <Characters>43107</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Minuddin Sarker</cp:lastModifiedBy>
  <cp:revision>2</cp:revision>
  <dcterms:created xsi:type="dcterms:W3CDTF">2025-12-21T23:56:00Z</dcterms:created>
  <dcterms:modified xsi:type="dcterms:W3CDTF">2025-12-21T23:56:00Z</dcterms:modified>
</cp:coreProperties>
</file>