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E60732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80C62">
              <w:rPr>
                <w:rFonts w:ascii="Times New Roman" w:hAnsi="Times New Roman" w:cs="Times New Roman"/>
                <w:b/>
                <w:color w:val="auto"/>
                <w:sz w:val="48"/>
              </w:rPr>
              <w:t>Adam Finn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ED3E11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80C62">
              <w:rPr>
                <w:rFonts w:ascii="Times New Roman" w:hAnsi="Times New Roman" w:cs="Times New Roman"/>
                <w:b/>
                <w:color w:val="auto"/>
                <w:sz w:val="48"/>
              </w:rPr>
              <w:t xml:space="preserve"> Finnly99@me.com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275E779" w14:textId="77777777" w:rsidR="00980C6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80C62">
              <w:rPr>
                <w:rFonts w:ascii="Times New Roman" w:hAnsi="Times New Roman" w:cs="Times New Roman"/>
                <w:b/>
                <w:color w:val="auto"/>
                <w:sz w:val="48"/>
              </w:rPr>
              <w:t xml:space="preserve"> </w:t>
            </w:r>
          </w:p>
          <w:p w14:paraId="0DE696B2" w14:textId="3D4F3375" w:rsidR="00F927A1" w:rsidRPr="005D3F07" w:rsidRDefault="00980C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2329653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r w:rsidR="00980C62" w:rsidRPr="005D3F07" w14:paraId="2994D4D1" w14:textId="77777777" w:rsidTr="005D3F07">
        <w:tc>
          <w:tcPr>
            <w:tcW w:w="10368" w:type="dxa"/>
            <w:shd w:val="clear" w:color="auto" w:fill="auto"/>
          </w:tcPr>
          <w:p w14:paraId="2F13E715" w14:textId="77777777" w:rsidR="00980C62" w:rsidRDefault="00980C62" w:rsidP="005D3F07">
            <w:pPr>
              <w:overflowPunct/>
              <w:autoSpaceDE/>
              <w:autoSpaceDN/>
              <w:adjustRightInd/>
              <w:ind w:right="-957"/>
              <w:textAlignment w:val="auto"/>
              <w:rPr>
                <w:rFonts w:ascii="Times New Roman" w:hAnsi="Times New Roman" w:cs="Times New Roman"/>
                <w:b/>
                <w:color w:val="auto"/>
                <w:sz w:val="48"/>
              </w:rPr>
            </w:pPr>
          </w:p>
        </w:tc>
      </w:tr>
      <w:tr w:rsidR="00980C62" w:rsidRPr="005D3F07" w14:paraId="25050559" w14:textId="77777777" w:rsidTr="005D3F07">
        <w:tc>
          <w:tcPr>
            <w:tcW w:w="10368" w:type="dxa"/>
            <w:shd w:val="clear" w:color="auto" w:fill="auto"/>
          </w:tcPr>
          <w:p w14:paraId="36E5B2B1" w14:textId="77777777" w:rsidR="00980C62" w:rsidRDefault="00980C62"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4D036FF" w14:textId="77777777" w:rsidR="00655317" w:rsidRPr="00D54051" w:rsidRDefault="00655317" w:rsidP="00CC6308">
      <w:pPr>
        <w:rPr>
          <w:sz w:val="24"/>
          <w:szCs w:val="24"/>
        </w:rPr>
      </w:pPr>
    </w:p>
    <w:p w14:paraId="32DAA184" w14:textId="77777777" w:rsidR="00655317" w:rsidRPr="00D54051" w:rsidRDefault="00655317" w:rsidP="00CC6308">
      <w:pPr>
        <w:rPr>
          <w:sz w:val="24"/>
          <w:szCs w:val="24"/>
        </w:rPr>
      </w:pPr>
    </w:p>
    <w:p w14:paraId="0873065F" w14:textId="77777777" w:rsidR="00655317" w:rsidRDefault="00655317" w:rsidP="00CC6308">
      <w:pPr>
        <w:rPr>
          <w:sz w:val="24"/>
          <w:szCs w:val="24"/>
        </w:rPr>
      </w:pPr>
      <w:r w:rsidRPr="00D54051">
        <w:rPr>
          <w:sz w:val="24"/>
          <w:szCs w:val="24"/>
        </w:rPr>
        <w:t xml:space="preserve">BASW (2019) Social Work and Human Rights: A Practice Guide. Accessed 10.02.2025. Available at </w:t>
      </w:r>
      <w:hyperlink r:id="rId11" w:history="1">
        <w:r w:rsidRPr="00D54051">
          <w:rPr>
            <w:rStyle w:val="Hyperlink"/>
            <w:sz w:val="24"/>
            <w:szCs w:val="24"/>
          </w:rPr>
          <w:t>Layout 1</w:t>
        </w:r>
      </w:hyperlink>
      <w:r w:rsidRPr="00D54051">
        <w:rPr>
          <w:sz w:val="24"/>
          <w:szCs w:val="24"/>
        </w:rPr>
        <w:t xml:space="preserve">. </w:t>
      </w:r>
    </w:p>
    <w:p w14:paraId="53618AC6" w14:textId="77777777" w:rsidR="00655317" w:rsidRPr="00D54051" w:rsidRDefault="00655317" w:rsidP="00CC6308">
      <w:pPr>
        <w:rPr>
          <w:sz w:val="24"/>
          <w:szCs w:val="24"/>
        </w:rPr>
      </w:pPr>
    </w:p>
    <w:p w14:paraId="3FC80D94" w14:textId="77777777" w:rsidR="00655317" w:rsidRDefault="00655317" w:rsidP="00CC6308">
      <w:pPr>
        <w:rPr>
          <w:sz w:val="24"/>
          <w:szCs w:val="24"/>
        </w:rPr>
      </w:pPr>
      <w:proofErr w:type="spellStart"/>
      <w:r w:rsidRPr="00D54051">
        <w:rPr>
          <w:sz w:val="24"/>
          <w:szCs w:val="24"/>
        </w:rPr>
        <w:t>Caiels</w:t>
      </w:r>
      <w:proofErr w:type="spellEnd"/>
      <w:r w:rsidRPr="00D54051">
        <w:rPr>
          <w:sz w:val="24"/>
          <w:szCs w:val="24"/>
        </w:rPr>
        <w:t>, J. </w:t>
      </w:r>
      <w:r w:rsidRPr="00D54051">
        <w:rPr>
          <w:i/>
          <w:iCs/>
          <w:sz w:val="24"/>
          <w:szCs w:val="24"/>
        </w:rPr>
        <w:t>et al.</w:t>
      </w:r>
      <w:r w:rsidRPr="00D54051">
        <w:rPr>
          <w:sz w:val="24"/>
          <w:szCs w:val="24"/>
        </w:rPr>
        <w:t> (2024) ‘Strengths-based Approaches—Perspectives from Practitioners’, </w:t>
      </w:r>
      <w:r w:rsidRPr="00D54051">
        <w:rPr>
          <w:i/>
          <w:iCs/>
          <w:sz w:val="24"/>
          <w:szCs w:val="24"/>
        </w:rPr>
        <w:t>The British journal of social work</w:t>
      </w:r>
      <w:r w:rsidRPr="00D54051">
        <w:rPr>
          <w:sz w:val="24"/>
          <w:szCs w:val="24"/>
        </w:rPr>
        <w:t xml:space="preserve">, 54(1), pp. 168–188. Available at: </w:t>
      </w:r>
      <w:hyperlink r:id="rId12" w:history="1">
        <w:r w:rsidRPr="00D54051">
          <w:rPr>
            <w:rStyle w:val="Hyperlink"/>
            <w:sz w:val="24"/>
            <w:szCs w:val="24"/>
          </w:rPr>
          <w:t>https://doi.org/10.1093/bjsw/bcad186</w:t>
        </w:r>
      </w:hyperlink>
      <w:r w:rsidRPr="00D54051">
        <w:rPr>
          <w:sz w:val="24"/>
          <w:szCs w:val="24"/>
        </w:rPr>
        <w:t xml:space="preserve">. </w:t>
      </w:r>
    </w:p>
    <w:p w14:paraId="38A9EF8F" w14:textId="77777777" w:rsidR="00655317" w:rsidRPr="00D54051" w:rsidRDefault="00655317" w:rsidP="00CC6308">
      <w:pPr>
        <w:rPr>
          <w:sz w:val="24"/>
          <w:szCs w:val="24"/>
        </w:rPr>
      </w:pPr>
    </w:p>
    <w:p w14:paraId="78BDC0E7" w14:textId="77777777" w:rsidR="00655317" w:rsidRPr="00D54051" w:rsidRDefault="00655317" w:rsidP="00E33C47">
      <w:pPr>
        <w:rPr>
          <w:sz w:val="24"/>
          <w:szCs w:val="24"/>
        </w:rPr>
      </w:pPr>
      <w:r w:rsidRPr="00D54051">
        <w:rPr>
          <w:sz w:val="24"/>
          <w:szCs w:val="24"/>
        </w:rPr>
        <w:t>Crawford, K. (2012). Interprofessional collaboration in social work practice. SAGE.</w:t>
      </w:r>
    </w:p>
    <w:p w14:paraId="229E4B77" w14:textId="77777777" w:rsidR="00655317" w:rsidRDefault="00655317" w:rsidP="00315F88">
      <w:pPr>
        <w:rPr>
          <w:sz w:val="24"/>
          <w:szCs w:val="24"/>
        </w:rPr>
      </w:pPr>
      <w:r w:rsidRPr="00D54051">
        <w:rPr>
          <w:sz w:val="24"/>
          <w:szCs w:val="24"/>
        </w:rPr>
        <w:t>Douglas, K., Hathaway, R. and Burks, S. (2011) ‘“The environment matters” and “designing toward the whole”’, Nursing economic, 29(1), pp. 42–45.</w:t>
      </w:r>
    </w:p>
    <w:p w14:paraId="51562590" w14:textId="77777777" w:rsidR="00655317" w:rsidRPr="00D54051" w:rsidRDefault="00655317" w:rsidP="00315F88">
      <w:pPr>
        <w:rPr>
          <w:sz w:val="24"/>
          <w:szCs w:val="24"/>
        </w:rPr>
      </w:pPr>
    </w:p>
    <w:p w14:paraId="2DC1DD49" w14:textId="77777777" w:rsidR="00655317" w:rsidRDefault="00655317" w:rsidP="00CC6308">
      <w:pPr>
        <w:rPr>
          <w:sz w:val="24"/>
          <w:szCs w:val="24"/>
        </w:rPr>
      </w:pPr>
      <w:r w:rsidRPr="00D54051">
        <w:rPr>
          <w:sz w:val="24"/>
          <w:szCs w:val="24"/>
        </w:rPr>
        <w:t>Foa, U.G. (2023) </w:t>
      </w:r>
      <w:r w:rsidRPr="00D54051">
        <w:rPr>
          <w:i/>
          <w:iCs/>
          <w:sz w:val="24"/>
          <w:szCs w:val="24"/>
        </w:rPr>
        <w:t xml:space="preserve">Social </w:t>
      </w:r>
      <w:proofErr w:type="spellStart"/>
      <w:r w:rsidRPr="00D54051">
        <w:rPr>
          <w:i/>
          <w:iCs/>
          <w:sz w:val="24"/>
          <w:szCs w:val="24"/>
        </w:rPr>
        <w:t>behavior</w:t>
      </w:r>
      <w:proofErr w:type="spellEnd"/>
      <w:r w:rsidRPr="00D54051">
        <w:rPr>
          <w:i/>
          <w:iCs/>
          <w:sz w:val="24"/>
          <w:szCs w:val="24"/>
        </w:rPr>
        <w:t xml:space="preserve"> as resource </w:t>
      </w:r>
      <w:proofErr w:type="gramStart"/>
      <w:r w:rsidRPr="00D54051">
        <w:rPr>
          <w:i/>
          <w:iCs/>
          <w:sz w:val="24"/>
          <w:szCs w:val="24"/>
        </w:rPr>
        <w:t>exchange :</w:t>
      </w:r>
      <w:proofErr w:type="gramEnd"/>
      <w:r w:rsidRPr="00D54051">
        <w:rPr>
          <w:i/>
          <w:iCs/>
          <w:sz w:val="24"/>
          <w:szCs w:val="24"/>
        </w:rPr>
        <w:t xml:space="preserve"> explorations into the societal structures of the mind</w:t>
      </w:r>
      <w:r w:rsidRPr="00D54051">
        <w:rPr>
          <w:sz w:val="24"/>
          <w:szCs w:val="24"/>
        </w:rPr>
        <w:t xml:space="preserve">. Edited by K.Y. </w:t>
      </w:r>
      <w:proofErr w:type="spellStart"/>
      <w:r w:rsidRPr="00D54051">
        <w:rPr>
          <w:sz w:val="24"/>
          <w:szCs w:val="24"/>
        </w:rPr>
        <w:t>Törnblom</w:t>
      </w:r>
      <w:proofErr w:type="spellEnd"/>
      <w:r w:rsidRPr="00D54051">
        <w:rPr>
          <w:sz w:val="24"/>
          <w:szCs w:val="24"/>
        </w:rPr>
        <w:t xml:space="preserve"> and A. Kazemi. New York, NY: Oxford University Press. Available at: </w:t>
      </w:r>
      <w:hyperlink r:id="rId13" w:history="1">
        <w:r w:rsidRPr="00D54051">
          <w:rPr>
            <w:rStyle w:val="Hyperlink"/>
            <w:sz w:val="24"/>
            <w:szCs w:val="24"/>
          </w:rPr>
          <w:t>https://doi.org/10.1093/oso/9780190066994.001.0001</w:t>
        </w:r>
      </w:hyperlink>
      <w:r w:rsidRPr="00D54051">
        <w:rPr>
          <w:sz w:val="24"/>
          <w:szCs w:val="24"/>
        </w:rPr>
        <w:t xml:space="preserve">. </w:t>
      </w:r>
    </w:p>
    <w:p w14:paraId="245E0706" w14:textId="77777777" w:rsidR="00655317" w:rsidRPr="00D54051" w:rsidRDefault="00655317" w:rsidP="00CC6308">
      <w:pPr>
        <w:rPr>
          <w:sz w:val="24"/>
          <w:szCs w:val="24"/>
        </w:rPr>
      </w:pPr>
    </w:p>
    <w:p w14:paraId="0153172F" w14:textId="77777777" w:rsidR="00655317" w:rsidRDefault="00655317" w:rsidP="00E33C47">
      <w:pPr>
        <w:rPr>
          <w:sz w:val="24"/>
          <w:szCs w:val="24"/>
        </w:rPr>
      </w:pPr>
      <w:r w:rsidRPr="00D54051">
        <w:rPr>
          <w:sz w:val="24"/>
          <w:szCs w:val="24"/>
        </w:rPr>
        <w:t xml:space="preserve">Gov.UK (2019) Strengths-based approach: Practice Framework and Practice Handbook. </w:t>
      </w:r>
      <w:r w:rsidRPr="00D54051">
        <w:rPr>
          <w:i/>
          <w:iCs/>
          <w:sz w:val="24"/>
          <w:szCs w:val="24"/>
        </w:rPr>
        <w:t xml:space="preserve">Department of Health and Social Care. </w:t>
      </w:r>
      <w:r w:rsidRPr="00D54051">
        <w:rPr>
          <w:sz w:val="24"/>
          <w:szCs w:val="24"/>
        </w:rPr>
        <w:t xml:space="preserve">Accessed 12/06/24. Available at </w:t>
      </w:r>
      <w:hyperlink r:id="rId14" w:history="1">
        <w:r w:rsidRPr="00D54051">
          <w:rPr>
            <w:rStyle w:val="Hyperlink"/>
            <w:sz w:val="24"/>
            <w:szCs w:val="24"/>
          </w:rPr>
          <w:t>Strengths-based approach: Practice Framework and Practice Handbook (publishing.service.gov.uk)</w:t>
        </w:r>
      </w:hyperlink>
      <w:r w:rsidRPr="00D54051">
        <w:rPr>
          <w:sz w:val="24"/>
          <w:szCs w:val="24"/>
        </w:rPr>
        <w:t xml:space="preserve"> </w:t>
      </w:r>
    </w:p>
    <w:p w14:paraId="3334395E" w14:textId="77777777" w:rsidR="00263D14" w:rsidRDefault="00263D14" w:rsidP="00E33C47">
      <w:pPr>
        <w:rPr>
          <w:sz w:val="24"/>
          <w:szCs w:val="24"/>
        </w:rPr>
      </w:pPr>
    </w:p>
    <w:p w14:paraId="4BC31D39" w14:textId="57A8F9F9" w:rsidR="00263D14" w:rsidRPr="00263D14" w:rsidRDefault="00263D14" w:rsidP="00263D14">
      <w:pPr>
        <w:rPr>
          <w:sz w:val="24"/>
          <w:szCs w:val="24"/>
        </w:rPr>
      </w:pPr>
      <w:r w:rsidRPr="00263D14">
        <w:rPr>
          <w:sz w:val="24"/>
          <w:szCs w:val="24"/>
        </w:rPr>
        <w:t xml:space="preserve">Gov.UK (2014) Social Services &amp; Wellbeing Act (Wales). Section </w:t>
      </w:r>
      <w:r w:rsidR="008E2364">
        <w:rPr>
          <w:sz w:val="24"/>
          <w:szCs w:val="24"/>
        </w:rPr>
        <w:t>12</w:t>
      </w:r>
      <w:r w:rsidRPr="00263D14">
        <w:rPr>
          <w:sz w:val="24"/>
          <w:szCs w:val="24"/>
        </w:rPr>
        <w:t>. Accessed 20</w:t>
      </w:r>
      <w:r w:rsidRPr="00263D14">
        <w:rPr>
          <w:sz w:val="24"/>
          <w:szCs w:val="24"/>
          <w:vertAlign w:val="superscript"/>
        </w:rPr>
        <w:t>th</w:t>
      </w:r>
      <w:r w:rsidRPr="00263D14">
        <w:rPr>
          <w:sz w:val="24"/>
          <w:szCs w:val="24"/>
        </w:rPr>
        <w:t xml:space="preserve"> August 202</w:t>
      </w:r>
      <w:r w:rsidR="008E2364">
        <w:rPr>
          <w:sz w:val="24"/>
          <w:szCs w:val="24"/>
        </w:rPr>
        <w:t>4</w:t>
      </w:r>
      <w:r w:rsidRPr="00263D14">
        <w:rPr>
          <w:sz w:val="24"/>
          <w:szCs w:val="24"/>
        </w:rPr>
        <w:t xml:space="preserve">. Available at </w:t>
      </w:r>
      <w:hyperlink r:id="rId15" w:history="1">
        <w:r w:rsidRPr="00263D14">
          <w:rPr>
            <w:rStyle w:val="Hyperlink"/>
            <w:sz w:val="24"/>
            <w:szCs w:val="24"/>
          </w:rPr>
          <w:t>https://www.legislation.gov.uk/anaw/2014/4/section/23</w:t>
        </w:r>
      </w:hyperlink>
      <w:r w:rsidRPr="00263D14">
        <w:rPr>
          <w:sz w:val="24"/>
          <w:szCs w:val="24"/>
        </w:rPr>
        <w:t xml:space="preserve"> </w:t>
      </w:r>
    </w:p>
    <w:p w14:paraId="26B1085C" w14:textId="77777777" w:rsidR="00655317" w:rsidRPr="00D54051" w:rsidRDefault="00655317" w:rsidP="00E33C47">
      <w:pPr>
        <w:rPr>
          <w:sz w:val="24"/>
          <w:szCs w:val="24"/>
        </w:rPr>
      </w:pPr>
    </w:p>
    <w:p w14:paraId="6BAD1B7F" w14:textId="77777777" w:rsidR="00655317" w:rsidRDefault="00655317" w:rsidP="00CC6308">
      <w:pPr>
        <w:rPr>
          <w:sz w:val="24"/>
          <w:szCs w:val="24"/>
        </w:rPr>
      </w:pPr>
      <w:r w:rsidRPr="00D54051">
        <w:rPr>
          <w:sz w:val="24"/>
          <w:szCs w:val="24"/>
        </w:rPr>
        <w:t>Greeno, E.J. </w:t>
      </w:r>
      <w:r w:rsidRPr="00D54051">
        <w:rPr>
          <w:i/>
          <w:iCs/>
          <w:sz w:val="24"/>
          <w:szCs w:val="24"/>
        </w:rPr>
        <w:t>et al.</w:t>
      </w:r>
      <w:r w:rsidRPr="00D54051">
        <w:rPr>
          <w:sz w:val="24"/>
          <w:szCs w:val="24"/>
        </w:rPr>
        <w:t> (2017) ‘The role of empathy in training social work students in motivational interviewing’, </w:t>
      </w:r>
      <w:r w:rsidRPr="00D54051">
        <w:rPr>
          <w:i/>
          <w:iCs/>
          <w:sz w:val="24"/>
          <w:szCs w:val="24"/>
        </w:rPr>
        <w:t>Social work education</w:t>
      </w:r>
      <w:r w:rsidRPr="00D54051">
        <w:rPr>
          <w:sz w:val="24"/>
          <w:szCs w:val="24"/>
        </w:rPr>
        <w:t xml:space="preserve">, 36(7), pp. 794–808. Available at: </w:t>
      </w:r>
      <w:hyperlink r:id="rId16" w:history="1">
        <w:r w:rsidRPr="00D54051">
          <w:rPr>
            <w:rStyle w:val="Hyperlink"/>
            <w:sz w:val="24"/>
            <w:szCs w:val="24"/>
          </w:rPr>
          <w:t>https://doi.org/10.1080/02615479.2017.1346071</w:t>
        </w:r>
      </w:hyperlink>
      <w:r w:rsidRPr="00D54051">
        <w:rPr>
          <w:sz w:val="24"/>
          <w:szCs w:val="24"/>
        </w:rPr>
        <w:t>.</w:t>
      </w:r>
    </w:p>
    <w:p w14:paraId="7062431A" w14:textId="77777777" w:rsidR="00655317" w:rsidRPr="00D54051" w:rsidRDefault="00655317" w:rsidP="00CC6308">
      <w:pPr>
        <w:rPr>
          <w:sz w:val="24"/>
          <w:szCs w:val="24"/>
        </w:rPr>
      </w:pPr>
    </w:p>
    <w:p w14:paraId="6B04C488" w14:textId="77777777" w:rsidR="00655317" w:rsidRPr="00D54051" w:rsidRDefault="00655317" w:rsidP="00CC6308">
      <w:pPr>
        <w:rPr>
          <w:sz w:val="24"/>
          <w:szCs w:val="24"/>
        </w:rPr>
      </w:pPr>
      <w:r w:rsidRPr="00D54051">
        <w:rPr>
          <w:sz w:val="24"/>
          <w:szCs w:val="24"/>
        </w:rPr>
        <w:t>Holloway, A. (2012) ‘Motivational Interviewing in Social Work Practice’, </w:t>
      </w:r>
      <w:r w:rsidRPr="00D54051">
        <w:rPr>
          <w:i/>
          <w:iCs/>
          <w:sz w:val="24"/>
          <w:szCs w:val="24"/>
        </w:rPr>
        <w:t>Alcohol and alcoholism (Oxford)</w:t>
      </w:r>
      <w:r w:rsidRPr="00D54051">
        <w:rPr>
          <w:sz w:val="24"/>
          <w:szCs w:val="24"/>
        </w:rPr>
        <w:t xml:space="preserve">, 47(3), pp. 362–362. Available at: </w:t>
      </w:r>
      <w:hyperlink r:id="rId17" w:history="1">
        <w:r w:rsidRPr="00D54051">
          <w:rPr>
            <w:rStyle w:val="Hyperlink"/>
            <w:sz w:val="24"/>
            <w:szCs w:val="24"/>
          </w:rPr>
          <w:t>https://doi.org/10.1093/alcalc/ags006</w:t>
        </w:r>
      </w:hyperlink>
      <w:r w:rsidRPr="00D54051">
        <w:rPr>
          <w:sz w:val="24"/>
          <w:szCs w:val="24"/>
        </w:rPr>
        <w:t xml:space="preserve">. </w:t>
      </w:r>
    </w:p>
    <w:p w14:paraId="30F48247" w14:textId="77777777" w:rsidR="00655317" w:rsidRDefault="00655317" w:rsidP="00CC6308">
      <w:pPr>
        <w:rPr>
          <w:sz w:val="24"/>
          <w:szCs w:val="24"/>
        </w:rPr>
      </w:pPr>
      <w:r w:rsidRPr="00D54051">
        <w:rPr>
          <w:sz w:val="24"/>
          <w:szCs w:val="24"/>
        </w:rPr>
        <w:t>Holmes, J. (2014) </w:t>
      </w:r>
      <w:r w:rsidRPr="00D54051">
        <w:rPr>
          <w:i/>
          <w:iCs/>
          <w:sz w:val="24"/>
          <w:szCs w:val="24"/>
        </w:rPr>
        <w:t>John Bowlby and attachment theory</w:t>
      </w:r>
      <w:r w:rsidRPr="00D54051">
        <w:rPr>
          <w:sz w:val="24"/>
          <w:szCs w:val="24"/>
        </w:rPr>
        <w:t xml:space="preserve">. Second edition. London: Routledge. Available at: </w:t>
      </w:r>
      <w:hyperlink r:id="rId18" w:history="1">
        <w:r w:rsidRPr="00D54051">
          <w:rPr>
            <w:rStyle w:val="Hyperlink"/>
            <w:sz w:val="24"/>
            <w:szCs w:val="24"/>
          </w:rPr>
          <w:t>https://doi.org/10.4324/9781315879772</w:t>
        </w:r>
      </w:hyperlink>
      <w:r w:rsidRPr="00D54051">
        <w:rPr>
          <w:sz w:val="24"/>
          <w:szCs w:val="24"/>
        </w:rPr>
        <w:t>.</w:t>
      </w:r>
    </w:p>
    <w:p w14:paraId="33CE2D21" w14:textId="77777777" w:rsidR="00655317" w:rsidRPr="00D54051" w:rsidRDefault="00655317" w:rsidP="00CC6308">
      <w:pPr>
        <w:rPr>
          <w:sz w:val="24"/>
          <w:szCs w:val="24"/>
        </w:rPr>
      </w:pPr>
    </w:p>
    <w:p w14:paraId="2F36B4C9" w14:textId="77777777" w:rsidR="00655317" w:rsidRPr="00D54051" w:rsidRDefault="00655317" w:rsidP="00CC6308">
      <w:pPr>
        <w:rPr>
          <w:sz w:val="24"/>
          <w:szCs w:val="24"/>
        </w:rPr>
      </w:pPr>
      <w:r w:rsidRPr="00D54051">
        <w:rPr>
          <w:sz w:val="24"/>
          <w:szCs w:val="24"/>
        </w:rPr>
        <w:t xml:space="preserve">Homans, G.C. (1958) ‘Social </w:t>
      </w:r>
      <w:proofErr w:type="spellStart"/>
      <w:r w:rsidRPr="00D54051">
        <w:rPr>
          <w:sz w:val="24"/>
          <w:szCs w:val="24"/>
        </w:rPr>
        <w:t>Behavior</w:t>
      </w:r>
      <w:proofErr w:type="spellEnd"/>
      <w:r w:rsidRPr="00D54051">
        <w:rPr>
          <w:sz w:val="24"/>
          <w:szCs w:val="24"/>
        </w:rPr>
        <w:t xml:space="preserve"> as Exchange’, </w:t>
      </w:r>
      <w:r w:rsidRPr="00D54051">
        <w:rPr>
          <w:i/>
          <w:iCs/>
          <w:sz w:val="24"/>
          <w:szCs w:val="24"/>
        </w:rPr>
        <w:t>The American journal of sociology</w:t>
      </w:r>
      <w:r w:rsidRPr="00D54051">
        <w:rPr>
          <w:sz w:val="24"/>
          <w:szCs w:val="24"/>
        </w:rPr>
        <w:t xml:space="preserve">, 63(6), pp. 597–606. Available at: </w:t>
      </w:r>
      <w:hyperlink r:id="rId19" w:history="1">
        <w:r w:rsidRPr="00D54051">
          <w:rPr>
            <w:rStyle w:val="Hyperlink"/>
            <w:sz w:val="24"/>
            <w:szCs w:val="24"/>
          </w:rPr>
          <w:t>https://doi.org/10.1086/222355</w:t>
        </w:r>
      </w:hyperlink>
      <w:r w:rsidRPr="00D54051">
        <w:rPr>
          <w:sz w:val="24"/>
          <w:szCs w:val="24"/>
        </w:rPr>
        <w:t>.</w:t>
      </w:r>
    </w:p>
    <w:p w14:paraId="60C25870" w14:textId="77777777" w:rsidR="00655317" w:rsidRDefault="00655317" w:rsidP="00315F88">
      <w:pPr>
        <w:rPr>
          <w:sz w:val="24"/>
          <w:szCs w:val="24"/>
        </w:rPr>
      </w:pPr>
      <w:r w:rsidRPr="00D54051">
        <w:rPr>
          <w:sz w:val="24"/>
          <w:szCs w:val="24"/>
        </w:rPr>
        <w:t>Jones, S. (2004) ‘Augmentative and Alternative Communication: Management of Severe Communication Disorders in Children and Adults’, </w:t>
      </w:r>
      <w:r w:rsidRPr="00D54051">
        <w:rPr>
          <w:i/>
          <w:iCs/>
          <w:sz w:val="24"/>
          <w:szCs w:val="24"/>
        </w:rPr>
        <w:t>Journal of Applied Research in Intellectual Disabilities</w:t>
      </w:r>
      <w:r w:rsidRPr="00D54051">
        <w:rPr>
          <w:sz w:val="24"/>
          <w:szCs w:val="24"/>
        </w:rPr>
        <w:t xml:space="preserve">. Oxford, UK: Blackwell Science Ltd, pp. 133–134. Available at: </w:t>
      </w:r>
      <w:hyperlink r:id="rId20" w:history="1">
        <w:r w:rsidRPr="00D54051">
          <w:rPr>
            <w:rStyle w:val="Hyperlink"/>
            <w:sz w:val="24"/>
            <w:szCs w:val="24"/>
          </w:rPr>
          <w:t>https://doi.org/10.1111/j.1360-2322.2004.0182a</w:t>
        </w:r>
      </w:hyperlink>
      <w:r w:rsidRPr="00D54051">
        <w:rPr>
          <w:sz w:val="24"/>
          <w:szCs w:val="24"/>
        </w:rPr>
        <w:t xml:space="preserve">. </w:t>
      </w:r>
    </w:p>
    <w:p w14:paraId="24BB20B1" w14:textId="77777777" w:rsidR="00A74F06" w:rsidRDefault="00A74F06" w:rsidP="00315F88">
      <w:pPr>
        <w:rPr>
          <w:sz w:val="24"/>
          <w:szCs w:val="24"/>
        </w:rPr>
      </w:pPr>
    </w:p>
    <w:p w14:paraId="638FA95F" w14:textId="4E55B606" w:rsidR="00A74F06" w:rsidRPr="00A74F06" w:rsidRDefault="00A74F06" w:rsidP="00A74F06">
      <w:pPr>
        <w:rPr>
          <w:sz w:val="24"/>
          <w:szCs w:val="24"/>
        </w:rPr>
      </w:pPr>
      <w:r w:rsidRPr="00A74F06">
        <w:rPr>
          <w:sz w:val="24"/>
          <w:szCs w:val="24"/>
        </w:rPr>
        <w:lastRenderedPageBreak/>
        <w:t>Human Rights Act (1998) Accessed 24/</w:t>
      </w:r>
      <w:r w:rsidR="007A09E8">
        <w:rPr>
          <w:sz w:val="24"/>
          <w:szCs w:val="24"/>
        </w:rPr>
        <w:t>10</w:t>
      </w:r>
      <w:r w:rsidRPr="00A74F06">
        <w:rPr>
          <w:sz w:val="24"/>
          <w:szCs w:val="24"/>
        </w:rPr>
        <w:t>/202</w:t>
      </w:r>
      <w:r w:rsidR="007A09E8">
        <w:rPr>
          <w:sz w:val="24"/>
          <w:szCs w:val="24"/>
        </w:rPr>
        <w:t>4</w:t>
      </w:r>
      <w:r w:rsidRPr="00A74F06">
        <w:rPr>
          <w:sz w:val="24"/>
          <w:szCs w:val="24"/>
        </w:rPr>
        <w:t xml:space="preserve">. Available at </w:t>
      </w:r>
      <w:hyperlink r:id="rId21" w:history="1">
        <w:r w:rsidRPr="00A74F06">
          <w:rPr>
            <w:rStyle w:val="Hyperlink"/>
            <w:sz w:val="24"/>
            <w:szCs w:val="24"/>
          </w:rPr>
          <w:t>https://www.legislation.gov.uk/ukpga/1998/42/contents</w:t>
        </w:r>
      </w:hyperlink>
      <w:r w:rsidRPr="00A74F06">
        <w:rPr>
          <w:sz w:val="24"/>
          <w:szCs w:val="24"/>
        </w:rPr>
        <w:t xml:space="preserve"> </w:t>
      </w:r>
    </w:p>
    <w:p w14:paraId="2D885E1F" w14:textId="77777777" w:rsidR="00A74F06" w:rsidRDefault="00A74F06" w:rsidP="00315F88">
      <w:pPr>
        <w:rPr>
          <w:sz w:val="24"/>
          <w:szCs w:val="24"/>
        </w:rPr>
      </w:pPr>
    </w:p>
    <w:p w14:paraId="07AF7AEE" w14:textId="77777777" w:rsidR="00655317" w:rsidRPr="00D54051" w:rsidRDefault="00655317" w:rsidP="00315F88">
      <w:pPr>
        <w:rPr>
          <w:sz w:val="24"/>
          <w:szCs w:val="24"/>
        </w:rPr>
      </w:pPr>
    </w:p>
    <w:p w14:paraId="1AC79D3A" w14:textId="77777777" w:rsidR="00655317" w:rsidRDefault="00655317" w:rsidP="00315F88">
      <w:pPr>
        <w:rPr>
          <w:sz w:val="24"/>
          <w:szCs w:val="24"/>
        </w:rPr>
      </w:pPr>
      <w:r w:rsidRPr="00D54051">
        <w:rPr>
          <w:sz w:val="24"/>
          <w:szCs w:val="24"/>
        </w:rPr>
        <w:t xml:space="preserve">Korner, H., Carter, M. and Stephenson, J. (2024) ‘Coaching Parents of Young Children with Complex Communication Needs to Implement Aided Language Stimulation Using Pragmatic Organisation Dynamic Display Communication Books’, International journal of disability, development, and education, 71(5), pp. 703–720. Available at: </w:t>
      </w:r>
      <w:hyperlink r:id="rId22" w:history="1">
        <w:r w:rsidRPr="00D54051">
          <w:rPr>
            <w:rStyle w:val="Hyperlink"/>
            <w:sz w:val="24"/>
            <w:szCs w:val="24"/>
          </w:rPr>
          <w:t>https://doi.org/10.1080/1034912X.2023.2166676</w:t>
        </w:r>
      </w:hyperlink>
      <w:r w:rsidRPr="00D54051">
        <w:rPr>
          <w:sz w:val="24"/>
          <w:szCs w:val="24"/>
        </w:rPr>
        <w:t>.</w:t>
      </w:r>
    </w:p>
    <w:p w14:paraId="45BCB81C" w14:textId="77777777" w:rsidR="00655317" w:rsidRPr="00D54051" w:rsidRDefault="00655317" w:rsidP="00315F88">
      <w:pPr>
        <w:rPr>
          <w:sz w:val="24"/>
          <w:szCs w:val="24"/>
        </w:rPr>
      </w:pPr>
    </w:p>
    <w:p w14:paraId="76E77A0E" w14:textId="77777777" w:rsidR="00655317" w:rsidRPr="00D54051" w:rsidRDefault="00655317" w:rsidP="00E33C47">
      <w:pPr>
        <w:rPr>
          <w:sz w:val="24"/>
          <w:szCs w:val="24"/>
        </w:rPr>
      </w:pPr>
      <w:r w:rsidRPr="00D54051">
        <w:rPr>
          <w:sz w:val="24"/>
          <w:szCs w:val="24"/>
        </w:rPr>
        <w:t>Lishman, J. (1995) Counselling and Social Work, Buckingham, Open University Press</w:t>
      </w:r>
    </w:p>
    <w:p w14:paraId="29426FEF" w14:textId="77777777" w:rsidR="00655317" w:rsidRDefault="00655317" w:rsidP="00CC6308">
      <w:pPr>
        <w:rPr>
          <w:sz w:val="24"/>
          <w:szCs w:val="24"/>
        </w:rPr>
      </w:pPr>
      <w:r w:rsidRPr="00D54051">
        <w:rPr>
          <w:sz w:val="24"/>
          <w:szCs w:val="24"/>
        </w:rPr>
        <w:t>Magill, M. </w:t>
      </w:r>
      <w:r w:rsidRPr="00D54051">
        <w:rPr>
          <w:i/>
          <w:iCs/>
          <w:sz w:val="24"/>
          <w:szCs w:val="24"/>
        </w:rPr>
        <w:t>et al.</w:t>
      </w:r>
      <w:r w:rsidRPr="00D54051">
        <w:rPr>
          <w:sz w:val="24"/>
          <w:szCs w:val="24"/>
        </w:rPr>
        <w:t> (2014) ‘The Technical Hypothesis of Motivational Interviewing: A Meta-Analysis of MI’s Key Causal Model’, </w:t>
      </w:r>
      <w:r w:rsidRPr="00D54051">
        <w:rPr>
          <w:i/>
          <w:iCs/>
          <w:sz w:val="24"/>
          <w:szCs w:val="24"/>
        </w:rPr>
        <w:t>Journal of consulting and clinical psychology</w:t>
      </w:r>
      <w:r w:rsidRPr="00D54051">
        <w:rPr>
          <w:sz w:val="24"/>
          <w:szCs w:val="24"/>
        </w:rPr>
        <w:t xml:space="preserve">, 82(6), pp. 973–983. Available at: </w:t>
      </w:r>
      <w:hyperlink r:id="rId23" w:history="1">
        <w:r w:rsidRPr="00D54051">
          <w:rPr>
            <w:rStyle w:val="Hyperlink"/>
            <w:sz w:val="24"/>
            <w:szCs w:val="24"/>
          </w:rPr>
          <w:t>https://doi.org/10.1037/a0036833</w:t>
        </w:r>
      </w:hyperlink>
      <w:r w:rsidRPr="00D54051">
        <w:rPr>
          <w:sz w:val="24"/>
          <w:szCs w:val="24"/>
        </w:rPr>
        <w:t>.</w:t>
      </w:r>
    </w:p>
    <w:p w14:paraId="5453210A" w14:textId="77777777" w:rsidR="00655317" w:rsidRPr="00D54051" w:rsidRDefault="00655317" w:rsidP="00CC6308">
      <w:pPr>
        <w:rPr>
          <w:sz w:val="24"/>
          <w:szCs w:val="24"/>
        </w:rPr>
      </w:pPr>
    </w:p>
    <w:p w14:paraId="74CCFF9C" w14:textId="77777777" w:rsidR="00655317" w:rsidRDefault="00655317" w:rsidP="00315F88">
      <w:pPr>
        <w:rPr>
          <w:sz w:val="24"/>
          <w:szCs w:val="24"/>
        </w:rPr>
      </w:pPr>
      <w:r w:rsidRPr="00D54051">
        <w:rPr>
          <w:sz w:val="24"/>
          <w:szCs w:val="24"/>
        </w:rPr>
        <w:t xml:space="preserve">Mencap (2012) Communicating with people with a learning disability. Available at </w:t>
      </w:r>
      <w:hyperlink r:id="rId24" w:history="1">
        <w:r w:rsidRPr="00D54051">
          <w:rPr>
            <w:rStyle w:val="Hyperlink"/>
            <w:sz w:val="24"/>
            <w:szCs w:val="24"/>
          </w:rPr>
          <w:t xml:space="preserve">Communicating with </w:t>
        </w:r>
        <w:proofErr w:type="spellStart"/>
        <w:r w:rsidRPr="00D54051">
          <w:rPr>
            <w:rStyle w:val="Hyperlink"/>
            <w:sz w:val="24"/>
            <w:szCs w:val="24"/>
          </w:rPr>
          <w:t>people_updated</w:t>
        </w:r>
        <w:proofErr w:type="spellEnd"/>
        <w:r w:rsidRPr="00D54051">
          <w:rPr>
            <w:rStyle w:val="Hyperlink"/>
            <w:sz w:val="24"/>
            <w:szCs w:val="24"/>
          </w:rPr>
          <w:t xml:space="preserve"> (1).pdf</w:t>
        </w:r>
      </w:hyperlink>
      <w:r w:rsidRPr="00D54051">
        <w:rPr>
          <w:sz w:val="24"/>
          <w:szCs w:val="24"/>
        </w:rPr>
        <w:t xml:space="preserve"> </w:t>
      </w:r>
    </w:p>
    <w:p w14:paraId="4369BA6C" w14:textId="77777777" w:rsidR="00655317" w:rsidRPr="00D54051" w:rsidRDefault="00655317" w:rsidP="00315F88">
      <w:pPr>
        <w:rPr>
          <w:sz w:val="24"/>
          <w:szCs w:val="24"/>
        </w:rPr>
      </w:pPr>
    </w:p>
    <w:p w14:paraId="7776F110" w14:textId="77777777" w:rsidR="00655317" w:rsidRDefault="00655317" w:rsidP="00CC6308">
      <w:pPr>
        <w:rPr>
          <w:sz w:val="24"/>
          <w:szCs w:val="24"/>
        </w:rPr>
      </w:pPr>
      <w:r w:rsidRPr="00D54051">
        <w:rPr>
          <w:sz w:val="24"/>
          <w:szCs w:val="24"/>
        </w:rPr>
        <w:t>Norris, L. (2020) ‘The spatial implications of rural business digitalization: case studies from Wales’, </w:t>
      </w:r>
      <w:r w:rsidRPr="00D54051">
        <w:rPr>
          <w:i/>
          <w:iCs/>
          <w:sz w:val="24"/>
          <w:szCs w:val="24"/>
        </w:rPr>
        <w:t>Regional studies, regional science</w:t>
      </w:r>
      <w:r w:rsidRPr="00D54051">
        <w:rPr>
          <w:sz w:val="24"/>
          <w:szCs w:val="24"/>
        </w:rPr>
        <w:t xml:space="preserve">, 7(1), pp. 499–510. Available at: </w:t>
      </w:r>
      <w:hyperlink r:id="rId25" w:history="1">
        <w:r w:rsidRPr="00D54051">
          <w:rPr>
            <w:rStyle w:val="Hyperlink"/>
            <w:sz w:val="24"/>
            <w:szCs w:val="24"/>
          </w:rPr>
          <w:t>https://doi.org/10.1080/21681376.2020.1841674</w:t>
        </w:r>
      </w:hyperlink>
      <w:r w:rsidRPr="00D54051">
        <w:rPr>
          <w:sz w:val="24"/>
          <w:szCs w:val="24"/>
        </w:rPr>
        <w:t xml:space="preserve">. </w:t>
      </w:r>
    </w:p>
    <w:p w14:paraId="07F6262E" w14:textId="77777777" w:rsidR="00655317" w:rsidRPr="00D54051" w:rsidRDefault="00655317" w:rsidP="00CC6308">
      <w:pPr>
        <w:rPr>
          <w:sz w:val="24"/>
          <w:szCs w:val="24"/>
        </w:rPr>
      </w:pPr>
    </w:p>
    <w:p w14:paraId="290AFA82" w14:textId="77777777" w:rsidR="00655317" w:rsidRDefault="00655317" w:rsidP="00CC6308">
      <w:pPr>
        <w:rPr>
          <w:sz w:val="24"/>
          <w:szCs w:val="24"/>
        </w:rPr>
      </w:pPr>
      <w:r w:rsidRPr="00D54051">
        <w:rPr>
          <w:sz w:val="24"/>
          <w:szCs w:val="24"/>
        </w:rPr>
        <w:t>Oved, O. (2017) ‘Rethinking the Place of Love Needs in Maslow’s Hierarchy of Needs: III. Young Perspectives’, </w:t>
      </w:r>
      <w:r w:rsidRPr="00D54051">
        <w:rPr>
          <w:i/>
          <w:iCs/>
          <w:sz w:val="24"/>
          <w:szCs w:val="24"/>
        </w:rPr>
        <w:t>Society (New Brunswick)</w:t>
      </w:r>
      <w:r w:rsidRPr="00D54051">
        <w:rPr>
          <w:sz w:val="24"/>
          <w:szCs w:val="24"/>
        </w:rPr>
        <w:t xml:space="preserve">, 54(6), pp. 537–538. Available at: </w:t>
      </w:r>
      <w:hyperlink r:id="rId26" w:history="1">
        <w:r w:rsidRPr="00D54051">
          <w:rPr>
            <w:rStyle w:val="Hyperlink"/>
            <w:sz w:val="24"/>
            <w:szCs w:val="24"/>
          </w:rPr>
          <w:t>https://doi.org/10.1007/s12115-017-0186-x</w:t>
        </w:r>
      </w:hyperlink>
      <w:r w:rsidRPr="00D54051">
        <w:rPr>
          <w:sz w:val="24"/>
          <w:szCs w:val="24"/>
        </w:rPr>
        <w:t>.</w:t>
      </w:r>
    </w:p>
    <w:p w14:paraId="2D5C1963" w14:textId="77777777" w:rsidR="00655317" w:rsidRPr="00D54051" w:rsidRDefault="00655317" w:rsidP="00CC6308">
      <w:pPr>
        <w:rPr>
          <w:sz w:val="24"/>
          <w:szCs w:val="24"/>
        </w:rPr>
      </w:pPr>
    </w:p>
    <w:p w14:paraId="25392545" w14:textId="77777777" w:rsidR="00655317" w:rsidRDefault="00655317" w:rsidP="00E33C47">
      <w:pPr>
        <w:rPr>
          <w:sz w:val="24"/>
          <w:szCs w:val="24"/>
        </w:rPr>
      </w:pPr>
      <w:r w:rsidRPr="00D54051">
        <w:rPr>
          <w:sz w:val="24"/>
          <w:szCs w:val="24"/>
        </w:rPr>
        <w:t xml:space="preserve">Rayner, C., &amp; Bonnici, F. (2021). The systems work of social </w:t>
      </w:r>
      <w:proofErr w:type="gramStart"/>
      <w:r w:rsidRPr="00D54051">
        <w:rPr>
          <w:sz w:val="24"/>
          <w:szCs w:val="24"/>
        </w:rPr>
        <w:t>change :</w:t>
      </w:r>
      <w:proofErr w:type="gramEnd"/>
      <w:r w:rsidRPr="00D54051">
        <w:rPr>
          <w:sz w:val="24"/>
          <w:szCs w:val="24"/>
        </w:rPr>
        <w:t xml:space="preserve"> how to harness connection, context, and power to cultivate deep and enduring change (First edition.). Oxford University Press.</w:t>
      </w:r>
    </w:p>
    <w:p w14:paraId="522FAD8F" w14:textId="77777777" w:rsidR="00655317" w:rsidRPr="00D54051" w:rsidRDefault="00655317" w:rsidP="00E33C47">
      <w:pPr>
        <w:rPr>
          <w:sz w:val="24"/>
          <w:szCs w:val="24"/>
        </w:rPr>
      </w:pPr>
    </w:p>
    <w:p w14:paraId="1C578BF4" w14:textId="77777777" w:rsidR="00655317" w:rsidRPr="00D54051" w:rsidRDefault="00655317" w:rsidP="00CC6308">
      <w:pPr>
        <w:rPr>
          <w:sz w:val="24"/>
          <w:szCs w:val="24"/>
        </w:rPr>
      </w:pPr>
      <w:r w:rsidRPr="00D54051">
        <w:rPr>
          <w:sz w:val="24"/>
          <w:szCs w:val="24"/>
        </w:rPr>
        <w:t>Ruch, G., Turney, D. and Ward, A. (eds) (2018) </w:t>
      </w:r>
      <w:r w:rsidRPr="00D54051">
        <w:rPr>
          <w:i/>
          <w:iCs/>
          <w:sz w:val="24"/>
          <w:szCs w:val="24"/>
        </w:rPr>
        <w:t xml:space="preserve">Relationship-based social </w:t>
      </w:r>
      <w:proofErr w:type="gramStart"/>
      <w:r w:rsidRPr="00D54051">
        <w:rPr>
          <w:i/>
          <w:iCs/>
          <w:sz w:val="24"/>
          <w:szCs w:val="24"/>
        </w:rPr>
        <w:t>work :</w:t>
      </w:r>
      <w:proofErr w:type="gramEnd"/>
      <w:r w:rsidRPr="00D54051">
        <w:rPr>
          <w:i/>
          <w:iCs/>
          <w:sz w:val="24"/>
          <w:szCs w:val="24"/>
        </w:rPr>
        <w:t xml:space="preserve"> getting to the heart of practice</w:t>
      </w:r>
      <w:r w:rsidRPr="00D54051">
        <w:rPr>
          <w:sz w:val="24"/>
          <w:szCs w:val="24"/>
        </w:rPr>
        <w:t xml:space="preserve">. Second edition. </w:t>
      </w:r>
      <w:proofErr w:type="gramStart"/>
      <w:r w:rsidRPr="00D54051">
        <w:rPr>
          <w:sz w:val="24"/>
          <w:szCs w:val="24"/>
        </w:rPr>
        <w:t>London ;</w:t>
      </w:r>
      <w:proofErr w:type="gramEnd"/>
      <w:r w:rsidRPr="00D54051">
        <w:rPr>
          <w:sz w:val="24"/>
          <w:szCs w:val="24"/>
        </w:rPr>
        <w:t xml:space="preserve"> Jessica Kingsley Publishers.</w:t>
      </w:r>
    </w:p>
    <w:p w14:paraId="65A0D8D8" w14:textId="77777777" w:rsidR="00655317" w:rsidRDefault="00655317" w:rsidP="00CC6308">
      <w:pPr>
        <w:rPr>
          <w:sz w:val="24"/>
          <w:szCs w:val="24"/>
        </w:rPr>
      </w:pPr>
      <w:r w:rsidRPr="00D54051">
        <w:rPr>
          <w:sz w:val="24"/>
          <w:szCs w:val="24"/>
        </w:rPr>
        <w:t>Schwalbe, C.S., Oh, H.Y. and Zweben, A. (2014) ‘Sustaining motivational interviewing: a meta-analysis of training studies’, </w:t>
      </w:r>
      <w:r w:rsidRPr="00D54051">
        <w:rPr>
          <w:i/>
          <w:iCs/>
          <w:sz w:val="24"/>
          <w:szCs w:val="24"/>
        </w:rPr>
        <w:t>Addiction (Abingdon, England)</w:t>
      </w:r>
      <w:r w:rsidRPr="00D54051">
        <w:rPr>
          <w:sz w:val="24"/>
          <w:szCs w:val="24"/>
        </w:rPr>
        <w:t xml:space="preserve">, 109(8), pp. 1287–1294. Available at: </w:t>
      </w:r>
      <w:hyperlink r:id="rId27" w:history="1">
        <w:r w:rsidRPr="00D54051">
          <w:rPr>
            <w:rStyle w:val="Hyperlink"/>
            <w:sz w:val="24"/>
            <w:szCs w:val="24"/>
          </w:rPr>
          <w:t>https://doi.org/10.1111/add.12558</w:t>
        </w:r>
      </w:hyperlink>
      <w:r w:rsidRPr="00D54051">
        <w:rPr>
          <w:sz w:val="24"/>
          <w:szCs w:val="24"/>
        </w:rPr>
        <w:t>.</w:t>
      </w:r>
    </w:p>
    <w:p w14:paraId="5D3C156E" w14:textId="77777777" w:rsidR="00655317" w:rsidRPr="00D54051" w:rsidRDefault="00655317" w:rsidP="00CC6308">
      <w:pPr>
        <w:rPr>
          <w:sz w:val="24"/>
          <w:szCs w:val="24"/>
        </w:rPr>
      </w:pPr>
    </w:p>
    <w:p w14:paraId="66ABC210" w14:textId="77777777" w:rsidR="00655317" w:rsidRPr="00D54051" w:rsidRDefault="00655317" w:rsidP="00CC6308">
      <w:pPr>
        <w:rPr>
          <w:sz w:val="24"/>
          <w:szCs w:val="24"/>
        </w:rPr>
      </w:pPr>
      <w:r w:rsidRPr="00D54051">
        <w:rPr>
          <w:sz w:val="24"/>
          <w:szCs w:val="24"/>
        </w:rPr>
        <w:t>Šebek Vladimir (2016) ‘PEACE model of investigative interviewing’, </w:t>
      </w:r>
      <w:r w:rsidRPr="00D54051">
        <w:rPr>
          <w:i/>
          <w:iCs/>
          <w:sz w:val="24"/>
          <w:szCs w:val="24"/>
        </w:rPr>
        <w:t xml:space="preserve">NBP. Nauka, </w:t>
      </w:r>
      <w:proofErr w:type="spellStart"/>
      <w:r w:rsidRPr="00D54051">
        <w:rPr>
          <w:i/>
          <w:iCs/>
          <w:sz w:val="24"/>
          <w:szCs w:val="24"/>
        </w:rPr>
        <w:t>bezbednost</w:t>
      </w:r>
      <w:proofErr w:type="spellEnd"/>
      <w:r w:rsidRPr="00D54051">
        <w:rPr>
          <w:i/>
          <w:iCs/>
          <w:sz w:val="24"/>
          <w:szCs w:val="24"/>
        </w:rPr>
        <w:t xml:space="preserve">, </w:t>
      </w:r>
      <w:proofErr w:type="spellStart"/>
      <w:r w:rsidRPr="00D54051">
        <w:rPr>
          <w:i/>
          <w:iCs/>
          <w:sz w:val="24"/>
          <w:szCs w:val="24"/>
        </w:rPr>
        <w:t>policija</w:t>
      </w:r>
      <w:proofErr w:type="spellEnd"/>
      <w:r w:rsidRPr="00D54051">
        <w:rPr>
          <w:sz w:val="24"/>
          <w:szCs w:val="24"/>
        </w:rPr>
        <w:t xml:space="preserve">, 21(1), pp. 161–186. Available at: </w:t>
      </w:r>
      <w:hyperlink r:id="rId28" w:history="1">
        <w:r w:rsidRPr="00D54051">
          <w:rPr>
            <w:rStyle w:val="Hyperlink"/>
            <w:sz w:val="24"/>
            <w:szCs w:val="24"/>
          </w:rPr>
          <w:t>https://doi.org/10.5937/NBP1601161S</w:t>
        </w:r>
      </w:hyperlink>
      <w:r w:rsidRPr="00D54051">
        <w:rPr>
          <w:sz w:val="24"/>
          <w:szCs w:val="24"/>
        </w:rPr>
        <w:t>.</w:t>
      </w:r>
    </w:p>
    <w:p w14:paraId="6640D9B8" w14:textId="77777777" w:rsidR="00655317" w:rsidRDefault="00655317" w:rsidP="00E33C47">
      <w:pPr>
        <w:rPr>
          <w:sz w:val="24"/>
          <w:szCs w:val="24"/>
        </w:rPr>
      </w:pPr>
      <w:r w:rsidRPr="00D54051">
        <w:rPr>
          <w:sz w:val="24"/>
          <w:szCs w:val="24"/>
        </w:rPr>
        <w:t xml:space="preserve">Seden, J. (2005) Counselling Skills in Social Work Practice, Maidenhead, Open University Press and McGraw-Hill Education </w:t>
      </w:r>
    </w:p>
    <w:p w14:paraId="0A752445" w14:textId="77777777" w:rsidR="00655317" w:rsidRPr="00D54051" w:rsidRDefault="00655317" w:rsidP="00E33C47">
      <w:pPr>
        <w:rPr>
          <w:sz w:val="24"/>
          <w:szCs w:val="24"/>
        </w:rPr>
      </w:pPr>
    </w:p>
    <w:p w14:paraId="60ED55FD" w14:textId="77777777" w:rsidR="00655317" w:rsidRDefault="00655317" w:rsidP="00315F88">
      <w:pPr>
        <w:rPr>
          <w:sz w:val="24"/>
          <w:szCs w:val="24"/>
        </w:rPr>
      </w:pPr>
      <w:r w:rsidRPr="00D54051">
        <w:rPr>
          <w:sz w:val="24"/>
          <w:szCs w:val="24"/>
        </w:rPr>
        <w:t>Simion, E. (2014) ‘Augmentative and Alternative Communication – Support for People with Severe Speech Disorders’, </w:t>
      </w:r>
      <w:r w:rsidRPr="00D54051">
        <w:rPr>
          <w:i/>
          <w:iCs/>
          <w:sz w:val="24"/>
          <w:szCs w:val="24"/>
        </w:rPr>
        <w:t xml:space="preserve">Procedia, social and </w:t>
      </w:r>
      <w:proofErr w:type="spellStart"/>
      <w:r w:rsidRPr="00D54051">
        <w:rPr>
          <w:i/>
          <w:iCs/>
          <w:sz w:val="24"/>
          <w:szCs w:val="24"/>
        </w:rPr>
        <w:t>behavioral</w:t>
      </w:r>
      <w:proofErr w:type="spellEnd"/>
      <w:r w:rsidRPr="00D54051">
        <w:rPr>
          <w:i/>
          <w:iCs/>
          <w:sz w:val="24"/>
          <w:szCs w:val="24"/>
        </w:rPr>
        <w:t xml:space="preserve"> sciences</w:t>
      </w:r>
      <w:r w:rsidRPr="00D54051">
        <w:rPr>
          <w:sz w:val="24"/>
          <w:szCs w:val="24"/>
        </w:rPr>
        <w:t xml:space="preserve">, 128, pp. 77–81. Available at: </w:t>
      </w:r>
      <w:hyperlink r:id="rId29" w:history="1">
        <w:r w:rsidRPr="00D54051">
          <w:rPr>
            <w:rStyle w:val="Hyperlink"/>
            <w:sz w:val="24"/>
            <w:szCs w:val="24"/>
          </w:rPr>
          <w:t>https://doi.org/10.1016/j.sbspro.2014.03.121</w:t>
        </w:r>
      </w:hyperlink>
      <w:r w:rsidRPr="00D54051">
        <w:rPr>
          <w:sz w:val="24"/>
          <w:szCs w:val="24"/>
        </w:rPr>
        <w:t xml:space="preserve">. </w:t>
      </w:r>
    </w:p>
    <w:p w14:paraId="6A309BAF" w14:textId="77777777" w:rsidR="00655317" w:rsidRPr="00D54051" w:rsidRDefault="00655317" w:rsidP="00315F88">
      <w:pPr>
        <w:rPr>
          <w:sz w:val="24"/>
          <w:szCs w:val="24"/>
        </w:rPr>
      </w:pPr>
    </w:p>
    <w:p w14:paraId="0C08A534" w14:textId="77777777" w:rsidR="00655317" w:rsidRDefault="00655317" w:rsidP="00315F88">
      <w:pPr>
        <w:rPr>
          <w:sz w:val="24"/>
          <w:szCs w:val="24"/>
        </w:rPr>
      </w:pPr>
      <w:proofErr w:type="spellStart"/>
      <w:r w:rsidRPr="00D54051">
        <w:rPr>
          <w:sz w:val="24"/>
          <w:szCs w:val="24"/>
        </w:rPr>
        <w:lastRenderedPageBreak/>
        <w:t>Slasberg</w:t>
      </w:r>
      <w:proofErr w:type="spellEnd"/>
      <w:r w:rsidRPr="00D54051">
        <w:rPr>
          <w:sz w:val="24"/>
          <w:szCs w:val="24"/>
        </w:rPr>
        <w:t xml:space="preserve">, C. and Beresford, P. (2017) ‘Strengths-based practice: social care’s latest Elixir or the next false dawn?’, Disability &amp; society, 32(2), pp. 269–273. Available at: </w:t>
      </w:r>
      <w:hyperlink r:id="rId30" w:history="1">
        <w:r w:rsidRPr="00D54051">
          <w:rPr>
            <w:rStyle w:val="Hyperlink"/>
            <w:sz w:val="24"/>
            <w:szCs w:val="24"/>
          </w:rPr>
          <w:t>https://doi.org/10.1080/09687599.2017.1281974</w:t>
        </w:r>
      </w:hyperlink>
      <w:r w:rsidRPr="00D54051">
        <w:rPr>
          <w:sz w:val="24"/>
          <w:szCs w:val="24"/>
        </w:rPr>
        <w:t>.</w:t>
      </w:r>
    </w:p>
    <w:p w14:paraId="31C6D3FC" w14:textId="77777777" w:rsidR="00655317" w:rsidRPr="00D54051" w:rsidRDefault="00655317" w:rsidP="00315F88">
      <w:pPr>
        <w:rPr>
          <w:sz w:val="24"/>
          <w:szCs w:val="24"/>
        </w:rPr>
      </w:pPr>
    </w:p>
    <w:p w14:paraId="42B66AA5" w14:textId="77777777" w:rsidR="00655317" w:rsidRPr="00D54051" w:rsidRDefault="00655317" w:rsidP="00315F88">
      <w:pPr>
        <w:rPr>
          <w:sz w:val="24"/>
          <w:szCs w:val="24"/>
        </w:rPr>
      </w:pPr>
      <w:r w:rsidRPr="00D54051">
        <w:rPr>
          <w:sz w:val="24"/>
          <w:szCs w:val="24"/>
        </w:rPr>
        <w:t xml:space="preserve">Social Care Wales (2017) Code of Professional Practice for Social Care. Available at </w:t>
      </w:r>
      <w:hyperlink r:id="rId31" w:anchor=":~:text=The%20Code%20is%20a%20list%20of%20statements%20that,and%20practice%20that%20are%20expected%20of%20the%20profession." w:history="1">
        <w:r w:rsidRPr="00D54051">
          <w:rPr>
            <w:rStyle w:val="Hyperlink"/>
            <w:sz w:val="24"/>
            <w:szCs w:val="24"/>
          </w:rPr>
          <w:t>https://socialcare.wales/cms-assets/documents/Code-Print-Friendly-English.pdf</w:t>
        </w:r>
      </w:hyperlink>
    </w:p>
    <w:p w14:paraId="6B2622F7" w14:textId="77777777" w:rsidR="00655317" w:rsidRPr="00D54051" w:rsidRDefault="00655317" w:rsidP="00CC6308">
      <w:pPr>
        <w:rPr>
          <w:sz w:val="24"/>
          <w:szCs w:val="24"/>
        </w:rPr>
      </w:pPr>
      <w:r w:rsidRPr="00D54051">
        <w:rPr>
          <w:sz w:val="24"/>
          <w:szCs w:val="24"/>
        </w:rPr>
        <w:t xml:space="preserve">Wentworth, J. (2024) Issues facing rural communities. UK Parliament POST. Accessed 10.02.25. Available at </w:t>
      </w:r>
      <w:hyperlink r:id="rId32" w:history="1">
        <w:r w:rsidRPr="00D54051">
          <w:rPr>
            <w:rStyle w:val="Hyperlink"/>
            <w:sz w:val="24"/>
            <w:szCs w:val="24"/>
          </w:rPr>
          <w:t>Issues facing rural communities - POST</w:t>
        </w:r>
      </w:hyperlink>
      <w:r w:rsidRPr="00D54051">
        <w:rPr>
          <w:sz w:val="24"/>
          <w:szCs w:val="24"/>
        </w:rPr>
        <w:t xml:space="preserve">. </w:t>
      </w:r>
    </w:p>
    <w:p w14:paraId="75E6D4CA" w14:textId="77777777" w:rsidR="00EB695F" w:rsidRPr="004F358C" w:rsidRDefault="00EB695F" w:rsidP="00FF7EBB">
      <w:pPr>
        <w:jc w:val="both"/>
        <w:rPr>
          <w:sz w:val="32"/>
          <w:szCs w:val="32"/>
        </w:rPr>
      </w:pPr>
    </w:p>
    <w:p w14:paraId="5C81794A" w14:textId="7A4B40DE" w:rsidR="004F358C" w:rsidRPr="004F358C" w:rsidRDefault="004F358C" w:rsidP="004F358C">
      <w:pPr>
        <w:rPr>
          <w:sz w:val="24"/>
          <w:szCs w:val="24"/>
        </w:rPr>
      </w:pPr>
      <w:r w:rsidRPr="004F358C">
        <w:rPr>
          <w:sz w:val="24"/>
          <w:szCs w:val="24"/>
        </w:rPr>
        <w:t>United Nations (1989) United Nations Convention on the Rights of the Child. Accessed 13.</w:t>
      </w:r>
      <w:r w:rsidR="00651A64">
        <w:rPr>
          <w:sz w:val="24"/>
          <w:szCs w:val="24"/>
        </w:rPr>
        <w:t>12</w:t>
      </w:r>
      <w:r w:rsidRPr="004F358C">
        <w:rPr>
          <w:sz w:val="24"/>
          <w:szCs w:val="24"/>
        </w:rPr>
        <w:t>.202</w:t>
      </w:r>
      <w:r w:rsidR="00651A64">
        <w:rPr>
          <w:sz w:val="24"/>
          <w:szCs w:val="24"/>
        </w:rPr>
        <w:t>4</w:t>
      </w:r>
      <w:r w:rsidRPr="004F358C">
        <w:rPr>
          <w:sz w:val="24"/>
          <w:szCs w:val="24"/>
        </w:rPr>
        <w:t xml:space="preserve">. Available at </w:t>
      </w:r>
      <w:hyperlink r:id="rId33" w:history="1">
        <w:r w:rsidRPr="004F358C">
          <w:rPr>
            <w:rStyle w:val="Hyperlink"/>
            <w:sz w:val="24"/>
            <w:szCs w:val="24"/>
          </w:rPr>
          <w:t>https://www.unicef.org.uk/what-we-do/un-convention-child-rights/</w:t>
        </w:r>
      </w:hyperlink>
      <w:r w:rsidRPr="004F358C">
        <w:rPr>
          <w:sz w:val="24"/>
          <w:szCs w:val="24"/>
        </w:rPr>
        <w:t xml:space="preserve"> </w:t>
      </w: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95E8F8D" w:rsidR="00E559CE" w:rsidRPr="00B17FA0" w:rsidRDefault="00E559CE" w:rsidP="00B94443">
            <w:pPr>
              <w:jc w:val="both"/>
              <w:rPr>
                <w:sz w:val="24"/>
                <w:szCs w:val="24"/>
              </w:rPr>
            </w:pPr>
            <w:r w:rsidRPr="00B17FA0">
              <w:rPr>
                <w:sz w:val="24"/>
                <w:szCs w:val="24"/>
              </w:rPr>
              <w:t>1</w:t>
            </w:r>
            <w:r w:rsidR="0059606A">
              <w:rPr>
                <w:sz w:val="24"/>
                <w:szCs w:val="24"/>
              </w:rPr>
              <w:t xml:space="preserve"> </w:t>
            </w:r>
          </w:p>
        </w:tc>
        <w:tc>
          <w:tcPr>
            <w:tcW w:w="5094" w:type="dxa"/>
          </w:tcPr>
          <w:p w14:paraId="4504991A" w14:textId="6F35B0C8" w:rsidR="00E559CE" w:rsidRPr="00B17FA0" w:rsidRDefault="00675B82" w:rsidP="00B94443">
            <w:pPr>
              <w:jc w:val="both"/>
              <w:rPr>
                <w:sz w:val="24"/>
                <w:szCs w:val="24"/>
              </w:rPr>
            </w:pPr>
            <w:r>
              <w:rPr>
                <w:sz w:val="24"/>
                <w:szCs w:val="24"/>
              </w:rPr>
              <w:t>14/03/2024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D8B75CE" w:rsidR="00E559CE" w:rsidRPr="00B17FA0" w:rsidRDefault="0040532E" w:rsidP="00B94443">
            <w:pPr>
              <w:jc w:val="both"/>
              <w:rPr>
                <w:sz w:val="24"/>
                <w:szCs w:val="24"/>
              </w:rPr>
            </w:pPr>
            <w:r>
              <w:rPr>
                <w:sz w:val="24"/>
                <w:szCs w:val="24"/>
              </w:rPr>
              <w:t>14/05/2024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AD23F28" w:rsidR="00E559CE" w:rsidRPr="00B17FA0" w:rsidRDefault="00A5403F" w:rsidP="00B94443">
            <w:pPr>
              <w:jc w:val="both"/>
              <w:rPr>
                <w:sz w:val="24"/>
                <w:szCs w:val="24"/>
              </w:rPr>
            </w:pPr>
            <w:r>
              <w:rPr>
                <w:sz w:val="24"/>
                <w:szCs w:val="24"/>
              </w:rPr>
              <w:t>02/07/2024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DB533AF" w:rsidR="00E559CE" w:rsidRPr="00B17FA0" w:rsidRDefault="00627213" w:rsidP="00B94443">
            <w:pPr>
              <w:jc w:val="both"/>
              <w:rPr>
                <w:sz w:val="24"/>
                <w:szCs w:val="24"/>
              </w:rPr>
            </w:pPr>
            <w:r>
              <w:rPr>
                <w:sz w:val="24"/>
                <w:szCs w:val="24"/>
              </w:rPr>
              <w:t>14/10/2024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57C214F" w14:textId="77777777" w:rsidR="003935B6" w:rsidRPr="003935B6" w:rsidRDefault="003935B6" w:rsidP="003935B6">
            <w:pPr>
              <w:jc w:val="both"/>
              <w:rPr>
                <w:color w:val="auto"/>
                <w:sz w:val="24"/>
                <w:szCs w:val="24"/>
              </w:rPr>
            </w:pPr>
            <w:r w:rsidRPr="003935B6">
              <w:rPr>
                <w:color w:val="auto"/>
                <w:sz w:val="24"/>
                <w:szCs w:val="24"/>
              </w:rPr>
              <w:t xml:space="preserve">Throughout the duration of the Porth </w:t>
            </w:r>
            <w:proofErr w:type="spellStart"/>
            <w:r w:rsidRPr="003935B6">
              <w:rPr>
                <w:color w:val="auto"/>
                <w:sz w:val="24"/>
                <w:szCs w:val="24"/>
              </w:rPr>
              <w:t>Agored</w:t>
            </w:r>
            <w:proofErr w:type="spellEnd"/>
            <w:r w:rsidRPr="003935B6">
              <w:rPr>
                <w:color w:val="auto"/>
                <w:sz w:val="24"/>
                <w:szCs w:val="24"/>
              </w:rPr>
              <w:t xml:space="preserve"> course, Adam has made significant strides in refining his professional practice across various areas. Two primary focuses for his development were enhancing his skills and knowledge in person-centred, outcome-focused, strengths-based assessment, as well as deepening his understanding of the Mental Capacity Act (MCA) and the process of making best-interest decisions.</w:t>
            </w:r>
          </w:p>
          <w:p w14:paraId="26169065" w14:textId="77777777" w:rsidR="003935B6" w:rsidRPr="003935B6" w:rsidRDefault="003935B6" w:rsidP="003935B6">
            <w:pPr>
              <w:jc w:val="both"/>
              <w:rPr>
                <w:color w:val="auto"/>
                <w:sz w:val="24"/>
                <w:szCs w:val="24"/>
              </w:rPr>
            </w:pPr>
            <w:r w:rsidRPr="003935B6">
              <w:rPr>
                <w:color w:val="auto"/>
                <w:sz w:val="24"/>
                <w:szCs w:val="24"/>
              </w:rPr>
              <w:t>In terms of person-centred, outcome-focused, strengths-based practice, Adam identified that his previous role in the Community Mental Health Team (CMHT) often required assessments that were formal and deficit-focused. In contrast, his current team emphasizes a more holistic, person-centred approach. Working within the disabilities team has provided Adam with opportunities to conduct person-centred assessments, where he consistently reflects on his practices, seeking feedback from senior colleagues and peers. This reflective process has been facilitated through both formal supervision and informal peer review sessions, allowing him to identify and address challenges or successes in his assessments.</w:t>
            </w:r>
          </w:p>
          <w:p w14:paraId="4AAE2B1D" w14:textId="77777777" w:rsidR="003935B6" w:rsidRPr="003935B6" w:rsidRDefault="003935B6" w:rsidP="003935B6">
            <w:pPr>
              <w:jc w:val="both"/>
              <w:rPr>
                <w:color w:val="auto"/>
                <w:sz w:val="24"/>
                <w:szCs w:val="24"/>
              </w:rPr>
            </w:pPr>
            <w:r w:rsidRPr="003935B6">
              <w:rPr>
                <w:color w:val="auto"/>
                <w:sz w:val="24"/>
                <w:szCs w:val="24"/>
              </w:rPr>
              <w:t xml:space="preserve">During an observation of Adam’s practice, he conducted a care package review with a service user and their family in their home. Throughout this process, Adam demonstrated excellent communication skills, building rapport and fostering a strengths-based, outcome-focused approach. Despite the service user experiencing a learning disability and communication difficulties, Adam ensured the user was at the centre of the discussion. He employed motivational interviewing techniques, using open-ended questions and affirmations to highlight the strengths of both the service user and their family. Adam’s use of reflective listening and </w:t>
            </w:r>
            <w:r w:rsidRPr="003935B6">
              <w:rPr>
                <w:color w:val="auto"/>
                <w:sz w:val="24"/>
                <w:szCs w:val="24"/>
              </w:rPr>
              <w:lastRenderedPageBreak/>
              <w:t>summarizing ensured that he fully understood their concerns and needs, reinforcing his active listening and empathetic approach.</w:t>
            </w:r>
          </w:p>
          <w:p w14:paraId="16B8C8C3" w14:textId="77777777" w:rsidR="003935B6" w:rsidRPr="003935B6" w:rsidRDefault="003935B6" w:rsidP="003935B6">
            <w:pPr>
              <w:jc w:val="both"/>
              <w:rPr>
                <w:color w:val="auto"/>
                <w:sz w:val="24"/>
                <w:szCs w:val="24"/>
              </w:rPr>
            </w:pPr>
            <w:r w:rsidRPr="003935B6">
              <w:rPr>
                <w:color w:val="auto"/>
                <w:sz w:val="24"/>
                <w:szCs w:val="24"/>
              </w:rPr>
              <w:t>The observation also showcased Adam’s application of his knowledge regarding the Mental Capacity Act. The service user had previously been deemed to lack capacity concerning their care and support needs. Nevertheless, Adam utilized his expertise and communication skills to ensure that the service user’s voice was heard, allowing them to express their views on their support needs and how they wanted these addressed. By considering the service user’s perspective, Adam ensured that decisions were made in their best interest and in the least restrictive manner possible.</w:t>
            </w:r>
          </w:p>
          <w:p w14:paraId="49FA906B" w14:textId="77777777" w:rsidR="003935B6" w:rsidRPr="003935B6" w:rsidRDefault="003935B6" w:rsidP="003935B6">
            <w:pPr>
              <w:jc w:val="both"/>
              <w:rPr>
                <w:color w:val="auto"/>
                <w:sz w:val="24"/>
                <w:szCs w:val="24"/>
              </w:rPr>
            </w:pPr>
            <w:r w:rsidRPr="003935B6">
              <w:rPr>
                <w:color w:val="auto"/>
                <w:sz w:val="24"/>
                <w:szCs w:val="24"/>
              </w:rPr>
              <w:t xml:space="preserve">During the review, Adam facilitated a discussion about </w:t>
            </w:r>
            <w:proofErr w:type="spellStart"/>
            <w:r w:rsidRPr="003935B6">
              <w:rPr>
                <w:color w:val="auto"/>
                <w:sz w:val="24"/>
                <w:szCs w:val="24"/>
              </w:rPr>
              <w:t>Appointeeship</w:t>
            </w:r>
            <w:proofErr w:type="spellEnd"/>
            <w:r w:rsidRPr="003935B6">
              <w:rPr>
                <w:color w:val="auto"/>
                <w:sz w:val="24"/>
                <w:szCs w:val="24"/>
              </w:rPr>
              <w:t xml:space="preserve"> and Deputyship concerning the service user’s health, welfare, and financial matters. He effectively used his knowledge to explain the processes involved, including the application of the Mental Capacity Act and the role of the Court of Protection. Adam had anticipated the family’s interest in these topics and, in addition to his training, had undertaken independent research and discussions with colleagues to further strengthen his understanding.</w:t>
            </w:r>
          </w:p>
          <w:p w14:paraId="2C833FD3" w14:textId="77777777" w:rsidR="003935B6" w:rsidRPr="003935B6" w:rsidRDefault="003935B6" w:rsidP="003935B6">
            <w:pPr>
              <w:jc w:val="both"/>
              <w:rPr>
                <w:color w:val="auto"/>
                <w:sz w:val="24"/>
                <w:szCs w:val="24"/>
              </w:rPr>
            </w:pPr>
            <w:r w:rsidRPr="003935B6">
              <w:rPr>
                <w:color w:val="auto"/>
                <w:sz w:val="24"/>
                <w:szCs w:val="24"/>
              </w:rPr>
              <w:t>Feedback from the service user and their family indicated that they felt Adam had thoroughly prepared for the meeting, demonstrating a clear understanding of the service user's communication needs. They appreciated the time Adam took to explain matters, which helped the service user articulate what was most important to them. The family also commended Adam’s knowledge of the Mental Capacity Act, Best Interest decisions, and the Court of Protection, expressing confidence that this would assist them in making informed decisions about the service user’s future.</w:t>
            </w:r>
          </w:p>
          <w:p w14:paraId="42344B28" w14:textId="77777777" w:rsidR="003935B6" w:rsidRPr="003935B6" w:rsidRDefault="003935B6" w:rsidP="003935B6">
            <w:pPr>
              <w:jc w:val="both"/>
              <w:rPr>
                <w:color w:val="auto"/>
                <w:sz w:val="24"/>
                <w:szCs w:val="24"/>
              </w:rPr>
            </w:pPr>
            <w:r w:rsidRPr="003935B6">
              <w:rPr>
                <w:color w:val="auto"/>
                <w:sz w:val="24"/>
                <w:szCs w:val="24"/>
              </w:rPr>
              <w:t>Adam has completed numerous MCA assessments and made best-interest decisions, actively seeking to expand his knowledge through training and by engaging with colleagues. He has shown confidence in applying his knowledge across various service user groups, challenging assumptions made about certain individuals where necessary. This approach ensures that Adam advocates for the recognition and respect of service users' rights and wishes.</w:t>
            </w:r>
          </w:p>
          <w:p w14:paraId="6B341EA3" w14:textId="77777777" w:rsidR="003935B6" w:rsidRPr="003935B6" w:rsidRDefault="003935B6" w:rsidP="003935B6">
            <w:pPr>
              <w:jc w:val="both"/>
              <w:rPr>
                <w:color w:val="auto"/>
                <w:sz w:val="24"/>
                <w:szCs w:val="24"/>
              </w:rPr>
            </w:pPr>
            <w:r w:rsidRPr="003935B6">
              <w:rPr>
                <w:color w:val="auto"/>
                <w:sz w:val="24"/>
                <w:szCs w:val="24"/>
              </w:rPr>
              <w:t>Adam’s experience within the Community Mental Health Team has further strengthened his understanding of the interface between the Mental Capacity Act and the Mental Health Act, a benefit to both service users and colleagues alike. Additionally, Adam has shown an ability to apply evidence and research to further develop his practice, while also challenging others to prioritize the rights of service users. His willingness to share his knowledge and experiences with colleagues has contributed to improved outcomes not only for those he directly supports but also for others within his team. Adam has undertaken research into evidence-based theory, practice, and legislative developments, all of which will be central in continuing his professional growth.</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8BEEC0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26A3B">
        <w:rPr>
          <w:b/>
          <w:sz w:val="24"/>
          <w:szCs w:val="24"/>
        </w:rPr>
        <w:t xml:space="preserve"> Adam Finn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433B0B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26A3B">
        <w:rPr>
          <w:b/>
          <w:sz w:val="24"/>
          <w:szCs w:val="24"/>
        </w:rPr>
        <w:t xml:space="preserve">  2329653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C6CCBEF" w14:textId="77777777" w:rsidR="006B32F3" w:rsidRDefault="006B32F3" w:rsidP="00FF7EBB">
      <w:pPr>
        <w:pBdr>
          <w:top w:val="single" w:sz="6" w:space="1" w:color="auto"/>
          <w:left w:val="single" w:sz="6" w:space="1" w:color="auto"/>
          <w:bottom w:val="single" w:sz="6" w:space="1" w:color="auto"/>
          <w:right w:val="single" w:sz="6" w:space="1" w:color="auto"/>
        </w:pBdr>
        <w:jc w:val="both"/>
        <w:rPr>
          <w:b/>
          <w:sz w:val="24"/>
          <w:szCs w:val="24"/>
        </w:rPr>
      </w:pPr>
    </w:p>
    <w:p w14:paraId="46D45B91" w14:textId="089E8F6B" w:rsidR="006B32F3" w:rsidRDefault="006B32F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25 Birch Close</w:t>
      </w:r>
    </w:p>
    <w:p w14:paraId="3EB74D2B" w14:textId="1FCFF32A" w:rsidR="006B32F3" w:rsidRPr="008B28E7" w:rsidRDefault="006B32F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Hay on Wye</w:t>
      </w:r>
    </w:p>
    <w:p w14:paraId="77A72D30" w14:textId="2D134237" w:rsidR="004923DA" w:rsidRPr="008B28E7" w:rsidRDefault="008D6B4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Powys </w:t>
      </w:r>
    </w:p>
    <w:p w14:paraId="637D8F22" w14:textId="6009342A" w:rsidR="004923DA" w:rsidRPr="008B28E7" w:rsidRDefault="008D6B4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HR3 5TL</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09C11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D6B43">
        <w:rPr>
          <w:b/>
          <w:sz w:val="24"/>
          <w:szCs w:val="24"/>
        </w:rPr>
        <w:t xml:space="preserve">  079</w:t>
      </w:r>
      <w:r w:rsidR="00225B7D">
        <w:rPr>
          <w:b/>
          <w:sz w:val="24"/>
          <w:szCs w:val="24"/>
        </w:rPr>
        <w:t>50958563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1ED679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25B7D">
        <w:rPr>
          <w:b/>
          <w:sz w:val="24"/>
          <w:szCs w:val="24"/>
        </w:rPr>
        <w:t xml:space="preserve">  Finnly99@me.com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900D9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25B7D">
        <w:rPr>
          <w:b/>
          <w:sz w:val="24"/>
          <w:szCs w:val="24"/>
        </w:rPr>
        <w:t>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44C7E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E0A4D">
        <w:rPr>
          <w:b/>
          <w:sz w:val="24"/>
          <w:szCs w:val="24"/>
        </w:rPr>
        <w:t>10/2023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4C552B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607007">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23CDE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r w:rsidR="00607007">
        <w:rPr>
          <w:b/>
          <w:sz w:val="24"/>
          <w:szCs w:val="24"/>
        </w:rPr>
        <w:t xml:space="preserve"> Tracy </w:t>
      </w:r>
      <w:proofErr w:type="spellStart"/>
      <w:r w:rsidR="00607007">
        <w:rPr>
          <w:b/>
          <w:sz w:val="24"/>
          <w:szCs w:val="24"/>
        </w:rPr>
        <w:t>Rawbone</w:t>
      </w:r>
      <w:proofErr w:type="spellEnd"/>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1223E0E" w14:textId="77777777" w:rsidR="00492456" w:rsidRPr="00492456" w:rsidRDefault="00492456" w:rsidP="00492456">
      <w:pPr>
        <w:pBdr>
          <w:top w:val="single" w:sz="6" w:space="1" w:color="auto"/>
          <w:left w:val="single" w:sz="6" w:space="1" w:color="auto"/>
          <w:bottom w:val="single" w:sz="6" w:space="1" w:color="auto"/>
          <w:right w:val="single" w:sz="6" w:space="1" w:color="auto"/>
        </w:pBdr>
        <w:jc w:val="both"/>
        <w:rPr>
          <w:b/>
          <w:sz w:val="24"/>
          <w:szCs w:val="24"/>
        </w:rPr>
      </w:pPr>
      <w:r w:rsidRPr="00492456">
        <w:rPr>
          <w:b/>
          <w:bCs/>
          <w:sz w:val="24"/>
          <w:szCs w:val="24"/>
        </w:rPr>
        <w:t>Powys County Council</w:t>
      </w:r>
    </w:p>
    <w:p w14:paraId="09B36453" w14:textId="77777777" w:rsidR="00492456" w:rsidRPr="00492456" w:rsidRDefault="00492456" w:rsidP="00492456">
      <w:pPr>
        <w:pBdr>
          <w:top w:val="single" w:sz="6" w:space="1" w:color="auto"/>
          <w:left w:val="single" w:sz="6" w:space="1" w:color="auto"/>
          <w:bottom w:val="single" w:sz="6" w:space="1" w:color="auto"/>
          <w:right w:val="single" w:sz="6" w:space="1" w:color="auto"/>
        </w:pBdr>
        <w:jc w:val="both"/>
        <w:rPr>
          <w:b/>
          <w:sz w:val="24"/>
          <w:szCs w:val="24"/>
        </w:rPr>
      </w:pPr>
      <w:r w:rsidRPr="00492456">
        <w:rPr>
          <w:b/>
          <w:bCs/>
          <w:sz w:val="24"/>
          <w:szCs w:val="24"/>
        </w:rPr>
        <w:t>The Gwalia, Ithon Road,</w:t>
      </w:r>
    </w:p>
    <w:p w14:paraId="421C7156" w14:textId="77777777" w:rsidR="00492456" w:rsidRPr="00492456" w:rsidRDefault="00492456" w:rsidP="00492456">
      <w:pPr>
        <w:pBdr>
          <w:top w:val="single" w:sz="6" w:space="1" w:color="auto"/>
          <w:left w:val="single" w:sz="6" w:space="1" w:color="auto"/>
          <w:bottom w:val="single" w:sz="6" w:space="1" w:color="auto"/>
          <w:right w:val="single" w:sz="6" w:space="1" w:color="auto"/>
        </w:pBdr>
        <w:jc w:val="both"/>
        <w:rPr>
          <w:b/>
          <w:sz w:val="24"/>
          <w:szCs w:val="24"/>
        </w:rPr>
      </w:pPr>
      <w:r w:rsidRPr="00492456">
        <w:rPr>
          <w:b/>
          <w:bCs/>
          <w:sz w:val="24"/>
          <w:szCs w:val="24"/>
        </w:rPr>
        <w:t>Llandrindod Wells</w:t>
      </w:r>
    </w:p>
    <w:p w14:paraId="5834B806" w14:textId="77777777" w:rsidR="00492456" w:rsidRPr="00492456" w:rsidRDefault="00492456" w:rsidP="00492456">
      <w:pPr>
        <w:pBdr>
          <w:top w:val="single" w:sz="6" w:space="1" w:color="auto"/>
          <w:left w:val="single" w:sz="6" w:space="1" w:color="auto"/>
          <w:bottom w:val="single" w:sz="6" w:space="1" w:color="auto"/>
          <w:right w:val="single" w:sz="6" w:space="1" w:color="auto"/>
        </w:pBdr>
        <w:jc w:val="both"/>
        <w:rPr>
          <w:b/>
          <w:sz w:val="24"/>
          <w:szCs w:val="24"/>
        </w:rPr>
      </w:pPr>
      <w:r w:rsidRPr="00492456">
        <w:rPr>
          <w:b/>
          <w:bCs/>
          <w:sz w:val="24"/>
          <w:szCs w:val="24"/>
        </w:rPr>
        <w:t>LD1 6AS</w:t>
      </w:r>
    </w:p>
    <w:p w14:paraId="442472BB" w14:textId="6360EE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C3B03B" w14:textId="77777777" w:rsidR="00100AB2" w:rsidRPr="00100AB2" w:rsidRDefault="004923DA" w:rsidP="00100A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92456">
        <w:rPr>
          <w:b/>
          <w:sz w:val="24"/>
          <w:szCs w:val="24"/>
        </w:rPr>
        <w:t xml:space="preserve"> </w:t>
      </w:r>
      <w:r w:rsidR="00100AB2" w:rsidRPr="00100AB2">
        <w:rPr>
          <w:b/>
          <w:sz w:val="24"/>
          <w:szCs w:val="24"/>
        </w:rPr>
        <w:t>01597 827539</w:t>
      </w:r>
    </w:p>
    <w:p w14:paraId="278315DB" w14:textId="3F4C8B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CF02C1" w14:textId="77777777" w:rsidR="00100AB2" w:rsidRPr="00100AB2" w:rsidRDefault="004923DA" w:rsidP="00100A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00AB2" w:rsidRPr="00100AB2">
        <w:rPr>
          <w:b/>
          <w:sz w:val="24"/>
          <w:szCs w:val="24"/>
        </w:rPr>
        <w:t>tracy.rawbone@powys.gov.uk</w:t>
      </w:r>
    </w:p>
    <w:p w14:paraId="37E9A018" w14:textId="29A9679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04B6D4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BA7337">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0E288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460C5">
        <w:rPr>
          <w:b/>
          <w:sz w:val="24"/>
          <w:szCs w:val="24"/>
        </w:rPr>
        <w:t xml:space="preserve"> Gareth 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E373DB9" w14:textId="77777777" w:rsidR="00292831" w:rsidRDefault="00292831" w:rsidP="00353985">
      <w:pPr>
        <w:pBdr>
          <w:top w:val="single" w:sz="6" w:space="1" w:color="auto"/>
          <w:left w:val="single" w:sz="6" w:space="1" w:color="auto"/>
          <w:bottom w:val="single" w:sz="6" w:space="1" w:color="auto"/>
          <w:right w:val="single" w:sz="6" w:space="1" w:color="auto"/>
        </w:pBdr>
        <w:jc w:val="both"/>
        <w:rPr>
          <w:b/>
          <w:sz w:val="24"/>
          <w:szCs w:val="24"/>
        </w:rPr>
      </w:pPr>
    </w:p>
    <w:p w14:paraId="36F2F762" w14:textId="339535A1" w:rsidR="00353985" w:rsidRPr="00353985" w:rsidRDefault="00353985" w:rsidP="00353985">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 xml:space="preserve">Neuadd </w:t>
      </w:r>
      <w:proofErr w:type="spellStart"/>
      <w:r w:rsidRPr="00353985">
        <w:rPr>
          <w:b/>
          <w:sz w:val="24"/>
          <w:szCs w:val="24"/>
        </w:rPr>
        <w:t>Brychieniog</w:t>
      </w:r>
      <w:proofErr w:type="spellEnd"/>
    </w:p>
    <w:p w14:paraId="22094E42" w14:textId="77777777" w:rsidR="00353985" w:rsidRPr="00353985" w:rsidRDefault="00353985" w:rsidP="00353985">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Cambrian Way</w:t>
      </w:r>
    </w:p>
    <w:p w14:paraId="5A0C03C8" w14:textId="77777777" w:rsidR="00353985" w:rsidRPr="00353985" w:rsidRDefault="00353985" w:rsidP="00353985">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Brecon</w:t>
      </w:r>
    </w:p>
    <w:p w14:paraId="19F9E647" w14:textId="77777777" w:rsidR="00353985" w:rsidRPr="00353985" w:rsidRDefault="00353985" w:rsidP="00353985">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LD3 7HR</w:t>
      </w:r>
    </w:p>
    <w:p w14:paraId="2951A2B5" w14:textId="77777777" w:rsidR="006460C5" w:rsidRDefault="006460C5" w:rsidP="00FF7EBB">
      <w:pPr>
        <w:pBdr>
          <w:top w:val="single" w:sz="6" w:space="1" w:color="auto"/>
          <w:left w:val="single" w:sz="6" w:space="1" w:color="auto"/>
          <w:bottom w:val="single" w:sz="6" w:space="1" w:color="auto"/>
          <w:right w:val="single" w:sz="6" w:space="1" w:color="auto"/>
        </w:pBdr>
        <w:jc w:val="both"/>
        <w:rPr>
          <w:b/>
          <w:sz w:val="24"/>
          <w:szCs w:val="24"/>
        </w:rPr>
      </w:pPr>
    </w:p>
    <w:p w14:paraId="7657D92E" w14:textId="77777777" w:rsidR="006460C5" w:rsidRPr="008B28E7" w:rsidRDefault="006460C5"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C447A2" w14:textId="77777777" w:rsidR="008826DE" w:rsidRPr="008826DE" w:rsidRDefault="004923DA" w:rsidP="008826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3985">
        <w:rPr>
          <w:b/>
          <w:sz w:val="24"/>
          <w:szCs w:val="24"/>
        </w:rPr>
        <w:t xml:space="preserve"> </w:t>
      </w:r>
      <w:r w:rsidR="008826DE" w:rsidRPr="008826DE">
        <w:rPr>
          <w:b/>
          <w:sz w:val="24"/>
          <w:szCs w:val="24"/>
        </w:rPr>
        <w:t>01874 614048</w:t>
      </w:r>
    </w:p>
    <w:p w14:paraId="1C536FED" w14:textId="0EFCCB5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D2EB9B9" w14:textId="77777777" w:rsidR="008826DE" w:rsidRPr="008826DE" w:rsidRDefault="004923DA" w:rsidP="008826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826DE">
        <w:rPr>
          <w:b/>
          <w:sz w:val="24"/>
          <w:szCs w:val="24"/>
        </w:rPr>
        <w:t xml:space="preserve"> </w:t>
      </w:r>
      <w:r w:rsidR="008826DE" w:rsidRPr="008826DE">
        <w:rPr>
          <w:b/>
          <w:sz w:val="24"/>
          <w:szCs w:val="24"/>
        </w:rPr>
        <w:t>gareth.morgan@powys.gov.uk</w:t>
      </w:r>
    </w:p>
    <w:p w14:paraId="4F4DECA5" w14:textId="7943D448" w:rsidR="004923DA" w:rsidRPr="008B28E7" w:rsidRDefault="008826D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EA396E4" w:rsidR="004923DA" w:rsidRDefault="004923DA" w:rsidP="00FF7EBB">
            <w:pPr>
              <w:jc w:val="both"/>
              <w:rPr>
                <w:b/>
                <w:sz w:val="24"/>
                <w:szCs w:val="24"/>
              </w:rPr>
            </w:pPr>
            <w:r w:rsidRPr="008B28E7">
              <w:rPr>
                <w:b/>
                <w:sz w:val="24"/>
                <w:szCs w:val="24"/>
              </w:rPr>
              <w:t>Name:</w:t>
            </w:r>
            <w:r w:rsidR="00292831">
              <w:rPr>
                <w:b/>
                <w:sz w:val="24"/>
                <w:szCs w:val="24"/>
              </w:rPr>
              <w:t xml:space="preserve"> Gareth Morgan </w:t>
            </w:r>
          </w:p>
          <w:p w14:paraId="4EF4A770" w14:textId="77777777" w:rsidR="004923DA" w:rsidRPr="008B28E7" w:rsidRDefault="004923DA" w:rsidP="00FF7EBB">
            <w:pPr>
              <w:jc w:val="both"/>
              <w:rPr>
                <w:b/>
                <w:sz w:val="24"/>
                <w:szCs w:val="24"/>
              </w:rPr>
            </w:pPr>
          </w:p>
          <w:p w14:paraId="42BF3097" w14:textId="3366CA79" w:rsidR="009D59C2" w:rsidRDefault="004923DA" w:rsidP="00FF7EBB">
            <w:pPr>
              <w:jc w:val="both"/>
              <w:rPr>
                <w:b/>
                <w:sz w:val="24"/>
                <w:szCs w:val="24"/>
              </w:rPr>
            </w:pPr>
            <w:r w:rsidRPr="008B28E7">
              <w:rPr>
                <w:b/>
                <w:sz w:val="24"/>
                <w:szCs w:val="24"/>
              </w:rPr>
              <w:t xml:space="preserve">Work Address: </w:t>
            </w:r>
          </w:p>
          <w:p w14:paraId="00888F30" w14:textId="77777777" w:rsidR="00292831" w:rsidRDefault="00292831" w:rsidP="00FF7EBB">
            <w:pPr>
              <w:jc w:val="both"/>
              <w:rPr>
                <w:b/>
                <w:sz w:val="24"/>
                <w:szCs w:val="24"/>
              </w:rPr>
            </w:pPr>
          </w:p>
          <w:p w14:paraId="36D03998" w14:textId="77777777" w:rsidR="00292831" w:rsidRPr="00353985" w:rsidRDefault="00292831" w:rsidP="00292831">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 xml:space="preserve">Neuadd </w:t>
            </w:r>
            <w:proofErr w:type="spellStart"/>
            <w:r w:rsidRPr="00353985">
              <w:rPr>
                <w:b/>
                <w:sz w:val="24"/>
                <w:szCs w:val="24"/>
              </w:rPr>
              <w:t>Brychieniog</w:t>
            </w:r>
            <w:proofErr w:type="spellEnd"/>
          </w:p>
          <w:p w14:paraId="6D3E51EF" w14:textId="77777777" w:rsidR="00292831" w:rsidRPr="00353985" w:rsidRDefault="00292831" w:rsidP="00292831">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Cambrian Way</w:t>
            </w:r>
          </w:p>
          <w:p w14:paraId="0ADA363D" w14:textId="77777777" w:rsidR="00292831" w:rsidRPr="00353985" w:rsidRDefault="00292831" w:rsidP="00292831">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Brecon</w:t>
            </w:r>
          </w:p>
          <w:p w14:paraId="705F71BD" w14:textId="77777777" w:rsidR="00292831" w:rsidRPr="00353985" w:rsidRDefault="00292831" w:rsidP="00292831">
            <w:pPr>
              <w:pBdr>
                <w:top w:val="single" w:sz="6" w:space="1" w:color="auto"/>
                <w:left w:val="single" w:sz="6" w:space="1" w:color="auto"/>
                <w:bottom w:val="single" w:sz="6" w:space="1" w:color="auto"/>
                <w:right w:val="single" w:sz="6" w:space="1" w:color="auto"/>
              </w:pBdr>
              <w:jc w:val="both"/>
              <w:rPr>
                <w:b/>
                <w:sz w:val="24"/>
                <w:szCs w:val="24"/>
              </w:rPr>
            </w:pPr>
            <w:r w:rsidRPr="00353985">
              <w:rPr>
                <w:b/>
                <w:sz w:val="24"/>
                <w:szCs w:val="24"/>
              </w:rPr>
              <w:t>LD3 7HR</w:t>
            </w:r>
          </w:p>
          <w:p w14:paraId="189B469D" w14:textId="77777777" w:rsidR="00292831" w:rsidRDefault="00292831" w:rsidP="00292831">
            <w:pPr>
              <w:pBdr>
                <w:top w:val="single" w:sz="6" w:space="1" w:color="auto"/>
                <w:left w:val="single" w:sz="6" w:space="1" w:color="auto"/>
                <w:bottom w:val="single" w:sz="6" w:space="1" w:color="auto"/>
                <w:right w:val="single" w:sz="6" w:space="1" w:color="auto"/>
              </w:pBdr>
              <w:jc w:val="both"/>
              <w:rPr>
                <w:b/>
                <w:sz w:val="24"/>
                <w:szCs w:val="24"/>
              </w:rPr>
            </w:pPr>
          </w:p>
          <w:p w14:paraId="50891AA6" w14:textId="77777777" w:rsidR="00292831" w:rsidRDefault="00292831"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4CDDBC60" w:rsidR="004923DA" w:rsidRDefault="009D59C2" w:rsidP="00FF7EBB">
            <w:pPr>
              <w:jc w:val="both"/>
              <w:rPr>
                <w:b/>
                <w:sz w:val="24"/>
                <w:szCs w:val="24"/>
              </w:rPr>
            </w:pPr>
            <w:r>
              <w:rPr>
                <w:b/>
                <w:sz w:val="24"/>
                <w:szCs w:val="24"/>
              </w:rPr>
              <w:t>T</w:t>
            </w:r>
            <w:r w:rsidR="004923DA" w:rsidRPr="008B28E7">
              <w:rPr>
                <w:b/>
                <w:sz w:val="24"/>
                <w:szCs w:val="24"/>
              </w:rPr>
              <w:t>elephone number:</w:t>
            </w:r>
            <w:r w:rsidR="00292831">
              <w:rPr>
                <w:b/>
                <w:sz w:val="24"/>
                <w:szCs w:val="24"/>
              </w:rPr>
              <w:t xml:space="preserve"> </w:t>
            </w:r>
            <w:r w:rsidR="00292831" w:rsidRPr="008826DE">
              <w:rPr>
                <w:b/>
                <w:sz w:val="24"/>
                <w:szCs w:val="24"/>
              </w:rPr>
              <w:t>01874 614048</w:t>
            </w:r>
            <w:r w:rsidR="00292831">
              <w:rPr>
                <w:b/>
                <w:sz w:val="24"/>
                <w:szCs w:val="24"/>
              </w:rPr>
              <w:t xml:space="preserve"> </w:t>
            </w:r>
          </w:p>
          <w:p w14:paraId="0BB87919" w14:textId="548A11EF" w:rsidR="009D59C2" w:rsidRDefault="009D59C2" w:rsidP="00FF7EBB">
            <w:pPr>
              <w:jc w:val="both"/>
              <w:rPr>
                <w:b/>
                <w:sz w:val="24"/>
                <w:szCs w:val="24"/>
              </w:rPr>
            </w:pPr>
          </w:p>
          <w:p w14:paraId="0B6A3261" w14:textId="77777777" w:rsidR="00292831" w:rsidRPr="008826DE" w:rsidRDefault="009D59C2" w:rsidP="0029283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292831">
              <w:rPr>
                <w:b/>
                <w:sz w:val="24"/>
                <w:szCs w:val="24"/>
              </w:rPr>
              <w:t xml:space="preserve"> </w:t>
            </w:r>
            <w:r w:rsidR="00292831" w:rsidRPr="008826DE">
              <w:rPr>
                <w:b/>
                <w:sz w:val="24"/>
                <w:szCs w:val="24"/>
              </w:rPr>
              <w:t>gareth.morgan@powys.gov.uk</w:t>
            </w:r>
          </w:p>
          <w:p w14:paraId="4FDEE73F" w14:textId="041B7A8E"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495AF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F61ECD" w:rsidRPr="00A17597">
        <w:rPr>
          <w:noProof/>
        </w:rPr>
        <w:drawing>
          <wp:inline distT="0" distB="0" distL="0" distR="0" wp14:anchorId="1D6E5C58" wp14:editId="2DD94D46">
            <wp:extent cx="1087755" cy="346710"/>
            <wp:effectExtent l="0" t="0" r="0" b="0"/>
            <wp:docPr id="1217291119" name="Picture 3" descr="A picture containing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 descr="A picture containing insec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087755" cy="346710"/>
                    </a:xfrm>
                    <a:prstGeom prst="rect">
                      <a:avLst/>
                    </a:prstGeom>
                    <a:noFill/>
                    <a:ln>
                      <a:noFill/>
                    </a:ln>
                  </pic:spPr>
                </pic:pic>
              </a:graphicData>
            </a:graphic>
          </wp:inline>
        </w:drawing>
      </w:r>
      <w:r>
        <w:rPr>
          <w:sz w:val="24"/>
          <w:szCs w:val="24"/>
        </w:rPr>
        <w:t xml:space="preserve">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73942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2148D9">
        <w:rPr>
          <w:sz w:val="24"/>
          <w:szCs w:val="24"/>
        </w:rPr>
        <w:t>10/02/2025</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E19DDC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 _ _</w:t>
      </w:r>
      <w:r w:rsidR="00CA02D3">
        <w:rPr>
          <w:noProof/>
        </w:rPr>
        <w:drawing>
          <wp:inline distT="0" distB="0" distL="0" distR="0" wp14:anchorId="615EDB63" wp14:editId="0F13491C">
            <wp:extent cx="692150" cy="442160"/>
            <wp:effectExtent l="0" t="0" r="0" b="0"/>
            <wp:docPr id="1"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atur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98463" cy="446193"/>
                    </a:xfrm>
                    <a:prstGeom prst="rect">
                      <a:avLst/>
                    </a:prstGeom>
                    <a:noFill/>
                    <a:ln>
                      <a:noFill/>
                    </a:ln>
                  </pic:spPr>
                </pic:pic>
              </a:graphicData>
            </a:graphic>
          </wp:inline>
        </w:drawing>
      </w:r>
      <w:r w:rsidR="00B577D3">
        <w:rPr>
          <w:sz w:val="24"/>
          <w:szCs w:val="24"/>
        </w:rPr>
        <w:t xml:space="preserve">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E6EB3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D1092E">
        <w:rPr>
          <w:sz w:val="24"/>
          <w:szCs w:val="24"/>
        </w:rPr>
        <w:t>17/02/2025</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EDAB8E9" w:rsidR="00335C41" w:rsidRPr="00D3203C" w:rsidRDefault="00335C41" w:rsidP="00335C41">
            <w:pPr>
              <w:ind w:right="180"/>
              <w:jc w:val="both"/>
              <w:rPr>
                <w:sz w:val="24"/>
                <w:szCs w:val="24"/>
              </w:rPr>
            </w:pPr>
            <w:r w:rsidRPr="00D3203C">
              <w:rPr>
                <w:sz w:val="24"/>
                <w:szCs w:val="24"/>
              </w:rPr>
              <w:t>Signed________</w:t>
            </w:r>
            <w:r w:rsidR="00CA02D3">
              <w:rPr>
                <w:noProof/>
              </w:rPr>
              <w:drawing>
                <wp:inline distT="0" distB="0" distL="0" distR="0" wp14:anchorId="07F4A40E" wp14:editId="4F4665A8">
                  <wp:extent cx="692150" cy="442160"/>
                  <wp:effectExtent l="0" t="0" r="0" b="0"/>
                  <wp:docPr id="203868710" name="Picture 203868710"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atur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98463" cy="446193"/>
                          </a:xfrm>
                          <a:prstGeom prst="rect">
                            <a:avLst/>
                          </a:prstGeom>
                          <a:noFill/>
                          <a:ln>
                            <a:noFill/>
                          </a:ln>
                        </pic:spPr>
                      </pic:pic>
                    </a:graphicData>
                  </a:graphic>
                </wp:inline>
              </w:drawing>
            </w:r>
            <w:r w:rsidRPr="00D3203C">
              <w:rPr>
                <w:sz w:val="24"/>
                <w:szCs w:val="24"/>
              </w:rPr>
              <w:t>________________ (Mentor)</w:t>
            </w:r>
          </w:p>
          <w:p w14:paraId="5D3F0767" w14:textId="77777777" w:rsidR="00335C41" w:rsidRPr="00D3203C" w:rsidRDefault="00335C41" w:rsidP="00335C41">
            <w:pPr>
              <w:ind w:right="180"/>
              <w:jc w:val="both"/>
              <w:rPr>
                <w:sz w:val="24"/>
                <w:szCs w:val="24"/>
              </w:rPr>
            </w:pPr>
          </w:p>
          <w:p w14:paraId="24E1B8A5" w14:textId="1B4FA511" w:rsidR="00335C41" w:rsidRPr="00D3203C" w:rsidRDefault="00335C41" w:rsidP="00335C41">
            <w:pPr>
              <w:ind w:right="180"/>
              <w:jc w:val="both"/>
              <w:rPr>
                <w:sz w:val="24"/>
                <w:szCs w:val="24"/>
              </w:rPr>
            </w:pPr>
            <w:r w:rsidRPr="00D3203C">
              <w:rPr>
                <w:sz w:val="24"/>
                <w:szCs w:val="24"/>
              </w:rPr>
              <w:t>Date _______</w:t>
            </w:r>
            <w:r w:rsidR="00D1092E">
              <w:rPr>
                <w:sz w:val="24"/>
                <w:szCs w:val="24"/>
              </w:rPr>
              <w:t>17/02/2025</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6A341B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w:t>
      </w:r>
      <w:r w:rsidR="00115C8C">
        <w:rPr>
          <w:caps/>
          <w:sz w:val="24"/>
          <w:szCs w:val="24"/>
        </w:rPr>
        <w:t xml:space="preserve">Karen Younger </w:t>
      </w:r>
      <w:r w:rsidR="00B577D3">
        <w:rPr>
          <w:caps/>
          <w:sz w:val="24"/>
          <w:szCs w:val="24"/>
        </w:rPr>
        <w:t>_ _ _ _ _ _ _ _ _ _ _ _ _ _ _ _ _ _ _ _ _ _</w:t>
      </w:r>
    </w:p>
    <w:p w14:paraId="7C11F360" w14:textId="764EBC1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w:t>
      </w:r>
      <w:r w:rsidR="00895A2B" w:rsidRPr="00A8337A">
        <w:rPr>
          <w:noProof/>
        </w:rPr>
        <w:drawing>
          <wp:inline distT="0" distB="0" distL="0" distR="0" wp14:anchorId="45930C69" wp14:editId="354FDF67">
            <wp:extent cx="1242695" cy="430801"/>
            <wp:effectExtent l="0" t="0" r="0" b="7620"/>
            <wp:docPr id="1455941326" name="Picture 4"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41326" name="Picture 4" descr="A close up of a sign&#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92838" cy="448184"/>
                    </a:xfrm>
                    <a:prstGeom prst="rect">
                      <a:avLst/>
                    </a:prstGeom>
                    <a:noFill/>
                    <a:ln>
                      <a:noFill/>
                    </a:ln>
                  </pic:spPr>
                </pic:pic>
              </a:graphicData>
            </a:graphic>
          </wp:inline>
        </w:drawing>
      </w:r>
      <w:r w:rsidR="00B577D3" w:rsidRPr="00B577D3">
        <w:rPr>
          <w:sz w:val="24"/>
          <w:szCs w:val="24"/>
        </w:rPr>
        <w:t xml:space="preserve">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6ABB9B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w:t>
      </w:r>
      <w:r w:rsidR="0093332B">
        <w:rPr>
          <w:sz w:val="24"/>
          <w:szCs w:val="24"/>
        </w:rPr>
        <w:t>17/02/2025</w:t>
      </w:r>
      <w:r w:rsidR="00B577D3" w:rsidRPr="00B577D3">
        <w:rPr>
          <w:sz w:val="24"/>
          <w:szCs w:val="24"/>
        </w:rPr>
        <w:t xml:space="preserve">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B3BD3F4" w:rsidR="00D05A5D" w:rsidRPr="00DA5682" w:rsidRDefault="00875C43" w:rsidP="00CC14B6">
            <w:pPr>
              <w:rPr>
                <w:sz w:val="24"/>
                <w:szCs w:val="24"/>
              </w:rPr>
            </w:pPr>
            <w:r>
              <w:rPr>
                <w:sz w:val="24"/>
                <w:szCs w:val="24"/>
              </w:rPr>
              <w:t>Adam Finn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E104A17" w:rsidR="00D05A5D" w:rsidRPr="00DA5682" w:rsidRDefault="00875C43" w:rsidP="00CC14B6">
            <w:pPr>
              <w:rPr>
                <w:sz w:val="24"/>
                <w:szCs w:val="24"/>
              </w:rPr>
            </w:pPr>
            <w:r>
              <w:rPr>
                <w:sz w:val="24"/>
                <w:szCs w:val="24"/>
              </w:rPr>
              <w:t>Powys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06EB519" w:rsidR="00D05A5D" w:rsidRPr="00DA5682" w:rsidRDefault="00875C43" w:rsidP="00CC14B6">
            <w:pPr>
              <w:rPr>
                <w:sz w:val="24"/>
                <w:szCs w:val="24"/>
              </w:rPr>
            </w:pPr>
            <w:r>
              <w:rPr>
                <w:sz w:val="24"/>
                <w:szCs w:val="24"/>
              </w:rPr>
              <w:t xml:space="preserve">Gareth Morgan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BA8FB37" w:rsidR="00D05A5D" w:rsidRPr="00DA5682" w:rsidRDefault="00875C43" w:rsidP="00CC14B6">
            <w:pPr>
              <w:rPr>
                <w:sz w:val="24"/>
                <w:szCs w:val="24"/>
              </w:rPr>
            </w:pPr>
            <w:r>
              <w:rPr>
                <w:sz w:val="24"/>
                <w:szCs w:val="24"/>
              </w:rPr>
              <w:t>Karen Younger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1395CC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7F0FB8" w:rsidRPr="007F0FB8">
        <w:rPr>
          <w:noProof/>
        </w:rPr>
        <w:t xml:space="preserve"> </w:t>
      </w:r>
      <w:r w:rsidR="007F0FB8" w:rsidRPr="00A17597">
        <w:rPr>
          <w:noProof/>
        </w:rPr>
        <w:drawing>
          <wp:inline distT="0" distB="0" distL="0" distR="0" wp14:anchorId="1B72296B" wp14:editId="05ABA6E5">
            <wp:extent cx="1087755" cy="346710"/>
            <wp:effectExtent l="0" t="0" r="0" b="0"/>
            <wp:docPr id="32" name="Picture 3" descr="A picture containing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 descr="A picture containing insec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087755" cy="34671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7F0FB8">
        <w:rPr>
          <w:sz w:val="24"/>
          <w:szCs w:val="24"/>
        </w:rPr>
        <w:t>ADAM FINN</w:t>
      </w:r>
      <w:r w:rsidRPr="00DA5682">
        <w:rPr>
          <w:sz w:val="24"/>
          <w:szCs w:val="24"/>
        </w:rPr>
        <w:t>……………… Date:……….</w:t>
      </w:r>
      <w:r w:rsidR="0093332B">
        <w:rPr>
          <w:sz w:val="24"/>
          <w:szCs w:val="24"/>
        </w:rPr>
        <w:t>11/03/2024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230B36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895A2B" w:rsidRPr="00895A2B">
        <w:rPr>
          <w:noProof/>
        </w:rPr>
        <w:t xml:space="preserve"> </w:t>
      </w:r>
      <w:r w:rsidR="00895A2B" w:rsidRPr="00A8337A">
        <w:rPr>
          <w:noProof/>
        </w:rPr>
        <w:drawing>
          <wp:inline distT="0" distB="0" distL="0" distR="0" wp14:anchorId="02C5F427" wp14:editId="7F342586">
            <wp:extent cx="1242695" cy="430801"/>
            <wp:effectExtent l="0" t="0" r="0" b="7620"/>
            <wp:docPr id="2071649636" name="Picture 4"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41326" name="Picture 4" descr="A close up of a sign&#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92838" cy="448184"/>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895A2B">
        <w:rPr>
          <w:sz w:val="24"/>
          <w:szCs w:val="24"/>
        </w:rPr>
        <w:t>KAREN YOUNGER</w:t>
      </w:r>
      <w:r w:rsidRPr="00DA5682">
        <w:rPr>
          <w:sz w:val="24"/>
          <w:szCs w:val="24"/>
        </w:rPr>
        <w:t>…………………….Date:……</w:t>
      </w:r>
      <w:r w:rsidR="0093332B">
        <w:rPr>
          <w:sz w:val="24"/>
          <w:szCs w:val="24"/>
        </w:rPr>
        <w:t>11/03/2024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226590D4"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C7593B" w:rsidRPr="00C7593B">
        <w:rPr>
          <w:noProof/>
        </w:rPr>
        <w:t xml:space="preserve"> </w:t>
      </w:r>
      <w:r w:rsidR="00C7593B">
        <w:rPr>
          <w:noProof/>
        </w:rPr>
        <w:drawing>
          <wp:inline distT="0" distB="0" distL="0" distR="0" wp14:anchorId="05D29D61" wp14:editId="7BEC5572">
            <wp:extent cx="692150" cy="442160"/>
            <wp:effectExtent l="0" t="0" r="0" b="0"/>
            <wp:docPr id="120057450" name="Picture 120057450"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atur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98463" cy="446193"/>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895A2B">
        <w:rPr>
          <w:sz w:val="24"/>
          <w:szCs w:val="24"/>
        </w:rPr>
        <w:t xml:space="preserve">GARETH MORGAN </w:t>
      </w:r>
      <w:r w:rsidRPr="00DA5682">
        <w:rPr>
          <w:sz w:val="24"/>
          <w:szCs w:val="24"/>
        </w:rPr>
        <w:t>………………….Date:…</w:t>
      </w:r>
      <w:r w:rsidR="0093332B">
        <w:rPr>
          <w:sz w:val="24"/>
          <w:szCs w:val="24"/>
        </w:rPr>
        <w:t>11/03/2024</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E88C6" w14:textId="77777777" w:rsidR="00E71066" w:rsidRDefault="00E71066">
      <w:r>
        <w:separator/>
      </w:r>
    </w:p>
  </w:endnote>
  <w:endnote w:type="continuationSeparator" w:id="0">
    <w:p w14:paraId="12EC2288" w14:textId="77777777" w:rsidR="00E71066" w:rsidRDefault="00E71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1019F" w14:textId="77777777" w:rsidR="00E71066" w:rsidRDefault="00E71066">
      <w:r>
        <w:separator/>
      </w:r>
    </w:p>
  </w:footnote>
  <w:footnote w:type="continuationSeparator" w:id="0">
    <w:p w14:paraId="23A7C3CC" w14:textId="77777777" w:rsidR="00E71066" w:rsidRDefault="00E710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AB2"/>
    <w:rsid w:val="0010312C"/>
    <w:rsid w:val="00105026"/>
    <w:rsid w:val="0010662B"/>
    <w:rsid w:val="00106DC7"/>
    <w:rsid w:val="00112391"/>
    <w:rsid w:val="00114F52"/>
    <w:rsid w:val="00115C8C"/>
    <w:rsid w:val="00130119"/>
    <w:rsid w:val="00131E44"/>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8D9"/>
    <w:rsid w:val="00216563"/>
    <w:rsid w:val="0021792F"/>
    <w:rsid w:val="00220D06"/>
    <w:rsid w:val="002246A0"/>
    <w:rsid w:val="00225B7D"/>
    <w:rsid w:val="00230439"/>
    <w:rsid w:val="00232A09"/>
    <w:rsid w:val="00235176"/>
    <w:rsid w:val="00236061"/>
    <w:rsid w:val="0024100E"/>
    <w:rsid w:val="00241C1B"/>
    <w:rsid w:val="0024288B"/>
    <w:rsid w:val="00243DB0"/>
    <w:rsid w:val="00247265"/>
    <w:rsid w:val="00260663"/>
    <w:rsid w:val="00263D14"/>
    <w:rsid w:val="002657E9"/>
    <w:rsid w:val="0026665E"/>
    <w:rsid w:val="0027147E"/>
    <w:rsid w:val="002761F4"/>
    <w:rsid w:val="002775E1"/>
    <w:rsid w:val="00277979"/>
    <w:rsid w:val="00291ADD"/>
    <w:rsid w:val="002920DF"/>
    <w:rsid w:val="00292831"/>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F88"/>
    <w:rsid w:val="00316815"/>
    <w:rsid w:val="003168CA"/>
    <w:rsid w:val="00321255"/>
    <w:rsid w:val="0032230D"/>
    <w:rsid w:val="00322A0B"/>
    <w:rsid w:val="00330881"/>
    <w:rsid w:val="00331CD2"/>
    <w:rsid w:val="00332426"/>
    <w:rsid w:val="00335C41"/>
    <w:rsid w:val="00335FC5"/>
    <w:rsid w:val="0033771E"/>
    <w:rsid w:val="00337FEF"/>
    <w:rsid w:val="0035398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5B6"/>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532E"/>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456"/>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0A4D"/>
    <w:rsid w:val="004E44A4"/>
    <w:rsid w:val="004E7B8B"/>
    <w:rsid w:val="004E7BDD"/>
    <w:rsid w:val="004F1966"/>
    <w:rsid w:val="004F1E21"/>
    <w:rsid w:val="004F2542"/>
    <w:rsid w:val="004F358C"/>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606A"/>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07007"/>
    <w:rsid w:val="006108C9"/>
    <w:rsid w:val="00614DF7"/>
    <w:rsid w:val="006179BB"/>
    <w:rsid w:val="0062158D"/>
    <w:rsid w:val="006223FD"/>
    <w:rsid w:val="00627213"/>
    <w:rsid w:val="006326D1"/>
    <w:rsid w:val="00632E0A"/>
    <w:rsid w:val="00633165"/>
    <w:rsid w:val="006447DE"/>
    <w:rsid w:val="00644889"/>
    <w:rsid w:val="006460C5"/>
    <w:rsid w:val="00651A64"/>
    <w:rsid w:val="0065276E"/>
    <w:rsid w:val="00654329"/>
    <w:rsid w:val="00654CEC"/>
    <w:rsid w:val="00655317"/>
    <w:rsid w:val="00655507"/>
    <w:rsid w:val="006579FD"/>
    <w:rsid w:val="006635E3"/>
    <w:rsid w:val="006669F3"/>
    <w:rsid w:val="006712A7"/>
    <w:rsid w:val="00672CED"/>
    <w:rsid w:val="00674FC2"/>
    <w:rsid w:val="00675B82"/>
    <w:rsid w:val="00676E35"/>
    <w:rsid w:val="00677E42"/>
    <w:rsid w:val="00682334"/>
    <w:rsid w:val="00684732"/>
    <w:rsid w:val="00684B16"/>
    <w:rsid w:val="00687016"/>
    <w:rsid w:val="006872A0"/>
    <w:rsid w:val="0069625A"/>
    <w:rsid w:val="00696A88"/>
    <w:rsid w:val="00696F65"/>
    <w:rsid w:val="00697572"/>
    <w:rsid w:val="006B32F3"/>
    <w:rsid w:val="006B35C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9E8"/>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FB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AB8"/>
    <w:rsid w:val="00844D98"/>
    <w:rsid w:val="00846D84"/>
    <w:rsid w:val="00850233"/>
    <w:rsid w:val="0085230E"/>
    <w:rsid w:val="008550A1"/>
    <w:rsid w:val="00861038"/>
    <w:rsid w:val="00865B58"/>
    <w:rsid w:val="00866B50"/>
    <w:rsid w:val="00867A63"/>
    <w:rsid w:val="008708F1"/>
    <w:rsid w:val="00871960"/>
    <w:rsid w:val="0087369F"/>
    <w:rsid w:val="00875C43"/>
    <w:rsid w:val="00880539"/>
    <w:rsid w:val="008826DE"/>
    <w:rsid w:val="008859E8"/>
    <w:rsid w:val="0088737B"/>
    <w:rsid w:val="00891078"/>
    <w:rsid w:val="00892716"/>
    <w:rsid w:val="00893067"/>
    <w:rsid w:val="008933DE"/>
    <w:rsid w:val="00895A2B"/>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B43"/>
    <w:rsid w:val="008D778A"/>
    <w:rsid w:val="008D78C9"/>
    <w:rsid w:val="008E2364"/>
    <w:rsid w:val="008E3195"/>
    <w:rsid w:val="008E5A35"/>
    <w:rsid w:val="008F08BA"/>
    <w:rsid w:val="008F127E"/>
    <w:rsid w:val="008F32D9"/>
    <w:rsid w:val="00902A65"/>
    <w:rsid w:val="00903932"/>
    <w:rsid w:val="009079BD"/>
    <w:rsid w:val="00912BD9"/>
    <w:rsid w:val="00916FB2"/>
    <w:rsid w:val="00920E5B"/>
    <w:rsid w:val="00926436"/>
    <w:rsid w:val="00926C53"/>
    <w:rsid w:val="0093018C"/>
    <w:rsid w:val="0093332B"/>
    <w:rsid w:val="0094495F"/>
    <w:rsid w:val="00951CA1"/>
    <w:rsid w:val="009544C0"/>
    <w:rsid w:val="00954FA4"/>
    <w:rsid w:val="00956AE9"/>
    <w:rsid w:val="00964CC6"/>
    <w:rsid w:val="00967BFA"/>
    <w:rsid w:val="00980C6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03F"/>
    <w:rsid w:val="00A54D67"/>
    <w:rsid w:val="00A55A3F"/>
    <w:rsid w:val="00A5656A"/>
    <w:rsid w:val="00A60103"/>
    <w:rsid w:val="00A652F6"/>
    <w:rsid w:val="00A65861"/>
    <w:rsid w:val="00A732EA"/>
    <w:rsid w:val="00A7489E"/>
    <w:rsid w:val="00A74F06"/>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31A"/>
    <w:rsid w:val="00BA7337"/>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93B"/>
    <w:rsid w:val="00C77FA5"/>
    <w:rsid w:val="00C8089F"/>
    <w:rsid w:val="00C835FE"/>
    <w:rsid w:val="00C836CC"/>
    <w:rsid w:val="00C852D6"/>
    <w:rsid w:val="00C87A74"/>
    <w:rsid w:val="00C92C71"/>
    <w:rsid w:val="00C93F8F"/>
    <w:rsid w:val="00CA02D3"/>
    <w:rsid w:val="00CA0894"/>
    <w:rsid w:val="00CA3593"/>
    <w:rsid w:val="00CA5726"/>
    <w:rsid w:val="00CA7E6A"/>
    <w:rsid w:val="00CB258E"/>
    <w:rsid w:val="00CB3C8F"/>
    <w:rsid w:val="00CC02F1"/>
    <w:rsid w:val="00CC1122"/>
    <w:rsid w:val="00CC11A6"/>
    <w:rsid w:val="00CC135E"/>
    <w:rsid w:val="00CC6308"/>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092E"/>
    <w:rsid w:val="00D146AE"/>
    <w:rsid w:val="00D22C8F"/>
    <w:rsid w:val="00D26A3B"/>
    <w:rsid w:val="00D3203C"/>
    <w:rsid w:val="00D33491"/>
    <w:rsid w:val="00D3442D"/>
    <w:rsid w:val="00D36F00"/>
    <w:rsid w:val="00D44B67"/>
    <w:rsid w:val="00D44F8E"/>
    <w:rsid w:val="00D51FD5"/>
    <w:rsid w:val="00D54051"/>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C47"/>
    <w:rsid w:val="00E35112"/>
    <w:rsid w:val="00E35BEC"/>
    <w:rsid w:val="00E41A6A"/>
    <w:rsid w:val="00E50821"/>
    <w:rsid w:val="00E51F91"/>
    <w:rsid w:val="00E5498A"/>
    <w:rsid w:val="00E559CE"/>
    <w:rsid w:val="00E60F42"/>
    <w:rsid w:val="00E6746C"/>
    <w:rsid w:val="00E7086E"/>
    <w:rsid w:val="00E71066"/>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ECD"/>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CC6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6803">
      <w:bodyDiv w:val="1"/>
      <w:marLeft w:val="0"/>
      <w:marRight w:val="0"/>
      <w:marTop w:val="0"/>
      <w:marBottom w:val="0"/>
      <w:divBdr>
        <w:top w:val="none" w:sz="0" w:space="0" w:color="auto"/>
        <w:left w:val="none" w:sz="0" w:space="0" w:color="auto"/>
        <w:bottom w:val="none" w:sz="0" w:space="0" w:color="auto"/>
        <w:right w:val="none" w:sz="0" w:space="0" w:color="auto"/>
      </w:divBdr>
    </w:div>
    <w:div w:id="308441866">
      <w:bodyDiv w:val="1"/>
      <w:marLeft w:val="0"/>
      <w:marRight w:val="0"/>
      <w:marTop w:val="0"/>
      <w:marBottom w:val="0"/>
      <w:divBdr>
        <w:top w:val="none" w:sz="0" w:space="0" w:color="auto"/>
        <w:left w:val="none" w:sz="0" w:space="0" w:color="auto"/>
        <w:bottom w:val="none" w:sz="0" w:space="0" w:color="auto"/>
        <w:right w:val="none" w:sz="0" w:space="0" w:color="auto"/>
      </w:divBdr>
    </w:div>
    <w:div w:id="380906690">
      <w:bodyDiv w:val="1"/>
      <w:marLeft w:val="0"/>
      <w:marRight w:val="0"/>
      <w:marTop w:val="0"/>
      <w:marBottom w:val="0"/>
      <w:divBdr>
        <w:top w:val="none" w:sz="0" w:space="0" w:color="auto"/>
        <w:left w:val="none" w:sz="0" w:space="0" w:color="auto"/>
        <w:bottom w:val="none" w:sz="0" w:space="0" w:color="auto"/>
        <w:right w:val="none" w:sz="0" w:space="0" w:color="auto"/>
      </w:divBdr>
    </w:div>
    <w:div w:id="493644296">
      <w:bodyDiv w:val="1"/>
      <w:marLeft w:val="0"/>
      <w:marRight w:val="0"/>
      <w:marTop w:val="0"/>
      <w:marBottom w:val="0"/>
      <w:divBdr>
        <w:top w:val="none" w:sz="0" w:space="0" w:color="auto"/>
        <w:left w:val="none" w:sz="0" w:space="0" w:color="auto"/>
        <w:bottom w:val="none" w:sz="0" w:space="0" w:color="auto"/>
        <w:right w:val="none" w:sz="0" w:space="0" w:color="auto"/>
      </w:divBdr>
    </w:div>
    <w:div w:id="87504531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942223">
      <w:bodyDiv w:val="1"/>
      <w:marLeft w:val="0"/>
      <w:marRight w:val="0"/>
      <w:marTop w:val="0"/>
      <w:marBottom w:val="0"/>
      <w:divBdr>
        <w:top w:val="none" w:sz="0" w:space="0" w:color="auto"/>
        <w:left w:val="none" w:sz="0" w:space="0" w:color="auto"/>
        <w:bottom w:val="none" w:sz="0" w:space="0" w:color="auto"/>
        <w:right w:val="none" w:sz="0" w:space="0" w:color="auto"/>
      </w:divBdr>
    </w:div>
    <w:div w:id="1268122916">
      <w:bodyDiv w:val="1"/>
      <w:marLeft w:val="0"/>
      <w:marRight w:val="0"/>
      <w:marTop w:val="0"/>
      <w:marBottom w:val="0"/>
      <w:divBdr>
        <w:top w:val="none" w:sz="0" w:space="0" w:color="auto"/>
        <w:left w:val="none" w:sz="0" w:space="0" w:color="auto"/>
        <w:bottom w:val="none" w:sz="0" w:space="0" w:color="auto"/>
        <w:right w:val="none" w:sz="0" w:space="0" w:color="auto"/>
      </w:divBdr>
    </w:div>
    <w:div w:id="1282876873">
      <w:bodyDiv w:val="1"/>
      <w:marLeft w:val="0"/>
      <w:marRight w:val="0"/>
      <w:marTop w:val="0"/>
      <w:marBottom w:val="0"/>
      <w:divBdr>
        <w:top w:val="none" w:sz="0" w:space="0" w:color="auto"/>
        <w:left w:val="none" w:sz="0" w:space="0" w:color="auto"/>
        <w:bottom w:val="none" w:sz="0" w:space="0" w:color="auto"/>
        <w:right w:val="none" w:sz="0" w:space="0" w:color="auto"/>
      </w:divBdr>
    </w:div>
    <w:div w:id="1695955414">
      <w:bodyDiv w:val="1"/>
      <w:marLeft w:val="0"/>
      <w:marRight w:val="0"/>
      <w:marTop w:val="0"/>
      <w:marBottom w:val="0"/>
      <w:divBdr>
        <w:top w:val="none" w:sz="0" w:space="0" w:color="auto"/>
        <w:left w:val="none" w:sz="0" w:space="0" w:color="auto"/>
        <w:bottom w:val="none" w:sz="0" w:space="0" w:color="auto"/>
        <w:right w:val="none" w:sz="0" w:space="0" w:color="auto"/>
      </w:divBdr>
    </w:div>
    <w:div w:id="1769740236">
      <w:bodyDiv w:val="1"/>
      <w:marLeft w:val="0"/>
      <w:marRight w:val="0"/>
      <w:marTop w:val="0"/>
      <w:marBottom w:val="0"/>
      <w:divBdr>
        <w:top w:val="none" w:sz="0" w:space="0" w:color="auto"/>
        <w:left w:val="none" w:sz="0" w:space="0" w:color="auto"/>
        <w:bottom w:val="none" w:sz="0" w:space="0" w:color="auto"/>
        <w:right w:val="none" w:sz="0" w:space="0" w:color="auto"/>
      </w:divBdr>
    </w:div>
    <w:div w:id="1803767072">
      <w:bodyDiv w:val="1"/>
      <w:marLeft w:val="0"/>
      <w:marRight w:val="0"/>
      <w:marTop w:val="0"/>
      <w:marBottom w:val="0"/>
      <w:divBdr>
        <w:top w:val="none" w:sz="0" w:space="0" w:color="auto"/>
        <w:left w:val="none" w:sz="0" w:space="0" w:color="auto"/>
        <w:bottom w:val="none" w:sz="0" w:space="0" w:color="auto"/>
        <w:right w:val="none" w:sz="0" w:space="0" w:color="auto"/>
      </w:divBdr>
    </w:div>
    <w:div w:id="1846554486">
      <w:bodyDiv w:val="1"/>
      <w:marLeft w:val="0"/>
      <w:marRight w:val="0"/>
      <w:marTop w:val="0"/>
      <w:marBottom w:val="0"/>
      <w:divBdr>
        <w:top w:val="none" w:sz="0" w:space="0" w:color="auto"/>
        <w:left w:val="none" w:sz="0" w:space="0" w:color="auto"/>
        <w:bottom w:val="none" w:sz="0" w:space="0" w:color="auto"/>
        <w:right w:val="none" w:sz="0" w:space="0" w:color="auto"/>
      </w:divBdr>
    </w:div>
    <w:div w:id="19241472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06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oso/9780190066994.001.0001" TargetMode="External"/><Relationship Id="rId18" Type="http://schemas.openxmlformats.org/officeDocument/2006/relationships/hyperlink" Target="https://doi.org/10.4324/9781315879772" TargetMode="External"/><Relationship Id="rId26" Type="http://schemas.openxmlformats.org/officeDocument/2006/relationships/hyperlink" Target="https://doi.org/10.1007/s12115-017-0186-x" TargetMode="External"/><Relationship Id="rId39" Type="http://schemas.openxmlformats.org/officeDocument/2006/relationships/fontTable" Target="fontTable.xml"/><Relationship Id="rId21" Type="http://schemas.openxmlformats.org/officeDocument/2006/relationships/hyperlink" Target="https://www.legislation.gov.uk/ukpga/1998/42/contents" TargetMode="External"/><Relationship Id="rId34"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doi.org/10.1093/bjsw/bcad186" TargetMode="External"/><Relationship Id="rId17" Type="http://schemas.openxmlformats.org/officeDocument/2006/relationships/hyperlink" Target="https://doi.org/10.1093/alcalc/ags006" TargetMode="External"/><Relationship Id="rId25" Type="http://schemas.openxmlformats.org/officeDocument/2006/relationships/hyperlink" Target="https://doi.org/10.1080/21681376.2020.1841674" TargetMode="External"/><Relationship Id="rId33" Type="http://schemas.openxmlformats.org/officeDocument/2006/relationships/hyperlink" Target="https://www.unicef.org.uk/what-we-do/un-convention-child-right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80/02615479.2017.1346071" TargetMode="External"/><Relationship Id="rId20" Type="http://schemas.openxmlformats.org/officeDocument/2006/relationships/hyperlink" Target="https://doi.org/10.1111/j.1360-2322.2004.0182a" TargetMode="External"/><Relationship Id="rId29" Type="http://schemas.openxmlformats.org/officeDocument/2006/relationships/hyperlink" Target="https://doi.org/10.1016/j.sbspro.2014.03.12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asw.co.uk/sites/default/files/resources/Social%20Work%20and%20Human%20Rights%20A%20Practice%20Guide.%20DEC%202019.pdf" TargetMode="External"/><Relationship Id="rId24" Type="http://schemas.openxmlformats.org/officeDocument/2006/relationships/hyperlink" Target="https://www.mencap.org.uk/sites/default/files/2016-12/Communicating%20with%20people_updated%20%281%29.pdf" TargetMode="External"/><Relationship Id="rId32" Type="http://schemas.openxmlformats.org/officeDocument/2006/relationships/hyperlink" Target="https://post.parliament.uk/issues-facing-rural-communitie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anaw/2014/4/section/23" TargetMode="External"/><Relationship Id="rId23" Type="http://schemas.openxmlformats.org/officeDocument/2006/relationships/hyperlink" Target="https://doi.org/10.1037/a0036833" TargetMode="External"/><Relationship Id="rId28" Type="http://schemas.openxmlformats.org/officeDocument/2006/relationships/hyperlink" Target="https://doi.org/10.5937/NBP1601161S" TargetMode="External"/><Relationship Id="rId36" Type="http://schemas.openxmlformats.org/officeDocument/2006/relationships/image" Target="media/image4.jpeg"/><Relationship Id="rId10" Type="http://schemas.openxmlformats.org/officeDocument/2006/relationships/image" Target="media/image1.png"/><Relationship Id="rId19" Type="http://schemas.openxmlformats.org/officeDocument/2006/relationships/hyperlink" Target="https://doi.org/10.1086/222355" TargetMode="External"/><Relationship Id="rId31" Type="http://schemas.openxmlformats.org/officeDocument/2006/relationships/hyperlink" Target="https://socialcare.wales/cms-assets/documents/Code-Print-Friendly-English.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778134/stengths-based-approach-practice-framework-and-handbook.pdf" TargetMode="External"/><Relationship Id="rId22" Type="http://schemas.openxmlformats.org/officeDocument/2006/relationships/hyperlink" Target="https://doi.org/10.1080/1034912X.2023.2166676" TargetMode="External"/><Relationship Id="rId27" Type="http://schemas.openxmlformats.org/officeDocument/2006/relationships/hyperlink" Target="https://doi.org/10.1111/add.12558" TargetMode="External"/><Relationship Id="rId30" Type="http://schemas.openxmlformats.org/officeDocument/2006/relationships/hyperlink" Target="https://doi.org/10.1080/09687599.2017.1281974" TargetMode="External"/><Relationship Id="rId35" Type="http://schemas.openxmlformats.org/officeDocument/2006/relationships/image" Target="media/image3.jpe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18</Pages>
  <Words>3862</Words>
  <Characters>24429</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Finn</cp:lastModifiedBy>
  <cp:revision>44</cp:revision>
  <cp:lastPrinted>2020-02-11T19:20:00Z</cp:lastPrinted>
  <dcterms:created xsi:type="dcterms:W3CDTF">2025-02-14T13:45:00Z</dcterms:created>
  <dcterms:modified xsi:type="dcterms:W3CDTF">2025-02-17T16:11:00Z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