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sz w:val="32"/>
          <w:szCs w:val="32"/>
        </w:rPr>
      </w:pPr>
      <w:r>
        <w:rPr>
          <w:rFonts w:ascii="Arial" w:cs="Arial" w:hAnsi="Arial"/>
          <w:noProof/>
        </w:rPr>
        <w:drawing>
          <wp:anchor distT="0" distB="0" distL="114300" distR="114300" simplePos="false" relativeHeight="2" behindDoc="false" locked="false" layoutInCell="true" allowOverlap="true">
            <wp:simplePos x="0" y="0"/>
            <wp:positionH relativeFrom="margin">
              <wp:align>left</wp:align>
            </wp:positionH>
            <wp:positionV relativeFrom="paragraph">
              <wp:posOffset>104775</wp:posOffset>
            </wp:positionV>
            <wp:extent cx="1809750" cy="723900"/>
            <wp:effectExtent l="0" t="0" r="0" b="0"/>
            <wp:wrapSquare wrapText="bothSides"/>
            <wp:docPr id="1026" name="Picture 1"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809750" cy="723900"/>
                    </a:xfrm>
                    <a:prstGeom prst="rect"/>
                    <a:ln>
                      <a:noFill/>
                    </a:ln>
                  </pic:spPr>
                </pic:pic>
              </a:graphicData>
            </a:graphic>
          </wp:anchor>
        </w:drawing>
      </w:r>
    </w:p>
    <w:p>
      <w:pPr>
        <w:pStyle w:val="style0"/>
        <w:rPr/>
      </w:pPr>
    </w:p>
    <w:p>
      <w:pPr>
        <w:pStyle w:val="style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3"/>
        <w:gridCol w:w="3312"/>
        <w:gridCol w:w="1898"/>
        <w:gridCol w:w="2377"/>
      </w:tblGrid>
      <w:tr>
        <w:trPr/>
        <w:tc>
          <w:tcPr>
            <w:tcW w:w="943" w:type="pct"/>
            <w:tcBorders/>
            <w:shd w:val="pct15" w:color="auto" w:fill="auto"/>
          </w:tcPr>
          <w:p>
            <w:pPr>
              <w:pStyle w:val="style0"/>
              <w:spacing w:before="120" w:after="120"/>
              <w:rPr>
                <w:rFonts w:cs="Times New Roman"/>
                <w:b/>
              </w:rPr>
            </w:pPr>
            <w:r>
              <w:rPr>
                <w:rFonts w:cs="Times New Roman"/>
                <w:b/>
              </w:rPr>
              <w:t>Programme:</w:t>
            </w:r>
          </w:p>
        </w:tc>
        <w:tc>
          <w:tcPr>
            <w:tcW w:w="4057" w:type="pct"/>
            <w:gridSpan w:val="3"/>
            <w:tcBorders/>
          </w:tcPr>
          <w:p>
            <w:pPr>
              <w:pStyle w:val="style0"/>
              <w:spacing w:before="120" w:after="120"/>
              <w:rPr>
                <w:rFonts w:cs="Times New Roman"/>
                <w:b/>
              </w:rPr>
            </w:pPr>
            <w:r>
              <w:rPr>
                <w:rFonts w:cs="Times New Roman"/>
                <w:b/>
              </w:rPr>
              <w:t>BA (Hons) Business Management</w:t>
            </w:r>
          </w:p>
        </w:tc>
      </w:tr>
      <w:tr>
        <w:tblPrEx/>
        <w:trPr/>
        <w:tc>
          <w:tcPr>
            <w:tcW w:w="943" w:type="pct"/>
            <w:tcBorders/>
            <w:shd w:val="pct15" w:color="auto" w:fill="auto"/>
          </w:tcPr>
          <w:p>
            <w:pPr>
              <w:pStyle w:val="style0"/>
              <w:spacing w:before="120" w:after="120"/>
              <w:rPr>
                <w:rFonts w:cs="Times New Roman"/>
                <w:b/>
              </w:rPr>
            </w:pPr>
            <w:r>
              <w:rPr>
                <w:rFonts w:cs="Times New Roman"/>
                <w:b/>
              </w:rPr>
              <w:t>Module:</w:t>
            </w:r>
          </w:p>
        </w:tc>
        <w:tc>
          <w:tcPr>
            <w:tcW w:w="4057" w:type="pct"/>
            <w:gridSpan w:val="3"/>
            <w:tcBorders/>
          </w:tcPr>
          <w:p>
            <w:pPr>
              <w:pStyle w:val="style0"/>
              <w:spacing w:before="120" w:after="120"/>
              <w:rPr>
                <w:rFonts w:cs="Times New Roman"/>
                <w:b/>
              </w:rPr>
            </w:pPr>
            <w:r>
              <w:rPr>
                <w:rFonts w:cs="Times New Roman"/>
                <w:b/>
              </w:rPr>
              <w:t>Understanding Organisational Structure and Culture</w:t>
            </w:r>
          </w:p>
        </w:tc>
      </w:tr>
      <w:tr>
        <w:tblPrEx/>
        <w:trPr/>
        <w:tc>
          <w:tcPr>
            <w:tcW w:w="943" w:type="pct"/>
            <w:tcBorders/>
            <w:shd w:val="pct15" w:color="auto" w:fill="auto"/>
          </w:tcPr>
          <w:p>
            <w:pPr>
              <w:pStyle w:val="style0"/>
              <w:spacing w:before="120" w:after="120"/>
              <w:rPr>
                <w:rFonts w:cs="Times New Roman"/>
                <w:b/>
              </w:rPr>
            </w:pPr>
            <w:r>
              <w:rPr>
                <w:rFonts w:cs="Times New Roman"/>
                <w:b/>
              </w:rPr>
              <w:t>Module code:</w:t>
            </w:r>
          </w:p>
        </w:tc>
        <w:tc>
          <w:tcPr>
            <w:tcW w:w="1771" w:type="pct"/>
            <w:tcBorders/>
          </w:tcPr>
          <w:p>
            <w:pPr>
              <w:pStyle w:val="style0"/>
              <w:spacing w:before="120" w:after="120"/>
              <w:rPr>
                <w:rFonts w:cs="Times New Roman"/>
                <w:b/>
              </w:rPr>
            </w:pPr>
            <w:r>
              <w:rPr>
                <w:rFonts w:cs="Times New Roman"/>
                <w:b/>
              </w:rPr>
              <w:t>LCBB4009</w:t>
            </w:r>
          </w:p>
        </w:tc>
        <w:tc>
          <w:tcPr>
            <w:tcW w:w="1015" w:type="pct"/>
            <w:tcBorders/>
            <w:shd w:val="clear" w:color="auto" w:fill="d9d9d9"/>
          </w:tcPr>
          <w:p>
            <w:pPr>
              <w:pStyle w:val="style0"/>
              <w:rPr>
                <w:b/>
                <w:bCs/>
              </w:rPr>
            </w:pPr>
            <w:r>
              <w:rPr>
                <w:b/>
                <w:bCs/>
              </w:rPr>
              <w:t>Contribution to Overall Module Assessment (%):</w:t>
            </w:r>
          </w:p>
        </w:tc>
        <w:tc>
          <w:tcPr>
            <w:tcW w:w="1271" w:type="pct"/>
            <w:tcBorders/>
          </w:tcPr>
          <w:p>
            <w:pPr>
              <w:pStyle w:val="style0"/>
              <w:spacing w:before="120" w:after="120"/>
              <w:rPr>
                <w:rFonts w:cs="Times New Roman"/>
                <w:b/>
              </w:rPr>
            </w:pPr>
            <w:r>
              <w:rPr>
                <w:rFonts w:cs="Times New Roman"/>
                <w:b/>
              </w:rPr>
              <w:t>50%</w:t>
            </w:r>
          </w:p>
        </w:tc>
      </w:tr>
      <w:tr>
        <w:tblPrEx/>
        <w:trPr/>
        <w:tc>
          <w:tcPr>
            <w:tcW w:w="943" w:type="pct"/>
            <w:tcBorders/>
            <w:shd w:val="pct15" w:color="auto" w:fill="auto"/>
          </w:tcPr>
          <w:p>
            <w:pPr>
              <w:pStyle w:val="style0"/>
              <w:spacing w:before="120" w:after="120"/>
              <w:rPr>
                <w:rFonts w:cs="Times New Roman"/>
                <w:b/>
              </w:rPr>
            </w:pPr>
            <w:r>
              <w:rPr>
                <w:rFonts w:cs="Times New Roman"/>
                <w:b/>
              </w:rPr>
              <w:t>Module Leader/ Lecturer:</w:t>
            </w:r>
          </w:p>
        </w:tc>
        <w:tc>
          <w:tcPr>
            <w:tcW w:w="1771" w:type="pct"/>
            <w:tcBorders/>
          </w:tcPr>
          <w:p>
            <w:pPr>
              <w:pStyle w:val="style0"/>
              <w:spacing w:before="120" w:after="120"/>
              <w:rPr>
                <w:rFonts w:cs="Times New Roman"/>
                <w:b/>
                <w:bCs/>
              </w:rPr>
            </w:pPr>
            <w:r>
              <w:rPr>
                <w:rFonts w:cs="Times New Roman"/>
                <w:b/>
                <w:bCs/>
              </w:rPr>
              <w:t>Dr Said Usman</w:t>
            </w:r>
          </w:p>
        </w:tc>
        <w:tc>
          <w:tcPr>
            <w:tcW w:w="1015" w:type="pct"/>
            <w:tcBorders/>
            <w:shd w:val="clear" w:color="auto" w:fill="d9d9d9"/>
          </w:tcPr>
          <w:p>
            <w:pPr>
              <w:pStyle w:val="style0"/>
              <w:spacing w:before="120" w:after="120"/>
              <w:rPr>
                <w:rFonts w:cs="Times New Roman"/>
                <w:b/>
              </w:rPr>
            </w:pPr>
            <w:r>
              <w:rPr>
                <w:rFonts w:cs="Times New Roman"/>
                <w:b/>
              </w:rPr>
              <w:t>Internal Verifier:</w:t>
            </w:r>
          </w:p>
        </w:tc>
        <w:tc>
          <w:tcPr>
            <w:tcW w:w="1271" w:type="pct"/>
            <w:tcBorders/>
          </w:tcPr>
          <w:p>
            <w:pPr>
              <w:pStyle w:val="style0"/>
              <w:spacing w:before="120" w:after="120"/>
              <w:rPr>
                <w:rFonts w:cs="Times New Roman"/>
                <w:b/>
              </w:rPr>
            </w:pPr>
            <w:r>
              <w:rPr>
                <w:rFonts w:cs="Times New Roman"/>
                <w:b/>
                <w:bCs/>
              </w:rPr>
              <w:t>Dr Anupam Mazumdar</w:t>
            </w:r>
          </w:p>
        </w:tc>
      </w:tr>
      <w:tr>
        <w:tblPrEx/>
        <w:trPr/>
        <w:tc>
          <w:tcPr>
            <w:tcW w:w="943" w:type="pct"/>
            <w:tcBorders/>
            <w:shd w:val="pct15" w:color="auto" w:fill="auto"/>
          </w:tcPr>
          <w:p>
            <w:pPr>
              <w:pStyle w:val="style0"/>
              <w:spacing w:before="120" w:after="120"/>
              <w:rPr>
                <w:rFonts w:cs="Times New Roman"/>
                <w:b/>
              </w:rPr>
            </w:pPr>
            <w:r>
              <w:rPr>
                <w:rFonts w:cs="Times New Roman"/>
                <w:b/>
              </w:rPr>
              <w:t>Assignment Title:</w:t>
            </w:r>
          </w:p>
        </w:tc>
        <w:tc>
          <w:tcPr>
            <w:tcW w:w="1771" w:type="pct"/>
            <w:tcBorders/>
          </w:tcPr>
          <w:p>
            <w:pPr>
              <w:pStyle w:val="style0"/>
              <w:spacing w:before="120" w:after="120"/>
              <w:rPr>
                <w:rFonts w:cs="Times New Roman"/>
                <w:b/>
              </w:rPr>
            </w:pPr>
            <w:r>
              <w:rPr>
                <w:rFonts w:cs="Times New Roman"/>
                <w:b/>
              </w:rPr>
              <w:t>Component 2: Coursework: Individual report</w:t>
            </w:r>
          </w:p>
        </w:tc>
        <w:tc>
          <w:tcPr>
            <w:tcW w:w="1015" w:type="pct"/>
            <w:tcBorders/>
            <w:shd w:val="pct15" w:color="auto" w:fill="auto"/>
          </w:tcPr>
          <w:p>
            <w:pPr>
              <w:pStyle w:val="style0"/>
              <w:spacing w:before="120" w:after="120"/>
              <w:rPr>
                <w:rFonts w:cs="Times New Roman"/>
                <w:b/>
              </w:rPr>
            </w:pPr>
            <w:r>
              <w:rPr>
                <w:rFonts w:cs="Times New Roman"/>
                <w:b/>
              </w:rPr>
              <w:t>Word count (or equivalent):</w:t>
            </w:r>
          </w:p>
        </w:tc>
        <w:tc>
          <w:tcPr>
            <w:tcW w:w="1271" w:type="pct"/>
            <w:tcBorders/>
          </w:tcPr>
          <w:p>
            <w:pPr>
              <w:pStyle w:val="style0"/>
              <w:spacing w:before="120" w:after="120"/>
              <w:rPr>
                <w:rFonts w:cs="Times New Roman"/>
                <w:b/>
              </w:rPr>
            </w:pPr>
            <w:r>
              <w:rPr>
                <w:rFonts w:cs="Times New Roman"/>
                <w:b/>
              </w:rPr>
              <w:t>1500 words (10% +/-)</w:t>
            </w:r>
          </w:p>
        </w:tc>
      </w:tr>
      <w:tr>
        <w:tblPrEx/>
        <w:trPr/>
        <w:tc>
          <w:tcPr>
            <w:tcW w:w="943" w:type="pct"/>
            <w:tcBorders/>
            <w:shd w:val="pct15" w:color="auto" w:fill="auto"/>
          </w:tcPr>
          <w:p>
            <w:pPr>
              <w:pStyle w:val="style0"/>
              <w:spacing w:before="120" w:after="120"/>
              <w:rPr>
                <w:rFonts w:cs="Times New Roman"/>
                <w:b/>
                <w:sz w:val="22"/>
                <w:szCs w:val="22"/>
              </w:rPr>
            </w:pPr>
            <w:r>
              <w:rPr>
                <w:rFonts w:cs="Times New Roman"/>
                <w:b/>
                <w:sz w:val="22"/>
                <w:szCs w:val="22"/>
              </w:rPr>
              <w:t>Submission deadline:</w:t>
            </w:r>
          </w:p>
        </w:tc>
        <w:tc>
          <w:tcPr>
            <w:tcW w:w="1771" w:type="pct"/>
            <w:tcBorders/>
          </w:tcPr>
          <w:p>
            <w:pPr>
              <w:pStyle w:val="style0"/>
              <w:spacing w:before="120" w:after="120"/>
              <w:rPr>
                <w:rFonts w:cs="Times New Roman"/>
                <w:b/>
                <w:bCs/>
              </w:rPr>
            </w:pPr>
            <w:r>
              <w:rPr>
                <w:rFonts w:cs="Times New Roman"/>
                <w:b/>
                <w:bCs/>
              </w:rPr>
              <w:t>18</w:t>
            </w:r>
            <w:r>
              <w:rPr>
                <w:rFonts w:cs="Times New Roman"/>
                <w:b/>
                <w:bCs/>
                <w:vertAlign w:val="superscript"/>
              </w:rPr>
              <w:t>th</w:t>
            </w:r>
            <w:r>
              <w:rPr>
                <w:rFonts w:cs="Times New Roman"/>
                <w:b/>
                <w:bCs/>
              </w:rPr>
              <w:t xml:space="preserve"> November 2025</w:t>
            </w:r>
          </w:p>
          <w:p>
            <w:pPr>
              <w:pStyle w:val="style0"/>
              <w:spacing w:before="120" w:after="120"/>
              <w:rPr>
                <w:rFonts w:cs="Times New Roman"/>
                <w:b/>
                <w:sz w:val="22"/>
                <w:szCs w:val="22"/>
              </w:rPr>
            </w:pPr>
            <w:r>
              <w:rPr>
                <w:rFonts w:cs="Times New Roman"/>
                <w:b/>
                <w:bCs/>
              </w:rPr>
              <w:t>14:00 (2PM)</w:t>
            </w:r>
          </w:p>
        </w:tc>
        <w:tc>
          <w:tcPr>
            <w:tcW w:w="1015" w:type="pct"/>
            <w:tcBorders/>
            <w:shd w:val="pct15" w:color="auto" w:fill="auto"/>
          </w:tcPr>
          <w:p>
            <w:pPr>
              <w:pStyle w:val="style0"/>
              <w:spacing w:before="120" w:after="120"/>
              <w:rPr>
                <w:rFonts w:cs="Times New Roman"/>
                <w:b/>
                <w:sz w:val="22"/>
                <w:szCs w:val="22"/>
              </w:rPr>
            </w:pPr>
            <w:r>
              <w:rPr>
                <w:rFonts w:cs="Times New Roman"/>
                <w:b/>
                <w:sz w:val="22"/>
                <w:szCs w:val="22"/>
              </w:rPr>
              <w:t>Return date of provisional marks &amp; written feedback:</w:t>
            </w:r>
          </w:p>
        </w:tc>
        <w:tc>
          <w:tcPr>
            <w:tcW w:w="1271" w:type="pct"/>
            <w:tcBorders/>
          </w:tcPr>
          <w:p>
            <w:pPr>
              <w:pStyle w:val="style0"/>
              <w:spacing w:before="120" w:after="120"/>
              <w:rPr>
                <w:rFonts w:cs="Times New Roman"/>
                <w:b/>
                <w:sz w:val="22"/>
                <w:szCs w:val="22"/>
              </w:rPr>
            </w:pPr>
            <w:r>
              <w:rPr>
                <w:rFonts w:cs="Times New Roman"/>
                <w:b/>
                <w:bCs/>
                <w:sz w:val="22"/>
                <w:szCs w:val="22"/>
              </w:rPr>
              <w:t>16</w:t>
            </w:r>
            <w:r>
              <w:rPr>
                <w:rFonts w:cs="Times New Roman"/>
                <w:b/>
                <w:bCs/>
                <w:sz w:val="22"/>
                <w:szCs w:val="22"/>
                <w:vertAlign w:val="superscript"/>
              </w:rPr>
              <w:t>th</w:t>
            </w:r>
            <w:r>
              <w:rPr>
                <w:rFonts w:cs="Times New Roman"/>
                <w:b/>
                <w:bCs/>
                <w:sz w:val="22"/>
                <w:szCs w:val="22"/>
              </w:rPr>
              <w:t xml:space="preserve"> December 2025</w:t>
            </w:r>
          </w:p>
        </w:tc>
      </w:tr>
    </w:tbl>
    <w:p>
      <w:pPr>
        <w:pStyle w:val="style0"/>
        <w:rPr/>
      </w:pPr>
    </w:p>
    <w:p>
      <w:pPr>
        <w:pStyle w:val="style0"/>
        <w:jc w:val="center"/>
        <w:rPr>
          <w:b/>
          <w:bCs/>
          <w:sz w:val="32"/>
          <w:szCs w:val="32"/>
        </w:rPr>
      </w:pPr>
    </w:p>
    <w:p>
      <w:pPr>
        <w:pStyle w:val="style0"/>
        <w:spacing w:lineRule="auto" w:line="278"/>
        <w:jc w:val="left"/>
        <w:rPr>
          <w:b/>
          <w:bCs/>
          <w:sz w:val="32"/>
          <w:szCs w:val="32"/>
        </w:rPr>
      </w:pPr>
      <w:r>
        <w:rPr>
          <w:b/>
          <w:bCs/>
          <w:sz w:val="32"/>
          <w:szCs w:val="32"/>
        </w:rPr>
        <w:br w:type="page"/>
      </w:r>
    </w:p>
    <w:p>
      <w:pPr>
        <w:pStyle w:val="style0"/>
        <w:jc w:val="center"/>
        <w:rPr>
          <w:b/>
          <w:bCs/>
          <w:sz w:val="32"/>
          <w:szCs w:val="32"/>
        </w:rPr>
      </w:pPr>
    </w:p>
    <w:p>
      <w:pPr>
        <w:pStyle w:val="style0"/>
        <w:jc w:val="center"/>
        <w:rPr>
          <w:b/>
          <w:bCs/>
          <w:sz w:val="32"/>
          <w:szCs w:val="32"/>
        </w:rPr>
      </w:pPr>
    </w:p>
    <w:p>
      <w:pPr>
        <w:pStyle w:val="style0"/>
        <w:jc w:val="center"/>
        <w:rPr>
          <w:b/>
          <w:bCs/>
          <w:sz w:val="32"/>
          <w:szCs w:val="32"/>
        </w:rPr>
      </w:pPr>
    </w:p>
    <w:p>
      <w:pPr>
        <w:pStyle w:val="style0"/>
        <w:jc w:val="center"/>
        <w:rPr>
          <w:b/>
          <w:bCs/>
          <w:sz w:val="32"/>
          <w:szCs w:val="32"/>
        </w:rPr>
      </w:pPr>
    </w:p>
    <w:p>
      <w:pPr>
        <w:pStyle w:val="style0"/>
        <w:jc w:val="center"/>
        <w:rPr>
          <w:b/>
          <w:bCs/>
          <w:sz w:val="32"/>
          <w:szCs w:val="32"/>
        </w:rPr>
      </w:pPr>
    </w:p>
    <w:p>
      <w:pPr>
        <w:pStyle w:val="style0"/>
        <w:jc w:val="center"/>
        <w:rPr>
          <w:b/>
          <w:bCs/>
          <w:sz w:val="32"/>
          <w:szCs w:val="32"/>
        </w:rPr>
      </w:pPr>
      <w:r>
        <w:rPr>
          <w:b/>
          <w:bCs/>
          <w:sz w:val="32"/>
          <w:szCs w:val="32"/>
        </w:rPr>
        <w:t>INVESTIGATING THE ROLE OF COMMUNICATION IN THE BUSINESS ENVIRONMENT: A CASE STUDY OF MARKS &amp; SPENCER (M&amp;S)</w:t>
      </w:r>
    </w:p>
    <w:p>
      <w:pPr>
        <w:pStyle w:val="style0"/>
        <w:jc w:val="center"/>
        <w:rPr>
          <w:b/>
          <w:bCs/>
          <w:sz w:val="32"/>
          <w:szCs w:val="32"/>
        </w:rPr>
      </w:pPr>
      <w:r>
        <w:rPr>
          <w:b/>
          <w:bCs/>
          <w:sz w:val="32"/>
          <w:szCs w:val="32"/>
          <w:lang w:val="en-US"/>
        </w:rPr>
        <w:t>Student Name : Elena Raican</w:t>
      </w:r>
    </w:p>
    <w:p>
      <w:pPr>
        <w:pStyle w:val="style0"/>
        <w:jc w:val="center"/>
        <w:rPr>
          <w:b/>
          <w:bCs/>
          <w:sz w:val="32"/>
          <w:szCs w:val="32"/>
        </w:rPr>
      </w:pPr>
      <w:r>
        <w:rPr>
          <w:b/>
          <w:bCs/>
          <w:sz w:val="32"/>
          <w:szCs w:val="32"/>
          <w:lang w:val="en-US"/>
        </w:rPr>
        <w:t>Student ID : 2440481</w:t>
      </w:r>
    </w:p>
    <w:p>
      <w:pPr>
        <w:pStyle w:val="style0"/>
        <w:jc w:val="center"/>
        <w:rPr>
          <w:b/>
          <w:bCs/>
        </w:rPr>
      </w:pPr>
      <w:r>
        <w:br w:type="page"/>
      </w:r>
      <w:r>
        <w:rPr>
          <w:b/>
          <w:bCs/>
        </w:rPr>
        <w:t xml:space="preserve">Executive Summary </w:t>
      </w:r>
    </w:p>
    <w:p>
      <w:pPr>
        <w:pStyle w:val="style0"/>
        <w:rPr/>
      </w:pPr>
      <w:r>
        <w:t>This report focuses on the analysis of communication as it is applicable to business with the help of Marks and Spencer (M&amp;S)</w:t>
      </w:r>
      <w:r>
        <w:t>, being</w:t>
      </w:r>
      <w:r>
        <w:t xml:space="preserve"> used as a case study. It looks at communication as the foundation of </w:t>
      </w:r>
      <w:r>
        <w:t>organisational</w:t>
      </w:r>
      <w:r>
        <w:t xml:space="preserve"> achievement, through </w:t>
      </w:r>
      <w:r>
        <w:t>teamwork</w:t>
      </w:r>
      <w:r>
        <w:t xml:space="preserve">, decision making, stakeholder participation, and strategy. The report describes different communication channels; verbal, written, digital, and non-verbal, how they are important in the internal process and external relations. It lists typical communication issues M&amp;S is experiencing such as miscommunication, cultural differences, information excess, technological reluctance, and hierarchy constraints, which may hinder productivity and performance. To address these problems, it is suggested to provide effective recommendations, including formal communication systems, cultural competence, information flow, feedback system generation, and digital literacy. The report concludes that effective communication is a strategic requirement to </w:t>
      </w:r>
      <w:r>
        <w:t>organisational</w:t>
      </w:r>
      <w:r>
        <w:t xml:space="preserve"> growth and resilience, and it can assist </w:t>
      </w:r>
      <w:r>
        <w:t>organisations</w:t>
      </w:r>
      <w:r>
        <w:t xml:space="preserve"> such as M&amp;S to improve employee engagement, customer satisfaction and competitive advantage in a changing business environment.</w:t>
      </w:r>
    </w:p>
    <w:p>
      <w:pPr>
        <w:pStyle w:val="style0"/>
        <w:rPr/>
      </w:pPr>
    </w:p>
    <w:p>
      <w:pPr>
        <w:pStyle w:val="style0"/>
        <w:spacing w:lineRule="auto" w:line="278"/>
        <w:jc w:val="left"/>
        <w:rPr/>
      </w:pPr>
    </w:p>
    <w:p>
      <w:pPr>
        <w:pStyle w:val="style0"/>
        <w:spacing w:lineRule="auto" w:line="278"/>
        <w:jc w:val="left"/>
        <w:rPr>
          <w:sz w:val="26"/>
          <w:szCs w:val="26"/>
        </w:rPr>
      </w:pPr>
      <w:r>
        <w:rPr>
          <w:sz w:val="26"/>
          <w:szCs w:val="26"/>
        </w:rPr>
        <w:br w:type="page"/>
      </w:r>
    </w:p>
    <w:p>
      <w:pPr>
        <w:pStyle w:val="style266"/>
        <w:jc w:val="center"/>
        <w:rPr>
          <w:rFonts w:ascii="Times New Roman" w:cs="Times New Roman" w:hAnsi="Times New Roman"/>
          <w:b/>
          <w:bCs/>
          <w:color w:val="05090f"/>
          <w:sz w:val="24"/>
          <w:szCs w:val="24"/>
        </w:rPr>
      </w:pPr>
      <w:r>
        <w:rPr>
          <w:rFonts w:ascii="Times New Roman" w:cs="Times New Roman" w:hAnsi="Times New Roman"/>
          <w:b/>
          <w:bCs/>
          <w:color w:val="05090f"/>
          <w:sz w:val="24"/>
          <w:szCs w:val="24"/>
        </w:rPr>
        <w:t>Table of Contents</w:t>
      </w:r>
    </w:p>
    <w:p>
      <w:pPr>
        <w:pStyle w:val="style19"/>
        <w:tabs>
          <w:tab w:val="right" w:leader="dot" w:pos="9350"/>
        </w:tabs>
        <w:rPr>
          <w:rFonts w:ascii="Calibri" w:eastAsia="宋体" w:hAnsi="Calibri"/>
          <w:noProof/>
          <w:color w:val="auto"/>
        </w:rPr>
      </w:pPr>
      <w:r>
        <w:rPr/>
        <w:fldChar w:fldCharType="begin"/>
      </w:r>
      <w:r>
        <w:instrText xml:space="preserve"> TOC \o "1-3" \h \z \u </w:instrText>
      </w:r>
      <w:r>
        <w:rPr/>
        <w:fldChar w:fldCharType="separate"/>
      </w:r>
      <w:r>
        <w:rPr/>
        <w:fldChar w:fldCharType="begin"/>
      </w:r>
      <w:r>
        <w:instrText xml:space="preserve"> HYPERLINK \l "_Toc210399385"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_Toc210399385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color w:val="auto"/>
        </w:rPr>
      </w:pPr>
      <w:r>
        <w:rPr/>
        <w:fldChar w:fldCharType="begin"/>
      </w:r>
      <w:r>
        <w:instrText xml:space="preserve"> HYPERLINK \l "_Toc210399386" </w:instrText>
      </w:r>
      <w:r>
        <w:rPr/>
        <w:fldChar w:fldCharType="separate"/>
      </w:r>
      <w:r>
        <w:rPr>
          <w:rStyle w:val="style85"/>
          <w:noProof/>
        </w:rPr>
        <w:t>Communication and Methods</w:t>
      </w:r>
      <w:r>
        <w:rPr>
          <w:noProof/>
          <w:webHidden/>
        </w:rPr>
        <w:tab/>
      </w:r>
      <w:r>
        <w:rPr>
          <w:noProof/>
          <w:webHidden/>
        </w:rPr>
        <w:fldChar w:fldCharType="begin"/>
      </w:r>
      <w:r>
        <w:rPr>
          <w:noProof/>
          <w:webHidden/>
        </w:rPr>
        <w:instrText xml:space="preserve"> PAGEREF _Toc210399386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color w:val="auto"/>
        </w:rPr>
      </w:pPr>
      <w:r>
        <w:rPr/>
        <w:fldChar w:fldCharType="begin"/>
      </w:r>
      <w:r>
        <w:instrText xml:space="preserve"> HYPERLINK \l "_Toc210399387" </w:instrText>
      </w:r>
      <w:r>
        <w:rPr/>
        <w:fldChar w:fldCharType="separate"/>
      </w:r>
      <w:r>
        <w:rPr>
          <w:rStyle w:val="style85"/>
          <w:noProof/>
        </w:rPr>
        <w:t>Common Issues</w:t>
      </w:r>
      <w:r>
        <w:rPr>
          <w:noProof/>
          <w:webHidden/>
        </w:rPr>
        <w:tab/>
      </w:r>
      <w:r>
        <w:rPr>
          <w:noProof/>
          <w:webHidden/>
        </w:rPr>
        <w:fldChar w:fldCharType="begin"/>
      </w:r>
      <w:r>
        <w:rPr>
          <w:noProof/>
          <w:webHidden/>
        </w:rPr>
        <w:instrText xml:space="preserve"> PAGEREF _Toc210399387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color w:val="auto"/>
        </w:rPr>
      </w:pPr>
      <w:r>
        <w:rPr/>
        <w:fldChar w:fldCharType="begin"/>
      </w:r>
      <w:r>
        <w:instrText xml:space="preserve"> HYPERLINK \l "_Toc210399388" </w:instrText>
      </w:r>
      <w:r>
        <w:rPr/>
        <w:fldChar w:fldCharType="separate"/>
      </w:r>
      <w:r>
        <w:rPr>
          <w:rStyle w:val="style85"/>
          <w:noProof/>
        </w:rPr>
        <w:t>Recommendations</w:t>
      </w:r>
      <w:r>
        <w:rPr>
          <w:noProof/>
          <w:webHidden/>
        </w:rPr>
        <w:tab/>
      </w:r>
      <w:r>
        <w:rPr>
          <w:noProof/>
          <w:webHidden/>
        </w:rPr>
        <w:fldChar w:fldCharType="begin"/>
      </w:r>
      <w:r>
        <w:rPr>
          <w:noProof/>
          <w:webHidden/>
        </w:rPr>
        <w:instrText xml:space="preserve"> PAGEREF _Toc210399388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color w:val="auto"/>
        </w:rPr>
      </w:pPr>
      <w:r>
        <w:rPr/>
        <w:fldChar w:fldCharType="begin"/>
      </w:r>
      <w:r>
        <w:instrText xml:space="preserve"> HYPERLINK \l "_Toc210399389"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_Toc210399389 \h </w:instrText>
      </w:r>
      <w:r>
        <w:rPr>
          <w:noProof/>
          <w:webHidden/>
        </w:rPr>
        <w:fldChar w:fldCharType="separate"/>
      </w:r>
      <w:r>
        <w:rPr>
          <w:noProof/>
          <w:webHidden/>
        </w:rPr>
        <w:t>9</w:t>
      </w:r>
      <w:r>
        <w:rPr>
          <w:noProof/>
          <w:webHidden/>
        </w:rPr>
        <w:fldChar w:fldCharType="end"/>
      </w:r>
      <w:r>
        <w:rPr/>
        <w:fldChar w:fldCharType="end"/>
      </w:r>
    </w:p>
    <w:p>
      <w:pPr>
        <w:pStyle w:val="style0"/>
        <w:rPr/>
      </w:pPr>
      <w:r>
        <w:rPr>
          <w:b/>
          <w:bCs/>
          <w:noProof/>
        </w:rPr>
        <w:fldChar w:fldCharType="end"/>
      </w:r>
    </w:p>
    <w:p>
      <w:pPr>
        <w:pStyle w:val="style0"/>
        <w:rPr/>
      </w:pPr>
    </w:p>
    <w:p>
      <w:pPr>
        <w:pStyle w:val="style0"/>
        <w:spacing w:lineRule="auto" w:line="278"/>
        <w:jc w:val="left"/>
        <w:rPr>
          <w:b/>
          <w:bCs/>
        </w:rPr>
      </w:pPr>
      <w:r>
        <w:rPr>
          <w:b/>
          <w:bCs/>
        </w:rPr>
        <w:br w:type="page"/>
      </w:r>
    </w:p>
    <w:bookmarkStart w:id="0" w:name="_Toc210399385"/>
    <w:p>
      <w:pPr>
        <w:pStyle w:val="style1"/>
        <w:rPr/>
      </w:pPr>
      <w:r>
        <w:t>Introduction</w:t>
      </w:r>
      <w:bookmarkEnd w:id="0"/>
      <w:r>
        <w:t xml:space="preserve"> </w:t>
      </w:r>
    </w:p>
    <w:p>
      <w:pPr>
        <w:pStyle w:val="style0"/>
        <w:rPr/>
      </w:pPr>
      <w:r>
        <w:t xml:space="preserve">Communication plays a central role in </w:t>
      </w:r>
      <w:r>
        <w:t>organisational</w:t>
      </w:r>
      <w:r>
        <w:t xml:space="preserve"> achievement, as it determines the nature of business operations as the type of business operation, as far as an external stakeholder. Effective communication has gained a base of teamwork, invention, decision making and guidance in the modern business world that is more </w:t>
      </w:r>
      <w:r>
        <w:t>globalised</w:t>
      </w:r>
      <w:r>
        <w:t xml:space="preserve">, </w:t>
      </w:r>
      <w:r>
        <w:t>digitised</w:t>
      </w:r>
      <w:r>
        <w:t xml:space="preserve"> and more diverse than ever before. This report is aimed </w:t>
      </w:r>
      <w:r>
        <w:t>at researching</w:t>
      </w:r>
      <w:r>
        <w:t xml:space="preserve"> the role of communication in a business context, how various communication strategies may help the </w:t>
      </w:r>
      <w:r>
        <w:t>organisation</w:t>
      </w:r>
      <w:r>
        <w:t xml:space="preserve"> improve their performance and what the challenges and migrating solutions are. Marks and Spencer (M&amp;S) </w:t>
      </w:r>
      <w:r>
        <w:t>are</w:t>
      </w:r>
      <w:r>
        <w:t xml:space="preserve"> a multinational retail </w:t>
      </w:r>
      <w:r>
        <w:t>organisation</w:t>
      </w:r>
      <w:r>
        <w:t xml:space="preserve"> that is one of the largest in Britain. M&amp;S is a company established in 1884 and it deals with food, clothing and homeware market </w:t>
      </w:r>
      <w:r>
        <w:t>segments</w:t>
      </w:r>
      <w:r>
        <w:t xml:space="preserve"> with a substantial international presence. The aim of this report is to discuss communication issues and practices in </w:t>
      </w:r>
      <w:r>
        <w:t xml:space="preserve">M&amp;S </w:t>
      </w:r>
      <w:r>
        <w:t xml:space="preserve">with the view of shedding light on the general processes of communication in the business world as well as making recommendations about how the performance of </w:t>
      </w:r>
      <w:r>
        <w:t>organisations</w:t>
      </w:r>
      <w:r>
        <w:t xml:space="preserve"> can be improved by refining communication strategies.</w:t>
      </w:r>
    </w:p>
    <w:bookmarkStart w:id="1" w:name="_Toc210399386"/>
    <w:p>
      <w:pPr>
        <w:pStyle w:val="style1"/>
        <w:rPr/>
      </w:pPr>
      <w:r>
        <w:t>Communication and Methods</w:t>
      </w:r>
      <w:bookmarkEnd w:id="1"/>
      <w:r>
        <w:t xml:space="preserve"> </w:t>
      </w:r>
    </w:p>
    <w:p>
      <w:pPr>
        <w:pStyle w:val="style0"/>
        <w:rPr/>
      </w:pPr>
      <w:r>
        <w:t>Communication in a business context refers to the structured exchange of information, ideas, and messages within and between organisational stakeholders to achieve strategic and operational objectives. It encompasses verbal, non-verbal, written, and digital forms of interaction and is essential for coordinating activities, fostering collaboration, guiding decision-making, and building organisational culture. Effective communication ensures that organisational goals are understood, tasks are executed efficiently, and stakeholders remain informed and engaged. In a competitive and dynamic environment, it also supports adaptability and resilience by facilitating knowledge sharing and innovation.</w:t>
      </w:r>
    </w:p>
    <w:p>
      <w:pPr>
        <w:pStyle w:val="style0"/>
        <w:rPr/>
      </w:pPr>
      <w:r>
        <w:t>M&amp;S demonstrates the strategic importance of communication across multiple dimensions of its operations. Internally, the company relies on communication to align employees with corporate objectives, promote teamwork, and drive performance. Externally, it uses communication to engage customers, suppliers, investors, and regulators, thereby enhancing its reputation and maintaining competitive advantage</w:t>
      </w:r>
      <w:r>
        <w:t xml:space="preserve"> (</w:t>
      </w:r>
      <w:r>
        <w:t>Jami Pour, Hosseinzadeh</w:t>
      </w:r>
      <w:r>
        <w:t xml:space="preserve"> </w:t>
      </w:r>
      <w:r>
        <w:t xml:space="preserve">and </w:t>
      </w:r>
      <w:r>
        <w:t>Amoozad</w:t>
      </w:r>
      <w:r>
        <w:t xml:space="preserve"> Mahdiraji, 2021</w:t>
      </w:r>
      <w:r>
        <w:t>)</w:t>
      </w:r>
      <w:r>
        <w:t xml:space="preserve">. </w:t>
      </w:r>
      <w:r>
        <w:t>Communication within M&amp;S occurs through various methods, each serving specific organisational needs.</w:t>
      </w:r>
    </w:p>
    <w:p>
      <w:pPr>
        <w:pStyle w:val="style0"/>
        <w:rPr/>
      </w:pPr>
      <w:r>
        <w:rPr>
          <w:b/>
          <w:bCs/>
        </w:rPr>
        <w:t>1. Verbal Communication:</w:t>
      </w:r>
      <w:r>
        <w:t xml:space="preserve"> </w:t>
      </w:r>
      <w:r>
        <w:t>Face-to-face interactions, meetings, and presentations form the backbone of internal communication at M&amp;S. Departmental meetings, for instance, are used to share performance updates, address operational challenges, and clarify strategic priorities. Such direct communication allows for immediate feedback and fosters collaboration. M&amp;S also uses verbal communication in customer-facing roles, where staff interactions influence customer experience and brand perception.</w:t>
      </w:r>
    </w:p>
    <w:p>
      <w:pPr>
        <w:pStyle w:val="style0"/>
        <w:rPr/>
      </w:pPr>
      <w:r>
        <w:rPr>
          <w:b/>
          <w:bCs/>
        </w:rPr>
        <w:t>2. Written Communication:</w:t>
      </w:r>
      <w:r>
        <w:t xml:space="preserve"> </w:t>
      </w:r>
      <w:r>
        <w:t>Written communication remains a cornerstone of business operations, encompassing reports, policies, emails, and corporate announcements. At M&amp;S, written communication is vital for ensuring consistency and clarity, particularly in disseminating strategic information from leadership to employees</w:t>
      </w:r>
      <w:r>
        <w:t xml:space="preserve"> (M</w:t>
      </w:r>
      <w:r>
        <w:t>arksandspencer.com</w:t>
      </w:r>
      <w:r>
        <w:t>, 2025)</w:t>
      </w:r>
      <w:r>
        <w:t>. For example, internal newsletters and policy documents communicate organisational values, sustainability initiatives, and compliance requirements. Written communication also extends externally through press releases, financial reports, and marketing materials, all of which shape stakeholder perceptions.</w:t>
      </w:r>
    </w:p>
    <w:p>
      <w:pPr>
        <w:pStyle w:val="style0"/>
        <w:rPr/>
      </w:pPr>
      <w:r>
        <w:rPr>
          <w:b/>
          <w:bCs/>
        </w:rPr>
        <w:t>3. Digital Communication:</w:t>
      </w:r>
      <w:r>
        <w:t xml:space="preserve"> </w:t>
      </w:r>
      <w:r>
        <w:t>The digital transformation of communication has significantly impacted how M&amp;S operates. Platforms such as Microsoft Teams and internal intranets facilitate real-time collaboration across geographically dispersed teams. These tools enhance efficiency, reduce delays, and support hybrid working models</w:t>
      </w:r>
      <w:r>
        <w:t xml:space="preserve"> (</w:t>
      </w:r>
      <w:r>
        <w:t>Hyun</w:t>
      </w:r>
      <w:r>
        <w:t xml:space="preserve"> et al. 2022)</w:t>
      </w:r>
      <w:r>
        <w:t>. Social media platforms and email marketing campaigns are crucial for engaging customers and promoting new products. Digital channels also enable M&amp;S to gather feedback, respond to customer queries, and build community engagement.</w:t>
      </w:r>
    </w:p>
    <w:p>
      <w:pPr>
        <w:pStyle w:val="style0"/>
        <w:rPr/>
      </w:pPr>
      <w:r>
        <w:rPr>
          <w:b/>
          <w:bCs/>
        </w:rPr>
        <w:t>4. Non-Verbal Communication:</w:t>
      </w:r>
      <w:r>
        <w:t xml:space="preserve"> </w:t>
      </w:r>
      <w:r>
        <w:t>Non-verbal cues, including body language, tone, and visual branding, play a subtle yet powerful role in communication. In customer interactions, employees’ posture, gestures, and expressions influence customer perceptions of service quality. Visual communication, such as store layouts and product displays, conveys brand identity and values without explicit messaging.</w:t>
      </w:r>
    </w:p>
    <w:p>
      <w:pPr>
        <w:pStyle w:val="style0"/>
        <w:rPr/>
      </w:pPr>
      <w:r>
        <w:t>The integration of these communication methods enhances organisational effectiveness. M&amp;S combines them strategically; for example, major organisational changes are communicated through a combination of written announcements, verbal briefings, and digital Q&amp;A sessions to ensure comprehensive understanding</w:t>
      </w:r>
      <w:r>
        <w:t xml:space="preserve"> (M</w:t>
      </w:r>
      <w:r>
        <w:t>arksandspencer.com</w:t>
      </w:r>
      <w:r>
        <w:t>, 2025)</w:t>
      </w:r>
      <w:r>
        <w:t>. This multi-channel approach reflects the growing complexity of business communication and the need to tailor methods to different audiences and contexts. Effective communication not only supports operational efficiency but also contributes to employee engagement, customer satisfaction, and organisational reputation, reinforcing its central role in business success.</w:t>
      </w:r>
    </w:p>
    <w:bookmarkStart w:id="2" w:name="_Toc210399387"/>
    <w:p>
      <w:pPr>
        <w:pStyle w:val="style1"/>
        <w:rPr/>
      </w:pPr>
      <w:r>
        <w:t>Common Issues</w:t>
      </w:r>
      <w:bookmarkEnd w:id="2"/>
      <w:r>
        <w:t xml:space="preserve"> </w:t>
      </w:r>
    </w:p>
    <w:p>
      <w:pPr>
        <w:pStyle w:val="style0"/>
        <w:rPr/>
      </w:pPr>
      <w:r>
        <w:t>Despite the critical importance of communication, businesses frequently encounter challenges that undermine effectiveness. These challenges, if unaddressed, can lead to misinterpretations, reduced productivity, employee disengagement, and reputational damage. Marks &amp; Spencer, like many large multinational organisations, faces several communication issues arising from its complex organisational structure, diverse workforce, and evolving business environment.</w:t>
      </w:r>
    </w:p>
    <w:p>
      <w:pPr>
        <w:pStyle w:val="style0"/>
        <w:rPr/>
      </w:pPr>
      <w:r>
        <w:rPr>
          <w:b/>
          <w:bCs/>
        </w:rPr>
        <w:t>1. Miscommunication and Ambiguity:</w:t>
      </w:r>
      <w:r>
        <w:t xml:space="preserve"> </w:t>
      </w:r>
      <w:r>
        <w:t xml:space="preserve">Miscommunication is a situation that results when messages are misinterpreted or misread, usually through improper use of words, lack of contextual information and incomplete information. The distortion risk is amplified because the decision and order flow passes through the hierarchical structure in a large </w:t>
      </w:r>
      <w:r>
        <w:t>organisation</w:t>
      </w:r>
      <w:r>
        <w:t xml:space="preserve"> such as M&amp;S (Javornik et al. 2021). As an example, this may be the absence of coherence in the internal reporting about changes or new strategic initiatives, resulting in confusion and inconsistent adoption. Miscommunication may also be encountered in customer interaction whereby ambiguous product information or ambiguous marketing notices will influence customer satisfaction and trust.</w:t>
      </w:r>
    </w:p>
    <w:p>
      <w:pPr>
        <w:pStyle w:val="style0"/>
        <w:rPr/>
      </w:pPr>
      <w:r>
        <w:rPr>
          <w:b/>
          <w:bCs/>
        </w:rPr>
        <w:t>2. Cultural and Language Barriers:</w:t>
      </w:r>
      <w:r>
        <w:t xml:space="preserve"> </w:t>
      </w:r>
      <w:r>
        <w:t>M&amp;S exist in different cultural and linguistic contexts as a global retailer with multicultural workforce and global supply chain. The resulting cultural differences in communication style, values, expectations can lead to misunderstanding and conflict. As an example, UK communication rules might not be the same as sourcing markets like India or China and, thus, impact negotiations and cooperation (Damaj et al. 2021)</w:t>
      </w:r>
      <w:r>
        <w:t>. Internally, multicultural teams may struggle with varying interpretations of tone, formality, or feedback, leading to misalignment and reduced team cohesion.</w:t>
      </w:r>
    </w:p>
    <w:p>
      <w:pPr>
        <w:pStyle w:val="style0"/>
        <w:rPr/>
      </w:pPr>
      <w:r>
        <w:rPr>
          <w:b/>
          <w:bCs/>
        </w:rPr>
        <w:t>3. Information Overload:</w:t>
      </w:r>
      <w:r>
        <w:t xml:space="preserve"> </w:t>
      </w:r>
      <w:r>
        <w:t xml:space="preserve">The </w:t>
      </w:r>
      <w:r>
        <w:t>digitalisation</w:t>
      </w:r>
      <w:r>
        <w:t xml:space="preserve"> of communication, while enhancing speed and reach, has introduced the problem of information overload. Employees at M&amp;S receive large volumes of emails, notifications, and updates daily, which can reduce attention and hinder decision-making. Excessive communication can lead to important messages being overlooked or ignored, impacting operational efficiency</w:t>
      </w:r>
      <w:r>
        <w:t xml:space="preserve"> (</w:t>
      </w:r>
      <w:r>
        <w:t>Kim,</w:t>
      </w:r>
      <w:r>
        <w:t xml:space="preserve"> </w:t>
      </w:r>
      <w:r>
        <w:t>2022</w:t>
      </w:r>
      <w:r>
        <w:t>)</w:t>
      </w:r>
      <w:r>
        <w:t>. Information overload is particularly challenging during periods of organisational change, such as the rollout of new digital platforms or restructuring initiatives, where critical messages risk being lost amid competing communications.</w:t>
      </w:r>
    </w:p>
    <w:p>
      <w:pPr>
        <w:pStyle w:val="style0"/>
        <w:rPr/>
      </w:pPr>
      <w:r>
        <w:rPr>
          <w:b/>
          <w:bCs/>
        </w:rPr>
        <w:t>4. Resistance to Change and Technological Barriers:</w:t>
      </w:r>
      <w:r>
        <w:t xml:space="preserve"> </w:t>
      </w:r>
      <w:r>
        <w:t>The shift towards digital communication tools, although necessary, can be met with resistance, particularly among employees accustomed to traditional methods. At M&amp;S, the adoption of collaborative platforms such as Microsoft Teams required significant training and change management efforts. Some employees initially struggled to adapt, resulting in inconsistent usage and reduced communication efficiency</w:t>
      </w:r>
      <w:r>
        <w:t xml:space="preserve"> (</w:t>
      </w:r>
      <w:r>
        <w:t>Calza</w:t>
      </w:r>
      <w:r>
        <w:t xml:space="preserve"> </w:t>
      </w:r>
      <w:r>
        <w:t>Sorrentino</w:t>
      </w:r>
      <w:r>
        <w:t xml:space="preserve"> </w:t>
      </w:r>
      <w:r>
        <w:t xml:space="preserve">and </w:t>
      </w:r>
      <w:r>
        <w:t>Tutore</w:t>
      </w:r>
      <w:r>
        <w:t>, 2023</w:t>
      </w:r>
      <w:r>
        <w:t>)</w:t>
      </w:r>
      <w:r>
        <w:t>. Furthermore, technical issues, such as connectivity problems or lack of digital literacy, can impede effective communication, particularly in remote or hybrid work settings.</w:t>
      </w:r>
    </w:p>
    <w:p>
      <w:pPr>
        <w:pStyle w:val="style0"/>
        <w:rPr/>
      </w:pPr>
      <w:r>
        <w:rPr>
          <w:b/>
          <w:bCs/>
        </w:rPr>
        <w:t>5. Hierarchical Barriers and Lack of Feedback Loops:</w:t>
      </w:r>
      <w:r>
        <w:t xml:space="preserve"> </w:t>
      </w:r>
      <w:r>
        <w:t>Organisational</w:t>
      </w:r>
      <w:r>
        <w:t xml:space="preserve"> hierarchies can also contribute to the lack of transparency in communication. The perceived power relationship can also imply that employees are reluctant to share feedback or raise concerns in future. This has sometimes led to a lack of responsiveness to emerging issues in M&amp;S because front line employees who have the most direct problems with customers do not necessarily have the authority to get their issue to the appropriate individuals. This suppresses innovation and constant improvement as the flow of ideas is also hampered by minimal feedback loops.</w:t>
      </w:r>
    </w:p>
    <w:p>
      <w:pPr>
        <w:pStyle w:val="style0"/>
        <w:rPr/>
      </w:pPr>
      <w:r>
        <w:rPr>
          <w:noProof/>
        </w:rPr>
        <w:drawing>
          <wp:inline distL="0" distT="0" distB="0" distR="0">
            <wp:extent cx="5762625" cy="1613042"/>
            <wp:effectExtent l="76200" t="76200" r="123825" b="13970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762625" cy="1613042"/>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1: Common Issues</w:t>
      </w:r>
      <w:r>
        <w:rPr>
          <w:b/>
          <w:bCs/>
        </w:rPr>
        <w:t xml:space="preserve"> at M&amp;S</w:t>
      </w:r>
    </w:p>
    <w:p>
      <w:pPr>
        <w:pStyle w:val="style0"/>
        <w:jc w:val="center"/>
        <w:rPr/>
      </w:pPr>
      <w:r>
        <w:t>(Source: Self-Created)</w:t>
      </w:r>
    </w:p>
    <w:p>
      <w:pPr>
        <w:pStyle w:val="style0"/>
        <w:rPr/>
      </w:pPr>
      <w:r>
        <w:t xml:space="preserve">These communication challenges replicate the broader patterns in the new </w:t>
      </w:r>
      <w:r>
        <w:t>organisations</w:t>
      </w:r>
      <w:r>
        <w:t xml:space="preserve"> and indicate the need </w:t>
      </w:r>
      <w:r>
        <w:t>for</w:t>
      </w:r>
      <w:r>
        <w:t xml:space="preserve"> proactive approaches. They highlight </w:t>
      </w:r>
      <w:r>
        <w:t>the difficulty</w:t>
      </w:r>
      <w:r>
        <w:t xml:space="preserve"> of remaining transparent, inclusive, and involving in a fast-paced business. The issues are crucial in fostering a degree of efficiency not just in the efficacy of the operation but also in the sustainability of employee morale, client confidence and </w:t>
      </w:r>
      <w:r>
        <w:t>organisational</w:t>
      </w:r>
      <w:r>
        <w:t xml:space="preserve"> resilience.</w:t>
      </w:r>
    </w:p>
    <w:bookmarkStart w:id="3" w:name="_Toc210399388"/>
    <w:p>
      <w:pPr>
        <w:pStyle w:val="style1"/>
        <w:rPr/>
      </w:pPr>
      <w:r>
        <w:t>Recommendations</w:t>
      </w:r>
      <w:bookmarkEnd w:id="3"/>
      <w:r>
        <w:t xml:space="preserve"> </w:t>
      </w:r>
    </w:p>
    <w:p>
      <w:pPr>
        <w:pStyle w:val="style0"/>
        <w:rPr/>
      </w:pPr>
      <w:r>
        <w:t xml:space="preserve">To address the communication problem positively, </w:t>
      </w:r>
      <w:r>
        <w:t>organisations</w:t>
      </w:r>
      <w:r>
        <w:t xml:space="preserve"> such as M&amp;S must adopt a </w:t>
      </w:r>
      <w:r>
        <w:t>multi-dimensional</w:t>
      </w:r>
      <w:r>
        <w:t xml:space="preserve"> dimension that enhances transparency, inclusion, and participation in any process touching on communications.</w:t>
      </w:r>
      <w:r>
        <w:t xml:space="preserve"> </w:t>
      </w:r>
    </w:p>
    <w:p>
      <w:pPr>
        <w:pStyle w:val="style0"/>
        <w:rPr/>
      </w:pPr>
      <w:r>
        <w:rPr>
          <w:b/>
          <w:bCs/>
          <w:i/>
          <w:iCs/>
        </w:rPr>
        <w:t>Firstly,</w:t>
      </w:r>
      <w:r>
        <w:t xml:space="preserve"> </w:t>
      </w:r>
      <w:r>
        <w:t xml:space="preserve">the implementation of the </w:t>
      </w:r>
      <w:r>
        <w:t>organised</w:t>
      </w:r>
      <w:r>
        <w:t xml:space="preserve"> communication plans, such as </w:t>
      </w:r>
      <w:r>
        <w:t>standardised</w:t>
      </w:r>
      <w:r>
        <w:t xml:space="preserve"> templates and adequate channels of escalation, can potentially assist in eliminating the uncertainties and ensuring continuity in communication across the hierarchical levels (Kim, 2022).</w:t>
      </w:r>
    </w:p>
    <w:p>
      <w:pPr>
        <w:pStyle w:val="style0"/>
        <w:rPr/>
      </w:pPr>
      <w:r>
        <w:rPr>
          <w:b/>
          <w:bCs/>
          <w:i/>
          <w:iCs/>
        </w:rPr>
        <w:t>Secondly,</w:t>
      </w:r>
      <w:r>
        <w:t xml:space="preserve"> </w:t>
      </w:r>
      <w:r>
        <w:t>c</w:t>
      </w:r>
      <w:r>
        <w:t>ultural intelligence could be realized through training on cross-cultural communication that could perhaps assist the employees in working under various styles of communication and reduce misunderstanding when working in the global operation.</w:t>
      </w:r>
    </w:p>
    <w:p>
      <w:pPr>
        <w:pStyle w:val="style0"/>
        <w:rPr/>
      </w:pPr>
      <w:r>
        <w:t>Priority messages, and simplification of internal communications such as summarization of messages in weekly digests are some of the communication policies that M&amp;S can adopt to contain the information overload. The introduction of a feedback-oriented culture through anonymous surveys, open forums, and feedback sessions can promote open communication channels and resultant hierarchical differences (</w:t>
      </w:r>
      <w:r>
        <w:t>Benzidia</w:t>
      </w:r>
      <w:r>
        <w:t>, Luca and Boiko, 2021). Additionally, widespread digital literacy training and technical assistance will ease the transition to new communication media, which will become more valid and effective.</w:t>
      </w:r>
    </w:p>
    <w:p>
      <w:pPr>
        <w:pStyle w:val="style0"/>
        <w:rPr/>
      </w:pPr>
      <w:r>
        <w:rPr>
          <w:b/>
          <w:bCs/>
          <w:i/>
          <w:iCs/>
        </w:rPr>
        <w:t>Finally</w:t>
      </w:r>
      <w:r>
        <w:t xml:space="preserve">, </w:t>
      </w:r>
      <w:r>
        <w:t xml:space="preserve">the integration of communication channels, both virtual and real, renders the process available and makes </w:t>
      </w:r>
      <w:r>
        <w:t>understanding</w:t>
      </w:r>
      <w:r>
        <w:t xml:space="preserve"> easy to achieve. </w:t>
      </w:r>
      <w:r>
        <w:t>These suggestions will guide M&amp;S in its way of improving its communication process, staff relationship, customer relationship, and competitive advantages within a competitive business environment.</w:t>
      </w:r>
    </w:p>
    <w:bookmarkStart w:id="4" w:name="_Toc210399389"/>
    <w:p>
      <w:pPr>
        <w:pStyle w:val="style1"/>
        <w:rPr/>
      </w:pPr>
      <w:r>
        <w:t>Conclusion</w:t>
      </w:r>
      <w:bookmarkEnd w:id="4"/>
      <w:r>
        <w:t xml:space="preserve"> </w:t>
      </w:r>
    </w:p>
    <w:p>
      <w:pPr>
        <w:pStyle w:val="style0"/>
        <w:rPr/>
      </w:pPr>
      <w:r>
        <w:t xml:space="preserve">One of the fundamental areas of </w:t>
      </w:r>
      <w:r>
        <w:t>organisational</w:t>
      </w:r>
      <w:r>
        <w:t xml:space="preserve"> performance that determine how </w:t>
      </w:r>
      <w:r>
        <w:t>organisations</w:t>
      </w:r>
      <w:r>
        <w:t xml:space="preserve"> </w:t>
      </w:r>
      <w:r>
        <w:t>organise</w:t>
      </w:r>
      <w:r>
        <w:t xml:space="preserve"> their operations, how </w:t>
      </w:r>
      <w:r>
        <w:t>organisations</w:t>
      </w:r>
      <w:r>
        <w:t xml:space="preserve"> relate with stakeholders and how </w:t>
      </w:r>
      <w:r>
        <w:t>organisations</w:t>
      </w:r>
      <w:r>
        <w:t xml:space="preserve"> attain strategic objectives is communication. The report has expressed the fact that </w:t>
      </w:r>
      <w:r>
        <w:t>communication</w:t>
      </w:r>
      <w:r>
        <w:t xml:space="preserve"> is </w:t>
      </w:r>
      <w:r>
        <w:t>situational,</w:t>
      </w:r>
      <w:r>
        <w:t xml:space="preserve"> and it can have many forms and shapes; verbal, written, digital and non-verbal- which are the pillars of business performance as it is in the case of Marks and Spencer. </w:t>
      </w:r>
      <w:r>
        <w:t xml:space="preserve">It has also incarcerated some of the most salient challenges such as poor communication, culture, information overload, technology and hierarchy resistance that can bring down an </w:t>
      </w:r>
      <w:r>
        <w:t>organisation</w:t>
      </w:r>
      <w:r>
        <w:t>.</w:t>
      </w:r>
      <w:r>
        <w:t xml:space="preserve"> </w:t>
      </w:r>
      <w:r>
        <w:t xml:space="preserve">Formal communication practices, cultural competency, terse communication, inclusive feedback systems, and development of digital capability can be emphasized with the help of the above guidelines. Lastly, there is functional and strategic communication. The strategy of centering on being clear, inclusive and engaging will enable </w:t>
      </w:r>
      <w:r>
        <w:t>organisations</w:t>
      </w:r>
      <w:r>
        <w:t xml:space="preserve"> such as M&amp;S to become a team and enhance stakeholder relations and future performance success in a </w:t>
      </w:r>
      <w:r>
        <w:t>fast-changing</w:t>
      </w:r>
      <w:r>
        <w:t xml:space="preserve"> business environment that is dynamic.</w:t>
      </w:r>
    </w:p>
    <w:p>
      <w:pPr>
        <w:pStyle w:val="style0"/>
        <w:spacing w:lineRule="auto" w:line="278"/>
        <w:jc w:val="left"/>
        <w:rPr/>
      </w:pPr>
      <w:r>
        <w:br w:type="page"/>
      </w:r>
    </w:p>
    <w:p>
      <w:pPr>
        <w:pStyle w:val="style1"/>
        <w:rPr/>
      </w:pPr>
      <w:r>
        <w:t>References</w:t>
      </w:r>
    </w:p>
    <w:bookmarkStart w:id="5" w:name="_Hlk193102830"/>
    <w:p>
      <w:pPr>
        <w:pStyle w:val="style0"/>
        <w:rPr/>
      </w:pPr>
      <w:r>
        <w:t>Benzidia</w:t>
      </w:r>
      <w:r>
        <w:t>, S., Luca, R.M. and Boiko, S., 2021. Disruptive innovation, business models, and encroachment strategies: Buyer's perspective on electric and hybrid vehicle technology. </w:t>
      </w:r>
      <w:r>
        <w:rPr>
          <w:i/>
          <w:iCs/>
        </w:rPr>
        <w:t>Technological Forecasting and Social Change</w:t>
      </w:r>
      <w:r>
        <w:t>, </w:t>
      </w:r>
      <w:r>
        <w:rPr>
          <w:i/>
          <w:iCs/>
        </w:rPr>
        <w:t>165</w:t>
      </w:r>
      <w:r>
        <w:t>, p.120520.</w:t>
      </w:r>
      <w:r>
        <w:t xml:space="preserve">  </w:t>
      </w:r>
      <w:bookmarkEnd w:id="5"/>
    </w:p>
    <w:p>
      <w:pPr>
        <w:pStyle w:val="style0"/>
        <w:rPr/>
      </w:pPr>
      <w:r>
        <w:t>Calza</w:t>
      </w:r>
      <w:r>
        <w:t xml:space="preserve">, F., Sorrentino, A. and </w:t>
      </w:r>
      <w:r>
        <w:t>Tutore</w:t>
      </w:r>
      <w:r>
        <w:t>, I., 2023. Combining corporate environmental sustainability and customer experience management to build an integrated model for decision-making. </w:t>
      </w:r>
      <w:r>
        <w:rPr>
          <w:i/>
          <w:iCs/>
        </w:rPr>
        <w:t>Management Decision</w:t>
      </w:r>
      <w:r>
        <w:t>, </w:t>
      </w:r>
      <w:r>
        <w:rPr>
          <w:i/>
          <w:iCs/>
        </w:rPr>
        <w:t>61</w:t>
      </w:r>
      <w:r>
        <w:t>(13), pp.54-84.</w:t>
      </w:r>
      <w:r>
        <w:t xml:space="preserve">  </w:t>
      </w:r>
    </w:p>
    <w:p>
      <w:pPr>
        <w:pStyle w:val="style0"/>
        <w:rPr/>
      </w:pPr>
      <w:r>
        <w:t xml:space="preserve">Damaj, I.W., Serhal, D.K., </w:t>
      </w:r>
      <w:r>
        <w:t>Hamandi</w:t>
      </w:r>
      <w:r>
        <w:t xml:space="preserve">, L.A., </w:t>
      </w:r>
      <w:r>
        <w:t>Zantout</w:t>
      </w:r>
      <w:r>
        <w:t xml:space="preserve">, R.N. and </w:t>
      </w:r>
      <w:r>
        <w:t>Mouftah</w:t>
      </w:r>
      <w:r>
        <w:t>, H.T., 2021. Connected and autonomous electric vehicles: Quality of experience survey and taxonomy. </w:t>
      </w:r>
      <w:r>
        <w:rPr>
          <w:i/>
          <w:iCs/>
        </w:rPr>
        <w:t>Vehicular Communications</w:t>
      </w:r>
      <w:r>
        <w:t>, </w:t>
      </w:r>
      <w:r>
        <w:rPr>
          <w:i/>
          <w:iCs/>
        </w:rPr>
        <w:t>28</w:t>
      </w:r>
      <w:r>
        <w:t>, p.100312.</w:t>
      </w:r>
      <w:r>
        <w:t xml:space="preserve">  </w:t>
      </w:r>
    </w:p>
    <w:bookmarkStart w:id="6" w:name="_Hlk188101802"/>
    <w:p>
      <w:pPr>
        <w:pStyle w:val="style0"/>
        <w:rPr/>
      </w:pPr>
      <w:r>
        <w:t>Hyun, H., Park, J., Hawkins, M.A. and Kim, D., 2022. How luxury brands build customer-based brand equity through phygital experience. </w:t>
      </w:r>
      <w:r>
        <w:rPr>
          <w:i/>
          <w:iCs/>
        </w:rPr>
        <w:t>Journal of Strategic Marketing</w:t>
      </w:r>
      <w:r>
        <w:t>, pp.1-25.</w:t>
      </w:r>
      <w:r>
        <w:t xml:space="preserve"> </w:t>
      </w:r>
    </w:p>
    <w:p>
      <w:pPr>
        <w:pStyle w:val="style0"/>
        <w:rPr/>
      </w:pPr>
      <w:r>
        <w:t xml:space="preserve">Jami Pour, M., Hosseinzadeh, M. and </w:t>
      </w:r>
      <w:r>
        <w:t>Amoozad</w:t>
      </w:r>
      <w:r>
        <w:t xml:space="preserve"> Mahdiraji, H., 2021. Exploring and evaluating success factors of social media marketing strategy: a multi-dimensional-multi-criteria framework. </w:t>
      </w:r>
      <w:r>
        <w:rPr>
          <w:i/>
          <w:iCs/>
        </w:rPr>
        <w:t>foresight</w:t>
      </w:r>
      <w:r>
        <w:t>, </w:t>
      </w:r>
      <w:r>
        <w:rPr>
          <w:i/>
          <w:iCs/>
        </w:rPr>
        <w:t>23</w:t>
      </w:r>
      <w:r>
        <w:t>(6), pp.655-678.</w:t>
      </w:r>
      <w:r>
        <w:t xml:space="preserve"> </w:t>
      </w:r>
      <w:bookmarkEnd w:id="6"/>
    </w:p>
    <w:p>
      <w:pPr>
        <w:pStyle w:val="style0"/>
        <w:rPr/>
      </w:pPr>
      <w:r>
        <w:t>Javornik, A., Duffy, K., Rokka, J., Scholz, J., Nobbs, K., Motala, A. and Goldenberg, A., 2021. Strategic approaches to augmented reality deployment by luxury brands. </w:t>
      </w:r>
      <w:r>
        <w:rPr>
          <w:i/>
          <w:iCs/>
        </w:rPr>
        <w:t>Journal of Business Research</w:t>
      </w:r>
      <w:r>
        <w:t>, </w:t>
      </w:r>
      <w:r>
        <w:rPr>
          <w:i/>
          <w:iCs/>
        </w:rPr>
        <w:t>136</w:t>
      </w:r>
      <w:r>
        <w:t>, pp.284-292</w:t>
      </w:r>
    </w:p>
    <w:p>
      <w:pPr>
        <w:pStyle w:val="style0"/>
        <w:rPr/>
      </w:pPr>
      <w:r>
        <w:t>Kim, S., 2022. Critical success factors evaluation by multi-criteria decision-making: a strategic information system planning and strategy-as-practice perspective. </w:t>
      </w:r>
      <w:r>
        <w:rPr>
          <w:i/>
          <w:iCs/>
        </w:rPr>
        <w:t>Information</w:t>
      </w:r>
      <w:r>
        <w:t>, </w:t>
      </w:r>
      <w:r>
        <w:rPr>
          <w:i/>
          <w:iCs/>
        </w:rPr>
        <w:t>13</w:t>
      </w:r>
      <w:r>
        <w:t>(6), p.270.</w:t>
      </w:r>
      <w:r>
        <w:t xml:space="preserve"> </w:t>
      </w:r>
    </w:p>
    <w:bookmarkStart w:id="7" w:name="_Hlk210399945"/>
    <w:p>
      <w:pPr>
        <w:pStyle w:val="style0"/>
        <w:rPr/>
      </w:pPr>
      <w:r>
        <w:t>M</w:t>
      </w:r>
      <w:r>
        <w:t>arksandspencer.com</w:t>
      </w:r>
      <w:r>
        <w:t>, 2025</w:t>
      </w:r>
      <w:bookmarkEnd w:id="7"/>
      <w:r>
        <w:t xml:space="preserve">. </w:t>
      </w:r>
      <w:r>
        <w:rPr>
          <w:i/>
          <w:iCs/>
        </w:rPr>
        <w:t>Home.</w:t>
      </w:r>
      <w:r>
        <w:t xml:space="preserve"> Available at: </w:t>
      </w:r>
      <w:r>
        <w:rPr/>
        <w:fldChar w:fldCharType="begin"/>
      </w:r>
      <w:r>
        <w:instrText xml:space="preserve"> HYPERLINK "https://www.marksandspencer.com/aog/home_1" </w:instrText>
      </w:r>
      <w:r>
        <w:rPr/>
        <w:fldChar w:fldCharType="separate"/>
      </w:r>
      <w:r>
        <w:rPr>
          <w:rStyle w:val="style85"/>
        </w:rPr>
        <w:t>https://www.marksandspencer.com/aog/home_1</w:t>
      </w:r>
      <w:r>
        <w:rPr/>
        <w:fldChar w:fldCharType="end"/>
      </w:r>
      <w:r>
        <w:t xml:space="preserve"> [Accessed on: 3.10.25]</w:t>
      </w:r>
    </w:p>
    <w:sectPr>
      <w:footerReference w:type="default" r:id="rId4"/>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1A86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360"/>
      <w:jc w:val="both"/>
    </w:pPr>
    <w:rPr>
      <w:rFonts w:ascii="Times New Roman" w:hAnsi="Times New Roman"/>
      <w:color w:val="000000"/>
    </w:rPr>
  </w:style>
  <w:style w:type="paragraph" w:styleId="style1">
    <w:name w:val="heading 1"/>
    <w:basedOn w:val="style0"/>
    <w:next w:val="style0"/>
    <w:link w:val="style4097"/>
    <w:qFormat/>
    <w:uiPriority w:val="9"/>
    <w:pPr>
      <w:keepNext/>
      <w:keepLines/>
      <w:spacing w:before="360" w:after="80"/>
      <w:outlineLvl w:val="0"/>
    </w:pPr>
    <w:rPr>
      <w:rFonts w:cs="宋体" w:eastAsia="宋体"/>
      <w:b/>
      <w:sz w:val="28"/>
      <w:szCs w:val="40"/>
    </w:rPr>
  </w:style>
  <w:style w:type="paragraph" w:styleId="style2">
    <w:name w:val="heading 2"/>
    <w:basedOn w:val="style0"/>
    <w:next w:val="style0"/>
    <w:link w:val="style4098"/>
    <w:qFormat/>
    <w:uiPriority w:val="9"/>
    <w:pPr>
      <w:keepNext/>
      <w:keepLines/>
      <w:spacing w:before="160" w:after="80" w:lineRule="auto" w:line="480"/>
      <w:jc w:val="left"/>
      <w:outlineLvl w:val="1"/>
    </w:pPr>
    <w:rPr>
      <w:rFonts w:cs="宋体" w:eastAsia="宋体"/>
      <w:b/>
      <w:szCs w:val="32"/>
    </w:rPr>
  </w:style>
  <w:style w:type="paragraph" w:styleId="style3">
    <w:name w:val="heading 3"/>
    <w:basedOn w:val="style0"/>
    <w:next w:val="style0"/>
    <w:link w:val="style4099"/>
    <w:qFormat/>
    <w:uiPriority w:val="9"/>
    <w:pPr>
      <w:keepNext/>
      <w:keepLines/>
      <w:spacing w:before="160" w:after="80"/>
      <w:outlineLvl w:val="2"/>
    </w:pPr>
    <w:rPr>
      <w:rFonts w:ascii="Calibri" w:cs="宋体" w:eastAsia="宋体" w:hAnsi="Calibri"/>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ascii="Calibri" w:cs="宋体" w:eastAsia="宋体" w:hAnsi="Calibri"/>
      <w:i/>
      <w:iCs/>
      <w:color w:val="2f5496"/>
    </w:rPr>
  </w:style>
  <w:style w:type="paragraph" w:styleId="style5">
    <w:name w:val="heading 5"/>
    <w:basedOn w:val="style0"/>
    <w:next w:val="style0"/>
    <w:link w:val="style4101"/>
    <w:qFormat/>
    <w:uiPriority w:val="9"/>
    <w:pPr>
      <w:keepNext/>
      <w:keepLines/>
      <w:spacing w:before="80" w:after="40"/>
      <w:outlineLvl w:val="4"/>
    </w:pPr>
    <w:rPr>
      <w:rFonts w:ascii="Calibri" w:cs="宋体"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4"/>
    <w:qFormat/>
    <w:uiPriority w:val="9"/>
    <w:pPr>
      <w:keepNext/>
      <w:keepLines/>
      <w:spacing w:after="0"/>
      <w:outlineLvl w:val="7"/>
    </w:pPr>
    <w:rPr>
      <w:rFonts w:ascii="Calibri" w:cs="宋体" w:eastAsia="宋体" w:hAnsi="Calibri"/>
      <w:i/>
      <w:iCs/>
      <w:color w:val="272727"/>
    </w:rPr>
  </w:style>
  <w:style w:type="paragraph" w:styleId="style9">
    <w:name w:val="heading 9"/>
    <w:basedOn w:val="style0"/>
    <w:next w:val="style0"/>
    <w:link w:val="style4105"/>
    <w:qFormat/>
    <w:uiPriority w:val="9"/>
    <w:pPr>
      <w:keepNext/>
      <w:keepLines/>
      <w:spacing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53f57b17-5190-49f2-af96-ace0f679664a"/>
    <w:basedOn w:val="style65"/>
    <w:next w:val="style4097"/>
    <w:link w:val="style1"/>
    <w:uiPriority w:val="9"/>
    <w:rPr>
      <w:rFonts w:ascii="Times New Roman" w:cs="宋体" w:eastAsia="宋体" w:hAnsi="Times New Roman"/>
      <w:b/>
      <w:color w:val="000000"/>
      <w:sz w:val="28"/>
      <w:szCs w:val="40"/>
    </w:rPr>
  </w:style>
  <w:style w:type="character" w:customStyle="1" w:styleId="style4098">
    <w:name w:val="Heading 2 Char_e9460b2b-aae8-48db-9b43-a8b7b96c3520"/>
    <w:basedOn w:val="style65"/>
    <w:next w:val="style4098"/>
    <w:link w:val="style2"/>
    <w:uiPriority w:val="9"/>
    <w:rPr>
      <w:rFonts w:ascii="Times New Roman" w:cs="宋体" w:eastAsia="宋体" w:hAnsi="Times New Roman"/>
      <w:b/>
      <w:color w:val="000000"/>
      <w:szCs w:val="32"/>
    </w:rPr>
  </w:style>
  <w:style w:type="character" w:customStyle="1" w:styleId="style4099">
    <w:name w:val="Heading 3 Char_a4c25337-e2be-40d9-b4bf-5694ccbb0e2f"/>
    <w:basedOn w:val="style65"/>
    <w:next w:val="style4099"/>
    <w:link w:val="style3"/>
    <w:uiPriority w:val="9"/>
    <w:rPr>
      <w:rFonts w:cs="宋体" w:eastAsia="宋体"/>
      <w:color w:val="2f5496"/>
      <w:sz w:val="28"/>
      <w:szCs w:val="28"/>
    </w:rPr>
  </w:style>
  <w:style w:type="character" w:customStyle="1" w:styleId="style4100">
    <w:name w:val="Heading 4 Char_0906c6d9-8e85-4cc2-9fc0-689735a75d59"/>
    <w:basedOn w:val="style65"/>
    <w:next w:val="style4100"/>
    <w:link w:val="style4"/>
    <w:uiPriority w:val="9"/>
    <w:rPr>
      <w:rFonts w:cs="宋体" w:eastAsia="宋体"/>
      <w:i/>
      <w:iCs/>
      <w:color w:val="2f5496"/>
    </w:rPr>
  </w:style>
  <w:style w:type="character" w:customStyle="1" w:styleId="style4101">
    <w:name w:val="Heading 5 Char_a9aa5ce8-4c27-4a18-a4d5-04214339b3e9"/>
    <w:basedOn w:val="style65"/>
    <w:next w:val="style4101"/>
    <w:link w:val="style5"/>
    <w:uiPriority w:val="9"/>
    <w:rPr>
      <w:rFonts w:cs="宋体" w:eastAsia="宋体"/>
      <w:color w:val="2f5496"/>
    </w:rPr>
  </w:style>
  <w:style w:type="character" w:customStyle="1" w:styleId="style4102">
    <w:name w:val="Heading 6 Char_168faf8b-1e77-44d9-a8b7-048f787e7fa7"/>
    <w:basedOn w:val="style65"/>
    <w:next w:val="style4102"/>
    <w:link w:val="style6"/>
    <w:uiPriority w:val="9"/>
    <w:rPr>
      <w:rFonts w:cs="宋体" w:eastAsia="宋体"/>
      <w:i/>
      <w:iCs/>
      <w:color w:val="595959"/>
    </w:rPr>
  </w:style>
  <w:style w:type="character" w:customStyle="1" w:styleId="style4103">
    <w:name w:val="Heading 7 Char_18231015-1191-4b3f-adba-29a560faf832"/>
    <w:basedOn w:val="style65"/>
    <w:next w:val="style4103"/>
    <w:link w:val="style7"/>
    <w:uiPriority w:val="9"/>
    <w:rPr>
      <w:rFonts w:cs="宋体" w:eastAsia="宋体"/>
      <w:color w:val="595959"/>
    </w:rPr>
  </w:style>
  <w:style w:type="character" w:customStyle="1" w:styleId="style4104">
    <w:name w:val="Heading 8 Char_7b738ef8-ec77-4279-8e43-bc54420b7e27"/>
    <w:basedOn w:val="style65"/>
    <w:next w:val="style4104"/>
    <w:link w:val="style8"/>
    <w:uiPriority w:val="9"/>
    <w:rPr>
      <w:rFonts w:cs="宋体" w:eastAsia="宋体"/>
      <w:i/>
      <w:iCs/>
      <w:color w:val="272727"/>
    </w:rPr>
  </w:style>
  <w:style w:type="character" w:customStyle="1" w:styleId="style4105">
    <w:name w:val="Heading 9 Char_1a1501dd-0237-491e-a86c-46cdc73f0351"/>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contextualSpacing/>
    </w:pPr>
    <w:rPr>
      <w:rFonts w:ascii="Calibri Light" w:cs="宋体" w:eastAsia="宋体" w:hAnsi="Calibri Light"/>
      <w:color w:val="auto"/>
      <w:spacing w:val="-10"/>
      <w:kern w:val="28"/>
      <w:sz w:val="56"/>
      <w:szCs w:val="56"/>
    </w:rPr>
  </w:style>
  <w:style w:type="character" w:customStyle="1" w:styleId="style4106">
    <w:name w:val="Title Char_ea56224c-fae4-4cac-9aaf-aa457e6ba4b0"/>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ascii="Calibri" w:cs="宋体" w:eastAsia="宋体" w:hAnsi="Calibri"/>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6a2e990a-eb1f-4951-a2af-193ad2d909e5"/>
    <w:basedOn w:val="style65"/>
    <w:next w:val="style4108"/>
    <w:link w:val="style180"/>
    <w:uiPriority w:val="29"/>
    <w:rPr>
      <w:rFonts w:ascii="Times New Roman" w:hAnsi="Times New Roman"/>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c1c7dc70-c7bf-4dc9-b4ab-8c8f61d435f2"/>
    <w:basedOn w:val="style65"/>
    <w:next w:val="style4109"/>
    <w:link w:val="style181"/>
    <w:uiPriority w:val="30"/>
    <w:rPr>
      <w:rFonts w:ascii="Times New Roman" w:hAnsi="Times New Roman"/>
      <w:i/>
      <w:iCs/>
      <w:color w:val="2f5496"/>
    </w:rPr>
  </w:style>
  <w:style w:type="character" w:styleId="style263">
    <w:name w:val="Intense Reference"/>
    <w:basedOn w:val="style65"/>
    <w:next w:val="style263"/>
    <w:qFormat/>
    <w:uiPriority w:val="32"/>
    <w:rPr>
      <w:b/>
      <w:bCs/>
      <w:smallCaps/>
      <w:color w:val="2f5496"/>
      <w:spacing w:val="5"/>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e7bda2c7-22e1-4253-879a-7d09de4c3a35"/>
    <w:basedOn w:val="style65"/>
    <w:next w:val="style4110"/>
    <w:link w:val="style31"/>
    <w:uiPriority w:val="99"/>
    <w:rPr>
      <w:rFonts w:ascii="Times New Roman" w:hAnsi="Times New Roman"/>
      <w:color w:val="000000"/>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3edf1571-0488-4fe4-aa83-7e28e52f4347"/>
    <w:basedOn w:val="style65"/>
    <w:next w:val="style4111"/>
    <w:link w:val="style32"/>
    <w:uiPriority w:val="99"/>
    <w:rPr>
      <w:rFonts w:ascii="Times New Roman" w:hAnsi="Times New Roman"/>
      <w:color w:val="000000"/>
    </w:rPr>
  </w:style>
  <w:style w:type="paragraph" w:styleId="style266">
    <w:name w:val="TOC Heading"/>
    <w:basedOn w:val="style1"/>
    <w:next w:val="style0"/>
    <w:qFormat/>
    <w:uiPriority w:val="39"/>
    <w:pPr>
      <w:spacing w:before="240" w:after="0" w:lineRule="auto" w:line="259"/>
      <w:jc w:val="left"/>
      <w:outlineLvl w:val="9"/>
    </w:pPr>
    <w:rPr>
      <w:rFonts w:ascii="Calibri Light" w:hAnsi="Calibri Light"/>
      <w:b w:val="false"/>
      <w:color w:val="2f5496"/>
      <w:kern w:val="0"/>
      <w:sz w:val="32"/>
      <w:szCs w:val="32"/>
      <w14:ligatures xmlns:w14="http://schemas.microsoft.com/office/word/2010/wordml" w14:val="none"/>
    </w:rPr>
  </w:style>
  <w:style w:type="paragraph" w:styleId="style20">
    <w:name w:val="toc 2"/>
    <w:basedOn w:val="style0"/>
    <w:next w:val="style0"/>
    <w:uiPriority w:val="39"/>
    <w:pPr>
      <w:spacing w:after="100"/>
      <w:ind w:left="240"/>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character" w:customStyle="1" w:styleId="style4112">
    <w:name w:val="Unresolved Mention"/>
    <w:basedOn w:val="style65"/>
    <w:next w:val="style4112"/>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0EF3D-4FE7-4AC9-9024-6C918F41C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Words>2113</Words>
  <Pages>11</Pages>
  <Characters>13888</Characters>
  <Application>WPS Office</Application>
  <DocSecurity>0</DocSecurity>
  <Paragraphs>97</Paragraphs>
  <ScaleCrop>false</ScaleCrop>
  <LinksUpToDate>false</LinksUpToDate>
  <CharactersWithSpaces>15947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2025-10-03T10:17:00Z</dcterms:created>
  <dc:creator>User</dc:creator>
  <lastModifiedBy>RMX3660</lastModifiedBy>
  <dcterms:modified xsi:type="dcterms:W3CDTF">2025-10-18T13:19:06Z</dcterms:modified>
  <revision>147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eecab4afd0414fabbd806829070bd003</vt:lpwstr>
  </property>
</Properties>
</file>