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FC131D" w14:textId="77777777" w:rsidR="00582AED" w:rsidRDefault="00582AED">
      <w:pPr>
        <w:jc w:val="center"/>
        <w:rPr>
          <w:b/>
          <w:sz w:val="40"/>
          <w:szCs w:val="40"/>
        </w:rPr>
      </w:pPr>
      <w:bookmarkStart w:id="0" w:name="_heading=h.gjdgxs" w:colFirst="0" w:colLast="0"/>
      <w:bookmarkEnd w:id="0"/>
    </w:p>
    <w:p w14:paraId="39761481" w14:textId="77777777" w:rsidR="00582AED" w:rsidRDefault="00CD7A12">
      <w:pPr>
        <w:jc w:val="center"/>
        <w:rPr>
          <w:b/>
          <w:sz w:val="40"/>
          <w:szCs w:val="40"/>
        </w:rPr>
      </w:pPr>
      <w:r>
        <w:rPr>
          <w:b/>
          <w:noProof/>
          <w:sz w:val="40"/>
          <w:szCs w:val="40"/>
        </w:rPr>
        <w:drawing>
          <wp:inline distT="0" distB="0" distL="0" distR="0" wp14:anchorId="1B37BC54" wp14:editId="4440A6B3">
            <wp:extent cx="2076450" cy="81915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076450" cy="819150"/>
                    </a:xfrm>
                    <a:prstGeom prst="rect">
                      <a:avLst/>
                    </a:prstGeom>
                    <a:ln/>
                  </pic:spPr>
                </pic:pic>
              </a:graphicData>
            </a:graphic>
          </wp:inline>
        </w:drawing>
      </w:r>
    </w:p>
    <w:p w14:paraId="01FD71F5" w14:textId="77777777" w:rsidR="00582AED" w:rsidRDefault="00582AED">
      <w:pPr>
        <w:jc w:val="center"/>
        <w:rPr>
          <w:b/>
          <w:sz w:val="40"/>
          <w:szCs w:val="40"/>
        </w:rPr>
      </w:pPr>
    </w:p>
    <w:p w14:paraId="7309765A" w14:textId="77777777" w:rsidR="00582AED" w:rsidRDefault="00CD7A12">
      <w:pPr>
        <w:jc w:val="center"/>
        <w:rPr>
          <w:b/>
          <w:sz w:val="40"/>
          <w:szCs w:val="40"/>
        </w:rPr>
      </w:pPr>
      <w:r>
        <w:rPr>
          <w:b/>
          <w:sz w:val="40"/>
          <w:szCs w:val="40"/>
        </w:rPr>
        <w:t>Assignment</w:t>
      </w:r>
    </w:p>
    <w:p w14:paraId="4D0E5D4C" w14:textId="77777777" w:rsidR="00582AED" w:rsidRDefault="00582AED">
      <w:pPr>
        <w:jc w:val="center"/>
      </w:pPr>
    </w:p>
    <w:p w14:paraId="3B1E0E17" w14:textId="481F6182" w:rsidR="00582AED" w:rsidRDefault="0073313B">
      <w:pPr>
        <w:jc w:val="center"/>
        <w:rPr>
          <w:sz w:val="28"/>
          <w:szCs w:val="28"/>
        </w:rPr>
      </w:pPr>
      <w:r>
        <w:rPr>
          <w:sz w:val="28"/>
          <w:szCs w:val="28"/>
        </w:rPr>
        <w:t>Nam</w:t>
      </w:r>
      <w:r w:rsidR="00CD7A12">
        <w:rPr>
          <w:sz w:val="28"/>
          <w:szCs w:val="28"/>
        </w:rPr>
        <w:t>e:</w:t>
      </w:r>
      <w:r w:rsidR="009F3E1E">
        <w:rPr>
          <w:sz w:val="28"/>
          <w:szCs w:val="28"/>
        </w:rPr>
        <w:t xml:space="preserve"> Niveditha Mohan</w:t>
      </w:r>
    </w:p>
    <w:p w14:paraId="0B0F6E43" w14:textId="7CE86A21" w:rsidR="00582AED" w:rsidRDefault="00CD7A12">
      <w:pPr>
        <w:jc w:val="center"/>
        <w:rPr>
          <w:b/>
        </w:rPr>
      </w:pPr>
      <w:r>
        <w:rPr>
          <w:sz w:val="28"/>
          <w:szCs w:val="28"/>
        </w:rPr>
        <w:t>Student ID:</w:t>
      </w:r>
      <w:r>
        <w:t xml:space="preserve"> </w:t>
      </w:r>
      <w:r w:rsidR="004D4101">
        <w:t>2218283</w:t>
      </w:r>
      <w:r>
        <w:br w:type="page"/>
      </w:r>
    </w:p>
    <w:p w14:paraId="6A05B503" w14:textId="77777777" w:rsidR="00582AED" w:rsidRDefault="00CD7A12">
      <w:pPr>
        <w:keepNext/>
        <w:keepLines/>
        <w:pBdr>
          <w:top w:val="nil"/>
          <w:left w:val="nil"/>
          <w:bottom w:val="nil"/>
          <w:right w:val="nil"/>
          <w:between w:val="nil"/>
        </w:pBdr>
        <w:spacing w:before="480" w:after="0" w:line="360" w:lineRule="auto"/>
        <w:jc w:val="center"/>
        <w:rPr>
          <w:rFonts w:ascii="Arial" w:eastAsia="Arial" w:hAnsi="Arial" w:cs="Arial"/>
          <w:b/>
          <w:color w:val="000000"/>
          <w:sz w:val="28"/>
          <w:szCs w:val="28"/>
        </w:rPr>
      </w:pPr>
      <w:r>
        <w:rPr>
          <w:rFonts w:ascii="Arial" w:eastAsia="Arial" w:hAnsi="Arial" w:cs="Arial"/>
          <w:b/>
          <w:color w:val="000000"/>
          <w:sz w:val="28"/>
          <w:szCs w:val="28"/>
        </w:rPr>
        <w:lastRenderedPageBreak/>
        <w:t>Table of Contents</w:t>
      </w:r>
    </w:p>
    <w:sdt>
      <w:sdtPr>
        <w:id w:val="49432981"/>
        <w:docPartObj>
          <w:docPartGallery w:val="Table of Contents"/>
          <w:docPartUnique/>
        </w:docPartObj>
      </w:sdtPr>
      <w:sdtEndPr/>
      <w:sdtContent>
        <w:p w14:paraId="77FE2886" w14:textId="77777777" w:rsidR="00582AED" w:rsidRDefault="00CD7A12">
          <w:pPr>
            <w:pBdr>
              <w:top w:val="nil"/>
              <w:left w:val="nil"/>
              <w:bottom w:val="nil"/>
              <w:right w:val="nil"/>
              <w:between w:val="nil"/>
            </w:pBdr>
            <w:tabs>
              <w:tab w:val="right" w:leader="dot" w:pos="9019"/>
            </w:tabs>
            <w:spacing w:after="100" w:line="360" w:lineRule="auto"/>
            <w:jc w:val="both"/>
            <w:rPr>
              <w:rFonts w:ascii="Arial" w:eastAsia="Arial" w:hAnsi="Arial" w:cs="Arial"/>
              <w:color w:val="000000"/>
            </w:rPr>
          </w:pPr>
          <w:r>
            <w:fldChar w:fldCharType="begin"/>
          </w:r>
          <w:r>
            <w:instrText xml:space="preserve"> TOC \h \u \z \t "Heading 1,1,Heading 2,2,Heading 3,3,"</w:instrText>
          </w:r>
          <w:r>
            <w:fldChar w:fldCharType="separate"/>
          </w:r>
          <w:hyperlink w:anchor="_heading=h.30j0zll">
            <w:r>
              <w:rPr>
                <w:rFonts w:ascii="Arial" w:eastAsia="Arial" w:hAnsi="Arial" w:cs="Arial"/>
                <w:color w:val="000000"/>
              </w:rPr>
              <w:t>Introduction</w:t>
            </w:r>
            <w:r>
              <w:rPr>
                <w:rFonts w:ascii="Arial" w:eastAsia="Arial" w:hAnsi="Arial" w:cs="Arial"/>
                <w:color w:val="000000"/>
              </w:rPr>
              <w:tab/>
              <w:t>3</w:t>
            </w:r>
          </w:hyperlink>
        </w:p>
        <w:p w14:paraId="6C65A738" w14:textId="77777777" w:rsidR="00582AED" w:rsidRDefault="00794F95">
          <w:pPr>
            <w:pBdr>
              <w:top w:val="nil"/>
              <w:left w:val="nil"/>
              <w:bottom w:val="nil"/>
              <w:right w:val="nil"/>
              <w:between w:val="nil"/>
            </w:pBdr>
            <w:tabs>
              <w:tab w:val="right" w:leader="dot" w:pos="9019"/>
            </w:tabs>
            <w:spacing w:after="100" w:line="360" w:lineRule="auto"/>
            <w:jc w:val="both"/>
            <w:rPr>
              <w:rFonts w:ascii="Arial" w:eastAsia="Arial" w:hAnsi="Arial" w:cs="Arial"/>
              <w:color w:val="000000"/>
            </w:rPr>
          </w:pPr>
          <w:hyperlink w:anchor="_heading=h.1fob9te">
            <w:r w:rsidR="00CD7A12">
              <w:rPr>
                <w:rFonts w:ascii="Arial" w:eastAsia="Arial" w:hAnsi="Arial" w:cs="Arial"/>
                <w:color w:val="000000"/>
              </w:rPr>
              <w:t>Main Body</w:t>
            </w:r>
            <w:r w:rsidR="00CD7A12">
              <w:rPr>
                <w:rFonts w:ascii="Arial" w:eastAsia="Arial" w:hAnsi="Arial" w:cs="Arial"/>
                <w:color w:val="000000"/>
              </w:rPr>
              <w:tab/>
              <w:t>3</w:t>
            </w:r>
          </w:hyperlink>
        </w:p>
        <w:p w14:paraId="12CD0A01" w14:textId="77777777" w:rsidR="00582AED" w:rsidRDefault="00794F95">
          <w:pPr>
            <w:pBdr>
              <w:top w:val="nil"/>
              <w:left w:val="nil"/>
              <w:bottom w:val="nil"/>
              <w:right w:val="nil"/>
              <w:between w:val="nil"/>
            </w:pBdr>
            <w:tabs>
              <w:tab w:val="right" w:leader="dot" w:pos="9019"/>
            </w:tabs>
            <w:spacing w:after="100" w:line="360" w:lineRule="auto"/>
            <w:ind w:left="220"/>
            <w:jc w:val="both"/>
            <w:rPr>
              <w:rFonts w:ascii="Arial" w:eastAsia="Arial" w:hAnsi="Arial" w:cs="Arial"/>
              <w:color w:val="000000"/>
            </w:rPr>
          </w:pPr>
          <w:hyperlink w:anchor="_heading=h.3znysh7">
            <w:r w:rsidR="00CD7A12">
              <w:rPr>
                <w:rFonts w:ascii="Arial" w:eastAsia="Arial" w:hAnsi="Arial" w:cs="Arial"/>
                <w:color w:val="000000"/>
              </w:rPr>
              <w:t>Overview</w:t>
            </w:r>
            <w:r w:rsidR="00CD7A12">
              <w:rPr>
                <w:rFonts w:ascii="Arial" w:eastAsia="Arial" w:hAnsi="Arial" w:cs="Arial"/>
                <w:color w:val="000000"/>
              </w:rPr>
              <w:tab/>
              <w:t>3</w:t>
            </w:r>
          </w:hyperlink>
        </w:p>
        <w:p w14:paraId="5F05892D" w14:textId="77777777" w:rsidR="00582AED" w:rsidRDefault="00794F95">
          <w:pPr>
            <w:pBdr>
              <w:top w:val="nil"/>
              <w:left w:val="nil"/>
              <w:bottom w:val="nil"/>
              <w:right w:val="nil"/>
              <w:between w:val="nil"/>
            </w:pBdr>
            <w:tabs>
              <w:tab w:val="right" w:leader="dot" w:pos="9019"/>
            </w:tabs>
            <w:spacing w:after="100" w:line="360" w:lineRule="auto"/>
            <w:ind w:left="220"/>
            <w:jc w:val="both"/>
            <w:rPr>
              <w:rFonts w:ascii="Arial" w:eastAsia="Arial" w:hAnsi="Arial" w:cs="Arial"/>
              <w:color w:val="000000"/>
            </w:rPr>
          </w:pPr>
          <w:hyperlink w:anchor="_heading=h.2et92p0">
            <w:r w:rsidR="00CD7A12">
              <w:rPr>
                <w:rFonts w:ascii="Arial" w:eastAsia="Arial" w:hAnsi="Arial" w:cs="Arial"/>
                <w:color w:val="000000"/>
              </w:rPr>
              <w:t>The gap in the market</w:t>
            </w:r>
            <w:r w:rsidR="00CD7A12">
              <w:rPr>
                <w:rFonts w:ascii="Arial" w:eastAsia="Arial" w:hAnsi="Arial" w:cs="Arial"/>
                <w:color w:val="000000"/>
              </w:rPr>
              <w:tab/>
              <w:t>4</w:t>
            </w:r>
          </w:hyperlink>
        </w:p>
        <w:p w14:paraId="726C61C1" w14:textId="77777777" w:rsidR="00582AED" w:rsidRDefault="00794F95">
          <w:pPr>
            <w:pBdr>
              <w:top w:val="nil"/>
              <w:left w:val="nil"/>
              <w:bottom w:val="nil"/>
              <w:right w:val="nil"/>
              <w:between w:val="nil"/>
            </w:pBdr>
            <w:tabs>
              <w:tab w:val="right" w:leader="dot" w:pos="9019"/>
            </w:tabs>
            <w:spacing w:after="100" w:line="360" w:lineRule="auto"/>
            <w:ind w:left="220"/>
            <w:jc w:val="both"/>
            <w:rPr>
              <w:rFonts w:ascii="Arial" w:eastAsia="Arial" w:hAnsi="Arial" w:cs="Arial"/>
              <w:color w:val="000000"/>
            </w:rPr>
          </w:pPr>
          <w:hyperlink w:anchor="_heading=h.3dy6vkm">
            <w:r w:rsidR="00CD7A12">
              <w:rPr>
                <w:rFonts w:ascii="Arial" w:eastAsia="Arial" w:hAnsi="Arial" w:cs="Arial"/>
                <w:color w:val="000000"/>
              </w:rPr>
              <w:t>Addressing the market with the proposed business plan</w:t>
            </w:r>
            <w:r w:rsidR="00CD7A12">
              <w:rPr>
                <w:rFonts w:ascii="Arial" w:eastAsia="Arial" w:hAnsi="Arial" w:cs="Arial"/>
                <w:color w:val="000000"/>
              </w:rPr>
              <w:tab/>
              <w:t>5</w:t>
            </w:r>
          </w:hyperlink>
        </w:p>
        <w:p w14:paraId="42EF2438" w14:textId="77777777" w:rsidR="00582AED" w:rsidRDefault="00794F95">
          <w:pPr>
            <w:pBdr>
              <w:top w:val="nil"/>
              <w:left w:val="nil"/>
              <w:bottom w:val="nil"/>
              <w:right w:val="nil"/>
              <w:between w:val="nil"/>
            </w:pBdr>
            <w:tabs>
              <w:tab w:val="right" w:leader="dot" w:pos="9019"/>
            </w:tabs>
            <w:spacing w:after="100" w:line="360" w:lineRule="auto"/>
            <w:ind w:left="220"/>
            <w:jc w:val="both"/>
            <w:rPr>
              <w:rFonts w:ascii="Arial" w:eastAsia="Arial" w:hAnsi="Arial" w:cs="Arial"/>
              <w:color w:val="000000"/>
            </w:rPr>
          </w:pPr>
          <w:hyperlink w:anchor="_heading=h.4d34og8">
            <w:r w:rsidR="00CD7A12">
              <w:rPr>
                <w:rFonts w:ascii="Arial" w:eastAsia="Arial" w:hAnsi="Arial" w:cs="Arial"/>
                <w:color w:val="000000"/>
              </w:rPr>
              <w:t>Proposed location with legal entity</w:t>
            </w:r>
            <w:r w:rsidR="00CD7A12">
              <w:rPr>
                <w:rFonts w:ascii="Arial" w:eastAsia="Arial" w:hAnsi="Arial" w:cs="Arial"/>
                <w:color w:val="000000"/>
              </w:rPr>
              <w:tab/>
              <w:t>6</w:t>
            </w:r>
          </w:hyperlink>
        </w:p>
        <w:p w14:paraId="6B4D62F7" w14:textId="77777777" w:rsidR="00582AED" w:rsidRDefault="00794F95">
          <w:pPr>
            <w:pBdr>
              <w:top w:val="nil"/>
              <w:left w:val="nil"/>
              <w:bottom w:val="nil"/>
              <w:right w:val="nil"/>
              <w:between w:val="nil"/>
            </w:pBdr>
            <w:tabs>
              <w:tab w:val="right" w:leader="dot" w:pos="9019"/>
            </w:tabs>
            <w:spacing w:after="100" w:line="360" w:lineRule="auto"/>
            <w:ind w:left="220"/>
            <w:jc w:val="both"/>
            <w:rPr>
              <w:rFonts w:ascii="Arial" w:eastAsia="Arial" w:hAnsi="Arial" w:cs="Arial"/>
              <w:color w:val="000000"/>
            </w:rPr>
          </w:pPr>
          <w:hyperlink w:anchor="_heading=h.2s8eyo1">
            <w:r w:rsidR="00CD7A12">
              <w:rPr>
                <w:rFonts w:ascii="Arial" w:eastAsia="Arial" w:hAnsi="Arial" w:cs="Arial"/>
                <w:color w:val="000000"/>
              </w:rPr>
              <w:t>SWOT</w:t>
            </w:r>
            <w:r w:rsidR="00CD7A12">
              <w:rPr>
                <w:rFonts w:ascii="Arial" w:eastAsia="Arial" w:hAnsi="Arial" w:cs="Arial"/>
                <w:color w:val="000000"/>
              </w:rPr>
              <w:tab/>
              <w:t>7</w:t>
            </w:r>
          </w:hyperlink>
        </w:p>
        <w:p w14:paraId="12DA89C8" w14:textId="77777777" w:rsidR="00582AED" w:rsidRDefault="00794F95">
          <w:pPr>
            <w:pBdr>
              <w:top w:val="nil"/>
              <w:left w:val="nil"/>
              <w:bottom w:val="nil"/>
              <w:right w:val="nil"/>
              <w:between w:val="nil"/>
            </w:pBdr>
            <w:tabs>
              <w:tab w:val="right" w:leader="dot" w:pos="9019"/>
            </w:tabs>
            <w:spacing w:after="100" w:line="360" w:lineRule="auto"/>
            <w:ind w:left="220"/>
            <w:jc w:val="both"/>
            <w:rPr>
              <w:rFonts w:ascii="Arial" w:eastAsia="Arial" w:hAnsi="Arial" w:cs="Arial"/>
              <w:color w:val="000000"/>
            </w:rPr>
          </w:pPr>
          <w:hyperlink w:anchor="_heading=h.17dp8vu">
            <w:r w:rsidR="00CD7A12">
              <w:rPr>
                <w:rFonts w:ascii="Arial" w:eastAsia="Arial" w:hAnsi="Arial" w:cs="Arial"/>
                <w:color w:val="000000"/>
              </w:rPr>
              <w:t>Explanation of target market</w:t>
            </w:r>
            <w:r w:rsidR="00CD7A12">
              <w:rPr>
                <w:rFonts w:ascii="Arial" w:eastAsia="Arial" w:hAnsi="Arial" w:cs="Arial"/>
                <w:color w:val="000000"/>
              </w:rPr>
              <w:tab/>
              <w:t>9</w:t>
            </w:r>
          </w:hyperlink>
        </w:p>
        <w:p w14:paraId="64E46E48" w14:textId="77777777" w:rsidR="00582AED" w:rsidRDefault="00794F95">
          <w:pPr>
            <w:pBdr>
              <w:top w:val="nil"/>
              <w:left w:val="nil"/>
              <w:bottom w:val="nil"/>
              <w:right w:val="nil"/>
              <w:between w:val="nil"/>
            </w:pBdr>
            <w:tabs>
              <w:tab w:val="right" w:leader="dot" w:pos="9019"/>
            </w:tabs>
            <w:spacing w:after="100" w:line="360" w:lineRule="auto"/>
            <w:ind w:left="220"/>
            <w:jc w:val="both"/>
            <w:rPr>
              <w:rFonts w:ascii="Arial" w:eastAsia="Arial" w:hAnsi="Arial" w:cs="Arial"/>
              <w:color w:val="000000"/>
            </w:rPr>
          </w:pPr>
          <w:hyperlink w:anchor="_heading=h.3rdcrjn">
            <w:r w:rsidR="00CD7A12">
              <w:rPr>
                <w:rFonts w:ascii="Arial" w:eastAsia="Arial" w:hAnsi="Arial" w:cs="Arial"/>
                <w:color w:val="000000"/>
              </w:rPr>
              <w:t>Strategies to Approach the target market</w:t>
            </w:r>
            <w:r w:rsidR="00CD7A12">
              <w:rPr>
                <w:rFonts w:ascii="Arial" w:eastAsia="Arial" w:hAnsi="Arial" w:cs="Arial"/>
                <w:color w:val="000000"/>
              </w:rPr>
              <w:tab/>
              <w:t>10</w:t>
            </w:r>
          </w:hyperlink>
        </w:p>
        <w:p w14:paraId="2A67BBF0" w14:textId="77777777" w:rsidR="00582AED" w:rsidRDefault="00794F95">
          <w:pPr>
            <w:pBdr>
              <w:top w:val="nil"/>
              <w:left w:val="nil"/>
              <w:bottom w:val="nil"/>
              <w:right w:val="nil"/>
              <w:between w:val="nil"/>
            </w:pBdr>
            <w:tabs>
              <w:tab w:val="right" w:leader="dot" w:pos="9019"/>
            </w:tabs>
            <w:spacing w:after="100" w:line="360" w:lineRule="auto"/>
            <w:ind w:left="220"/>
            <w:jc w:val="both"/>
            <w:rPr>
              <w:rFonts w:ascii="Arial" w:eastAsia="Arial" w:hAnsi="Arial" w:cs="Arial"/>
              <w:color w:val="000000"/>
            </w:rPr>
          </w:pPr>
          <w:hyperlink w:anchor="_heading=h.26in1rg">
            <w:r w:rsidR="00CD7A12">
              <w:rPr>
                <w:rFonts w:ascii="Arial" w:eastAsia="Arial" w:hAnsi="Arial" w:cs="Arial"/>
                <w:color w:val="000000"/>
              </w:rPr>
              <w:t>Potential external funding sources</w:t>
            </w:r>
            <w:r w:rsidR="00CD7A12">
              <w:rPr>
                <w:rFonts w:ascii="Arial" w:eastAsia="Arial" w:hAnsi="Arial" w:cs="Arial"/>
                <w:color w:val="000000"/>
              </w:rPr>
              <w:tab/>
              <w:t>10</w:t>
            </w:r>
          </w:hyperlink>
        </w:p>
        <w:p w14:paraId="20B81990" w14:textId="6D0427D9" w:rsidR="00582AED" w:rsidRDefault="00794F95" w:rsidP="001812D5">
          <w:pPr>
            <w:pBdr>
              <w:top w:val="nil"/>
              <w:left w:val="nil"/>
              <w:bottom w:val="nil"/>
              <w:right w:val="nil"/>
              <w:between w:val="nil"/>
            </w:pBdr>
            <w:tabs>
              <w:tab w:val="right" w:leader="dot" w:pos="9019"/>
            </w:tabs>
            <w:spacing w:after="100" w:line="360" w:lineRule="auto"/>
            <w:ind w:left="220"/>
            <w:jc w:val="both"/>
            <w:rPr>
              <w:rFonts w:ascii="Arial" w:eastAsia="Arial" w:hAnsi="Arial" w:cs="Arial"/>
              <w:color w:val="000000"/>
            </w:rPr>
          </w:pPr>
          <w:hyperlink w:anchor="_heading=h.lnxbz9">
            <w:r w:rsidR="00CD7A12">
              <w:rPr>
                <w:rFonts w:ascii="Arial" w:eastAsia="Arial" w:hAnsi="Arial" w:cs="Arial"/>
                <w:color w:val="000000"/>
              </w:rPr>
              <w:t>Approximate Value of a construction project</w:t>
            </w:r>
            <w:r w:rsidR="00CD7A12">
              <w:rPr>
                <w:rFonts w:ascii="Arial" w:eastAsia="Arial" w:hAnsi="Arial" w:cs="Arial"/>
                <w:color w:val="000000"/>
              </w:rPr>
              <w:tab/>
              <w:t>11</w:t>
            </w:r>
          </w:hyperlink>
        </w:p>
        <w:p w14:paraId="51B9616F" w14:textId="5D573F9B" w:rsidR="00582AED" w:rsidRDefault="00794F95">
          <w:pPr>
            <w:pBdr>
              <w:top w:val="nil"/>
              <w:left w:val="nil"/>
              <w:bottom w:val="nil"/>
              <w:right w:val="nil"/>
              <w:between w:val="nil"/>
            </w:pBdr>
            <w:tabs>
              <w:tab w:val="right" w:leader="dot" w:pos="9019"/>
            </w:tabs>
            <w:spacing w:after="100" w:line="360" w:lineRule="auto"/>
            <w:jc w:val="both"/>
            <w:rPr>
              <w:rFonts w:ascii="Arial" w:eastAsia="Arial" w:hAnsi="Arial" w:cs="Arial"/>
              <w:color w:val="000000"/>
            </w:rPr>
          </w:pPr>
          <w:hyperlink w:anchor="_heading=h.44sinio">
            <w:r w:rsidR="00CD7A12">
              <w:rPr>
                <w:rFonts w:ascii="Arial" w:eastAsia="Arial" w:hAnsi="Arial" w:cs="Arial"/>
                <w:color w:val="000000"/>
              </w:rPr>
              <w:t>Reference</w:t>
            </w:r>
            <w:r w:rsidR="00CD7A12">
              <w:rPr>
                <w:rFonts w:ascii="Arial" w:eastAsia="Arial" w:hAnsi="Arial" w:cs="Arial"/>
                <w:color w:val="000000"/>
              </w:rPr>
              <w:tab/>
            </w:r>
            <w:r w:rsidR="001812D5">
              <w:rPr>
                <w:rFonts w:ascii="Arial" w:eastAsia="Arial" w:hAnsi="Arial" w:cs="Arial"/>
                <w:color w:val="000000"/>
              </w:rPr>
              <w:t>12</w:t>
            </w:r>
            <w:r w:rsidR="00CD7A12">
              <w:rPr>
                <w:rFonts w:ascii="Arial" w:eastAsia="Arial" w:hAnsi="Arial" w:cs="Arial"/>
                <w:color w:val="000000"/>
              </w:rPr>
              <w:t>3</w:t>
            </w:r>
          </w:hyperlink>
        </w:p>
        <w:p w14:paraId="4FDBBB09" w14:textId="77777777" w:rsidR="00582AED" w:rsidRDefault="00CD7A12">
          <w:pPr>
            <w:spacing w:line="360" w:lineRule="auto"/>
            <w:jc w:val="both"/>
            <w:rPr>
              <w:rFonts w:ascii="Arial" w:eastAsia="Arial" w:hAnsi="Arial" w:cs="Arial"/>
            </w:rPr>
          </w:pPr>
          <w:r>
            <w:fldChar w:fldCharType="end"/>
          </w:r>
        </w:p>
      </w:sdtContent>
    </w:sdt>
    <w:p w14:paraId="3BA32EB2" w14:textId="77777777" w:rsidR="00582AED" w:rsidRDefault="00CD7A12">
      <w:pPr>
        <w:rPr>
          <w:b/>
        </w:rPr>
      </w:pPr>
      <w:r>
        <w:br w:type="page"/>
      </w:r>
    </w:p>
    <w:p w14:paraId="7E43481D" w14:textId="28A069AE" w:rsidR="00582AED" w:rsidRDefault="00F12C49">
      <w:pPr>
        <w:pStyle w:val="Heading1"/>
        <w:rPr>
          <w:highlight w:val="yellow"/>
        </w:rPr>
      </w:pPr>
      <w:bookmarkStart w:id="1" w:name="_heading=h.30j0zll" w:colFirst="0" w:colLast="0"/>
      <w:bookmarkEnd w:id="1"/>
      <w:r>
        <w:lastRenderedPageBreak/>
        <w:t>Introduction</w:t>
      </w:r>
    </w:p>
    <w:p w14:paraId="76327E7D" w14:textId="77777777" w:rsidR="00582AED" w:rsidRDefault="00582AED">
      <w:pPr>
        <w:pBdr>
          <w:top w:val="nil"/>
          <w:left w:val="nil"/>
          <w:bottom w:val="nil"/>
          <w:right w:val="nil"/>
          <w:between w:val="nil"/>
        </w:pBdr>
        <w:rPr>
          <w:color w:val="000000"/>
        </w:rPr>
      </w:pPr>
    </w:p>
    <w:p w14:paraId="0A2B684A" w14:textId="77777777" w:rsidR="00582AED" w:rsidRDefault="00CD7A12">
      <w:pPr>
        <w:pBdr>
          <w:top w:val="nil"/>
          <w:left w:val="nil"/>
          <w:bottom w:val="nil"/>
          <w:right w:val="nil"/>
          <w:between w:val="nil"/>
        </w:pBdr>
        <w:spacing w:line="360" w:lineRule="auto"/>
        <w:jc w:val="both"/>
        <w:rPr>
          <w:color w:val="000000"/>
        </w:rPr>
      </w:pPr>
      <w:r>
        <w:rPr>
          <w:color w:val="000000"/>
        </w:rPr>
        <w:t>The construction industry in the United Kingdom is a dynamic and especially aggressive region, presenting several opportunities for boom and fulfillment. A well-crafted creation advertising and marketing method is critical for entrepreneurs looking to set up or enlarge their manufacturing ventures inside the UK. This blueprint outlines the agency's imaginative and prescient assignment, target market, competitive analysis, economic projections, marketing techniques, and operational pointers. It addresses key components along with assignment manipulation, hazard assessment, regulatory compliance, and sustainability practices. A sturdy marketing strategy demonstrates the entrepreneur's knowledge of the company, their capacity to navigate demanding situations, and their commitment to delivering exceptional production offerings profitably and sustainably. This study discusses the construction plan, a top-degree view of the commercial enterprise concept, the distance in the market, the proposed marketing approach and legal entity, SWOT assessment, the intention marketplace and techniques to technique it, monetary plans, and funding cited here.</w:t>
      </w:r>
    </w:p>
    <w:p w14:paraId="3E4CA17F" w14:textId="77777777" w:rsidR="00582AED" w:rsidRDefault="00582AED">
      <w:pPr>
        <w:pBdr>
          <w:top w:val="nil"/>
          <w:left w:val="nil"/>
          <w:bottom w:val="nil"/>
          <w:right w:val="nil"/>
          <w:between w:val="nil"/>
        </w:pBdr>
        <w:rPr>
          <w:color w:val="000000"/>
        </w:rPr>
      </w:pPr>
    </w:p>
    <w:p w14:paraId="1CDC4AF9" w14:textId="77777777" w:rsidR="00582AED" w:rsidRDefault="00582AED">
      <w:pPr>
        <w:pBdr>
          <w:top w:val="nil"/>
          <w:left w:val="nil"/>
          <w:bottom w:val="nil"/>
          <w:right w:val="nil"/>
          <w:between w:val="nil"/>
        </w:pBdr>
        <w:rPr>
          <w:color w:val="000000"/>
        </w:rPr>
      </w:pPr>
    </w:p>
    <w:p w14:paraId="4A34F106" w14:textId="77777777" w:rsidR="00582AED" w:rsidRDefault="00CD7A12">
      <w:pPr>
        <w:pStyle w:val="Heading1"/>
      </w:pPr>
      <w:bookmarkStart w:id="2" w:name="_heading=h.1fob9te" w:colFirst="0" w:colLast="0"/>
      <w:bookmarkEnd w:id="2"/>
      <w:r>
        <w:t xml:space="preserve">Main Body </w:t>
      </w:r>
    </w:p>
    <w:p w14:paraId="6C0F405A" w14:textId="77777777" w:rsidR="00582AED" w:rsidRDefault="00582AED">
      <w:pPr>
        <w:pBdr>
          <w:top w:val="nil"/>
          <w:left w:val="nil"/>
          <w:bottom w:val="nil"/>
          <w:right w:val="nil"/>
          <w:between w:val="nil"/>
        </w:pBdr>
        <w:rPr>
          <w:color w:val="000000"/>
        </w:rPr>
      </w:pPr>
    </w:p>
    <w:p w14:paraId="2024C059" w14:textId="77777777" w:rsidR="00582AED" w:rsidRDefault="00CD7A12">
      <w:pPr>
        <w:pStyle w:val="Heading2"/>
        <w:rPr>
          <w:highlight w:val="yellow"/>
        </w:rPr>
      </w:pPr>
      <w:bookmarkStart w:id="3" w:name="_heading=h.3znysh7" w:colFirst="0" w:colLast="0"/>
      <w:bookmarkEnd w:id="3"/>
      <w:r>
        <w:t xml:space="preserve">Overview </w:t>
      </w:r>
    </w:p>
    <w:p w14:paraId="3CF3CF5A" w14:textId="77777777" w:rsidR="00582AED" w:rsidRDefault="00582AED">
      <w:pPr>
        <w:pBdr>
          <w:top w:val="nil"/>
          <w:left w:val="nil"/>
          <w:bottom w:val="nil"/>
          <w:right w:val="nil"/>
          <w:between w:val="nil"/>
        </w:pBdr>
        <w:rPr>
          <w:color w:val="000000"/>
        </w:rPr>
      </w:pPr>
    </w:p>
    <w:p w14:paraId="7066924C" w14:textId="77777777" w:rsidR="00582AED" w:rsidRDefault="00CD7A12">
      <w:pPr>
        <w:pBdr>
          <w:top w:val="nil"/>
          <w:left w:val="nil"/>
          <w:bottom w:val="nil"/>
          <w:right w:val="nil"/>
          <w:between w:val="nil"/>
        </w:pBdr>
        <w:spacing w:line="360" w:lineRule="auto"/>
        <w:jc w:val="both"/>
        <w:rPr>
          <w:color w:val="000000"/>
        </w:rPr>
      </w:pPr>
      <w:r>
        <w:rPr>
          <w:color w:val="000000"/>
        </w:rPr>
        <w:t xml:space="preserve">Additionally, an entire aggressive analysis will select key competitors within the marketplace, facilitating the components of powerful advertising and pricing strategies that set the employer aside from its competition. Sustainability may be a vital pillar of the employer, as green advent practices may be integrated into operations. Utilizing electricity-inexperienced substances, promoting waste reduction and recycling, and adhering to sustainable layout concepts will contribute to the business organisation's commitment to environmental protection and cater to the growing call for sustainable construction solutions. </w:t>
      </w:r>
      <w:r>
        <w:rPr>
          <w:color w:val="000000"/>
          <w:highlight w:val="white"/>
        </w:rPr>
        <w:t xml:space="preserve">The production agency will provide a huge range of services and products, which includes architectural design, undertaking to make plans and management, internet website online practice, foundation work, structural introduction, indoors and outside completing, electrical and plumbing installations, landscaping, and general contracting services. The commercial enterprise will try to supply high-quality craftsmanship, interest in detail, and timely very last touch of responsibilities, ensuring patron </w:t>
      </w:r>
      <w:r>
        <w:rPr>
          <w:color w:val="000000"/>
          <w:highlight w:val="white"/>
        </w:rPr>
        <w:lastRenderedPageBreak/>
        <w:t>pride and building prolonged-term relationships. The cause is to install a reputable construction brand recognized for excellence and reliability in the UK marketplace.</w:t>
      </w:r>
      <w:r>
        <w:rPr>
          <w:color w:val="000000"/>
        </w:rPr>
        <w:t xml:space="preserve"> The marketing method will embody meticulous economic projections, encompassing startup fees, ongoing costs, and assignment-associated prices. By wearing out a comprehensive economic analysis, the corporation can set up a pricing form that ensures profitability at the same time as ultimate competition in the enterprise. Marketing techniques are probably cautiously devised to elevate the attention of the company's offerings and entice clients. Employing a multi-channel approach, such as online structures, social media, traditional advertising and marketing, and industry networking, will allow effective emblem positioning and the establishment of a good picture based totally on niceness and reliability. Operational suggestions will define vital procedures and procedures associated with project manipulate, fantastic manipulation, safety measures, and regulatory compliance. Emphasizing smooth communique and collaboration inside the group and with clients, the agency will make certain the seamless execution of projects to the very best standards.</w:t>
      </w:r>
    </w:p>
    <w:p w14:paraId="2A076F50" w14:textId="77777777" w:rsidR="00582AED" w:rsidRDefault="00582AED">
      <w:pPr>
        <w:pBdr>
          <w:top w:val="nil"/>
          <w:left w:val="nil"/>
          <w:bottom w:val="nil"/>
          <w:right w:val="nil"/>
          <w:between w:val="nil"/>
        </w:pBdr>
        <w:spacing w:line="360" w:lineRule="auto"/>
        <w:jc w:val="both"/>
        <w:rPr>
          <w:color w:val="000000"/>
        </w:rPr>
      </w:pPr>
    </w:p>
    <w:p w14:paraId="7A4613B8" w14:textId="77777777" w:rsidR="00582AED" w:rsidRDefault="00CD7A12">
      <w:pPr>
        <w:pStyle w:val="Heading2"/>
        <w:rPr>
          <w:highlight w:val="yellow"/>
        </w:rPr>
      </w:pPr>
      <w:bookmarkStart w:id="4" w:name="_heading=h.2et92p0" w:colFirst="0" w:colLast="0"/>
      <w:bookmarkEnd w:id="4"/>
      <w:r>
        <w:t xml:space="preserve">The gap in the market </w:t>
      </w:r>
    </w:p>
    <w:p w14:paraId="6D6F7ADE" w14:textId="77777777" w:rsidR="00582AED" w:rsidRDefault="00CD7A12">
      <w:pPr>
        <w:pBdr>
          <w:top w:val="nil"/>
          <w:left w:val="nil"/>
          <w:bottom w:val="nil"/>
          <w:right w:val="nil"/>
          <w:between w:val="nil"/>
        </w:pBdr>
        <w:spacing w:before="240" w:after="240" w:line="360" w:lineRule="auto"/>
        <w:jc w:val="both"/>
        <w:rPr>
          <w:color w:val="000000"/>
        </w:rPr>
      </w:pPr>
      <w:r>
        <w:rPr>
          <w:color w:val="000000"/>
        </w:rPr>
        <w:t>The different phases of an asset's life cycle and interpersonal, technical, economic, and organizational components have been utilized to investigate knowledge deficiencies. Old-fashioned ideas about the sector need to be challenged to address not just the present skill crisis but also to draw in and keep the talented people of the future. The business community has to rehabilitate its reputation of being a cutting-edge field where its possible employees excel through capitalizing upon the forward motion that has resulted fro</w:t>
      </w:r>
      <w:r>
        <w:rPr>
          <w:color w:val="000000"/>
          <w:highlight w:val="white"/>
        </w:rPr>
        <w:t>m broad technical advancements and continued pledges to inclusiveness, equity, and diversity (</w:t>
      </w:r>
      <w:r>
        <w:rPr>
          <w:color w:val="222222"/>
          <w:highlight w:val="white"/>
        </w:rPr>
        <w:t xml:space="preserve">Newman </w:t>
      </w:r>
      <w:r>
        <w:rPr>
          <w:i/>
          <w:color w:val="222222"/>
          <w:highlight w:val="white"/>
        </w:rPr>
        <w:t>et al.</w:t>
      </w:r>
      <w:r>
        <w:rPr>
          <w:color w:val="222222"/>
          <w:highlight w:val="white"/>
        </w:rPr>
        <w:t xml:space="preserve"> 2021</w:t>
      </w:r>
      <w:r>
        <w:rPr>
          <w:color w:val="000000"/>
          <w:highlight w:val="white"/>
        </w:rPr>
        <w:t>). Following the start of the epidemic, flexible schedules became a mainstay throughout most of the</w:t>
      </w:r>
      <w:r>
        <w:rPr>
          <w:color w:val="000000"/>
        </w:rPr>
        <w:t xml:space="preserve"> UK population; however, the construction sector has encountered extra challenges that have limited its acceptance of this innovative way of functioning. The core gap in construction has been identified to be the skills set the gap between employees, which the industry is trying to eliminate with flexible work policies which can help employees to act accordingly. </w:t>
      </w:r>
    </w:p>
    <w:p w14:paraId="68C98E9B" w14:textId="57CFD822" w:rsidR="00582AED" w:rsidRDefault="00CD7A12">
      <w:pPr>
        <w:pBdr>
          <w:top w:val="nil"/>
          <w:left w:val="nil"/>
          <w:bottom w:val="nil"/>
          <w:right w:val="nil"/>
          <w:between w:val="nil"/>
        </w:pBdr>
        <w:spacing w:line="360" w:lineRule="auto"/>
        <w:jc w:val="both"/>
        <w:rPr>
          <w:color w:val="000000"/>
        </w:rPr>
      </w:pPr>
      <w:r>
        <w:rPr>
          <w:color w:val="000000"/>
        </w:rPr>
        <w:t xml:space="preserve">One of the crucial gaps in the creative marketplace of the UK is the shortage of low-priced and sustainable housing. The call for  low-cost housing extensively outweighs the supply, main to immoderate property fees and restrained options for humans and families with lower incomes. Additionally, the development business enterprise is grappling with the need to lessen its carbon footprint and undertake greater environmentally first-class practices. To cope with this hollow, </w:t>
      </w:r>
      <w:r>
        <w:rPr>
          <w:color w:val="000000"/>
        </w:rPr>
        <w:lastRenderedPageBreak/>
        <w:t>the employer targets to recognition of two key elements. Firstly, it intends to invest in present-day construction techniques and technology that allow for quicker, price-effective, and green housing answers. This also can comprise using modular creation techniques, which allow the assembly of pre-fabricated additives, lowering advent time and waste. Secondly, the development enterprise goals to collaborate with community governments, housing institutions, and builders to prioritize much less costly housing tasks. By actively taking elements in tasks that promote low-cost housing schemes and securing partnerships, the enterprise can make contributions to assemble the demand for sustainable and fairly priced houses.</w:t>
      </w:r>
    </w:p>
    <w:p w14:paraId="1770C92C" w14:textId="77777777" w:rsidR="00582AED" w:rsidRDefault="00582AED">
      <w:pPr>
        <w:pStyle w:val="Heading2"/>
      </w:pPr>
      <w:bookmarkStart w:id="5" w:name="_heading=h.tyjcwt" w:colFirst="0" w:colLast="0"/>
      <w:bookmarkEnd w:id="5"/>
    </w:p>
    <w:p w14:paraId="5CE24FEF" w14:textId="77777777" w:rsidR="00582AED" w:rsidRDefault="00CD7A12">
      <w:pPr>
        <w:pStyle w:val="Heading2"/>
        <w:rPr>
          <w:highlight w:val="yellow"/>
        </w:rPr>
      </w:pPr>
      <w:bookmarkStart w:id="6" w:name="_heading=h.3dy6vkm" w:colFirst="0" w:colLast="0"/>
      <w:bookmarkEnd w:id="6"/>
      <w:r>
        <w:t xml:space="preserve">Addressing the market with the proposed business plan </w:t>
      </w:r>
    </w:p>
    <w:p w14:paraId="71217171" w14:textId="77777777" w:rsidR="00582AED" w:rsidRDefault="00582AED">
      <w:pPr>
        <w:pBdr>
          <w:top w:val="nil"/>
          <w:left w:val="nil"/>
          <w:bottom w:val="nil"/>
          <w:right w:val="nil"/>
          <w:between w:val="nil"/>
        </w:pBdr>
        <w:rPr>
          <w:color w:val="000000"/>
        </w:rPr>
      </w:pPr>
    </w:p>
    <w:p w14:paraId="2B09F24A" w14:textId="77777777" w:rsidR="00582AED" w:rsidRDefault="00CD7A12">
      <w:pPr>
        <w:pBdr>
          <w:top w:val="nil"/>
          <w:left w:val="nil"/>
          <w:bottom w:val="nil"/>
          <w:right w:val="nil"/>
          <w:between w:val="nil"/>
        </w:pBdr>
        <w:spacing w:line="360" w:lineRule="auto"/>
        <w:jc w:val="both"/>
        <w:rPr>
          <w:color w:val="000000"/>
        </w:rPr>
      </w:pPr>
      <w:r>
        <w:rPr>
          <w:color w:val="000000"/>
        </w:rPr>
        <w:t>According to research, the flexible work arrangements implemented by the NHS might create a "good precedent" in the construction sector, as neither requires a large portion of the work to be done on-site. Organizations which adopt a comprehensive approach to their personnel and enrolment approach, on the other hand, shall be most prepared to confront the difficulties</w:t>
      </w:r>
      <w:r>
        <w:rPr>
          <w:color w:val="000000"/>
          <w:highlight w:val="white"/>
        </w:rPr>
        <w:t xml:space="preserve"> that are lying forward (</w:t>
      </w:r>
      <w:r>
        <w:rPr>
          <w:color w:val="222222"/>
          <w:highlight w:val="white"/>
        </w:rPr>
        <w:t>Awwad, Shibani and Ghostin, 2022</w:t>
      </w:r>
      <w:r>
        <w:rPr>
          <w:color w:val="000000"/>
          <w:highlight w:val="white"/>
        </w:rPr>
        <w:t>). These organizations are going to source about and establish substitute sources of talent, make use of te</w:t>
      </w:r>
      <w:r>
        <w:rPr>
          <w:color w:val="000000"/>
        </w:rPr>
        <w:t xml:space="preserve">chnology to discover potential employees, and promote a conviction of meaning and workplace atmosphere. </w:t>
      </w:r>
    </w:p>
    <w:p w14:paraId="37A0CC7C" w14:textId="77777777" w:rsidR="00582AED" w:rsidRDefault="00582AED">
      <w:pPr>
        <w:pBdr>
          <w:top w:val="nil"/>
          <w:left w:val="nil"/>
          <w:bottom w:val="nil"/>
          <w:right w:val="nil"/>
          <w:between w:val="nil"/>
        </w:pBdr>
        <w:rPr>
          <w:color w:val="000000"/>
        </w:rPr>
      </w:pPr>
    </w:p>
    <w:p w14:paraId="2ED19574" w14:textId="77777777" w:rsidR="00582AED" w:rsidRDefault="00CD7A12">
      <w:pPr>
        <w:pBdr>
          <w:top w:val="nil"/>
          <w:left w:val="nil"/>
          <w:bottom w:val="nil"/>
          <w:right w:val="nil"/>
          <w:between w:val="nil"/>
        </w:pBdr>
        <w:jc w:val="center"/>
        <w:rPr>
          <w:color w:val="000000"/>
        </w:rPr>
      </w:pPr>
      <w:r>
        <w:rPr>
          <w:noProof/>
          <w:color w:val="000000"/>
        </w:rPr>
        <w:drawing>
          <wp:inline distT="114300" distB="114300" distL="114300" distR="114300" wp14:anchorId="7F48061A" wp14:editId="091F14ED">
            <wp:extent cx="4035880" cy="2919413"/>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035880" cy="2919413"/>
                    </a:xfrm>
                    <a:prstGeom prst="rect">
                      <a:avLst/>
                    </a:prstGeom>
                    <a:ln/>
                  </pic:spPr>
                </pic:pic>
              </a:graphicData>
            </a:graphic>
          </wp:inline>
        </w:drawing>
      </w:r>
    </w:p>
    <w:p w14:paraId="395F45E7" w14:textId="77777777" w:rsidR="00582AED" w:rsidRDefault="00582AED">
      <w:pPr>
        <w:pBdr>
          <w:top w:val="nil"/>
          <w:left w:val="nil"/>
          <w:bottom w:val="nil"/>
          <w:right w:val="nil"/>
          <w:between w:val="nil"/>
        </w:pBdr>
        <w:jc w:val="center"/>
        <w:rPr>
          <w:color w:val="000000"/>
        </w:rPr>
      </w:pPr>
    </w:p>
    <w:p w14:paraId="170982B1" w14:textId="77777777" w:rsidR="00582AED" w:rsidRDefault="00CD7A12">
      <w:pPr>
        <w:pBdr>
          <w:top w:val="nil"/>
          <w:left w:val="nil"/>
          <w:bottom w:val="nil"/>
          <w:right w:val="nil"/>
          <w:between w:val="nil"/>
        </w:pBdr>
        <w:spacing w:line="360" w:lineRule="auto"/>
        <w:jc w:val="center"/>
        <w:rPr>
          <w:color w:val="000000"/>
        </w:rPr>
      </w:pPr>
      <w:r>
        <w:rPr>
          <w:b/>
          <w:color w:val="000000"/>
        </w:rPr>
        <w:t>Figure:</w:t>
      </w:r>
      <w:r>
        <w:rPr>
          <w:color w:val="000000"/>
        </w:rPr>
        <w:t xml:space="preserve"> Occupational Talent Shortage by 2030 in the construction industry in the UK</w:t>
      </w:r>
    </w:p>
    <w:p w14:paraId="62E7769F" w14:textId="77777777" w:rsidR="00582AED" w:rsidRDefault="00CD7A12">
      <w:pPr>
        <w:pBdr>
          <w:top w:val="nil"/>
          <w:left w:val="nil"/>
          <w:bottom w:val="nil"/>
          <w:right w:val="nil"/>
          <w:between w:val="nil"/>
        </w:pBdr>
        <w:spacing w:line="360" w:lineRule="auto"/>
        <w:jc w:val="center"/>
        <w:rPr>
          <w:color w:val="000000"/>
        </w:rPr>
      </w:pPr>
      <w:r>
        <w:rPr>
          <w:b/>
          <w:color w:val="000000"/>
        </w:rPr>
        <w:lastRenderedPageBreak/>
        <w:t xml:space="preserve">Source: </w:t>
      </w:r>
      <w:r>
        <w:rPr>
          <w:color w:val="000000"/>
        </w:rPr>
        <w:t>(mckinsey.com, 2019)</w:t>
      </w:r>
    </w:p>
    <w:p w14:paraId="64BEA60C" w14:textId="77777777" w:rsidR="00582AED" w:rsidRDefault="00582AED">
      <w:pPr>
        <w:pBdr>
          <w:top w:val="nil"/>
          <w:left w:val="nil"/>
          <w:bottom w:val="nil"/>
          <w:right w:val="nil"/>
          <w:between w:val="nil"/>
        </w:pBdr>
        <w:rPr>
          <w:color w:val="000000"/>
        </w:rPr>
      </w:pPr>
    </w:p>
    <w:p w14:paraId="00F516F8" w14:textId="5887C3FF" w:rsidR="00582AED" w:rsidRDefault="00CD7A12">
      <w:pPr>
        <w:pBdr>
          <w:top w:val="nil"/>
          <w:left w:val="nil"/>
          <w:bottom w:val="nil"/>
          <w:right w:val="nil"/>
          <w:between w:val="nil"/>
        </w:pBdr>
        <w:spacing w:line="360" w:lineRule="auto"/>
        <w:jc w:val="both"/>
        <w:rPr>
          <w:color w:val="000000"/>
        </w:rPr>
      </w:pPr>
      <w:r>
        <w:rPr>
          <w:color w:val="000000"/>
        </w:rPr>
        <w:t xml:space="preserve">According to this occupation-by-occupation modeling, from 2017 to 2030, the requirement for overall employment at the most lucrative percentile is expected to rise by an average of around 19 percent, or 1.4 percent annually. In addition to professional positions in information and communication technology (ICT), engineering, health care, and teaching, these vocations also include managerial positions across a wide range of industries (Allas </w:t>
      </w:r>
      <w:r>
        <w:rPr>
          <w:i/>
          <w:color w:val="000000"/>
        </w:rPr>
        <w:t>et al.,</w:t>
      </w:r>
      <w:r>
        <w:rPr>
          <w:color w:val="000000"/>
        </w:rPr>
        <w:t xml:space="preserve"> 2019). </w:t>
      </w:r>
    </w:p>
    <w:p w14:paraId="557EDE31" w14:textId="77777777" w:rsidR="00582AED" w:rsidRDefault="00582AED">
      <w:pPr>
        <w:pBdr>
          <w:top w:val="nil"/>
          <w:left w:val="nil"/>
          <w:bottom w:val="nil"/>
          <w:right w:val="nil"/>
          <w:between w:val="nil"/>
        </w:pBdr>
        <w:spacing w:line="360" w:lineRule="auto"/>
        <w:jc w:val="both"/>
        <w:rPr>
          <w:color w:val="000000"/>
        </w:rPr>
      </w:pPr>
    </w:p>
    <w:p w14:paraId="7F1EDD2F" w14:textId="77777777" w:rsidR="00582AED" w:rsidRDefault="00CD7A12">
      <w:pPr>
        <w:pBdr>
          <w:top w:val="nil"/>
          <w:left w:val="nil"/>
          <w:bottom w:val="nil"/>
          <w:right w:val="nil"/>
          <w:between w:val="nil"/>
        </w:pBdr>
        <w:spacing w:line="360" w:lineRule="auto"/>
        <w:jc w:val="both"/>
        <w:rPr>
          <w:color w:val="000000"/>
        </w:rPr>
      </w:pPr>
      <w:r>
        <w:rPr>
          <w:color w:val="000000"/>
        </w:rPr>
        <w:t xml:space="preserve">The distinguished gap in the industry ought to be eliminated by communicating openly with the current employees and asking them about the problems they are facing. Project management and proper guidance have to be provided with a critical evaluation of what is </w:t>
      </w:r>
      <w:r>
        <w:rPr>
          <w:color w:val="000000"/>
          <w:highlight w:val="white"/>
        </w:rPr>
        <w:t>the requirement of the clients to enclose the existing gap of the employees for quality work. Training and development of employees is another form of establishment that will be followed by the respective organization to enhance the skill set and marketing management of the employees (</w:t>
      </w:r>
      <w:r>
        <w:rPr>
          <w:color w:val="222222"/>
          <w:highlight w:val="white"/>
        </w:rPr>
        <w:t>Clarke, Littlewood and Karani, 2023</w:t>
      </w:r>
      <w:r>
        <w:rPr>
          <w:color w:val="000000"/>
          <w:highlight w:val="white"/>
        </w:rPr>
        <w:t>). These are some of the aims that have been identified to eliminate the skills set gap in the UK constru</w:t>
      </w:r>
      <w:r>
        <w:rPr>
          <w:color w:val="000000"/>
        </w:rPr>
        <w:t>ction industry.</w:t>
      </w:r>
    </w:p>
    <w:p w14:paraId="5E184224" w14:textId="77777777" w:rsidR="00582AED" w:rsidRDefault="00582AED">
      <w:pPr>
        <w:pStyle w:val="Heading2"/>
      </w:pPr>
      <w:bookmarkStart w:id="7" w:name="_heading=h.1t3h5sf" w:colFirst="0" w:colLast="0"/>
      <w:bookmarkEnd w:id="7"/>
    </w:p>
    <w:p w14:paraId="63AE58D6" w14:textId="77777777" w:rsidR="00582AED" w:rsidRDefault="00CD7A12">
      <w:pPr>
        <w:pStyle w:val="Heading2"/>
      </w:pPr>
      <w:bookmarkStart w:id="8" w:name="_heading=h.4d34og8" w:colFirst="0" w:colLast="0"/>
      <w:bookmarkEnd w:id="8"/>
      <w:r>
        <w:t xml:space="preserve">Proposed location with legal entity </w:t>
      </w:r>
    </w:p>
    <w:p w14:paraId="3292E9F4" w14:textId="77777777" w:rsidR="00582AED" w:rsidRDefault="00CD7A12">
      <w:pPr>
        <w:pBdr>
          <w:top w:val="nil"/>
          <w:left w:val="nil"/>
          <w:bottom w:val="nil"/>
          <w:right w:val="nil"/>
          <w:between w:val="nil"/>
        </w:pBdr>
        <w:spacing w:before="240" w:after="240" w:line="360" w:lineRule="auto"/>
        <w:jc w:val="both"/>
        <w:rPr>
          <w:color w:val="000000"/>
        </w:rPr>
      </w:pPr>
      <w:r>
        <w:rPr>
          <w:color w:val="000000"/>
        </w:rPr>
        <w:t xml:space="preserve">One of the key industrial sectors in the British economy, the construction sector generated roughly 6% of the country's total value added in 2019. It ranked sixth within worldwide rankings in terms of GVA for the construction industry in 2018. Within Great Britain, the construction industry utilized approximately 2.1 million people in 2020 (1.4 million in just over 342,000 VAT/PAYE-registered enterprises, along with 727,000 self-employed), alongside a significant proportion of small companies (just over one million small/medium-sized businesses, primarily independent contractors people) accounting for about 18% of every company in the country. In 2020, London and the southeast of England were home to more than a third of all construction companies. In the UK, 12.5% of construction workers were women (researchbriefings.files.parliament.uk, 2022). The South East of England is the best region to pursue an occupation within the building. It comes as unsurprising when this part of England tops the list and earns the title of Britain's trades-friendly locale with 58,204 construction-related companies in the surrounding region. </w:t>
      </w:r>
    </w:p>
    <w:p w14:paraId="4925F1CF" w14:textId="77777777" w:rsidR="00582AED" w:rsidRDefault="00CD7A12">
      <w:pPr>
        <w:pBdr>
          <w:top w:val="nil"/>
          <w:left w:val="nil"/>
          <w:bottom w:val="nil"/>
          <w:right w:val="nil"/>
          <w:between w:val="nil"/>
        </w:pBdr>
        <w:jc w:val="center"/>
        <w:rPr>
          <w:color w:val="000000"/>
        </w:rPr>
      </w:pPr>
      <w:r>
        <w:rPr>
          <w:noProof/>
          <w:color w:val="000000"/>
        </w:rPr>
        <w:lastRenderedPageBreak/>
        <w:drawing>
          <wp:inline distT="114300" distB="114300" distL="114300" distR="114300" wp14:anchorId="087276C8" wp14:editId="2A43905A">
            <wp:extent cx="4348163" cy="3358631"/>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348163" cy="3358631"/>
                    </a:xfrm>
                    <a:prstGeom prst="rect">
                      <a:avLst/>
                    </a:prstGeom>
                    <a:ln/>
                  </pic:spPr>
                </pic:pic>
              </a:graphicData>
            </a:graphic>
          </wp:inline>
        </w:drawing>
      </w:r>
    </w:p>
    <w:p w14:paraId="4FBA6691" w14:textId="77777777" w:rsidR="00582AED" w:rsidRDefault="00582AED">
      <w:pPr>
        <w:pBdr>
          <w:top w:val="nil"/>
          <w:left w:val="nil"/>
          <w:bottom w:val="nil"/>
          <w:right w:val="nil"/>
          <w:between w:val="nil"/>
        </w:pBdr>
        <w:jc w:val="center"/>
        <w:rPr>
          <w:color w:val="000000"/>
        </w:rPr>
      </w:pPr>
    </w:p>
    <w:p w14:paraId="3CFDB6BF" w14:textId="77777777" w:rsidR="00582AED" w:rsidRDefault="00CD7A12">
      <w:pPr>
        <w:pBdr>
          <w:top w:val="nil"/>
          <w:left w:val="nil"/>
          <w:bottom w:val="nil"/>
          <w:right w:val="nil"/>
          <w:between w:val="nil"/>
        </w:pBdr>
        <w:spacing w:line="360" w:lineRule="auto"/>
        <w:jc w:val="center"/>
        <w:rPr>
          <w:color w:val="000000"/>
        </w:rPr>
      </w:pPr>
      <w:r>
        <w:rPr>
          <w:b/>
          <w:color w:val="000000"/>
        </w:rPr>
        <w:t xml:space="preserve">Figure: </w:t>
      </w:r>
      <w:r>
        <w:rPr>
          <w:color w:val="000000"/>
        </w:rPr>
        <w:t xml:space="preserve">Most favored construction located in the UK </w:t>
      </w:r>
    </w:p>
    <w:p w14:paraId="6C5890B4" w14:textId="77777777" w:rsidR="00582AED" w:rsidRDefault="00CD7A12">
      <w:pPr>
        <w:pBdr>
          <w:top w:val="nil"/>
          <w:left w:val="nil"/>
          <w:bottom w:val="nil"/>
          <w:right w:val="nil"/>
          <w:between w:val="nil"/>
        </w:pBdr>
        <w:spacing w:line="360" w:lineRule="auto"/>
        <w:jc w:val="center"/>
        <w:rPr>
          <w:color w:val="000000"/>
        </w:rPr>
      </w:pPr>
      <w:r>
        <w:rPr>
          <w:b/>
          <w:color w:val="000000"/>
        </w:rPr>
        <w:t>Source:</w:t>
      </w:r>
      <w:r>
        <w:rPr>
          <w:color w:val="000000"/>
        </w:rPr>
        <w:t xml:space="preserve"> (statista.com, 2022)</w:t>
      </w:r>
    </w:p>
    <w:p w14:paraId="1CB448FF" w14:textId="77777777" w:rsidR="00582AED" w:rsidRDefault="00582AED">
      <w:pPr>
        <w:pBdr>
          <w:top w:val="nil"/>
          <w:left w:val="nil"/>
          <w:bottom w:val="nil"/>
          <w:right w:val="nil"/>
          <w:between w:val="nil"/>
        </w:pBdr>
        <w:jc w:val="center"/>
        <w:rPr>
          <w:color w:val="000000"/>
        </w:rPr>
      </w:pPr>
    </w:p>
    <w:p w14:paraId="4B611F00" w14:textId="77777777" w:rsidR="00582AED" w:rsidRDefault="00CD7A12">
      <w:pPr>
        <w:pBdr>
          <w:top w:val="nil"/>
          <w:left w:val="nil"/>
          <w:bottom w:val="nil"/>
          <w:right w:val="nil"/>
          <w:between w:val="nil"/>
        </w:pBdr>
        <w:spacing w:before="240" w:after="240" w:line="360" w:lineRule="auto"/>
        <w:jc w:val="both"/>
        <w:rPr>
          <w:color w:val="000000"/>
        </w:rPr>
      </w:pPr>
      <w:r>
        <w:rPr>
          <w:color w:val="000000"/>
        </w:rPr>
        <w:t xml:space="preserve">The government released Building 2025 in July 2013 with its building industry plan. It outlines many important objectives, which are listed as follows: A 33% decrease (from 2010/09 levels) when it comes to initial expenses of installation and the overall price of operating equipment. A decrease of 50% in the total duration required to complete new construction and remodeled infrastructure (based on criteria set by the industry in 2013) (researchbriefings.files.parliament.uk, 2022). A halving of the release of greenhouse gases from construction sites (from 1990 levels). A fifty percent reduction in the trade imbalance between overall exports and overall imports of building supplies (down from a £6 billion deficit before February 2013). </w:t>
      </w:r>
    </w:p>
    <w:p w14:paraId="67EF1DF6" w14:textId="77777777" w:rsidR="00582AED" w:rsidRDefault="00CD7A12">
      <w:pPr>
        <w:pStyle w:val="Heading2"/>
      </w:pPr>
      <w:bookmarkStart w:id="9" w:name="_heading=h.2s8eyo1" w:colFirst="0" w:colLast="0"/>
      <w:bookmarkEnd w:id="9"/>
      <w:r>
        <w:t xml:space="preserve">SWOT </w:t>
      </w:r>
    </w:p>
    <w:p w14:paraId="5B5D53D6" w14:textId="77777777" w:rsidR="00582AED" w:rsidRDefault="00582AED">
      <w:pPr>
        <w:pStyle w:val="Heading2"/>
        <w:spacing w:before="0"/>
      </w:pPr>
    </w:p>
    <w:p w14:paraId="2666210B" w14:textId="77777777" w:rsidR="00582AED" w:rsidRDefault="00582AED">
      <w:pPr>
        <w:spacing w:after="240"/>
      </w:pPr>
    </w:p>
    <w:tbl>
      <w:tblPr>
        <w:tblStyle w:val="a2"/>
        <w:tblW w:w="9026" w:type="dxa"/>
        <w:tblInd w:w="-100" w:type="dxa"/>
        <w:tblLayout w:type="fixed"/>
        <w:tblLook w:val="0400" w:firstRow="0" w:lastRow="0" w:firstColumn="0" w:lastColumn="0" w:noHBand="0" w:noVBand="1"/>
      </w:tblPr>
      <w:tblGrid>
        <w:gridCol w:w="4524"/>
        <w:gridCol w:w="4502"/>
      </w:tblGrid>
      <w:tr w:rsidR="00582AED" w14:paraId="6ADF05E3" w14:textId="77777777">
        <w:tc>
          <w:tcPr>
            <w:tcW w:w="45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0E76D7" w14:textId="77777777" w:rsidR="00582AED" w:rsidRDefault="00CD7A12">
            <w:pPr>
              <w:pBdr>
                <w:top w:val="nil"/>
                <w:left w:val="nil"/>
                <w:bottom w:val="nil"/>
                <w:right w:val="nil"/>
                <w:between w:val="nil"/>
              </w:pBdr>
              <w:spacing w:after="0" w:line="360" w:lineRule="auto"/>
              <w:jc w:val="center"/>
              <w:rPr>
                <w:rFonts w:ascii="Arial" w:eastAsia="Arial" w:hAnsi="Arial" w:cs="Arial"/>
                <w:color w:val="000000"/>
                <w:sz w:val="24"/>
                <w:szCs w:val="24"/>
              </w:rPr>
            </w:pPr>
            <w:r>
              <w:rPr>
                <w:rFonts w:ascii="Arial" w:eastAsia="Arial" w:hAnsi="Arial" w:cs="Arial"/>
                <w:b/>
                <w:color w:val="000000"/>
              </w:rPr>
              <w:t>Strength </w:t>
            </w:r>
          </w:p>
          <w:p w14:paraId="40F1F9C3" w14:textId="77777777" w:rsidR="00582AED" w:rsidRDefault="00CD7A12">
            <w:p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rPr>
              <w:lastRenderedPageBreak/>
              <w:t>Efficiency brings down expenses. It increases sales. It may be the difference between a three-year effort and a one-year endeavor. Any individual knows the fact that it just takes a single delayed appointment over a business to lose a client's trust (Onat and Kucukvar, 2020). Consumers become far more probable to employ a company that keeps its word and makes an effort to complete tasks on time. Undoubtedly, organizations preserve the professionalism and protection that define the workers.</w:t>
            </w:r>
          </w:p>
        </w:tc>
        <w:tc>
          <w:tcPr>
            <w:tcW w:w="4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0777A6" w14:textId="77777777" w:rsidR="00582AED" w:rsidRDefault="00CD7A12">
            <w:pPr>
              <w:pBdr>
                <w:top w:val="nil"/>
                <w:left w:val="nil"/>
                <w:bottom w:val="nil"/>
                <w:right w:val="nil"/>
                <w:between w:val="nil"/>
              </w:pBdr>
              <w:spacing w:after="0" w:line="360" w:lineRule="auto"/>
              <w:jc w:val="center"/>
              <w:rPr>
                <w:rFonts w:ascii="Arial" w:eastAsia="Arial" w:hAnsi="Arial" w:cs="Arial"/>
                <w:color w:val="000000"/>
                <w:sz w:val="24"/>
                <w:szCs w:val="24"/>
              </w:rPr>
            </w:pPr>
            <w:r>
              <w:rPr>
                <w:rFonts w:ascii="Arial" w:eastAsia="Arial" w:hAnsi="Arial" w:cs="Arial"/>
                <w:b/>
                <w:color w:val="000000"/>
              </w:rPr>
              <w:lastRenderedPageBreak/>
              <w:t>Weaknesses </w:t>
            </w:r>
          </w:p>
          <w:p w14:paraId="1F85CB90" w14:textId="77777777" w:rsidR="00582AED" w:rsidRDefault="00CD7A12">
            <w:p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rPr>
              <w:lastRenderedPageBreak/>
              <w:t>Establishing companies run the risk of going out of business should they concentrate entirely upon a particular sector and clients, which compounds the preceding issue. If a construction firm chooses to take care of only a single type of clientele and that particular consumption company does not work, its engineering business is left in the empty bag. Given that construction work ends anytime it's done by clients does too (Jones, Comfort, and Hillier, 2018). A business is unable to run whilst it waiting for clients. especially if there is an ongoing slump within the business sector it is pursuing.</w:t>
            </w:r>
          </w:p>
        </w:tc>
      </w:tr>
      <w:tr w:rsidR="00582AED" w14:paraId="19527323" w14:textId="77777777">
        <w:tc>
          <w:tcPr>
            <w:tcW w:w="45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F1C69C" w14:textId="77777777" w:rsidR="00582AED" w:rsidRDefault="00CD7A12">
            <w:pPr>
              <w:pBdr>
                <w:top w:val="nil"/>
                <w:left w:val="nil"/>
                <w:bottom w:val="nil"/>
                <w:right w:val="nil"/>
                <w:between w:val="nil"/>
              </w:pBdr>
              <w:spacing w:after="0" w:line="360" w:lineRule="auto"/>
              <w:jc w:val="center"/>
              <w:rPr>
                <w:rFonts w:ascii="Arial" w:eastAsia="Arial" w:hAnsi="Arial" w:cs="Arial"/>
                <w:color w:val="000000"/>
                <w:sz w:val="24"/>
                <w:szCs w:val="24"/>
              </w:rPr>
            </w:pPr>
            <w:r>
              <w:rPr>
                <w:rFonts w:ascii="Arial" w:eastAsia="Arial" w:hAnsi="Arial" w:cs="Arial"/>
                <w:b/>
                <w:color w:val="000000"/>
              </w:rPr>
              <w:lastRenderedPageBreak/>
              <w:t>Threats </w:t>
            </w:r>
          </w:p>
          <w:p w14:paraId="3E5D0CCA" w14:textId="31BF5F4C" w:rsidR="00582AED" w:rsidRDefault="00CD7A12">
            <w:p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rPr>
              <w:t>This is true across all sectors, but especially in the engineering sector. As an example, a company can not close operations amid a recession. Additionally, consumers are powerless to stop a downturn precipitated through a financial crisis. According to Ullah, Lill, and Witt (2019), each of these events belong beneath the umbrella of unforeseen impacts. Anyone's only choice is to act sensibly in these situations. In a few years, a nascent enterprise can be obsolete. Building companies run the danger of going extinction along with their customers business suppliers.</w:t>
            </w:r>
          </w:p>
        </w:tc>
        <w:tc>
          <w:tcPr>
            <w:tcW w:w="45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C06B1E" w14:textId="77777777" w:rsidR="00582AED" w:rsidRDefault="00CD7A12">
            <w:pPr>
              <w:pBdr>
                <w:top w:val="nil"/>
                <w:left w:val="nil"/>
                <w:bottom w:val="nil"/>
                <w:right w:val="nil"/>
                <w:between w:val="nil"/>
              </w:pBdr>
              <w:spacing w:after="0" w:line="360" w:lineRule="auto"/>
              <w:jc w:val="center"/>
              <w:rPr>
                <w:rFonts w:ascii="Arial" w:eastAsia="Arial" w:hAnsi="Arial" w:cs="Arial"/>
                <w:color w:val="000000"/>
                <w:sz w:val="24"/>
                <w:szCs w:val="24"/>
              </w:rPr>
            </w:pPr>
            <w:r>
              <w:rPr>
                <w:rFonts w:ascii="Arial" w:eastAsia="Arial" w:hAnsi="Arial" w:cs="Arial"/>
                <w:b/>
                <w:color w:val="000000"/>
              </w:rPr>
              <w:t>Opportunities </w:t>
            </w:r>
          </w:p>
          <w:p w14:paraId="7ADA072E" w14:textId="77777777" w:rsidR="00582AED" w:rsidRDefault="00CD7A12">
            <w:p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rPr>
              <w:t>Construction businesses should always be striving to increase their clients. People should refrain from allowing fortune to determine this. Rather than waiting, individuals should make the chance to succeed for themself. for instance, growing the company's companies. As another option, companies may make existing sections bigger to handle the increased burden. Keep an eye towards the latest modifications. This can be maybe one of the easiest methods to create ecologically sustainable jobs. When an organisation notices it's are a greater number of public transportation options in a given location, it may be a sign that additional individuals are moving elsewhere.</w:t>
            </w:r>
          </w:p>
        </w:tc>
      </w:tr>
    </w:tbl>
    <w:p w14:paraId="0B17D01F" w14:textId="77777777" w:rsidR="00582AED" w:rsidRDefault="00582AED">
      <w:pPr>
        <w:spacing w:line="360" w:lineRule="auto"/>
        <w:rPr>
          <w:rFonts w:ascii="Arial" w:eastAsia="Arial" w:hAnsi="Arial" w:cs="Arial"/>
        </w:rPr>
      </w:pPr>
    </w:p>
    <w:p w14:paraId="2B97F6E7" w14:textId="77777777" w:rsidR="00582AED" w:rsidRDefault="00582AED">
      <w:pPr>
        <w:pBdr>
          <w:top w:val="nil"/>
          <w:left w:val="nil"/>
          <w:bottom w:val="nil"/>
          <w:right w:val="nil"/>
          <w:between w:val="nil"/>
        </w:pBdr>
        <w:rPr>
          <w:color w:val="000000"/>
        </w:rPr>
      </w:pPr>
    </w:p>
    <w:p w14:paraId="7FE7B3E3" w14:textId="77777777" w:rsidR="00582AED" w:rsidRDefault="00582AED">
      <w:pPr>
        <w:pBdr>
          <w:top w:val="nil"/>
          <w:left w:val="nil"/>
          <w:bottom w:val="nil"/>
          <w:right w:val="nil"/>
          <w:between w:val="nil"/>
        </w:pBdr>
        <w:rPr>
          <w:color w:val="000000"/>
        </w:rPr>
      </w:pPr>
    </w:p>
    <w:p w14:paraId="76ECFF9A" w14:textId="77777777" w:rsidR="00582AED" w:rsidRDefault="00CD7A12">
      <w:pPr>
        <w:pStyle w:val="Heading2"/>
        <w:rPr>
          <w:highlight w:val="yellow"/>
        </w:rPr>
      </w:pPr>
      <w:bookmarkStart w:id="10" w:name="_heading=h.17dp8vu" w:colFirst="0" w:colLast="0"/>
      <w:bookmarkEnd w:id="10"/>
      <w:r>
        <w:t>Explanation of target market</w:t>
      </w:r>
    </w:p>
    <w:p w14:paraId="7D16A59C" w14:textId="77777777" w:rsidR="00582AED" w:rsidRDefault="00CD7A12">
      <w:pPr>
        <w:pBdr>
          <w:top w:val="nil"/>
          <w:left w:val="nil"/>
          <w:bottom w:val="nil"/>
          <w:right w:val="nil"/>
          <w:between w:val="nil"/>
        </w:pBdr>
        <w:spacing w:line="360" w:lineRule="auto"/>
        <w:jc w:val="both"/>
        <w:rPr>
          <w:color w:val="000000"/>
        </w:rPr>
      </w:pPr>
      <w:r>
        <w:rPr>
          <w:color w:val="000000"/>
        </w:rPr>
        <w:t xml:space="preserve">The primary target customers of the UK construction business is the homeowner, property developers, Government, businesses related to construction projects, factories, and the Government of the country. As per the opinion of  </w:t>
      </w:r>
      <w:r>
        <w:rPr>
          <w:color w:val="222222"/>
          <w:highlight w:val="white"/>
        </w:rPr>
        <w:t>Beliaeva et al.  (2022</w:t>
      </w:r>
      <w:r>
        <w:rPr>
          <w:color w:val="000000"/>
          <w:sz w:val="24"/>
          <w:szCs w:val="24"/>
        </w:rPr>
        <w:t>)</w:t>
      </w:r>
      <w:r>
        <w:rPr>
          <w:color w:val="000000"/>
        </w:rPr>
        <w:t xml:space="preserve"> UK construction industry is based on some key segments such as industrial construction, residential construction, commercial construction, educational construction, and others. Therefore the recruitment of customers depends on the market segments from which the customers belong. </w:t>
      </w:r>
    </w:p>
    <w:p w14:paraId="68DC5CD0" w14:textId="77777777" w:rsidR="00582AED" w:rsidRDefault="00CD7A12">
      <w:pPr>
        <w:pBdr>
          <w:top w:val="nil"/>
          <w:left w:val="nil"/>
          <w:bottom w:val="nil"/>
          <w:right w:val="nil"/>
          <w:between w:val="nil"/>
        </w:pBdr>
        <w:spacing w:line="360" w:lineRule="auto"/>
        <w:jc w:val="center"/>
        <w:rPr>
          <w:color w:val="000000"/>
        </w:rPr>
      </w:pPr>
      <w:r>
        <w:rPr>
          <w:noProof/>
          <w:color w:val="000000"/>
        </w:rPr>
        <w:drawing>
          <wp:inline distT="114300" distB="114300" distL="114300" distR="114300" wp14:anchorId="7D05A149" wp14:editId="5C09707E">
            <wp:extent cx="4400550" cy="2466975"/>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400550" cy="2466975"/>
                    </a:xfrm>
                    <a:prstGeom prst="rect">
                      <a:avLst/>
                    </a:prstGeom>
                    <a:ln/>
                  </pic:spPr>
                </pic:pic>
              </a:graphicData>
            </a:graphic>
          </wp:inline>
        </w:drawing>
      </w:r>
    </w:p>
    <w:p w14:paraId="68E17D3D" w14:textId="77777777" w:rsidR="00582AED" w:rsidRDefault="00582AED">
      <w:pPr>
        <w:pBdr>
          <w:top w:val="nil"/>
          <w:left w:val="nil"/>
          <w:bottom w:val="nil"/>
          <w:right w:val="nil"/>
          <w:between w:val="nil"/>
        </w:pBdr>
        <w:spacing w:line="360" w:lineRule="auto"/>
        <w:jc w:val="center"/>
        <w:rPr>
          <w:color w:val="000000"/>
        </w:rPr>
      </w:pPr>
    </w:p>
    <w:p w14:paraId="2D8E79A8" w14:textId="77777777" w:rsidR="00582AED" w:rsidRDefault="00CD7A12">
      <w:pPr>
        <w:pBdr>
          <w:top w:val="nil"/>
          <w:left w:val="nil"/>
          <w:bottom w:val="nil"/>
          <w:right w:val="nil"/>
          <w:between w:val="nil"/>
        </w:pBdr>
        <w:spacing w:line="360" w:lineRule="auto"/>
        <w:jc w:val="center"/>
        <w:rPr>
          <w:color w:val="000000"/>
        </w:rPr>
      </w:pPr>
      <w:r>
        <w:rPr>
          <w:b/>
          <w:color w:val="000000"/>
        </w:rPr>
        <w:t xml:space="preserve">Figure: </w:t>
      </w:r>
      <w:r>
        <w:rPr>
          <w:color w:val="000000"/>
        </w:rPr>
        <w:t>Different Customers segments of the UK construction industry</w:t>
      </w:r>
    </w:p>
    <w:p w14:paraId="4DDDFC78" w14:textId="77777777" w:rsidR="00582AED" w:rsidRDefault="00CD7A12">
      <w:pPr>
        <w:pBdr>
          <w:top w:val="nil"/>
          <w:left w:val="nil"/>
          <w:bottom w:val="nil"/>
          <w:right w:val="nil"/>
          <w:between w:val="nil"/>
        </w:pBdr>
        <w:spacing w:line="360" w:lineRule="auto"/>
        <w:jc w:val="center"/>
        <w:rPr>
          <w:color w:val="000000"/>
        </w:rPr>
      </w:pPr>
      <w:r>
        <w:rPr>
          <w:b/>
          <w:color w:val="000000"/>
        </w:rPr>
        <w:t>Source:</w:t>
      </w:r>
      <w:r>
        <w:rPr>
          <w:color w:val="000000"/>
        </w:rPr>
        <w:t xml:space="preserve"> (statista,2023)</w:t>
      </w:r>
    </w:p>
    <w:p w14:paraId="582B6AA6" w14:textId="77777777" w:rsidR="00582AED" w:rsidRDefault="00CD7A12">
      <w:pPr>
        <w:pBdr>
          <w:top w:val="nil"/>
          <w:left w:val="nil"/>
          <w:bottom w:val="nil"/>
          <w:right w:val="nil"/>
          <w:between w:val="nil"/>
        </w:pBdr>
        <w:spacing w:line="360" w:lineRule="auto"/>
        <w:jc w:val="both"/>
      </w:pPr>
      <w:r>
        <w:rPr>
          <w:color w:val="000000"/>
        </w:rPr>
        <w:t>The</w:t>
      </w:r>
      <w:r>
        <w:rPr>
          <w:b/>
          <w:color w:val="000000"/>
        </w:rPr>
        <w:t xml:space="preserve"> </w:t>
      </w:r>
      <w:r>
        <w:rPr>
          <w:color w:val="000000"/>
        </w:rPr>
        <w:t xml:space="preserve">above graph reveals the numbers of customers in the different types of construction projects in the UK construction industry from 1997 to 2022. According to the graph, the number of customers in the private housing sector was 21.77% in 2021 and It was increased to 22.44% in 2022. It denotes </w:t>
      </w:r>
      <w:r>
        <w:t>that the number</w:t>
      </w:r>
      <w:r>
        <w:rPr>
          <w:color w:val="000000"/>
        </w:rPr>
        <w:t xml:space="preserve"> of customers in the private housing sector will increase in 2022 in comparison to 2021 (statista,2023). Considering these factors it can be said that the private housing sector is one of the most significant target market segments of the UK construction industry.  However</w:t>
      </w:r>
      <w:r>
        <w:t xml:space="preserve"> the demographic market segment is generally preferred by the construction industry in the UK. Demographic market segments consider the income, education, life cycle of the customers. </w:t>
      </w:r>
    </w:p>
    <w:p w14:paraId="14A74118" w14:textId="77777777" w:rsidR="00582AED" w:rsidRDefault="00CD7A12">
      <w:pPr>
        <w:pBdr>
          <w:top w:val="nil"/>
          <w:left w:val="nil"/>
          <w:bottom w:val="nil"/>
          <w:right w:val="nil"/>
          <w:between w:val="nil"/>
        </w:pBdr>
        <w:spacing w:line="360" w:lineRule="auto"/>
        <w:jc w:val="center"/>
      </w:pPr>
      <w:r>
        <w:rPr>
          <w:noProof/>
        </w:rPr>
        <w:drawing>
          <wp:inline distT="114300" distB="114300" distL="114300" distR="114300" wp14:anchorId="712D7F17" wp14:editId="79719614">
            <wp:extent cx="4667250" cy="2457450"/>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4667250" cy="2457450"/>
                    </a:xfrm>
                    <a:prstGeom prst="rect">
                      <a:avLst/>
                    </a:prstGeom>
                    <a:ln/>
                  </pic:spPr>
                </pic:pic>
              </a:graphicData>
            </a:graphic>
          </wp:inline>
        </w:drawing>
      </w:r>
    </w:p>
    <w:p w14:paraId="6F78E093" w14:textId="77777777" w:rsidR="00582AED" w:rsidRDefault="00CD7A12">
      <w:pPr>
        <w:pBdr>
          <w:top w:val="nil"/>
          <w:left w:val="nil"/>
          <w:bottom w:val="nil"/>
          <w:right w:val="nil"/>
          <w:between w:val="nil"/>
        </w:pBdr>
        <w:spacing w:line="360" w:lineRule="auto"/>
        <w:jc w:val="center"/>
      </w:pPr>
      <w:r>
        <w:rPr>
          <w:b/>
        </w:rPr>
        <w:t xml:space="preserve">Figure:  </w:t>
      </w:r>
      <w:r>
        <w:t>Market Segments</w:t>
      </w:r>
    </w:p>
    <w:p w14:paraId="0B4C63B6" w14:textId="77777777" w:rsidR="00582AED" w:rsidRDefault="00CD7A12">
      <w:pPr>
        <w:pBdr>
          <w:top w:val="nil"/>
          <w:left w:val="nil"/>
          <w:bottom w:val="nil"/>
          <w:right w:val="nil"/>
          <w:between w:val="nil"/>
        </w:pBdr>
        <w:spacing w:line="360" w:lineRule="auto"/>
        <w:jc w:val="center"/>
      </w:pPr>
      <w:r>
        <w:rPr>
          <w:b/>
        </w:rPr>
        <w:t xml:space="preserve">Sources: </w:t>
      </w:r>
      <w:r>
        <w:t>(researchgate,2023)</w:t>
      </w:r>
    </w:p>
    <w:p w14:paraId="0C99FDC9" w14:textId="77777777" w:rsidR="00582AED" w:rsidRDefault="00CD7A12">
      <w:pPr>
        <w:pBdr>
          <w:top w:val="nil"/>
          <w:left w:val="nil"/>
          <w:bottom w:val="nil"/>
          <w:right w:val="nil"/>
          <w:between w:val="nil"/>
        </w:pBdr>
        <w:spacing w:line="360" w:lineRule="auto"/>
        <w:jc w:val="both"/>
        <w:rPr>
          <w:color w:val="000000"/>
        </w:rPr>
      </w:pPr>
      <w:r>
        <w:rPr>
          <w:color w:val="000000"/>
        </w:rPr>
        <w:t xml:space="preserve">Developers of housing frequently refer to businesses or people who purchase terrain, construct it with residences or additional structures, and subsequently sell those constructions. That renders individuals both a prospective collaborators </w:t>
      </w:r>
      <w:r>
        <w:t>and appropriate</w:t>
      </w:r>
      <w:r>
        <w:rPr>
          <w:color w:val="000000"/>
        </w:rPr>
        <w:t xml:space="preserve"> consumers for a building firm. development firms are frequently required by enterprises to assist with the development of new </w:t>
      </w:r>
      <w:r>
        <w:rPr>
          <w:color w:val="000000"/>
          <w:highlight w:val="white"/>
        </w:rPr>
        <w:t>workplaces, manufacturing plants, or additions for current equipment and structures. Among the biggest clients for building contractors are municipal, state, and government agencies (</w:t>
      </w:r>
      <w:r>
        <w:rPr>
          <w:color w:val="222222"/>
          <w:highlight w:val="white"/>
        </w:rPr>
        <w:t>Awwad, Shibani and Ghostin, 2022</w:t>
      </w:r>
      <w:r>
        <w:rPr>
          <w:color w:val="000000"/>
          <w:highlight w:val="white"/>
        </w:rPr>
        <w:t>). Although these might be challenging clients to gain, individuals are a</w:t>
      </w:r>
      <w:r>
        <w:rPr>
          <w:color w:val="000000"/>
        </w:rPr>
        <w:t xml:space="preserve">dditionally an exceptionally profitable market to pursue for construction companies. Building contractors sometimes need to use additional building businesses for subcontractors or to assist handle particular areas of an </w:t>
      </w:r>
      <w:r>
        <w:t>endeavor</w:t>
      </w:r>
      <w:r>
        <w:rPr>
          <w:color w:val="000000"/>
        </w:rPr>
        <w:t>.</w:t>
      </w:r>
    </w:p>
    <w:p w14:paraId="0AA9B222" w14:textId="77777777" w:rsidR="00582AED" w:rsidRDefault="00CD7A12">
      <w:pPr>
        <w:pStyle w:val="Heading2"/>
        <w:rPr>
          <w:highlight w:val="yellow"/>
        </w:rPr>
      </w:pPr>
      <w:bookmarkStart w:id="11" w:name="_heading=h.3rdcrjn" w:colFirst="0" w:colLast="0"/>
      <w:bookmarkEnd w:id="11"/>
      <w:r>
        <w:t xml:space="preserve">Strategies to Approach the target market </w:t>
      </w:r>
    </w:p>
    <w:p w14:paraId="2B2378FA" w14:textId="77777777" w:rsidR="00582AED" w:rsidRDefault="00CD7A12">
      <w:pPr>
        <w:pBdr>
          <w:top w:val="nil"/>
          <w:left w:val="nil"/>
          <w:bottom w:val="nil"/>
          <w:right w:val="nil"/>
          <w:between w:val="nil"/>
        </w:pBdr>
        <w:spacing w:line="360" w:lineRule="auto"/>
        <w:jc w:val="both"/>
        <w:rPr>
          <w:color w:val="000000"/>
        </w:rPr>
      </w:pPr>
      <w:r>
        <w:rPr>
          <w:color w:val="000000"/>
        </w:rPr>
        <w:t>According to Gu</w:t>
      </w:r>
      <w:r>
        <w:rPr>
          <w:color w:val="222222"/>
          <w:sz w:val="20"/>
          <w:szCs w:val="20"/>
          <w:highlight w:val="white"/>
        </w:rPr>
        <w:t>, (2023</w:t>
      </w:r>
      <w:r>
        <w:rPr>
          <w:color w:val="000000"/>
        </w:rPr>
        <w:t xml:space="preserve">) UK construction industry mainly deals with two types of customers such as commercial clients and domestic clients. Both segments are very important and play an important role in increasing the value and profitability of the construction industry in the UK. Therefore, different strategies are available to attract new customers from different market segments. </w:t>
      </w:r>
    </w:p>
    <w:p w14:paraId="0AE4D242" w14:textId="119C0A16" w:rsidR="00582AED" w:rsidRDefault="00CD7A12">
      <w:pPr>
        <w:pBdr>
          <w:top w:val="nil"/>
          <w:left w:val="nil"/>
          <w:bottom w:val="nil"/>
          <w:right w:val="nil"/>
          <w:between w:val="nil"/>
        </w:pBdr>
        <w:spacing w:line="360" w:lineRule="auto"/>
        <w:jc w:val="both"/>
        <w:rPr>
          <w:color w:val="000000"/>
        </w:rPr>
      </w:pPr>
      <w:r>
        <w:rPr>
          <w:rFonts w:ascii="Arial" w:eastAsia="Arial" w:hAnsi="Arial" w:cs="Arial"/>
          <w:b/>
          <w:i/>
          <w:color w:val="000000"/>
        </w:rPr>
        <w:t>Building a content creation team</w:t>
      </w:r>
      <w:r>
        <w:rPr>
          <w:b/>
          <w:i/>
          <w:color w:val="000000"/>
        </w:rPr>
        <w:t>-</w:t>
      </w:r>
      <w:r>
        <w:rPr>
          <w:color w:val="000000"/>
        </w:rPr>
        <w:t xml:space="preserve"> Building a content creation team for developing projects is one of the most significant approaches for attracting new customers to the construction industry in the UK. Therefore, professional continent creators can make an attractive poster that includes all the benefits, cost, quality, structure, and other amenities of the construction project</w:t>
      </w:r>
      <w:r>
        <w:rPr>
          <w:color w:val="000000"/>
          <w:sz w:val="24"/>
          <w:szCs w:val="24"/>
        </w:rPr>
        <w:t xml:space="preserve"> </w:t>
      </w:r>
      <w:r>
        <w:rPr>
          <w:color w:val="222222"/>
          <w:highlight w:val="white"/>
        </w:rPr>
        <w:t>Beliaeva (2022</w:t>
      </w:r>
      <w:r>
        <w:rPr>
          <w:color w:val="000000"/>
          <w:sz w:val="24"/>
          <w:szCs w:val="24"/>
        </w:rPr>
        <w:t>)</w:t>
      </w:r>
      <w:r>
        <w:rPr>
          <w:color w:val="000000"/>
        </w:rPr>
        <w:t xml:space="preserve">. It helps to attract new customers and increase the profit. </w:t>
      </w:r>
    </w:p>
    <w:p w14:paraId="0762F3BD" w14:textId="2AA76C64" w:rsidR="00582AED" w:rsidRDefault="00CD7A12">
      <w:pPr>
        <w:pBdr>
          <w:top w:val="nil"/>
          <w:left w:val="nil"/>
          <w:bottom w:val="nil"/>
          <w:right w:val="nil"/>
          <w:between w:val="nil"/>
        </w:pBdr>
        <w:spacing w:line="360" w:lineRule="auto"/>
        <w:jc w:val="both"/>
        <w:rPr>
          <w:color w:val="000000"/>
        </w:rPr>
      </w:pPr>
      <w:r>
        <w:rPr>
          <w:rFonts w:ascii="Arial" w:eastAsia="Arial" w:hAnsi="Arial" w:cs="Arial"/>
          <w:b/>
          <w:i/>
          <w:color w:val="000000"/>
        </w:rPr>
        <w:t>Use of Social media platform</w:t>
      </w:r>
      <w:r>
        <w:rPr>
          <w:b/>
          <w:i/>
          <w:color w:val="000000"/>
        </w:rPr>
        <w:t xml:space="preserve">- </w:t>
      </w:r>
      <w:r>
        <w:rPr>
          <w:color w:val="000000"/>
        </w:rPr>
        <w:t xml:space="preserve">Social media platform helps to attract a large number of customers in the construction industry. </w:t>
      </w:r>
      <w:r w:rsidR="0000116A">
        <w:rPr>
          <w:color w:val="000000"/>
        </w:rPr>
        <w:t xml:space="preserve">Therefore </w:t>
      </w:r>
      <w:r>
        <w:rPr>
          <w:color w:val="000000"/>
        </w:rPr>
        <w:t xml:space="preserve">the construction companies can use social media platforms to provide information regarding different construction  projects. </w:t>
      </w:r>
    </w:p>
    <w:p w14:paraId="7A2D5141" w14:textId="77777777" w:rsidR="00582AED" w:rsidRDefault="00CD7A12">
      <w:pPr>
        <w:pStyle w:val="Heading2"/>
        <w:rPr>
          <w:highlight w:val="yellow"/>
        </w:rPr>
      </w:pPr>
      <w:bookmarkStart w:id="12" w:name="_heading=h.26in1rg" w:colFirst="0" w:colLast="0"/>
      <w:bookmarkEnd w:id="12"/>
      <w:r>
        <w:t xml:space="preserve">Potential external funding sources </w:t>
      </w:r>
    </w:p>
    <w:p w14:paraId="37932246" w14:textId="1B5CCC85" w:rsidR="00582AED" w:rsidRDefault="00CD7A12">
      <w:pPr>
        <w:pBdr>
          <w:top w:val="nil"/>
          <w:left w:val="nil"/>
          <w:bottom w:val="nil"/>
          <w:right w:val="nil"/>
          <w:between w:val="nil"/>
        </w:pBdr>
        <w:rPr>
          <w:rFonts w:ascii="Arial" w:eastAsia="Arial" w:hAnsi="Arial" w:cs="Arial"/>
          <w:b/>
          <w:i/>
          <w:color w:val="000000"/>
        </w:rPr>
      </w:pPr>
      <w:r>
        <w:rPr>
          <w:rFonts w:ascii="Arial" w:eastAsia="Arial" w:hAnsi="Arial" w:cs="Arial"/>
          <w:b/>
          <w:i/>
          <w:color w:val="000000"/>
        </w:rPr>
        <w:t xml:space="preserve">A brief financial or budget plan and decide on the required resources. Determination of potential outside funding sources to provide </w:t>
      </w:r>
      <w:proofErr w:type="spellStart"/>
      <w:r>
        <w:rPr>
          <w:rFonts w:ascii="Arial" w:eastAsia="Arial" w:hAnsi="Arial" w:cs="Arial"/>
          <w:b/>
          <w:i/>
          <w:color w:val="000000"/>
        </w:rPr>
        <w:t>provide</w:t>
      </w:r>
      <w:proofErr w:type="spellEnd"/>
      <w:r>
        <w:rPr>
          <w:rFonts w:ascii="Arial" w:eastAsia="Arial" w:hAnsi="Arial" w:cs="Arial"/>
          <w:b/>
          <w:i/>
          <w:color w:val="000000"/>
        </w:rPr>
        <w:t xml:space="preserve"> proper justification</w:t>
      </w:r>
    </w:p>
    <w:p w14:paraId="4A7E71CC" w14:textId="2E6DCCAF" w:rsidR="005B2905" w:rsidRDefault="005B2905">
      <w:pPr>
        <w:pBdr>
          <w:top w:val="nil"/>
          <w:left w:val="nil"/>
          <w:bottom w:val="nil"/>
          <w:right w:val="nil"/>
          <w:between w:val="nil"/>
        </w:pBdr>
        <w:rPr>
          <w:rFonts w:ascii="Arial" w:eastAsia="Arial" w:hAnsi="Arial" w:cs="Arial"/>
          <w:b/>
          <w:i/>
          <w:color w:val="000000"/>
        </w:rPr>
      </w:pPr>
      <w:r>
        <w:rPr>
          <w:rFonts w:ascii="Arial" w:eastAsia="Arial" w:hAnsi="Arial" w:cs="Arial"/>
          <w:b/>
          <w:i/>
          <w:noProof/>
          <w:color w:val="000000"/>
        </w:rPr>
        <w:drawing>
          <wp:inline distT="0" distB="0" distL="0" distR="0" wp14:anchorId="6A68DCD3" wp14:editId="455227EC">
            <wp:extent cx="5733415" cy="2538095"/>
            <wp:effectExtent l="0" t="0" r="635" b="0"/>
            <wp:docPr id="18896297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629748" name="Picture 188962974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3415" cy="2538095"/>
                    </a:xfrm>
                    <a:prstGeom prst="rect">
                      <a:avLst/>
                    </a:prstGeom>
                  </pic:spPr>
                </pic:pic>
              </a:graphicData>
            </a:graphic>
          </wp:inline>
        </w:drawing>
      </w:r>
    </w:p>
    <w:p w14:paraId="74B28536" w14:textId="277D3D21" w:rsidR="005B2905" w:rsidRDefault="005B2905">
      <w:pPr>
        <w:pBdr>
          <w:top w:val="nil"/>
          <w:left w:val="nil"/>
          <w:bottom w:val="nil"/>
          <w:right w:val="nil"/>
          <w:between w:val="nil"/>
        </w:pBdr>
        <w:rPr>
          <w:rFonts w:ascii="Arial" w:eastAsia="Arial" w:hAnsi="Arial" w:cs="Arial"/>
          <w:b/>
          <w:i/>
          <w:color w:val="000000"/>
        </w:rPr>
      </w:pPr>
      <w:r>
        <w:rPr>
          <w:rFonts w:ascii="Arial" w:eastAsia="Arial" w:hAnsi="Arial" w:cs="Arial"/>
          <w:b/>
          <w:i/>
          <w:noProof/>
          <w:color w:val="000000"/>
        </w:rPr>
        <w:drawing>
          <wp:inline distT="0" distB="0" distL="0" distR="0" wp14:anchorId="364B43B3" wp14:editId="2CB143A8">
            <wp:extent cx="5733415" cy="2053590"/>
            <wp:effectExtent l="0" t="0" r="635" b="3810"/>
            <wp:docPr id="1941246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246366" name="Picture 194124636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3415" cy="2053590"/>
                    </a:xfrm>
                    <a:prstGeom prst="rect">
                      <a:avLst/>
                    </a:prstGeom>
                  </pic:spPr>
                </pic:pic>
              </a:graphicData>
            </a:graphic>
          </wp:inline>
        </w:drawing>
      </w:r>
    </w:p>
    <w:p w14:paraId="2296B46B" w14:textId="7C49059E" w:rsidR="00582AED" w:rsidRDefault="005B2905">
      <w:pPr>
        <w:pBdr>
          <w:top w:val="nil"/>
          <w:left w:val="nil"/>
          <w:bottom w:val="nil"/>
          <w:right w:val="nil"/>
          <w:between w:val="nil"/>
        </w:pBdr>
        <w:rPr>
          <w:b/>
          <w:i/>
          <w:color w:val="000000"/>
        </w:rPr>
      </w:pPr>
      <w:r>
        <w:rPr>
          <w:rFonts w:ascii="Arial" w:eastAsia="Arial" w:hAnsi="Arial" w:cs="Arial"/>
          <w:b/>
          <w:i/>
          <w:noProof/>
          <w:color w:val="000000"/>
        </w:rPr>
        <w:drawing>
          <wp:inline distT="0" distB="0" distL="0" distR="0" wp14:anchorId="18698C2A" wp14:editId="405CE637">
            <wp:extent cx="5733415" cy="1652905"/>
            <wp:effectExtent l="0" t="0" r="635" b="4445"/>
            <wp:docPr id="15073015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301524" name="Picture 150730152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3415" cy="1652905"/>
                    </a:xfrm>
                    <a:prstGeom prst="rect">
                      <a:avLst/>
                    </a:prstGeom>
                  </pic:spPr>
                </pic:pic>
              </a:graphicData>
            </a:graphic>
          </wp:inline>
        </w:drawing>
      </w:r>
    </w:p>
    <w:tbl>
      <w:tblPr>
        <w:tblStyle w:val="a3"/>
        <w:tblW w:w="8415"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3825"/>
        <w:gridCol w:w="1485"/>
        <w:gridCol w:w="1485"/>
        <w:gridCol w:w="1620"/>
      </w:tblGrid>
      <w:tr w:rsidR="00582AED" w14:paraId="6FB9B7F4" w14:textId="77777777">
        <w:trPr>
          <w:cantSplit/>
          <w:trHeight w:val="575"/>
          <w:tblHeader/>
        </w:trPr>
        <w:tc>
          <w:tcPr>
            <w:tcW w:w="3825" w:type="dxa"/>
            <w:tcBorders>
              <w:top w:val="single" w:sz="6" w:space="0" w:color="CCCCCC"/>
              <w:left w:val="single" w:sz="6" w:space="0" w:color="CCCCCC"/>
              <w:bottom w:val="single" w:sz="6" w:space="0" w:color="CCCCCC"/>
              <w:right w:val="single" w:sz="6" w:space="0" w:color="CCCCCC"/>
            </w:tcBorders>
            <w:tcMar>
              <w:top w:w="100" w:type="dxa"/>
              <w:left w:w="40" w:type="dxa"/>
              <w:bottom w:w="100" w:type="dxa"/>
              <w:right w:w="40" w:type="dxa"/>
            </w:tcMar>
            <w:vAlign w:val="bottom"/>
          </w:tcPr>
          <w:p w14:paraId="0A94304F" w14:textId="77777777" w:rsidR="00582AED" w:rsidRDefault="00CD7A12">
            <w:pPr>
              <w:pBdr>
                <w:top w:val="nil"/>
                <w:left w:val="nil"/>
                <w:bottom w:val="nil"/>
                <w:right w:val="nil"/>
                <w:between w:val="nil"/>
              </w:pBdr>
              <w:spacing w:before="240" w:after="240" w:line="360" w:lineRule="auto"/>
              <w:jc w:val="both"/>
              <w:rPr>
                <w:color w:val="000000"/>
              </w:rPr>
            </w:pPr>
            <w:r>
              <w:rPr>
                <w:color w:val="000000"/>
              </w:rPr>
              <w:t xml:space="preserve"> </w:t>
            </w:r>
          </w:p>
        </w:tc>
        <w:tc>
          <w:tcPr>
            <w:tcW w:w="1485" w:type="dxa"/>
            <w:tcBorders>
              <w:top w:val="single" w:sz="6" w:space="0" w:color="CCCCCC"/>
              <w:left w:val="nil"/>
              <w:bottom w:val="single" w:sz="6" w:space="0" w:color="CCCCCC"/>
              <w:right w:val="single" w:sz="6" w:space="0" w:color="CCCCCC"/>
            </w:tcBorders>
            <w:tcMar>
              <w:top w:w="100" w:type="dxa"/>
              <w:left w:w="40" w:type="dxa"/>
              <w:bottom w:w="100" w:type="dxa"/>
              <w:right w:w="40" w:type="dxa"/>
            </w:tcMar>
            <w:vAlign w:val="bottom"/>
          </w:tcPr>
          <w:p w14:paraId="720E0C74" w14:textId="77777777" w:rsidR="00582AED" w:rsidRDefault="00CD7A12">
            <w:pPr>
              <w:pBdr>
                <w:top w:val="nil"/>
                <w:left w:val="nil"/>
                <w:bottom w:val="nil"/>
                <w:right w:val="nil"/>
                <w:between w:val="nil"/>
              </w:pBdr>
              <w:spacing w:before="240" w:after="240" w:line="360" w:lineRule="auto"/>
              <w:jc w:val="both"/>
              <w:rPr>
                <w:b/>
                <w:color w:val="000000"/>
              </w:rPr>
            </w:pPr>
            <w:r>
              <w:rPr>
                <w:b/>
                <w:color w:val="000000"/>
              </w:rPr>
              <w:t>2024</w:t>
            </w:r>
          </w:p>
        </w:tc>
        <w:tc>
          <w:tcPr>
            <w:tcW w:w="1485" w:type="dxa"/>
            <w:tcBorders>
              <w:top w:val="single" w:sz="6" w:space="0" w:color="CCCCCC"/>
              <w:left w:val="nil"/>
              <w:bottom w:val="single" w:sz="6" w:space="0" w:color="CCCCCC"/>
              <w:right w:val="single" w:sz="6" w:space="0" w:color="CCCCCC"/>
            </w:tcBorders>
            <w:tcMar>
              <w:top w:w="100" w:type="dxa"/>
              <w:left w:w="40" w:type="dxa"/>
              <w:bottom w:w="100" w:type="dxa"/>
              <w:right w:w="40" w:type="dxa"/>
            </w:tcMar>
            <w:vAlign w:val="bottom"/>
          </w:tcPr>
          <w:p w14:paraId="2000C277" w14:textId="77777777" w:rsidR="00582AED" w:rsidRDefault="00CD7A12">
            <w:pPr>
              <w:pBdr>
                <w:top w:val="nil"/>
                <w:left w:val="nil"/>
                <w:bottom w:val="nil"/>
                <w:right w:val="nil"/>
                <w:between w:val="nil"/>
              </w:pBdr>
              <w:spacing w:before="240" w:after="240" w:line="360" w:lineRule="auto"/>
              <w:jc w:val="both"/>
              <w:rPr>
                <w:b/>
                <w:color w:val="000000"/>
              </w:rPr>
            </w:pPr>
            <w:r>
              <w:rPr>
                <w:b/>
                <w:color w:val="000000"/>
              </w:rPr>
              <w:t>2025</w:t>
            </w:r>
          </w:p>
        </w:tc>
        <w:tc>
          <w:tcPr>
            <w:tcW w:w="1620" w:type="dxa"/>
            <w:tcBorders>
              <w:top w:val="single" w:sz="6" w:space="0" w:color="CCCCCC"/>
              <w:left w:val="nil"/>
              <w:bottom w:val="single" w:sz="6" w:space="0" w:color="CCCCCC"/>
              <w:right w:val="single" w:sz="6" w:space="0" w:color="CCCCCC"/>
            </w:tcBorders>
            <w:tcMar>
              <w:top w:w="100" w:type="dxa"/>
              <w:left w:w="40" w:type="dxa"/>
              <w:bottom w:w="100" w:type="dxa"/>
              <w:right w:w="40" w:type="dxa"/>
            </w:tcMar>
            <w:vAlign w:val="bottom"/>
          </w:tcPr>
          <w:p w14:paraId="58312087" w14:textId="77777777" w:rsidR="00582AED" w:rsidRDefault="00CD7A12">
            <w:pPr>
              <w:pBdr>
                <w:top w:val="nil"/>
                <w:left w:val="nil"/>
                <w:bottom w:val="nil"/>
                <w:right w:val="nil"/>
                <w:between w:val="nil"/>
              </w:pBdr>
              <w:spacing w:before="240" w:after="240" w:line="360" w:lineRule="auto"/>
              <w:jc w:val="both"/>
              <w:rPr>
                <w:b/>
                <w:color w:val="000000"/>
              </w:rPr>
            </w:pPr>
            <w:r>
              <w:rPr>
                <w:b/>
                <w:color w:val="000000"/>
              </w:rPr>
              <w:t>2026</w:t>
            </w:r>
          </w:p>
        </w:tc>
      </w:tr>
      <w:tr w:rsidR="00582AED" w14:paraId="1C67699A" w14:textId="77777777">
        <w:trPr>
          <w:cantSplit/>
          <w:trHeight w:val="575"/>
          <w:tblHeader/>
        </w:trPr>
        <w:tc>
          <w:tcPr>
            <w:tcW w:w="3825" w:type="dxa"/>
            <w:tcBorders>
              <w:top w:val="nil"/>
              <w:left w:val="single" w:sz="6" w:space="0" w:color="CCCCCC"/>
              <w:bottom w:val="single" w:sz="6" w:space="0" w:color="CCCCCC"/>
              <w:right w:val="single" w:sz="6" w:space="0" w:color="CCCCCC"/>
            </w:tcBorders>
            <w:tcMar>
              <w:top w:w="100" w:type="dxa"/>
              <w:left w:w="40" w:type="dxa"/>
              <w:bottom w:w="100" w:type="dxa"/>
              <w:right w:w="40" w:type="dxa"/>
            </w:tcMar>
            <w:vAlign w:val="bottom"/>
          </w:tcPr>
          <w:p w14:paraId="42D2EE79" w14:textId="77777777" w:rsidR="00582AED" w:rsidRDefault="00CD7A12">
            <w:pPr>
              <w:pBdr>
                <w:top w:val="nil"/>
                <w:left w:val="nil"/>
                <w:bottom w:val="nil"/>
                <w:right w:val="nil"/>
                <w:between w:val="nil"/>
              </w:pBdr>
              <w:spacing w:before="240" w:after="240" w:line="360" w:lineRule="auto"/>
              <w:jc w:val="both"/>
              <w:rPr>
                <w:b/>
                <w:color w:val="000000"/>
              </w:rPr>
            </w:pPr>
            <w:r>
              <w:rPr>
                <w:b/>
                <w:color w:val="000000"/>
              </w:rPr>
              <w:t>Profitability</w:t>
            </w:r>
          </w:p>
        </w:tc>
        <w:tc>
          <w:tcPr>
            <w:tcW w:w="1485" w:type="dxa"/>
            <w:tcBorders>
              <w:top w:val="nil"/>
              <w:left w:val="nil"/>
              <w:bottom w:val="single" w:sz="6" w:space="0" w:color="CCCCCC"/>
              <w:right w:val="single" w:sz="6" w:space="0" w:color="CCCCCC"/>
            </w:tcBorders>
            <w:tcMar>
              <w:top w:w="100" w:type="dxa"/>
              <w:left w:w="40" w:type="dxa"/>
              <w:bottom w:w="100" w:type="dxa"/>
              <w:right w:w="40" w:type="dxa"/>
            </w:tcMar>
            <w:vAlign w:val="bottom"/>
          </w:tcPr>
          <w:p w14:paraId="311361EA" w14:textId="77777777" w:rsidR="00582AED" w:rsidRDefault="00CD7A12">
            <w:pPr>
              <w:pBdr>
                <w:top w:val="nil"/>
                <w:left w:val="nil"/>
                <w:bottom w:val="nil"/>
                <w:right w:val="nil"/>
                <w:between w:val="nil"/>
              </w:pBdr>
              <w:spacing w:before="240" w:after="240" w:line="360" w:lineRule="auto"/>
              <w:jc w:val="both"/>
              <w:rPr>
                <w:color w:val="000000"/>
              </w:rPr>
            </w:pPr>
            <w:r>
              <w:rPr>
                <w:rFonts w:ascii="Roboto" w:eastAsia="Roboto" w:hAnsi="Roboto" w:cs="Roboto"/>
                <w:color w:val="374151"/>
                <w:sz w:val="24"/>
                <w:szCs w:val="24"/>
                <w:shd w:val="clear" w:color="auto" w:fill="F7F7F8"/>
              </w:rPr>
              <w:t>£</w:t>
            </w:r>
            <w:r>
              <w:rPr>
                <w:color w:val="000000"/>
              </w:rPr>
              <w:t>300</w:t>
            </w:r>
          </w:p>
        </w:tc>
        <w:tc>
          <w:tcPr>
            <w:tcW w:w="1485" w:type="dxa"/>
            <w:tcBorders>
              <w:top w:val="nil"/>
              <w:left w:val="nil"/>
              <w:bottom w:val="single" w:sz="6" w:space="0" w:color="CCCCCC"/>
              <w:right w:val="single" w:sz="6" w:space="0" w:color="CCCCCC"/>
            </w:tcBorders>
            <w:tcMar>
              <w:top w:w="100" w:type="dxa"/>
              <w:left w:w="40" w:type="dxa"/>
              <w:bottom w:w="100" w:type="dxa"/>
              <w:right w:w="40" w:type="dxa"/>
            </w:tcMar>
            <w:vAlign w:val="bottom"/>
          </w:tcPr>
          <w:p w14:paraId="4FA00C33" w14:textId="77777777" w:rsidR="00582AED" w:rsidRDefault="00CD7A12">
            <w:pPr>
              <w:pBdr>
                <w:top w:val="nil"/>
                <w:left w:val="nil"/>
                <w:bottom w:val="nil"/>
                <w:right w:val="nil"/>
                <w:between w:val="nil"/>
              </w:pBdr>
              <w:spacing w:before="240" w:after="240" w:line="360" w:lineRule="auto"/>
              <w:jc w:val="both"/>
              <w:rPr>
                <w:color w:val="000000"/>
              </w:rPr>
            </w:pPr>
            <w:r>
              <w:rPr>
                <w:rFonts w:ascii="Roboto" w:eastAsia="Roboto" w:hAnsi="Roboto" w:cs="Roboto"/>
                <w:color w:val="374151"/>
                <w:sz w:val="24"/>
                <w:szCs w:val="24"/>
                <w:shd w:val="clear" w:color="auto" w:fill="F7F7F8"/>
              </w:rPr>
              <w:t>£</w:t>
            </w:r>
            <w:r>
              <w:rPr>
                <w:color w:val="000000"/>
              </w:rPr>
              <w:t>400</w:t>
            </w:r>
          </w:p>
        </w:tc>
        <w:tc>
          <w:tcPr>
            <w:tcW w:w="1620" w:type="dxa"/>
            <w:tcBorders>
              <w:top w:val="nil"/>
              <w:left w:val="nil"/>
              <w:bottom w:val="single" w:sz="6" w:space="0" w:color="CCCCCC"/>
              <w:right w:val="single" w:sz="6" w:space="0" w:color="CCCCCC"/>
            </w:tcBorders>
            <w:tcMar>
              <w:top w:w="100" w:type="dxa"/>
              <w:left w:w="40" w:type="dxa"/>
              <w:bottom w:w="100" w:type="dxa"/>
              <w:right w:w="40" w:type="dxa"/>
            </w:tcMar>
            <w:vAlign w:val="bottom"/>
          </w:tcPr>
          <w:p w14:paraId="4A00D13A" w14:textId="77777777" w:rsidR="00582AED" w:rsidRDefault="00CD7A12">
            <w:pPr>
              <w:pBdr>
                <w:top w:val="nil"/>
                <w:left w:val="nil"/>
                <w:bottom w:val="nil"/>
                <w:right w:val="nil"/>
                <w:between w:val="nil"/>
              </w:pBdr>
              <w:spacing w:before="240" w:after="240" w:line="360" w:lineRule="auto"/>
              <w:jc w:val="both"/>
              <w:rPr>
                <w:color w:val="000000"/>
              </w:rPr>
            </w:pPr>
            <w:r>
              <w:rPr>
                <w:rFonts w:ascii="Roboto" w:eastAsia="Roboto" w:hAnsi="Roboto" w:cs="Roboto"/>
                <w:color w:val="374151"/>
                <w:sz w:val="24"/>
                <w:szCs w:val="24"/>
                <w:shd w:val="clear" w:color="auto" w:fill="F7F7F8"/>
              </w:rPr>
              <w:t>£</w:t>
            </w:r>
            <w:r>
              <w:rPr>
                <w:color w:val="000000"/>
              </w:rPr>
              <w:t>510</w:t>
            </w:r>
          </w:p>
        </w:tc>
      </w:tr>
      <w:tr w:rsidR="00582AED" w14:paraId="4A472895" w14:textId="77777777">
        <w:trPr>
          <w:cantSplit/>
          <w:trHeight w:val="575"/>
          <w:tblHeader/>
        </w:trPr>
        <w:tc>
          <w:tcPr>
            <w:tcW w:w="3825" w:type="dxa"/>
            <w:tcBorders>
              <w:top w:val="nil"/>
              <w:left w:val="single" w:sz="6" w:space="0" w:color="CCCCCC"/>
              <w:bottom w:val="single" w:sz="6" w:space="0" w:color="CCCCCC"/>
              <w:right w:val="single" w:sz="6" w:space="0" w:color="CCCCCC"/>
            </w:tcBorders>
            <w:tcMar>
              <w:top w:w="100" w:type="dxa"/>
              <w:left w:w="40" w:type="dxa"/>
              <w:bottom w:w="100" w:type="dxa"/>
              <w:right w:w="40" w:type="dxa"/>
            </w:tcMar>
            <w:vAlign w:val="bottom"/>
          </w:tcPr>
          <w:p w14:paraId="464AF004" w14:textId="77777777" w:rsidR="00582AED" w:rsidRDefault="00CD7A12">
            <w:pPr>
              <w:pBdr>
                <w:top w:val="nil"/>
                <w:left w:val="nil"/>
                <w:bottom w:val="nil"/>
                <w:right w:val="nil"/>
                <w:between w:val="nil"/>
              </w:pBdr>
              <w:spacing w:before="240" w:after="240" w:line="360" w:lineRule="auto"/>
              <w:jc w:val="both"/>
              <w:rPr>
                <w:color w:val="000000"/>
              </w:rPr>
            </w:pPr>
            <w:r>
              <w:rPr>
                <w:color w:val="000000"/>
              </w:rPr>
              <w:t>Total Revenue</w:t>
            </w:r>
          </w:p>
        </w:tc>
        <w:tc>
          <w:tcPr>
            <w:tcW w:w="1485" w:type="dxa"/>
            <w:tcBorders>
              <w:top w:val="nil"/>
              <w:left w:val="nil"/>
              <w:bottom w:val="single" w:sz="6" w:space="0" w:color="CCCCCC"/>
              <w:right w:val="single" w:sz="6" w:space="0" w:color="CCCCCC"/>
            </w:tcBorders>
            <w:shd w:val="clear" w:color="auto" w:fill="E0F0FF"/>
            <w:tcMar>
              <w:top w:w="100" w:type="dxa"/>
              <w:left w:w="40" w:type="dxa"/>
              <w:bottom w:w="100" w:type="dxa"/>
              <w:right w:w="40" w:type="dxa"/>
            </w:tcMar>
            <w:vAlign w:val="bottom"/>
          </w:tcPr>
          <w:p w14:paraId="43E6B6B3" w14:textId="77777777" w:rsidR="00582AED" w:rsidRDefault="00CD7A12">
            <w:pPr>
              <w:pBdr>
                <w:top w:val="nil"/>
                <w:left w:val="nil"/>
                <w:bottom w:val="nil"/>
                <w:right w:val="nil"/>
                <w:between w:val="nil"/>
              </w:pBdr>
              <w:spacing w:before="240" w:after="240" w:line="360" w:lineRule="auto"/>
              <w:jc w:val="both"/>
              <w:rPr>
                <w:color w:val="000000"/>
              </w:rPr>
            </w:pPr>
            <w:r>
              <w:rPr>
                <w:rFonts w:ascii="Roboto" w:eastAsia="Roboto" w:hAnsi="Roboto" w:cs="Roboto"/>
                <w:color w:val="374151"/>
                <w:sz w:val="24"/>
                <w:szCs w:val="24"/>
                <w:shd w:val="clear" w:color="auto" w:fill="F7F7F8"/>
              </w:rPr>
              <w:t>£</w:t>
            </w:r>
            <w:r>
              <w:rPr>
                <w:color w:val="000000"/>
              </w:rPr>
              <w:t>3600</w:t>
            </w:r>
          </w:p>
        </w:tc>
        <w:tc>
          <w:tcPr>
            <w:tcW w:w="1485" w:type="dxa"/>
            <w:tcBorders>
              <w:top w:val="nil"/>
              <w:left w:val="nil"/>
              <w:bottom w:val="single" w:sz="6" w:space="0" w:color="CCCCCC"/>
              <w:right w:val="single" w:sz="6" w:space="0" w:color="CCCCCC"/>
            </w:tcBorders>
            <w:shd w:val="clear" w:color="auto" w:fill="E0F0FF"/>
            <w:tcMar>
              <w:top w:w="100" w:type="dxa"/>
              <w:left w:w="40" w:type="dxa"/>
              <w:bottom w:w="100" w:type="dxa"/>
              <w:right w:w="40" w:type="dxa"/>
            </w:tcMar>
            <w:vAlign w:val="bottom"/>
          </w:tcPr>
          <w:p w14:paraId="04FBC46D" w14:textId="77777777" w:rsidR="00582AED" w:rsidRDefault="00CD7A12">
            <w:pPr>
              <w:pBdr>
                <w:top w:val="nil"/>
                <w:left w:val="nil"/>
                <w:bottom w:val="nil"/>
                <w:right w:val="nil"/>
                <w:between w:val="nil"/>
              </w:pBdr>
              <w:spacing w:before="240" w:after="240" w:line="360" w:lineRule="auto"/>
              <w:jc w:val="both"/>
              <w:rPr>
                <w:color w:val="000000"/>
              </w:rPr>
            </w:pPr>
            <w:r>
              <w:rPr>
                <w:rFonts w:ascii="Roboto" w:eastAsia="Roboto" w:hAnsi="Roboto" w:cs="Roboto"/>
                <w:color w:val="374151"/>
                <w:sz w:val="24"/>
                <w:szCs w:val="24"/>
                <w:shd w:val="clear" w:color="auto" w:fill="F7F7F8"/>
              </w:rPr>
              <w:t>£</w:t>
            </w:r>
            <w:r>
              <w:rPr>
                <w:color w:val="000000"/>
              </w:rPr>
              <w:t>4522</w:t>
            </w:r>
          </w:p>
        </w:tc>
        <w:tc>
          <w:tcPr>
            <w:tcW w:w="1620" w:type="dxa"/>
            <w:tcBorders>
              <w:top w:val="nil"/>
              <w:left w:val="nil"/>
              <w:bottom w:val="single" w:sz="6" w:space="0" w:color="CCCCCC"/>
              <w:right w:val="single" w:sz="6" w:space="0" w:color="CCCCCC"/>
            </w:tcBorders>
            <w:tcMar>
              <w:top w:w="100" w:type="dxa"/>
              <w:left w:w="40" w:type="dxa"/>
              <w:bottom w:w="100" w:type="dxa"/>
              <w:right w:w="40" w:type="dxa"/>
            </w:tcMar>
            <w:vAlign w:val="bottom"/>
          </w:tcPr>
          <w:p w14:paraId="49AB4371" w14:textId="77777777" w:rsidR="00582AED" w:rsidRDefault="00CD7A12">
            <w:pPr>
              <w:pBdr>
                <w:top w:val="nil"/>
                <w:left w:val="nil"/>
                <w:bottom w:val="nil"/>
                <w:right w:val="nil"/>
                <w:between w:val="nil"/>
              </w:pBdr>
              <w:spacing w:before="240" w:after="240" w:line="360" w:lineRule="auto"/>
              <w:jc w:val="both"/>
              <w:rPr>
                <w:color w:val="000000"/>
              </w:rPr>
            </w:pPr>
            <w:r>
              <w:rPr>
                <w:rFonts w:ascii="Roboto" w:eastAsia="Roboto" w:hAnsi="Roboto" w:cs="Roboto"/>
                <w:color w:val="374151"/>
                <w:sz w:val="24"/>
                <w:szCs w:val="24"/>
                <w:shd w:val="clear" w:color="auto" w:fill="F7F7F8"/>
              </w:rPr>
              <w:t>£</w:t>
            </w:r>
            <w:r>
              <w:rPr>
                <w:color w:val="000000"/>
              </w:rPr>
              <w:t>5100</w:t>
            </w:r>
          </w:p>
        </w:tc>
      </w:tr>
      <w:tr w:rsidR="00582AED" w14:paraId="3BEE3C3B" w14:textId="77777777">
        <w:trPr>
          <w:cantSplit/>
          <w:trHeight w:val="575"/>
          <w:tblHeader/>
        </w:trPr>
        <w:tc>
          <w:tcPr>
            <w:tcW w:w="3825" w:type="dxa"/>
            <w:tcBorders>
              <w:top w:val="nil"/>
              <w:left w:val="single" w:sz="6" w:space="0" w:color="CCCCCC"/>
              <w:bottom w:val="single" w:sz="6" w:space="0" w:color="CCCCCC"/>
              <w:right w:val="single" w:sz="6" w:space="0" w:color="CCCCCC"/>
            </w:tcBorders>
            <w:tcMar>
              <w:top w:w="100" w:type="dxa"/>
              <w:left w:w="40" w:type="dxa"/>
              <w:bottom w:w="100" w:type="dxa"/>
              <w:right w:w="40" w:type="dxa"/>
            </w:tcMar>
            <w:vAlign w:val="bottom"/>
          </w:tcPr>
          <w:p w14:paraId="26ECB080" w14:textId="77777777" w:rsidR="00582AED" w:rsidRDefault="00CD7A12">
            <w:pPr>
              <w:pBdr>
                <w:top w:val="nil"/>
                <w:left w:val="nil"/>
                <w:bottom w:val="nil"/>
                <w:right w:val="nil"/>
                <w:between w:val="nil"/>
              </w:pBdr>
              <w:spacing w:before="240" w:after="240" w:line="360" w:lineRule="auto"/>
              <w:jc w:val="both"/>
              <w:rPr>
                <w:color w:val="000000"/>
              </w:rPr>
            </w:pPr>
            <w:r>
              <w:rPr>
                <w:color w:val="000000"/>
              </w:rPr>
              <w:t>Net income</w:t>
            </w:r>
          </w:p>
        </w:tc>
        <w:tc>
          <w:tcPr>
            <w:tcW w:w="1485" w:type="dxa"/>
            <w:tcBorders>
              <w:top w:val="nil"/>
              <w:left w:val="nil"/>
              <w:bottom w:val="single" w:sz="6" w:space="0" w:color="CCCCCC"/>
              <w:right w:val="single" w:sz="6" w:space="0" w:color="CCCCCC"/>
            </w:tcBorders>
            <w:shd w:val="clear" w:color="auto" w:fill="E0F0FF"/>
            <w:tcMar>
              <w:top w:w="100" w:type="dxa"/>
              <w:left w:w="40" w:type="dxa"/>
              <w:bottom w:w="100" w:type="dxa"/>
              <w:right w:w="40" w:type="dxa"/>
            </w:tcMar>
            <w:vAlign w:val="bottom"/>
          </w:tcPr>
          <w:p w14:paraId="613BE634" w14:textId="77777777" w:rsidR="00582AED" w:rsidRDefault="00CD7A12">
            <w:pPr>
              <w:pBdr>
                <w:top w:val="nil"/>
                <w:left w:val="nil"/>
                <w:bottom w:val="nil"/>
                <w:right w:val="nil"/>
                <w:between w:val="nil"/>
              </w:pBdr>
              <w:spacing w:before="240" w:after="240" w:line="360" w:lineRule="auto"/>
              <w:jc w:val="both"/>
              <w:rPr>
                <w:color w:val="000000"/>
              </w:rPr>
            </w:pPr>
            <w:r>
              <w:rPr>
                <w:rFonts w:ascii="Roboto" w:eastAsia="Roboto" w:hAnsi="Roboto" w:cs="Roboto"/>
                <w:color w:val="374151"/>
                <w:sz w:val="24"/>
                <w:szCs w:val="24"/>
                <w:shd w:val="clear" w:color="auto" w:fill="F7F7F8"/>
              </w:rPr>
              <w:t>£</w:t>
            </w:r>
            <w:r>
              <w:rPr>
                <w:color w:val="000000"/>
              </w:rPr>
              <w:t>2346</w:t>
            </w:r>
          </w:p>
        </w:tc>
        <w:tc>
          <w:tcPr>
            <w:tcW w:w="1485" w:type="dxa"/>
            <w:tcBorders>
              <w:top w:val="nil"/>
              <w:left w:val="nil"/>
              <w:bottom w:val="single" w:sz="6" w:space="0" w:color="CCCCCC"/>
              <w:right w:val="single" w:sz="6" w:space="0" w:color="CCCCCC"/>
            </w:tcBorders>
            <w:tcMar>
              <w:top w:w="100" w:type="dxa"/>
              <w:left w:w="40" w:type="dxa"/>
              <w:bottom w:w="100" w:type="dxa"/>
              <w:right w:w="40" w:type="dxa"/>
            </w:tcMar>
            <w:vAlign w:val="bottom"/>
          </w:tcPr>
          <w:p w14:paraId="51FB5293" w14:textId="77777777" w:rsidR="00582AED" w:rsidRDefault="00CD7A12">
            <w:pPr>
              <w:pBdr>
                <w:top w:val="nil"/>
                <w:left w:val="nil"/>
                <w:bottom w:val="nil"/>
                <w:right w:val="nil"/>
                <w:between w:val="nil"/>
              </w:pBdr>
              <w:spacing w:before="240" w:after="240" w:line="360" w:lineRule="auto"/>
              <w:jc w:val="both"/>
              <w:rPr>
                <w:color w:val="000000"/>
              </w:rPr>
            </w:pPr>
            <w:r>
              <w:rPr>
                <w:rFonts w:ascii="Roboto" w:eastAsia="Roboto" w:hAnsi="Roboto" w:cs="Roboto"/>
                <w:color w:val="374151"/>
                <w:sz w:val="24"/>
                <w:szCs w:val="24"/>
                <w:shd w:val="clear" w:color="auto" w:fill="F7F7F8"/>
              </w:rPr>
              <w:t>£</w:t>
            </w:r>
            <w:r>
              <w:rPr>
                <w:color w:val="000000"/>
              </w:rPr>
              <w:t>4566</w:t>
            </w:r>
          </w:p>
        </w:tc>
        <w:tc>
          <w:tcPr>
            <w:tcW w:w="1620" w:type="dxa"/>
            <w:tcBorders>
              <w:top w:val="nil"/>
              <w:left w:val="nil"/>
              <w:bottom w:val="single" w:sz="6" w:space="0" w:color="CCCCCC"/>
              <w:right w:val="single" w:sz="6" w:space="0" w:color="CCCCCC"/>
            </w:tcBorders>
            <w:tcMar>
              <w:top w:w="100" w:type="dxa"/>
              <w:left w:w="40" w:type="dxa"/>
              <w:bottom w:w="100" w:type="dxa"/>
              <w:right w:w="40" w:type="dxa"/>
            </w:tcMar>
            <w:vAlign w:val="bottom"/>
          </w:tcPr>
          <w:p w14:paraId="319BAAA5" w14:textId="77777777" w:rsidR="00582AED" w:rsidRDefault="00CD7A12">
            <w:pPr>
              <w:pBdr>
                <w:top w:val="nil"/>
                <w:left w:val="nil"/>
                <w:bottom w:val="nil"/>
                <w:right w:val="nil"/>
                <w:between w:val="nil"/>
              </w:pBdr>
              <w:spacing w:before="240" w:after="240" w:line="360" w:lineRule="auto"/>
              <w:jc w:val="both"/>
              <w:rPr>
                <w:color w:val="000000"/>
              </w:rPr>
            </w:pPr>
            <w:r>
              <w:rPr>
                <w:rFonts w:ascii="Roboto" w:eastAsia="Roboto" w:hAnsi="Roboto" w:cs="Roboto"/>
                <w:color w:val="374151"/>
                <w:sz w:val="24"/>
                <w:szCs w:val="24"/>
                <w:shd w:val="clear" w:color="auto" w:fill="F7F7F8"/>
              </w:rPr>
              <w:t>£</w:t>
            </w:r>
            <w:r>
              <w:rPr>
                <w:color w:val="000000"/>
              </w:rPr>
              <w:t>2311</w:t>
            </w:r>
          </w:p>
        </w:tc>
      </w:tr>
      <w:tr w:rsidR="00582AED" w14:paraId="05B92012" w14:textId="77777777">
        <w:trPr>
          <w:cantSplit/>
          <w:trHeight w:val="575"/>
          <w:tblHeader/>
        </w:trPr>
        <w:tc>
          <w:tcPr>
            <w:tcW w:w="3825" w:type="dxa"/>
            <w:tcBorders>
              <w:top w:val="nil"/>
              <w:left w:val="single" w:sz="6" w:space="0" w:color="CCCCCC"/>
              <w:bottom w:val="single" w:sz="6" w:space="0" w:color="CCCCCC"/>
              <w:right w:val="single" w:sz="6" w:space="0" w:color="CCCCCC"/>
            </w:tcBorders>
            <w:shd w:val="clear" w:color="auto" w:fill="FFF2CC"/>
            <w:tcMar>
              <w:top w:w="100" w:type="dxa"/>
              <w:left w:w="40" w:type="dxa"/>
              <w:bottom w:w="100" w:type="dxa"/>
              <w:right w:w="40" w:type="dxa"/>
            </w:tcMar>
            <w:vAlign w:val="bottom"/>
          </w:tcPr>
          <w:p w14:paraId="3D89776E" w14:textId="77777777" w:rsidR="00582AED" w:rsidRDefault="00CD7A12">
            <w:pPr>
              <w:pBdr>
                <w:top w:val="nil"/>
                <w:left w:val="nil"/>
                <w:bottom w:val="nil"/>
                <w:right w:val="nil"/>
                <w:between w:val="nil"/>
              </w:pBdr>
              <w:spacing w:before="240" w:after="240" w:line="360" w:lineRule="auto"/>
              <w:jc w:val="both"/>
              <w:rPr>
                <w:b/>
                <w:color w:val="000000"/>
              </w:rPr>
            </w:pPr>
            <w:r>
              <w:rPr>
                <w:b/>
                <w:color w:val="000000"/>
              </w:rPr>
              <w:t>Net profit margin</w:t>
            </w:r>
          </w:p>
        </w:tc>
        <w:tc>
          <w:tcPr>
            <w:tcW w:w="1485" w:type="dxa"/>
            <w:tcBorders>
              <w:top w:val="nil"/>
              <w:left w:val="nil"/>
              <w:bottom w:val="single" w:sz="6" w:space="0" w:color="CCCCCC"/>
              <w:right w:val="single" w:sz="6" w:space="0" w:color="CCCCCC"/>
            </w:tcBorders>
            <w:tcMar>
              <w:top w:w="100" w:type="dxa"/>
              <w:left w:w="40" w:type="dxa"/>
              <w:bottom w:w="100" w:type="dxa"/>
              <w:right w:w="40" w:type="dxa"/>
            </w:tcMar>
            <w:vAlign w:val="bottom"/>
          </w:tcPr>
          <w:p w14:paraId="5DB78230" w14:textId="77777777" w:rsidR="00582AED" w:rsidRDefault="00CD7A12">
            <w:pPr>
              <w:pBdr>
                <w:top w:val="nil"/>
                <w:left w:val="nil"/>
                <w:bottom w:val="nil"/>
                <w:right w:val="nil"/>
                <w:between w:val="nil"/>
              </w:pBdr>
              <w:spacing w:before="240" w:after="240" w:line="360" w:lineRule="auto"/>
              <w:jc w:val="both"/>
              <w:rPr>
                <w:color w:val="000000"/>
              </w:rPr>
            </w:pPr>
            <w:r>
              <w:rPr>
                <w:rFonts w:ascii="Roboto" w:eastAsia="Roboto" w:hAnsi="Roboto" w:cs="Roboto"/>
                <w:color w:val="374151"/>
                <w:sz w:val="24"/>
                <w:szCs w:val="24"/>
                <w:shd w:val="clear" w:color="auto" w:fill="F7F7F8"/>
              </w:rPr>
              <w:t>£</w:t>
            </w:r>
            <w:r>
              <w:rPr>
                <w:color w:val="000000"/>
              </w:rPr>
              <w:t>750</w:t>
            </w:r>
          </w:p>
        </w:tc>
        <w:tc>
          <w:tcPr>
            <w:tcW w:w="1485" w:type="dxa"/>
            <w:tcBorders>
              <w:top w:val="nil"/>
              <w:left w:val="nil"/>
              <w:bottom w:val="single" w:sz="6" w:space="0" w:color="CCCCCC"/>
              <w:right w:val="single" w:sz="6" w:space="0" w:color="CCCCCC"/>
            </w:tcBorders>
            <w:tcMar>
              <w:top w:w="100" w:type="dxa"/>
              <w:left w:w="40" w:type="dxa"/>
              <w:bottom w:w="100" w:type="dxa"/>
              <w:right w:w="40" w:type="dxa"/>
            </w:tcMar>
            <w:vAlign w:val="bottom"/>
          </w:tcPr>
          <w:p w14:paraId="640A535C" w14:textId="77777777" w:rsidR="00582AED" w:rsidRDefault="00CD7A12">
            <w:pPr>
              <w:pBdr>
                <w:top w:val="nil"/>
                <w:left w:val="nil"/>
                <w:bottom w:val="nil"/>
                <w:right w:val="nil"/>
                <w:between w:val="nil"/>
              </w:pBdr>
              <w:spacing w:before="240" w:after="240" w:line="360" w:lineRule="auto"/>
              <w:jc w:val="both"/>
              <w:rPr>
                <w:color w:val="000000"/>
              </w:rPr>
            </w:pPr>
            <w:r>
              <w:rPr>
                <w:rFonts w:ascii="Roboto" w:eastAsia="Roboto" w:hAnsi="Roboto" w:cs="Roboto"/>
                <w:color w:val="374151"/>
                <w:sz w:val="24"/>
                <w:szCs w:val="24"/>
                <w:shd w:val="clear" w:color="auto" w:fill="F7F7F8"/>
              </w:rPr>
              <w:t>£</w:t>
            </w:r>
            <w:r>
              <w:rPr>
                <w:color w:val="000000"/>
              </w:rPr>
              <w:t>360</w:t>
            </w:r>
          </w:p>
        </w:tc>
        <w:tc>
          <w:tcPr>
            <w:tcW w:w="1620" w:type="dxa"/>
            <w:tcBorders>
              <w:top w:val="nil"/>
              <w:left w:val="nil"/>
              <w:bottom w:val="single" w:sz="6" w:space="0" w:color="CCCCCC"/>
              <w:right w:val="single" w:sz="6" w:space="0" w:color="CCCCCC"/>
            </w:tcBorders>
            <w:tcMar>
              <w:top w:w="100" w:type="dxa"/>
              <w:left w:w="40" w:type="dxa"/>
              <w:bottom w:w="100" w:type="dxa"/>
              <w:right w:w="40" w:type="dxa"/>
            </w:tcMar>
            <w:vAlign w:val="bottom"/>
          </w:tcPr>
          <w:p w14:paraId="7B2CEE26" w14:textId="77777777" w:rsidR="00582AED" w:rsidRDefault="00CD7A12">
            <w:pPr>
              <w:pBdr>
                <w:top w:val="nil"/>
                <w:left w:val="nil"/>
                <w:bottom w:val="nil"/>
                <w:right w:val="nil"/>
                <w:between w:val="nil"/>
              </w:pBdr>
              <w:spacing w:before="240" w:after="240" w:line="360" w:lineRule="auto"/>
              <w:jc w:val="both"/>
              <w:rPr>
                <w:color w:val="000000"/>
              </w:rPr>
            </w:pPr>
            <w:r>
              <w:rPr>
                <w:rFonts w:ascii="Roboto" w:eastAsia="Roboto" w:hAnsi="Roboto" w:cs="Roboto"/>
                <w:color w:val="374151"/>
                <w:sz w:val="24"/>
                <w:szCs w:val="24"/>
                <w:shd w:val="clear" w:color="auto" w:fill="F7F7F8"/>
              </w:rPr>
              <w:t>£</w:t>
            </w:r>
            <w:r>
              <w:rPr>
                <w:color w:val="000000"/>
              </w:rPr>
              <w:t>907</w:t>
            </w:r>
          </w:p>
        </w:tc>
      </w:tr>
      <w:tr w:rsidR="00582AED" w14:paraId="62CC9A24" w14:textId="77777777">
        <w:trPr>
          <w:cantSplit/>
          <w:trHeight w:val="575"/>
          <w:tblHeader/>
        </w:trPr>
        <w:tc>
          <w:tcPr>
            <w:tcW w:w="3825" w:type="dxa"/>
            <w:tcBorders>
              <w:top w:val="nil"/>
              <w:left w:val="single" w:sz="6" w:space="0" w:color="CCCCCC"/>
              <w:bottom w:val="single" w:sz="6" w:space="0" w:color="CCCCCC"/>
              <w:right w:val="single" w:sz="6" w:space="0" w:color="CCCCCC"/>
            </w:tcBorders>
            <w:tcMar>
              <w:top w:w="100" w:type="dxa"/>
              <w:left w:w="40" w:type="dxa"/>
              <w:bottom w:w="100" w:type="dxa"/>
              <w:right w:w="40" w:type="dxa"/>
            </w:tcMar>
            <w:vAlign w:val="bottom"/>
          </w:tcPr>
          <w:p w14:paraId="2A0FF42F" w14:textId="77777777" w:rsidR="00582AED" w:rsidRDefault="00CD7A12">
            <w:pPr>
              <w:pBdr>
                <w:top w:val="nil"/>
                <w:left w:val="nil"/>
                <w:bottom w:val="nil"/>
                <w:right w:val="nil"/>
                <w:between w:val="nil"/>
              </w:pBdr>
              <w:spacing w:before="240" w:after="240" w:line="360" w:lineRule="auto"/>
              <w:jc w:val="both"/>
              <w:rPr>
                <w:color w:val="000000"/>
              </w:rPr>
            </w:pPr>
            <w:r>
              <w:rPr>
                <w:color w:val="000000"/>
              </w:rPr>
              <w:t xml:space="preserve"> </w:t>
            </w:r>
          </w:p>
        </w:tc>
        <w:tc>
          <w:tcPr>
            <w:tcW w:w="1485" w:type="dxa"/>
            <w:tcBorders>
              <w:top w:val="nil"/>
              <w:left w:val="nil"/>
              <w:bottom w:val="single" w:sz="6" w:space="0" w:color="CCCCCC"/>
              <w:right w:val="single" w:sz="6" w:space="0" w:color="CCCCCC"/>
            </w:tcBorders>
            <w:tcMar>
              <w:top w:w="100" w:type="dxa"/>
              <w:left w:w="40" w:type="dxa"/>
              <w:bottom w:w="100" w:type="dxa"/>
              <w:right w:w="40" w:type="dxa"/>
            </w:tcMar>
            <w:vAlign w:val="bottom"/>
          </w:tcPr>
          <w:p w14:paraId="411777E8" w14:textId="77777777" w:rsidR="00582AED" w:rsidRDefault="00CD7A12">
            <w:pPr>
              <w:pBdr>
                <w:top w:val="nil"/>
                <w:left w:val="nil"/>
                <w:bottom w:val="nil"/>
                <w:right w:val="nil"/>
                <w:between w:val="nil"/>
              </w:pBdr>
              <w:spacing w:before="240" w:after="240" w:line="360" w:lineRule="auto"/>
              <w:jc w:val="both"/>
              <w:rPr>
                <w:color w:val="000000"/>
              </w:rPr>
            </w:pPr>
            <w:r>
              <w:rPr>
                <w:color w:val="000000"/>
              </w:rPr>
              <w:t xml:space="preserve"> </w:t>
            </w:r>
          </w:p>
        </w:tc>
        <w:tc>
          <w:tcPr>
            <w:tcW w:w="1485" w:type="dxa"/>
            <w:tcBorders>
              <w:top w:val="nil"/>
              <w:left w:val="nil"/>
              <w:bottom w:val="single" w:sz="6" w:space="0" w:color="CCCCCC"/>
              <w:right w:val="single" w:sz="6" w:space="0" w:color="CCCCCC"/>
            </w:tcBorders>
            <w:tcMar>
              <w:top w:w="100" w:type="dxa"/>
              <w:left w:w="40" w:type="dxa"/>
              <w:bottom w:w="100" w:type="dxa"/>
              <w:right w:w="40" w:type="dxa"/>
            </w:tcMar>
            <w:vAlign w:val="bottom"/>
          </w:tcPr>
          <w:p w14:paraId="3C5FC80A" w14:textId="77777777" w:rsidR="00582AED" w:rsidRDefault="00CD7A12">
            <w:pPr>
              <w:pBdr>
                <w:top w:val="nil"/>
                <w:left w:val="nil"/>
                <w:bottom w:val="nil"/>
                <w:right w:val="nil"/>
                <w:between w:val="nil"/>
              </w:pBdr>
              <w:spacing w:before="240" w:after="240" w:line="360" w:lineRule="auto"/>
              <w:jc w:val="both"/>
              <w:rPr>
                <w:color w:val="000000"/>
              </w:rPr>
            </w:pPr>
            <w:r>
              <w:rPr>
                <w:color w:val="000000"/>
              </w:rPr>
              <w:t xml:space="preserve"> </w:t>
            </w:r>
          </w:p>
        </w:tc>
        <w:tc>
          <w:tcPr>
            <w:tcW w:w="1620" w:type="dxa"/>
            <w:tcBorders>
              <w:top w:val="nil"/>
              <w:left w:val="nil"/>
              <w:bottom w:val="single" w:sz="6" w:space="0" w:color="CCCCCC"/>
              <w:right w:val="single" w:sz="6" w:space="0" w:color="CCCCCC"/>
            </w:tcBorders>
            <w:tcMar>
              <w:top w:w="100" w:type="dxa"/>
              <w:left w:w="40" w:type="dxa"/>
              <w:bottom w:w="100" w:type="dxa"/>
              <w:right w:w="40" w:type="dxa"/>
            </w:tcMar>
            <w:vAlign w:val="bottom"/>
          </w:tcPr>
          <w:p w14:paraId="4189E96C" w14:textId="77777777" w:rsidR="00582AED" w:rsidRDefault="00CD7A12">
            <w:pPr>
              <w:pBdr>
                <w:top w:val="nil"/>
                <w:left w:val="nil"/>
                <w:bottom w:val="nil"/>
                <w:right w:val="nil"/>
                <w:between w:val="nil"/>
              </w:pBdr>
              <w:spacing w:before="240" w:after="240" w:line="360" w:lineRule="auto"/>
              <w:jc w:val="both"/>
              <w:rPr>
                <w:color w:val="000000"/>
              </w:rPr>
            </w:pPr>
            <w:r>
              <w:rPr>
                <w:color w:val="000000"/>
              </w:rPr>
              <w:t xml:space="preserve"> </w:t>
            </w:r>
          </w:p>
        </w:tc>
      </w:tr>
      <w:tr w:rsidR="00582AED" w14:paraId="0E578B7C" w14:textId="77777777">
        <w:trPr>
          <w:cantSplit/>
          <w:trHeight w:val="575"/>
          <w:tblHeader/>
        </w:trPr>
        <w:tc>
          <w:tcPr>
            <w:tcW w:w="3825" w:type="dxa"/>
            <w:tcBorders>
              <w:top w:val="nil"/>
              <w:left w:val="single" w:sz="6" w:space="0" w:color="CCCCCC"/>
              <w:bottom w:val="single" w:sz="6" w:space="0" w:color="CCCCCC"/>
              <w:right w:val="single" w:sz="6" w:space="0" w:color="CCCCCC"/>
            </w:tcBorders>
            <w:tcMar>
              <w:top w:w="100" w:type="dxa"/>
              <w:left w:w="40" w:type="dxa"/>
              <w:bottom w:w="100" w:type="dxa"/>
              <w:right w:w="40" w:type="dxa"/>
            </w:tcMar>
            <w:vAlign w:val="bottom"/>
          </w:tcPr>
          <w:p w14:paraId="5E4242F9" w14:textId="77777777" w:rsidR="00582AED" w:rsidRDefault="00CD7A12">
            <w:pPr>
              <w:pBdr>
                <w:top w:val="nil"/>
                <w:left w:val="nil"/>
                <w:bottom w:val="nil"/>
                <w:right w:val="nil"/>
                <w:between w:val="nil"/>
              </w:pBdr>
              <w:spacing w:before="240" w:after="240" w:line="360" w:lineRule="auto"/>
              <w:jc w:val="both"/>
              <w:rPr>
                <w:color w:val="000000"/>
              </w:rPr>
            </w:pPr>
            <w:r>
              <w:rPr>
                <w:color w:val="000000"/>
              </w:rPr>
              <w:t xml:space="preserve"> </w:t>
            </w:r>
          </w:p>
        </w:tc>
        <w:tc>
          <w:tcPr>
            <w:tcW w:w="1485" w:type="dxa"/>
            <w:tcBorders>
              <w:top w:val="nil"/>
              <w:left w:val="nil"/>
              <w:bottom w:val="single" w:sz="6" w:space="0" w:color="CCCCCC"/>
              <w:right w:val="single" w:sz="6" w:space="0" w:color="CCCCCC"/>
            </w:tcBorders>
            <w:tcMar>
              <w:top w:w="100" w:type="dxa"/>
              <w:left w:w="40" w:type="dxa"/>
              <w:bottom w:w="100" w:type="dxa"/>
              <w:right w:w="40" w:type="dxa"/>
            </w:tcMar>
            <w:vAlign w:val="bottom"/>
          </w:tcPr>
          <w:p w14:paraId="2F1039E0" w14:textId="77777777" w:rsidR="00582AED" w:rsidRDefault="00CD7A12">
            <w:pPr>
              <w:pBdr>
                <w:top w:val="nil"/>
                <w:left w:val="nil"/>
                <w:bottom w:val="nil"/>
                <w:right w:val="nil"/>
                <w:between w:val="nil"/>
              </w:pBdr>
              <w:spacing w:before="240" w:after="240" w:line="360" w:lineRule="auto"/>
              <w:jc w:val="both"/>
              <w:rPr>
                <w:color w:val="000000"/>
              </w:rPr>
            </w:pPr>
            <w:r>
              <w:rPr>
                <w:color w:val="000000"/>
              </w:rPr>
              <w:t xml:space="preserve"> </w:t>
            </w:r>
          </w:p>
        </w:tc>
        <w:tc>
          <w:tcPr>
            <w:tcW w:w="1485" w:type="dxa"/>
            <w:tcBorders>
              <w:top w:val="nil"/>
              <w:left w:val="nil"/>
              <w:bottom w:val="single" w:sz="6" w:space="0" w:color="CCCCCC"/>
              <w:right w:val="single" w:sz="6" w:space="0" w:color="CCCCCC"/>
            </w:tcBorders>
            <w:tcMar>
              <w:top w:w="100" w:type="dxa"/>
              <w:left w:w="40" w:type="dxa"/>
              <w:bottom w:w="100" w:type="dxa"/>
              <w:right w:w="40" w:type="dxa"/>
            </w:tcMar>
            <w:vAlign w:val="bottom"/>
          </w:tcPr>
          <w:p w14:paraId="1C89240A" w14:textId="77777777" w:rsidR="00582AED" w:rsidRDefault="00CD7A12">
            <w:pPr>
              <w:pBdr>
                <w:top w:val="nil"/>
                <w:left w:val="nil"/>
                <w:bottom w:val="nil"/>
                <w:right w:val="nil"/>
                <w:between w:val="nil"/>
              </w:pBdr>
              <w:spacing w:before="240" w:after="240" w:line="360" w:lineRule="auto"/>
              <w:jc w:val="both"/>
              <w:rPr>
                <w:color w:val="000000"/>
              </w:rPr>
            </w:pPr>
            <w:r>
              <w:rPr>
                <w:color w:val="000000"/>
              </w:rPr>
              <w:t xml:space="preserve"> </w:t>
            </w:r>
          </w:p>
        </w:tc>
        <w:tc>
          <w:tcPr>
            <w:tcW w:w="1620" w:type="dxa"/>
            <w:tcBorders>
              <w:top w:val="nil"/>
              <w:left w:val="nil"/>
              <w:bottom w:val="single" w:sz="6" w:space="0" w:color="CCCCCC"/>
              <w:right w:val="single" w:sz="6" w:space="0" w:color="CCCCCC"/>
            </w:tcBorders>
            <w:tcMar>
              <w:top w:w="100" w:type="dxa"/>
              <w:left w:w="40" w:type="dxa"/>
              <w:bottom w:w="100" w:type="dxa"/>
              <w:right w:w="40" w:type="dxa"/>
            </w:tcMar>
            <w:vAlign w:val="bottom"/>
          </w:tcPr>
          <w:p w14:paraId="5438490E" w14:textId="77777777" w:rsidR="00582AED" w:rsidRDefault="00CD7A12">
            <w:pPr>
              <w:pBdr>
                <w:top w:val="nil"/>
                <w:left w:val="nil"/>
                <w:bottom w:val="nil"/>
                <w:right w:val="nil"/>
                <w:between w:val="nil"/>
              </w:pBdr>
              <w:spacing w:before="240" w:after="240" w:line="360" w:lineRule="auto"/>
              <w:jc w:val="both"/>
              <w:rPr>
                <w:color w:val="000000"/>
              </w:rPr>
            </w:pPr>
            <w:r>
              <w:rPr>
                <w:color w:val="000000"/>
              </w:rPr>
              <w:t xml:space="preserve"> </w:t>
            </w:r>
          </w:p>
        </w:tc>
      </w:tr>
      <w:tr w:rsidR="00582AED" w14:paraId="60C03DFF" w14:textId="77777777">
        <w:trPr>
          <w:cantSplit/>
          <w:trHeight w:val="575"/>
          <w:tblHeader/>
        </w:trPr>
        <w:tc>
          <w:tcPr>
            <w:tcW w:w="3825" w:type="dxa"/>
            <w:tcBorders>
              <w:top w:val="nil"/>
              <w:left w:val="single" w:sz="6" w:space="0" w:color="CCCCCC"/>
              <w:bottom w:val="single" w:sz="6" w:space="0" w:color="CCCCCC"/>
              <w:right w:val="single" w:sz="6" w:space="0" w:color="CCCCCC"/>
            </w:tcBorders>
            <w:tcMar>
              <w:top w:w="100" w:type="dxa"/>
              <w:left w:w="40" w:type="dxa"/>
              <w:bottom w:w="100" w:type="dxa"/>
              <w:right w:w="40" w:type="dxa"/>
            </w:tcMar>
            <w:vAlign w:val="bottom"/>
          </w:tcPr>
          <w:p w14:paraId="4F8ECF04" w14:textId="77777777" w:rsidR="00582AED" w:rsidRDefault="00CD7A12">
            <w:pPr>
              <w:pBdr>
                <w:top w:val="nil"/>
                <w:left w:val="nil"/>
                <w:bottom w:val="nil"/>
                <w:right w:val="nil"/>
                <w:between w:val="nil"/>
              </w:pBdr>
              <w:spacing w:before="240" w:after="240" w:line="360" w:lineRule="auto"/>
              <w:jc w:val="both"/>
              <w:rPr>
                <w:color w:val="000000"/>
              </w:rPr>
            </w:pPr>
            <w:r>
              <w:rPr>
                <w:color w:val="000000"/>
              </w:rPr>
              <w:t>Total equity</w:t>
            </w:r>
          </w:p>
        </w:tc>
        <w:tc>
          <w:tcPr>
            <w:tcW w:w="1485" w:type="dxa"/>
            <w:tcBorders>
              <w:top w:val="nil"/>
              <w:left w:val="nil"/>
              <w:bottom w:val="single" w:sz="6" w:space="0" w:color="CCCCCC"/>
              <w:right w:val="single" w:sz="6" w:space="0" w:color="CCCCCC"/>
            </w:tcBorders>
            <w:shd w:val="clear" w:color="auto" w:fill="FFFFFF"/>
            <w:tcMar>
              <w:top w:w="100" w:type="dxa"/>
              <w:left w:w="40" w:type="dxa"/>
              <w:bottom w:w="100" w:type="dxa"/>
              <w:right w:w="40" w:type="dxa"/>
            </w:tcMar>
            <w:vAlign w:val="bottom"/>
          </w:tcPr>
          <w:p w14:paraId="34A8A46C" w14:textId="77777777" w:rsidR="00582AED" w:rsidRDefault="00CD7A12">
            <w:pPr>
              <w:pBdr>
                <w:top w:val="nil"/>
                <w:left w:val="nil"/>
                <w:bottom w:val="nil"/>
                <w:right w:val="nil"/>
                <w:between w:val="nil"/>
              </w:pBdr>
              <w:spacing w:before="240" w:after="240" w:line="360" w:lineRule="auto"/>
              <w:jc w:val="both"/>
              <w:rPr>
                <w:color w:val="000000"/>
              </w:rPr>
            </w:pPr>
            <w:r>
              <w:rPr>
                <w:rFonts w:ascii="Roboto" w:eastAsia="Roboto" w:hAnsi="Roboto" w:cs="Roboto"/>
                <w:color w:val="374151"/>
                <w:sz w:val="24"/>
                <w:szCs w:val="24"/>
                <w:shd w:val="clear" w:color="auto" w:fill="F7F7F8"/>
              </w:rPr>
              <w:t>£</w:t>
            </w:r>
            <w:r>
              <w:rPr>
                <w:color w:val="000000"/>
              </w:rPr>
              <w:t>5400</w:t>
            </w:r>
          </w:p>
        </w:tc>
        <w:tc>
          <w:tcPr>
            <w:tcW w:w="1485" w:type="dxa"/>
            <w:tcBorders>
              <w:top w:val="nil"/>
              <w:left w:val="nil"/>
              <w:bottom w:val="single" w:sz="6" w:space="0" w:color="CCCCCC"/>
              <w:right w:val="single" w:sz="6" w:space="0" w:color="CCCCCC"/>
            </w:tcBorders>
            <w:shd w:val="clear" w:color="auto" w:fill="FFFFFF"/>
            <w:tcMar>
              <w:top w:w="100" w:type="dxa"/>
              <w:left w:w="40" w:type="dxa"/>
              <w:bottom w:w="100" w:type="dxa"/>
              <w:right w:w="40" w:type="dxa"/>
            </w:tcMar>
            <w:vAlign w:val="bottom"/>
          </w:tcPr>
          <w:p w14:paraId="44B88027" w14:textId="77777777" w:rsidR="00582AED" w:rsidRDefault="00CD7A12">
            <w:pPr>
              <w:pBdr>
                <w:top w:val="nil"/>
                <w:left w:val="nil"/>
                <w:bottom w:val="nil"/>
                <w:right w:val="nil"/>
                <w:between w:val="nil"/>
              </w:pBdr>
              <w:spacing w:before="240" w:after="240" w:line="360" w:lineRule="auto"/>
              <w:jc w:val="both"/>
              <w:rPr>
                <w:color w:val="000000"/>
              </w:rPr>
            </w:pPr>
            <w:r>
              <w:rPr>
                <w:rFonts w:ascii="Roboto" w:eastAsia="Roboto" w:hAnsi="Roboto" w:cs="Roboto"/>
                <w:color w:val="374151"/>
                <w:sz w:val="24"/>
                <w:szCs w:val="24"/>
                <w:shd w:val="clear" w:color="auto" w:fill="F7F7F8"/>
              </w:rPr>
              <w:t>£</w:t>
            </w:r>
            <w:r>
              <w:rPr>
                <w:color w:val="000000"/>
              </w:rPr>
              <w:t>3211</w:t>
            </w:r>
          </w:p>
        </w:tc>
        <w:tc>
          <w:tcPr>
            <w:tcW w:w="1620" w:type="dxa"/>
            <w:tcBorders>
              <w:top w:val="nil"/>
              <w:left w:val="nil"/>
              <w:bottom w:val="single" w:sz="6" w:space="0" w:color="CCCCCC"/>
              <w:right w:val="single" w:sz="6" w:space="0" w:color="CCCCCC"/>
            </w:tcBorders>
            <w:tcMar>
              <w:top w:w="100" w:type="dxa"/>
              <w:left w:w="40" w:type="dxa"/>
              <w:bottom w:w="100" w:type="dxa"/>
              <w:right w:w="40" w:type="dxa"/>
            </w:tcMar>
            <w:vAlign w:val="bottom"/>
          </w:tcPr>
          <w:p w14:paraId="7519257E" w14:textId="77777777" w:rsidR="00582AED" w:rsidRDefault="00CD7A12">
            <w:pPr>
              <w:pBdr>
                <w:top w:val="nil"/>
                <w:left w:val="nil"/>
                <w:bottom w:val="nil"/>
                <w:right w:val="nil"/>
                <w:between w:val="nil"/>
              </w:pBdr>
              <w:spacing w:before="240" w:after="240" w:line="360" w:lineRule="auto"/>
              <w:jc w:val="both"/>
              <w:rPr>
                <w:color w:val="000000"/>
              </w:rPr>
            </w:pPr>
            <w:r>
              <w:rPr>
                <w:rFonts w:ascii="Roboto" w:eastAsia="Roboto" w:hAnsi="Roboto" w:cs="Roboto"/>
                <w:color w:val="374151"/>
                <w:sz w:val="24"/>
                <w:szCs w:val="24"/>
                <w:shd w:val="clear" w:color="auto" w:fill="F7F7F8"/>
              </w:rPr>
              <w:t>£</w:t>
            </w:r>
            <w:r>
              <w:rPr>
                <w:color w:val="000000"/>
              </w:rPr>
              <w:t>1344</w:t>
            </w:r>
          </w:p>
        </w:tc>
      </w:tr>
      <w:tr w:rsidR="00582AED" w14:paraId="630EE7E2" w14:textId="77777777">
        <w:trPr>
          <w:cantSplit/>
          <w:trHeight w:val="575"/>
          <w:tblHeader/>
        </w:trPr>
        <w:tc>
          <w:tcPr>
            <w:tcW w:w="3825" w:type="dxa"/>
            <w:tcBorders>
              <w:top w:val="nil"/>
              <w:left w:val="single" w:sz="6" w:space="0" w:color="CCCCCC"/>
              <w:bottom w:val="single" w:sz="6" w:space="0" w:color="CCCCCC"/>
              <w:right w:val="single" w:sz="6" w:space="0" w:color="CCCCCC"/>
            </w:tcBorders>
            <w:tcMar>
              <w:top w:w="100" w:type="dxa"/>
              <w:left w:w="40" w:type="dxa"/>
              <w:bottom w:w="100" w:type="dxa"/>
              <w:right w:w="40" w:type="dxa"/>
            </w:tcMar>
            <w:vAlign w:val="bottom"/>
          </w:tcPr>
          <w:p w14:paraId="4A1736C7" w14:textId="77777777" w:rsidR="00582AED" w:rsidRDefault="00CD7A12">
            <w:pPr>
              <w:pBdr>
                <w:top w:val="nil"/>
                <w:left w:val="nil"/>
                <w:bottom w:val="nil"/>
                <w:right w:val="nil"/>
                <w:between w:val="nil"/>
              </w:pBdr>
              <w:spacing w:before="240" w:after="240" w:line="360" w:lineRule="auto"/>
              <w:jc w:val="both"/>
              <w:rPr>
                <w:color w:val="000000"/>
              </w:rPr>
            </w:pPr>
            <w:r>
              <w:rPr>
                <w:color w:val="000000"/>
              </w:rPr>
              <w:t>Long term loan</w:t>
            </w:r>
          </w:p>
        </w:tc>
        <w:tc>
          <w:tcPr>
            <w:tcW w:w="1485" w:type="dxa"/>
            <w:tcBorders>
              <w:top w:val="nil"/>
              <w:left w:val="nil"/>
              <w:bottom w:val="single" w:sz="6" w:space="0" w:color="CCCCCC"/>
              <w:right w:val="single" w:sz="6" w:space="0" w:color="CCCCCC"/>
            </w:tcBorders>
            <w:shd w:val="clear" w:color="auto" w:fill="E0F0FF"/>
            <w:tcMar>
              <w:top w:w="100" w:type="dxa"/>
              <w:left w:w="40" w:type="dxa"/>
              <w:bottom w:w="100" w:type="dxa"/>
              <w:right w:w="40" w:type="dxa"/>
            </w:tcMar>
            <w:vAlign w:val="bottom"/>
          </w:tcPr>
          <w:p w14:paraId="779D53A5" w14:textId="77777777" w:rsidR="00582AED" w:rsidRDefault="00CD7A12">
            <w:pPr>
              <w:pBdr>
                <w:top w:val="nil"/>
                <w:left w:val="nil"/>
                <w:bottom w:val="nil"/>
                <w:right w:val="nil"/>
                <w:between w:val="nil"/>
              </w:pBdr>
              <w:spacing w:before="240" w:after="240" w:line="360" w:lineRule="auto"/>
              <w:jc w:val="both"/>
              <w:rPr>
                <w:color w:val="000000"/>
              </w:rPr>
            </w:pPr>
            <w:r>
              <w:rPr>
                <w:rFonts w:ascii="Roboto" w:eastAsia="Roboto" w:hAnsi="Roboto" w:cs="Roboto"/>
                <w:color w:val="374151"/>
                <w:sz w:val="24"/>
                <w:szCs w:val="24"/>
                <w:shd w:val="clear" w:color="auto" w:fill="F7F7F8"/>
              </w:rPr>
              <w:t>£</w:t>
            </w:r>
            <w:r>
              <w:rPr>
                <w:color w:val="000000"/>
              </w:rPr>
              <w:t>3700</w:t>
            </w:r>
          </w:p>
        </w:tc>
        <w:tc>
          <w:tcPr>
            <w:tcW w:w="1485" w:type="dxa"/>
            <w:tcBorders>
              <w:top w:val="nil"/>
              <w:left w:val="nil"/>
              <w:bottom w:val="single" w:sz="6" w:space="0" w:color="CCCCCC"/>
              <w:right w:val="single" w:sz="6" w:space="0" w:color="CCCCCC"/>
            </w:tcBorders>
            <w:tcMar>
              <w:top w:w="100" w:type="dxa"/>
              <w:left w:w="40" w:type="dxa"/>
              <w:bottom w:w="100" w:type="dxa"/>
              <w:right w:w="40" w:type="dxa"/>
            </w:tcMar>
            <w:vAlign w:val="bottom"/>
          </w:tcPr>
          <w:p w14:paraId="699EDB99" w14:textId="77777777" w:rsidR="00582AED" w:rsidRDefault="00CD7A12">
            <w:pPr>
              <w:pBdr>
                <w:top w:val="nil"/>
                <w:left w:val="nil"/>
                <w:bottom w:val="nil"/>
                <w:right w:val="nil"/>
                <w:between w:val="nil"/>
              </w:pBdr>
              <w:spacing w:before="240" w:after="240" w:line="360" w:lineRule="auto"/>
              <w:jc w:val="both"/>
              <w:rPr>
                <w:color w:val="000000"/>
              </w:rPr>
            </w:pPr>
            <w:r>
              <w:rPr>
                <w:rFonts w:ascii="Roboto" w:eastAsia="Roboto" w:hAnsi="Roboto" w:cs="Roboto"/>
                <w:color w:val="374151"/>
                <w:sz w:val="24"/>
                <w:szCs w:val="24"/>
                <w:shd w:val="clear" w:color="auto" w:fill="F7F7F8"/>
              </w:rPr>
              <w:t>£</w:t>
            </w:r>
            <w:r>
              <w:rPr>
                <w:color w:val="000000"/>
              </w:rPr>
              <w:t>3700</w:t>
            </w:r>
          </w:p>
        </w:tc>
        <w:tc>
          <w:tcPr>
            <w:tcW w:w="1620" w:type="dxa"/>
            <w:tcBorders>
              <w:top w:val="nil"/>
              <w:left w:val="nil"/>
              <w:bottom w:val="single" w:sz="6" w:space="0" w:color="CCCCCC"/>
              <w:right w:val="single" w:sz="6" w:space="0" w:color="CCCCCC"/>
            </w:tcBorders>
            <w:shd w:val="clear" w:color="auto" w:fill="FFFFFF"/>
            <w:tcMar>
              <w:top w:w="100" w:type="dxa"/>
              <w:left w:w="40" w:type="dxa"/>
              <w:bottom w:w="100" w:type="dxa"/>
              <w:right w:w="40" w:type="dxa"/>
            </w:tcMar>
            <w:vAlign w:val="bottom"/>
          </w:tcPr>
          <w:p w14:paraId="0E5B63C3" w14:textId="77777777" w:rsidR="00582AED" w:rsidRDefault="00CD7A12">
            <w:pPr>
              <w:pBdr>
                <w:top w:val="nil"/>
                <w:left w:val="nil"/>
                <w:bottom w:val="nil"/>
                <w:right w:val="nil"/>
                <w:between w:val="nil"/>
              </w:pBdr>
              <w:spacing w:before="240" w:after="240" w:line="360" w:lineRule="auto"/>
              <w:jc w:val="both"/>
              <w:rPr>
                <w:color w:val="000000"/>
              </w:rPr>
            </w:pPr>
            <w:r>
              <w:rPr>
                <w:rFonts w:ascii="Roboto" w:eastAsia="Roboto" w:hAnsi="Roboto" w:cs="Roboto"/>
                <w:color w:val="374151"/>
                <w:sz w:val="24"/>
                <w:szCs w:val="24"/>
                <w:shd w:val="clear" w:color="auto" w:fill="F7F7F8"/>
              </w:rPr>
              <w:t>£</w:t>
            </w:r>
            <w:r>
              <w:rPr>
                <w:color w:val="000000"/>
              </w:rPr>
              <w:t>3700</w:t>
            </w:r>
          </w:p>
        </w:tc>
      </w:tr>
      <w:tr w:rsidR="00582AED" w14:paraId="537FD449" w14:textId="77777777">
        <w:trPr>
          <w:cantSplit/>
          <w:trHeight w:val="575"/>
          <w:tblHeader/>
        </w:trPr>
        <w:tc>
          <w:tcPr>
            <w:tcW w:w="3825" w:type="dxa"/>
            <w:tcBorders>
              <w:top w:val="nil"/>
              <w:left w:val="single" w:sz="6" w:space="0" w:color="CCCCCC"/>
              <w:bottom w:val="single" w:sz="6" w:space="0" w:color="CCCCCC"/>
              <w:right w:val="single" w:sz="6" w:space="0" w:color="CCCCCC"/>
            </w:tcBorders>
            <w:tcMar>
              <w:top w:w="100" w:type="dxa"/>
              <w:left w:w="40" w:type="dxa"/>
              <w:bottom w:w="100" w:type="dxa"/>
              <w:right w:w="40" w:type="dxa"/>
            </w:tcMar>
            <w:vAlign w:val="bottom"/>
          </w:tcPr>
          <w:p w14:paraId="4DE2C435" w14:textId="77777777" w:rsidR="00582AED" w:rsidRDefault="00CD7A12">
            <w:pPr>
              <w:pBdr>
                <w:top w:val="nil"/>
                <w:left w:val="nil"/>
                <w:bottom w:val="nil"/>
                <w:right w:val="nil"/>
                <w:between w:val="nil"/>
              </w:pBdr>
              <w:spacing w:before="240" w:after="240" w:line="360" w:lineRule="auto"/>
              <w:jc w:val="both"/>
              <w:rPr>
                <w:color w:val="000000"/>
              </w:rPr>
            </w:pPr>
            <w:r>
              <w:rPr>
                <w:color w:val="000000"/>
              </w:rPr>
              <w:t>Total equity and long-term loan</w:t>
            </w:r>
          </w:p>
        </w:tc>
        <w:tc>
          <w:tcPr>
            <w:tcW w:w="1485" w:type="dxa"/>
            <w:tcBorders>
              <w:top w:val="nil"/>
              <w:left w:val="nil"/>
              <w:bottom w:val="single" w:sz="6" w:space="0" w:color="CCCCCC"/>
              <w:right w:val="single" w:sz="6" w:space="0" w:color="CCCCCC"/>
            </w:tcBorders>
            <w:tcMar>
              <w:top w:w="100" w:type="dxa"/>
              <w:left w:w="40" w:type="dxa"/>
              <w:bottom w:w="100" w:type="dxa"/>
              <w:right w:w="40" w:type="dxa"/>
            </w:tcMar>
            <w:vAlign w:val="bottom"/>
          </w:tcPr>
          <w:p w14:paraId="0F8E0FCE" w14:textId="77777777" w:rsidR="00582AED" w:rsidRDefault="00CD7A12">
            <w:pPr>
              <w:pBdr>
                <w:top w:val="nil"/>
                <w:left w:val="nil"/>
                <w:bottom w:val="nil"/>
                <w:right w:val="nil"/>
                <w:between w:val="nil"/>
              </w:pBdr>
              <w:spacing w:before="240" w:after="240" w:line="360" w:lineRule="auto"/>
              <w:jc w:val="both"/>
              <w:rPr>
                <w:color w:val="000000"/>
              </w:rPr>
            </w:pPr>
            <w:r>
              <w:rPr>
                <w:rFonts w:ascii="Roboto" w:eastAsia="Roboto" w:hAnsi="Roboto" w:cs="Roboto"/>
                <w:color w:val="374151"/>
                <w:sz w:val="24"/>
                <w:szCs w:val="24"/>
                <w:shd w:val="clear" w:color="auto" w:fill="F7F7F8"/>
              </w:rPr>
              <w:t>£</w:t>
            </w:r>
            <w:r>
              <w:rPr>
                <w:color w:val="000000"/>
              </w:rPr>
              <w:t>2190</w:t>
            </w:r>
          </w:p>
        </w:tc>
        <w:tc>
          <w:tcPr>
            <w:tcW w:w="1485" w:type="dxa"/>
            <w:tcBorders>
              <w:top w:val="nil"/>
              <w:left w:val="nil"/>
              <w:bottom w:val="single" w:sz="6" w:space="0" w:color="CCCCCC"/>
              <w:right w:val="single" w:sz="6" w:space="0" w:color="CCCCCC"/>
            </w:tcBorders>
            <w:tcMar>
              <w:top w:w="100" w:type="dxa"/>
              <w:left w:w="40" w:type="dxa"/>
              <w:bottom w:w="100" w:type="dxa"/>
              <w:right w:w="40" w:type="dxa"/>
            </w:tcMar>
            <w:vAlign w:val="bottom"/>
          </w:tcPr>
          <w:p w14:paraId="5801108D" w14:textId="77777777" w:rsidR="00582AED" w:rsidRDefault="00CD7A12">
            <w:pPr>
              <w:pBdr>
                <w:top w:val="nil"/>
                <w:left w:val="nil"/>
                <w:bottom w:val="nil"/>
                <w:right w:val="nil"/>
                <w:between w:val="nil"/>
              </w:pBdr>
              <w:spacing w:before="240" w:after="240" w:line="360" w:lineRule="auto"/>
              <w:jc w:val="both"/>
              <w:rPr>
                <w:color w:val="000000"/>
              </w:rPr>
            </w:pPr>
            <w:r>
              <w:rPr>
                <w:rFonts w:ascii="Roboto" w:eastAsia="Roboto" w:hAnsi="Roboto" w:cs="Roboto"/>
                <w:color w:val="374151"/>
                <w:sz w:val="24"/>
                <w:szCs w:val="24"/>
                <w:shd w:val="clear" w:color="auto" w:fill="F7F7F8"/>
              </w:rPr>
              <w:t>£</w:t>
            </w:r>
            <w:r>
              <w:rPr>
                <w:color w:val="000000"/>
              </w:rPr>
              <w:t>2366</w:t>
            </w:r>
          </w:p>
        </w:tc>
        <w:tc>
          <w:tcPr>
            <w:tcW w:w="1620" w:type="dxa"/>
            <w:tcBorders>
              <w:top w:val="nil"/>
              <w:left w:val="nil"/>
              <w:bottom w:val="single" w:sz="6" w:space="0" w:color="CCCCCC"/>
              <w:right w:val="single" w:sz="6" w:space="0" w:color="CCCCCC"/>
            </w:tcBorders>
            <w:tcMar>
              <w:top w:w="100" w:type="dxa"/>
              <w:left w:w="40" w:type="dxa"/>
              <w:bottom w:w="100" w:type="dxa"/>
              <w:right w:w="40" w:type="dxa"/>
            </w:tcMar>
            <w:vAlign w:val="bottom"/>
          </w:tcPr>
          <w:p w14:paraId="3BE4CC56" w14:textId="77777777" w:rsidR="00582AED" w:rsidRDefault="00CD7A12">
            <w:pPr>
              <w:pBdr>
                <w:top w:val="nil"/>
                <w:left w:val="nil"/>
                <w:bottom w:val="nil"/>
                <w:right w:val="nil"/>
                <w:between w:val="nil"/>
              </w:pBdr>
              <w:spacing w:before="240" w:after="240" w:line="360" w:lineRule="auto"/>
              <w:jc w:val="both"/>
              <w:rPr>
                <w:color w:val="000000"/>
              </w:rPr>
            </w:pPr>
            <w:r>
              <w:rPr>
                <w:rFonts w:ascii="Roboto" w:eastAsia="Roboto" w:hAnsi="Roboto" w:cs="Roboto"/>
                <w:color w:val="374151"/>
                <w:sz w:val="24"/>
                <w:szCs w:val="24"/>
                <w:shd w:val="clear" w:color="auto" w:fill="F7F7F8"/>
              </w:rPr>
              <w:t>£</w:t>
            </w:r>
            <w:r>
              <w:rPr>
                <w:color w:val="000000"/>
              </w:rPr>
              <w:t>3296</w:t>
            </w:r>
          </w:p>
        </w:tc>
      </w:tr>
      <w:tr w:rsidR="00582AED" w14:paraId="55D89F82" w14:textId="77777777">
        <w:trPr>
          <w:cantSplit/>
          <w:trHeight w:val="575"/>
          <w:tblHeader/>
        </w:trPr>
        <w:tc>
          <w:tcPr>
            <w:tcW w:w="3825" w:type="dxa"/>
            <w:tcBorders>
              <w:top w:val="nil"/>
              <w:left w:val="single" w:sz="6" w:space="0" w:color="CCCCCC"/>
              <w:bottom w:val="single" w:sz="6" w:space="0" w:color="CCCCCC"/>
              <w:right w:val="single" w:sz="6" w:space="0" w:color="CCCCCC"/>
            </w:tcBorders>
            <w:tcMar>
              <w:top w:w="100" w:type="dxa"/>
              <w:left w:w="40" w:type="dxa"/>
              <w:bottom w:w="100" w:type="dxa"/>
              <w:right w:w="40" w:type="dxa"/>
            </w:tcMar>
            <w:vAlign w:val="bottom"/>
          </w:tcPr>
          <w:p w14:paraId="69FFD493" w14:textId="77777777" w:rsidR="00582AED" w:rsidRDefault="00CD7A12">
            <w:pPr>
              <w:pBdr>
                <w:top w:val="nil"/>
                <w:left w:val="nil"/>
                <w:bottom w:val="nil"/>
                <w:right w:val="nil"/>
                <w:between w:val="nil"/>
              </w:pBdr>
              <w:spacing w:before="240" w:after="240" w:line="360" w:lineRule="auto"/>
              <w:jc w:val="both"/>
              <w:rPr>
                <w:color w:val="000000"/>
              </w:rPr>
            </w:pPr>
            <w:r>
              <w:rPr>
                <w:color w:val="000000"/>
              </w:rPr>
              <w:t>Labour cost</w:t>
            </w:r>
          </w:p>
        </w:tc>
        <w:tc>
          <w:tcPr>
            <w:tcW w:w="1485" w:type="dxa"/>
            <w:tcBorders>
              <w:top w:val="nil"/>
              <w:left w:val="nil"/>
              <w:bottom w:val="single" w:sz="6" w:space="0" w:color="CCCCCC"/>
              <w:right w:val="single" w:sz="6" w:space="0" w:color="CCCCCC"/>
            </w:tcBorders>
            <w:shd w:val="clear" w:color="auto" w:fill="E0F0FF"/>
            <w:tcMar>
              <w:top w:w="100" w:type="dxa"/>
              <w:left w:w="40" w:type="dxa"/>
              <w:bottom w:w="100" w:type="dxa"/>
              <w:right w:w="40" w:type="dxa"/>
            </w:tcMar>
            <w:vAlign w:val="bottom"/>
          </w:tcPr>
          <w:p w14:paraId="168B065D" w14:textId="77777777" w:rsidR="00582AED" w:rsidRDefault="00CD7A12">
            <w:pPr>
              <w:pBdr>
                <w:top w:val="nil"/>
                <w:left w:val="nil"/>
                <w:bottom w:val="nil"/>
                <w:right w:val="nil"/>
                <w:between w:val="nil"/>
              </w:pBdr>
              <w:spacing w:before="240" w:after="240" w:line="360" w:lineRule="auto"/>
              <w:jc w:val="both"/>
              <w:rPr>
                <w:color w:val="000000"/>
              </w:rPr>
            </w:pPr>
            <w:r>
              <w:rPr>
                <w:rFonts w:ascii="Roboto" w:eastAsia="Roboto" w:hAnsi="Roboto" w:cs="Roboto"/>
                <w:color w:val="374151"/>
                <w:sz w:val="24"/>
                <w:szCs w:val="24"/>
                <w:shd w:val="clear" w:color="auto" w:fill="F7F7F8"/>
              </w:rPr>
              <w:t>£</w:t>
            </w:r>
            <w:r>
              <w:rPr>
                <w:color w:val="000000"/>
              </w:rPr>
              <w:t>380</w:t>
            </w:r>
          </w:p>
        </w:tc>
        <w:tc>
          <w:tcPr>
            <w:tcW w:w="1485" w:type="dxa"/>
            <w:tcBorders>
              <w:top w:val="nil"/>
              <w:left w:val="nil"/>
              <w:bottom w:val="single" w:sz="6" w:space="0" w:color="CCCCCC"/>
              <w:right w:val="single" w:sz="6" w:space="0" w:color="CCCCCC"/>
            </w:tcBorders>
            <w:shd w:val="clear" w:color="auto" w:fill="E0F0FF"/>
            <w:tcMar>
              <w:top w:w="100" w:type="dxa"/>
              <w:left w:w="40" w:type="dxa"/>
              <w:bottom w:w="100" w:type="dxa"/>
              <w:right w:w="40" w:type="dxa"/>
            </w:tcMar>
            <w:vAlign w:val="bottom"/>
          </w:tcPr>
          <w:p w14:paraId="6E7FD408" w14:textId="77777777" w:rsidR="00582AED" w:rsidRDefault="00CD7A12">
            <w:pPr>
              <w:pBdr>
                <w:top w:val="nil"/>
                <w:left w:val="nil"/>
                <w:bottom w:val="nil"/>
                <w:right w:val="nil"/>
                <w:between w:val="nil"/>
              </w:pBdr>
              <w:spacing w:before="240" w:after="240" w:line="360" w:lineRule="auto"/>
              <w:jc w:val="both"/>
              <w:rPr>
                <w:color w:val="000000"/>
              </w:rPr>
            </w:pPr>
            <w:r>
              <w:rPr>
                <w:rFonts w:ascii="Roboto" w:eastAsia="Roboto" w:hAnsi="Roboto" w:cs="Roboto"/>
                <w:color w:val="374151"/>
                <w:sz w:val="24"/>
                <w:szCs w:val="24"/>
                <w:shd w:val="clear" w:color="auto" w:fill="F7F7F8"/>
              </w:rPr>
              <w:t>£</w:t>
            </w:r>
            <w:r>
              <w:rPr>
                <w:color w:val="000000"/>
              </w:rPr>
              <w:t>380</w:t>
            </w:r>
          </w:p>
        </w:tc>
        <w:tc>
          <w:tcPr>
            <w:tcW w:w="1620" w:type="dxa"/>
            <w:tcBorders>
              <w:top w:val="nil"/>
              <w:left w:val="nil"/>
              <w:bottom w:val="single" w:sz="6" w:space="0" w:color="CCCCCC"/>
              <w:right w:val="single" w:sz="6" w:space="0" w:color="CCCCCC"/>
            </w:tcBorders>
            <w:shd w:val="clear" w:color="auto" w:fill="E0F0FF"/>
            <w:tcMar>
              <w:top w:w="100" w:type="dxa"/>
              <w:left w:w="40" w:type="dxa"/>
              <w:bottom w:w="100" w:type="dxa"/>
              <w:right w:w="40" w:type="dxa"/>
            </w:tcMar>
            <w:vAlign w:val="bottom"/>
          </w:tcPr>
          <w:p w14:paraId="38F6243A" w14:textId="77777777" w:rsidR="00582AED" w:rsidRDefault="00CD7A12">
            <w:pPr>
              <w:pBdr>
                <w:top w:val="nil"/>
                <w:left w:val="nil"/>
                <w:bottom w:val="nil"/>
                <w:right w:val="nil"/>
                <w:between w:val="nil"/>
              </w:pBdr>
              <w:spacing w:before="240" w:after="240" w:line="360" w:lineRule="auto"/>
              <w:jc w:val="both"/>
              <w:rPr>
                <w:color w:val="000000"/>
              </w:rPr>
            </w:pPr>
            <w:r>
              <w:rPr>
                <w:rFonts w:ascii="Roboto" w:eastAsia="Roboto" w:hAnsi="Roboto" w:cs="Roboto"/>
                <w:color w:val="374151"/>
                <w:sz w:val="24"/>
                <w:szCs w:val="24"/>
                <w:shd w:val="clear" w:color="auto" w:fill="F7F7F8"/>
              </w:rPr>
              <w:t>£</w:t>
            </w:r>
            <w:r>
              <w:rPr>
                <w:color w:val="000000"/>
              </w:rPr>
              <w:t>380</w:t>
            </w:r>
          </w:p>
        </w:tc>
      </w:tr>
      <w:tr w:rsidR="00582AED" w14:paraId="4870AFDB" w14:textId="77777777">
        <w:trPr>
          <w:cantSplit/>
          <w:trHeight w:val="575"/>
          <w:tblHeader/>
        </w:trPr>
        <w:tc>
          <w:tcPr>
            <w:tcW w:w="3825" w:type="dxa"/>
            <w:tcBorders>
              <w:top w:val="nil"/>
              <w:left w:val="single" w:sz="6" w:space="0" w:color="CCCCCC"/>
              <w:bottom w:val="single" w:sz="6" w:space="0" w:color="CCCCCC"/>
              <w:right w:val="single" w:sz="6" w:space="0" w:color="CCCCCC"/>
            </w:tcBorders>
            <w:shd w:val="clear" w:color="auto" w:fill="FFF2CC"/>
            <w:tcMar>
              <w:top w:w="100" w:type="dxa"/>
              <w:left w:w="40" w:type="dxa"/>
              <w:bottom w:w="100" w:type="dxa"/>
              <w:right w:w="40" w:type="dxa"/>
            </w:tcMar>
            <w:vAlign w:val="bottom"/>
          </w:tcPr>
          <w:p w14:paraId="726C2147" w14:textId="77777777" w:rsidR="00582AED" w:rsidRDefault="00CD7A12">
            <w:pPr>
              <w:pBdr>
                <w:top w:val="nil"/>
                <w:left w:val="nil"/>
                <w:bottom w:val="nil"/>
                <w:right w:val="nil"/>
                <w:between w:val="nil"/>
              </w:pBdr>
              <w:spacing w:before="240" w:after="240" w:line="360" w:lineRule="auto"/>
              <w:jc w:val="both"/>
              <w:rPr>
                <w:b/>
                <w:color w:val="000000"/>
              </w:rPr>
            </w:pPr>
            <w:r>
              <w:rPr>
                <w:b/>
                <w:color w:val="000000"/>
              </w:rPr>
              <w:t>Return on capital employed</w:t>
            </w:r>
          </w:p>
        </w:tc>
        <w:tc>
          <w:tcPr>
            <w:tcW w:w="1485" w:type="dxa"/>
            <w:tcBorders>
              <w:top w:val="nil"/>
              <w:left w:val="nil"/>
              <w:bottom w:val="single" w:sz="6" w:space="0" w:color="CCCCCC"/>
              <w:right w:val="single" w:sz="6" w:space="0" w:color="CCCCCC"/>
            </w:tcBorders>
            <w:tcMar>
              <w:top w:w="100" w:type="dxa"/>
              <w:left w:w="40" w:type="dxa"/>
              <w:bottom w:w="100" w:type="dxa"/>
              <w:right w:w="40" w:type="dxa"/>
            </w:tcMar>
            <w:vAlign w:val="bottom"/>
          </w:tcPr>
          <w:p w14:paraId="3945A5F1" w14:textId="77777777" w:rsidR="00582AED" w:rsidRDefault="00CD7A12">
            <w:pPr>
              <w:pBdr>
                <w:top w:val="nil"/>
                <w:left w:val="nil"/>
                <w:bottom w:val="nil"/>
                <w:right w:val="nil"/>
                <w:between w:val="nil"/>
              </w:pBdr>
              <w:spacing w:before="240" w:after="240" w:line="360" w:lineRule="auto"/>
              <w:jc w:val="both"/>
              <w:rPr>
                <w:color w:val="000000"/>
              </w:rPr>
            </w:pPr>
            <w:r>
              <w:rPr>
                <w:rFonts w:ascii="Roboto" w:eastAsia="Roboto" w:hAnsi="Roboto" w:cs="Roboto"/>
                <w:color w:val="374151"/>
                <w:sz w:val="24"/>
                <w:szCs w:val="24"/>
                <w:shd w:val="clear" w:color="auto" w:fill="F7F7F8"/>
              </w:rPr>
              <w:t>£</w:t>
            </w:r>
            <w:r>
              <w:rPr>
                <w:color w:val="000000"/>
              </w:rPr>
              <w:t>690</w:t>
            </w:r>
          </w:p>
        </w:tc>
        <w:tc>
          <w:tcPr>
            <w:tcW w:w="1485" w:type="dxa"/>
            <w:tcBorders>
              <w:top w:val="nil"/>
              <w:left w:val="nil"/>
              <w:bottom w:val="single" w:sz="6" w:space="0" w:color="CCCCCC"/>
              <w:right w:val="single" w:sz="6" w:space="0" w:color="CCCCCC"/>
            </w:tcBorders>
            <w:tcMar>
              <w:top w:w="100" w:type="dxa"/>
              <w:left w:w="40" w:type="dxa"/>
              <w:bottom w:w="100" w:type="dxa"/>
              <w:right w:w="40" w:type="dxa"/>
            </w:tcMar>
            <w:vAlign w:val="bottom"/>
          </w:tcPr>
          <w:p w14:paraId="3FFBDFD9" w14:textId="77777777" w:rsidR="00582AED" w:rsidRDefault="00CD7A12">
            <w:pPr>
              <w:pBdr>
                <w:top w:val="nil"/>
                <w:left w:val="nil"/>
                <w:bottom w:val="nil"/>
                <w:right w:val="nil"/>
                <w:between w:val="nil"/>
              </w:pBdr>
              <w:spacing w:before="240" w:after="240" w:line="360" w:lineRule="auto"/>
              <w:jc w:val="both"/>
              <w:rPr>
                <w:color w:val="000000"/>
              </w:rPr>
            </w:pPr>
            <w:r>
              <w:rPr>
                <w:rFonts w:ascii="Roboto" w:eastAsia="Roboto" w:hAnsi="Roboto" w:cs="Roboto"/>
                <w:color w:val="374151"/>
                <w:sz w:val="24"/>
                <w:szCs w:val="24"/>
                <w:shd w:val="clear" w:color="auto" w:fill="F7F7F8"/>
              </w:rPr>
              <w:t>£</w:t>
            </w:r>
            <w:r>
              <w:rPr>
                <w:color w:val="000000"/>
              </w:rPr>
              <w:t>550</w:t>
            </w:r>
          </w:p>
        </w:tc>
        <w:tc>
          <w:tcPr>
            <w:tcW w:w="1620" w:type="dxa"/>
            <w:tcBorders>
              <w:top w:val="nil"/>
              <w:left w:val="nil"/>
              <w:bottom w:val="single" w:sz="6" w:space="0" w:color="CCCCCC"/>
              <w:right w:val="single" w:sz="6" w:space="0" w:color="CCCCCC"/>
            </w:tcBorders>
            <w:tcMar>
              <w:top w:w="100" w:type="dxa"/>
              <w:left w:w="40" w:type="dxa"/>
              <w:bottom w:w="100" w:type="dxa"/>
              <w:right w:w="40" w:type="dxa"/>
            </w:tcMar>
            <w:vAlign w:val="bottom"/>
          </w:tcPr>
          <w:p w14:paraId="3CC764BE" w14:textId="77777777" w:rsidR="00582AED" w:rsidRDefault="00CD7A12">
            <w:pPr>
              <w:pBdr>
                <w:top w:val="nil"/>
                <w:left w:val="nil"/>
                <w:bottom w:val="nil"/>
                <w:right w:val="nil"/>
                <w:between w:val="nil"/>
              </w:pBdr>
              <w:spacing w:before="240" w:after="240" w:line="360" w:lineRule="auto"/>
              <w:jc w:val="both"/>
              <w:rPr>
                <w:color w:val="000000"/>
              </w:rPr>
            </w:pPr>
            <w:r>
              <w:rPr>
                <w:rFonts w:ascii="Roboto" w:eastAsia="Roboto" w:hAnsi="Roboto" w:cs="Roboto"/>
                <w:color w:val="374151"/>
                <w:sz w:val="24"/>
                <w:szCs w:val="24"/>
                <w:shd w:val="clear" w:color="auto" w:fill="F7F7F8"/>
              </w:rPr>
              <w:t>£</w:t>
            </w:r>
            <w:r>
              <w:rPr>
                <w:color w:val="000000"/>
              </w:rPr>
              <w:t>680</w:t>
            </w:r>
          </w:p>
        </w:tc>
      </w:tr>
    </w:tbl>
    <w:p w14:paraId="26172E71" w14:textId="77777777" w:rsidR="00582AED" w:rsidRDefault="00582AED">
      <w:pPr>
        <w:pBdr>
          <w:top w:val="nil"/>
          <w:left w:val="nil"/>
          <w:bottom w:val="nil"/>
          <w:right w:val="nil"/>
          <w:between w:val="nil"/>
        </w:pBdr>
        <w:rPr>
          <w:color w:val="000000"/>
        </w:rPr>
      </w:pPr>
    </w:p>
    <w:p w14:paraId="625D5C45" w14:textId="77777777" w:rsidR="00582AED" w:rsidRDefault="00CD7A12">
      <w:pPr>
        <w:pStyle w:val="Heading2"/>
      </w:pPr>
      <w:bookmarkStart w:id="13" w:name="_heading=h.lnxbz9" w:colFirst="0" w:colLast="0"/>
      <w:bookmarkEnd w:id="13"/>
      <w:r>
        <w:t>Approximate Value of a construction project</w:t>
      </w:r>
    </w:p>
    <w:tbl>
      <w:tblPr>
        <w:tblStyle w:val="a4"/>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582AED" w14:paraId="1F561861" w14:textId="77777777">
        <w:trPr>
          <w:cantSplit/>
          <w:tblHeader/>
        </w:trPr>
        <w:tc>
          <w:tcPr>
            <w:tcW w:w="451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2A9BE40" w14:textId="77777777" w:rsidR="00582AED" w:rsidRDefault="00CD7A12">
            <w:pPr>
              <w:widowControl w:val="0"/>
              <w:pBdr>
                <w:top w:val="nil"/>
                <w:left w:val="nil"/>
                <w:bottom w:val="nil"/>
                <w:right w:val="nil"/>
                <w:between w:val="nil"/>
              </w:pBdr>
              <w:spacing w:line="240" w:lineRule="auto"/>
              <w:rPr>
                <w:b/>
                <w:color w:val="000000"/>
              </w:rPr>
            </w:pPr>
            <w:r>
              <w:rPr>
                <w:b/>
                <w:color w:val="000000"/>
              </w:rPr>
              <w:t>Materials for a construction project</w:t>
            </w:r>
          </w:p>
        </w:tc>
        <w:tc>
          <w:tcPr>
            <w:tcW w:w="4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4F46867" w14:textId="77777777" w:rsidR="00582AED" w:rsidRDefault="00CD7A12">
            <w:pPr>
              <w:widowControl w:val="0"/>
              <w:pBdr>
                <w:top w:val="nil"/>
                <w:left w:val="nil"/>
                <w:bottom w:val="nil"/>
                <w:right w:val="nil"/>
                <w:between w:val="nil"/>
              </w:pBdr>
              <w:spacing w:line="240" w:lineRule="auto"/>
              <w:rPr>
                <w:b/>
                <w:color w:val="000000"/>
              </w:rPr>
            </w:pPr>
            <w:r>
              <w:rPr>
                <w:b/>
                <w:color w:val="000000"/>
              </w:rPr>
              <w:t>Cost</w:t>
            </w:r>
          </w:p>
        </w:tc>
      </w:tr>
      <w:tr w:rsidR="00582AED" w14:paraId="3B0EE527" w14:textId="77777777">
        <w:trPr>
          <w:cantSplit/>
          <w:tblHeader/>
        </w:trPr>
        <w:tc>
          <w:tcPr>
            <w:tcW w:w="4514" w:type="dxa"/>
            <w:shd w:val="clear" w:color="auto" w:fill="auto"/>
            <w:tcMar>
              <w:top w:w="100" w:type="dxa"/>
              <w:left w:w="100" w:type="dxa"/>
              <w:bottom w:w="100" w:type="dxa"/>
              <w:right w:w="100" w:type="dxa"/>
            </w:tcMar>
          </w:tcPr>
          <w:p w14:paraId="44F1F65D" w14:textId="77777777" w:rsidR="00582AED" w:rsidRDefault="00CD7A12">
            <w:pPr>
              <w:widowControl w:val="0"/>
              <w:pBdr>
                <w:top w:val="nil"/>
                <w:left w:val="nil"/>
                <w:bottom w:val="nil"/>
                <w:right w:val="nil"/>
                <w:between w:val="nil"/>
              </w:pBdr>
              <w:spacing w:line="240" w:lineRule="auto"/>
              <w:rPr>
                <w:color w:val="000000"/>
              </w:rPr>
            </w:pPr>
            <w:r>
              <w:rPr>
                <w:color w:val="000000"/>
              </w:rPr>
              <w:t>Labour cost</w:t>
            </w:r>
          </w:p>
        </w:tc>
        <w:tc>
          <w:tcPr>
            <w:tcW w:w="4515" w:type="dxa"/>
            <w:shd w:val="clear" w:color="auto" w:fill="auto"/>
            <w:tcMar>
              <w:top w:w="100" w:type="dxa"/>
              <w:left w:w="100" w:type="dxa"/>
              <w:bottom w:w="100" w:type="dxa"/>
              <w:right w:w="100" w:type="dxa"/>
            </w:tcMar>
          </w:tcPr>
          <w:p w14:paraId="11851F4F" w14:textId="77777777" w:rsidR="00582AED" w:rsidRDefault="00CD7A12">
            <w:pPr>
              <w:pBdr>
                <w:top w:val="nil"/>
                <w:left w:val="nil"/>
                <w:bottom w:val="nil"/>
                <w:right w:val="nil"/>
                <w:between w:val="nil"/>
              </w:pBdr>
              <w:spacing w:before="240" w:after="240" w:line="360" w:lineRule="auto"/>
              <w:jc w:val="both"/>
              <w:rPr>
                <w:color w:val="000000"/>
              </w:rPr>
            </w:pPr>
            <w:r>
              <w:rPr>
                <w:rFonts w:ascii="Roboto" w:eastAsia="Roboto" w:hAnsi="Roboto" w:cs="Roboto"/>
                <w:color w:val="374151"/>
                <w:sz w:val="24"/>
                <w:szCs w:val="24"/>
                <w:shd w:val="clear" w:color="auto" w:fill="F7F7F8"/>
              </w:rPr>
              <w:t>£</w:t>
            </w:r>
            <w:r>
              <w:rPr>
                <w:color w:val="000000"/>
              </w:rPr>
              <w:t>3700</w:t>
            </w:r>
          </w:p>
        </w:tc>
      </w:tr>
      <w:tr w:rsidR="00582AED" w14:paraId="653DA65D" w14:textId="77777777">
        <w:trPr>
          <w:cantSplit/>
          <w:tblHeader/>
        </w:trPr>
        <w:tc>
          <w:tcPr>
            <w:tcW w:w="4514" w:type="dxa"/>
            <w:shd w:val="clear" w:color="auto" w:fill="auto"/>
            <w:tcMar>
              <w:top w:w="100" w:type="dxa"/>
              <w:left w:w="100" w:type="dxa"/>
              <w:bottom w:w="100" w:type="dxa"/>
              <w:right w:w="100" w:type="dxa"/>
            </w:tcMar>
          </w:tcPr>
          <w:p w14:paraId="4579DFA3" w14:textId="77777777" w:rsidR="00582AED" w:rsidRDefault="00CD7A12">
            <w:pPr>
              <w:widowControl w:val="0"/>
              <w:pBdr>
                <w:top w:val="nil"/>
                <w:left w:val="nil"/>
                <w:bottom w:val="nil"/>
                <w:right w:val="nil"/>
                <w:between w:val="nil"/>
              </w:pBdr>
              <w:spacing w:line="240" w:lineRule="auto"/>
              <w:rPr>
                <w:color w:val="000000"/>
              </w:rPr>
            </w:pPr>
            <w:r>
              <w:rPr>
                <w:color w:val="000000"/>
              </w:rPr>
              <w:t>Construction material</w:t>
            </w:r>
          </w:p>
        </w:tc>
        <w:tc>
          <w:tcPr>
            <w:tcW w:w="4515" w:type="dxa"/>
            <w:shd w:val="clear" w:color="auto" w:fill="auto"/>
            <w:tcMar>
              <w:top w:w="100" w:type="dxa"/>
              <w:left w:w="100" w:type="dxa"/>
              <w:bottom w:w="100" w:type="dxa"/>
              <w:right w:w="100" w:type="dxa"/>
            </w:tcMar>
          </w:tcPr>
          <w:p w14:paraId="6F853B37" w14:textId="77777777" w:rsidR="00582AED" w:rsidRDefault="00CD7A12">
            <w:pPr>
              <w:pBdr>
                <w:top w:val="nil"/>
                <w:left w:val="nil"/>
                <w:bottom w:val="nil"/>
                <w:right w:val="nil"/>
                <w:between w:val="nil"/>
              </w:pBdr>
              <w:spacing w:before="240" w:after="240" w:line="360" w:lineRule="auto"/>
              <w:jc w:val="both"/>
              <w:rPr>
                <w:color w:val="000000"/>
              </w:rPr>
            </w:pPr>
            <w:r>
              <w:rPr>
                <w:rFonts w:ascii="Roboto" w:eastAsia="Roboto" w:hAnsi="Roboto" w:cs="Roboto"/>
                <w:color w:val="374151"/>
                <w:sz w:val="24"/>
                <w:szCs w:val="24"/>
                <w:shd w:val="clear" w:color="auto" w:fill="F7F7F8"/>
              </w:rPr>
              <w:t>£</w:t>
            </w:r>
            <w:r>
              <w:rPr>
                <w:color w:val="000000"/>
              </w:rPr>
              <w:t>5000</w:t>
            </w:r>
          </w:p>
        </w:tc>
      </w:tr>
      <w:tr w:rsidR="00582AED" w14:paraId="454AD311" w14:textId="77777777">
        <w:trPr>
          <w:cantSplit/>
          <w:tblHeader/>
        </w:trPr>
        <w:tc>
          <w:tcPr>
            <w:tcW w:w="4514" w:type="dxa"/>
            <w:shd w:val="clear" w:color="auto" w:fill="auto"/>
            <w:tcMar>
              <w:top w:w="100" w:type="dxa"/>
              <w:left w:w="100" w:type="dxa"/>
              <w:bottom w:w="100" w:type="dxa"/>
              <w:right w:w="100" w:type="dxa"/>
            </w:tcMar>
          </w:tcPr>
          <w:p w14:paraId="09242185" w14:textId="77777777" w:rsidR="00582AED" w:rsidRDefault="00CD7A12">
            <w:pPr>
              <w:widowControl w:val="0"/>
              <w:pBdr>
                <w:top w:val="nil"/>
                <w:left w:val="nil"/>
                <w:bottom w:val="nil"/>
                <w:right w:val="nil"/>
                <w:between w:val="nil"/>
              </w:pBdr>
              <w:spacing w:line="240" w:lineRule="auto"/>
              <w:rPr>
                <w:color w:val="000000"/>
              </w:rPr>
            </w:pPr>
            <w:r>
              <w:rPr>
                <w:color w:val="000000"/>
              </w:rPr>
              <w:t>Transportation</w:t>
            </w:r>
          </w:p>
        </w:tc>
        <w:tc>
          <w:tcPr>
            <w:tcW w:w="4515" w:type="dxa"/>
            <w:shd w:val="clear" w:color="auto" w:fill="auto"/>
            <w:tcMar>
              <w:top w:w="100" w:type="dxa"/>
              <w:left w:w="100" w:type="dxa"/>
              <w:bottom w:w="100" w:type="dxa"/>
              <w:right w:w="100" w:type="dxa"/>
            </w:tcMar>
          </w:tcPr>
          <w:p w14:paraId="4A2695BA" w14:textId="77777777" w:rsidR="00582AED" w:rsidRDefault="00CD7A12">
            <w:pPr>
              <w:pBdr>
                <w:top w:val="nil"/>
                <w:left w:val="nil"/>
                <w:bottom w:val="nil"/>
                <w:right w:val="nil"/>
                <w:between w:val="nil"/>
              </w:pBdr>
              <w:spacing w:before="240" w:after="240" w:line="360" w:lineRule="auto"/>
              <w:jc w:val="both"/>
              <w:rPr>
                <w:color w:val="000000"/>
              </w:rPr>
            </w:pPr>
            <w:r>
              <w:rPr>
                <w:rFonts w:ascii="Roboto" w:eastAsia="Roboto" w:hAnsi="Roboto" w:cs="Roboto"/>
                <w:color w:val="374151"/>
                <w:sz w:val="24"/>
                <w:szCs w:val="24"/>
                <w:shd w:val="clear" w:color="auto" w:fill="F7F7F8"/>
              </w:rPr>
              <w:t>£</w:t>
            </w:r>
            <w:r>
              <w:rPr>
                <w:color w:val="000000"/>
              </w:rPr>
              <w:t>2000</w:t>
            </w:r>
          </w:p>
        </w:tc>
      </w:tr>
      <w:tr w:rsidR="00582AED" w14:paraId="5899D3C7" w14:textId="77777777">
        <w:trPr>
          <w:cantSplit/>
          <w:tblHeader/>
        </w:trPr>
        <w:tc>
          <w:tcPr>
            <w:tcW w:w="4514" w:type="dxa"/>
            <w:shd w:val="clear" w:color="auto" w:fill="auto"/>
            <w:tcMar>
              <w:top w:w="100" w:type="dxa"/>
              <w:left w:w="100" w:type="dxa"/>
              <w:bottom w:w="100" w:type="dxa"/>
              <w:right w:w="100" w:type="dxa"/>
            </w:tcMar>
          </w:tcPr>
          <w:p w14:paraId="62900C7D" w14:textId="77777777" w:rsidR="00582AED" w:rsidRDefault="00CD7A12">
            <w:pPr>
              <w:widowControl w:val="0"/>
              <w:pBdr>
                <w:top w:val="nil"/>
                <w:left w:val="nil"/>
                <w:bottom w:val="nil"/>
                <w:right w:val="nil"/>
                <w:between w:val="nil"/>
              </w:pBdr>
              <w:spacing w:line="240" w:lineRule="auto"/>
              <w:rPr>
                <w:color w:val="000000"/>
              </w:rPr>
            </w:pPr>
            <w:r>
              <w:rPr>
                <w:color w:val="000000"/>
              </w:rPr>
              <w:t>Electricity</w:t>
            </w:r>
          </w:p>
        </w:tc>
        <w:tc>
          <w:tcPr>
            <w:tcW w:w="4515" w:type="dxa"/>
            <w:shd w:val="clear" w:color="auto" w:fill="auto"/>
            <w:tcMar>
              <w:top w:w="100" w:type="dxa"/>
              <w:left w:w="100" w:type="dxa"/>
              <w:bottom w:w="100" w:type="dxa"/>
              <w:right w:w="100" w:type="dxa"/>
            </w:tcMar>
          </w:tcPr>
          <w:p w14:paraId="4B3C0508" w14:textId="77777777" w:rsidR="00582AED" w:rsidRDefault="00CD7A12">
            <w:pPr>
              <w:pBdr>
                <w:top w:val="nil"/>
                <w:left w:val="nil"/>
                <w:bottom w:val="nil"/>
                <w:right w:val="nil"/>
                <w:between w:val="nil"/>
              </w:pBdr>
              <w:spacing w:before="240" w:after="240" w:line="360" w:lineRule="auto"/>
              <w:jc w:val="both"/>
              <w:rPr>
                <w:color w:val="000000"/>
              </w:rPr>
            </w:pPr>
            <w:r>
              <w:rPr>
                <w:rFonts w:ascii="Roboto" w:eastAsia="Roboto" w:hAnsi="Roboto" w:cs="Roboto"/>
                <w:color w:val="374151"/>
                <w:sz w:val="24"/>
                <w:szCs w:val="24"/>
                <w:shd w:val="clear" w:color="auto" w:fill="F7F7F8"/>
              </w:rPr>
              <w:t>£</w:t>
            </w:r>
            <w:r>
              <w:rPr>
                <w:color w:val="000000"/>
              </w:rPr>
              <w:t>1700</w:t>
            </w:r>
          </w:p>
        </w:tc>
      </w:tr>
      <w:tr w:rsidR="00582AED" w14:paraId="48331D5D" w14:textId="77777777">
        <w:trPr>
          <w:cantSplit/>
          <w:tblHeader/>
        </w:trPr>
        <w:tc>
          <w:tcPr>
            <w:tcW w:w="4514" w:type="dxa"/>
            <w:shd w:val="clear" w:color="auto" w:fill="auto"/>
            <w:tcMar>
              <w:top w:w="100" w:type="dxa"/>
              <w:left w:w="100" w:type="dxa"/>
              <w:bottom w:w="100" w:type="dxa"/>
              <w:right w:w="100" w:type="dxa"/>
            </w:tcMar>
          </w:tcPr>
          <w:p w14:paraId="205E6B43" w14:textId="77777777" w:rsidR="00582AED" w:rsidRDefault="00CD7A12">
            <w:pPr>
              <w:widowControl w:val="0"/>
              <w:pBdr>
                <w:top w:val="nil"/>
                <w:left w:val="nil"/>
                <w:bottom w:val="nil"/>
                <w:right w:val="nil"/>
                <w:between w:val="nil"/>
              </w:pBdr>
              <w:spacing w:line="240" w:lineRule="auto"/>
              <w:rPr>
                <w:color w:val="000000"/>
              </w:rPr>
            </w:pPr>
            <w:r>
              <w:rPr>
                <w:color w:val="000000"/>
              </w:rPr>
              <w:t>Total cost</w:t>
            </w:r>
          </w:p>
        </w:tc>
        <w:tc>
          <w:tcPr>
            <w:tcW w:w="4515" w:type="dxa"/>
            <w:shd w:val="clear" w:color="auto" w:fill="auto"/>
            <w:tcMar>
              <w:top w:w="100" w:type="dxa"/>
              <w:left w:w="100" w:type="dxa"/>
              <w:bottom w:w="100" w:type="dxa"/>
              <w:right w:w="100" w:type="dxa"/>
            </w:tcMar>
          </w:tcPr>
          <w:p w14:paraId="6145A761" w14:textId="77777777" w:rsidR="00582AED" w:rsidRDefault="00CD7A12">
            <w:pPr>
              <w:pBdr>
                <w:top w:val="nil"/>
                <w:left w:val="nil"/>
                <w:bottom w:val="nil"/>
                <w:right w:val="nil"/>
                <w:between w:val="nil"/>
              </w:pBdr>
              <w:spacing w:before="240" w:after="240" w:line="360" w:lineRule="auto"/>
              <w:jc w:val="both"/>
              <w:rPr>
                <w:color w:val="000000"/>
              </w:rPr>
            </w:pPr>
            <w:r>
              <w:rPr>
                <w:rFonts w:ascii="Roboto" w:eastAsia="Roboto" w:hAnsi="Roboto" w:cs="Roboto"/>
                <w:color w:val="374151"/>
                <w:sz w:val="24"/>
                <w:szCs w:val="24"/>
                <w:shd w:val="clear" w:color="auto" w:fill="F7F7F8"/>
              </w:rPr>
              <w:t>£</w:t>
            </w:r>
            <w:r>
              <w:rPr>
                <w:color w:val="000000"/>
              </w:rPr>
              <w:t>25000</w:t>
            </w:r>
          </w:p>
        </w:tc>
      </w:tr>
    </w:tbl>
    <w:p w14:paraId="6BFA4C8D" w14:textId="77777777" w:rsidR="00582AED" w:rsidRDefault="00CD7A12">
      <w:pPr>
        <w:spacing w:line="360" w:lineRule="auto"/>
        <w:jc w:val="both"/>
        <w:rPr>
          <w:rFonts w:ascii="Arial" w:eastAsia="Arial" w:hAnsi="Arial" w:cs="Arial"/>
          <w:b/>
        </w:rPr>
      </w:pPr>
      <w:bookmarkStart w:id="14" w:name="_heading=h.35nkun2" w:colFirst="0" w:colLast="0"/>
      <w:bookmarkEnd w:id="14"/>
      <w:r>
        <w:rPr>
          <w:rFonts w:ascii="Arial" w:eastAsia="Arial" w:hAnsi="Arial" w:cs="Arial"/>
        </w:rPr>
        <w:t xml:space="preserve">The three-year financial plan for this new construction project appears to be sound. Annual profit expansion is expected, but it's vital to remember that overall revenue growth will be far slower than the expansion of profits. This can indicate that the business receives funding from sources other than its clients. Remember that these sources of revenue are what this prediction depends on. Whole equity offers a strong base and the potential for long-term equity financing. Both the personnel cost and the return on capital employed remain constant over the course of the three years. This business model will also have an impact on the neighbourhood, providing more job opportunities, a wider range of products, and happier customers. </w:t>
      </w:r>
    </w:p>
    <w:p w14:paraId="7C57C045" w14:textId="60D9F247" w:rsidR="00582AED" w:rsidRDefault="00582AED">
      <w:pPr>
        <w:pStyle w:val="Heading1"/>
        <w:rPr>
          <w:highlight w:val="yellow"/>
        </w:rPr>
      </w:pPr>
      <w:bookmarkStart w:id="15" w:name="_heading=h.1ksv4uv" w:colFirst="0" w:colLast="0"/>
      <w:bookmarkEnd w:id="15"/>
    </w:p>
    <w:p w14:paraId="4D780B6E" w14:textId="438985E0" w:rsidR="00582AED" w:rsidRDefault="00CD7A12">
      <w:pPr>
        <w:pBdr>
          <w:top w:val="nil"/>
          <w:left w:val="nil"/>
          <w:bottom w:val="nil"/>
          <w:right w:val="nil"/>
          <w:between w:val="nil"/>
        </w:pBdr>
        <w:spacing w:line="360" w:lineRule="auto"/>
        <w:jc w:val="both"/>
        <w:rPr>
          <w:color w:val="000000"/>
        </w:rPr>
      </w:pPr>
      <w:r>
        <w:rPr>
          <w:color w:val="000000"/>
        </w:rPr>
        <w:t>Considering all the above</w:t>
      </w:r>
      <w:r w:rsidR="00497045">
        <w:rPr>
          <w:color w:val="000000"/>
        </w:rPr>
        <w:t xml:space="preserve"> </w:t>
      </w:r>
      <w:r>
        <w:rPr>
          <w:color w:val="000000"/>
        </w:rPr>
        <w:t xml:space="preserve">mentioned factors it can be said that there are many prospects for growth and fulfilment in the dynamic and extremely competitive construction business in the United Kingdom. For business owners wishing to start or grow their manufacturing endeavours in the UK, a well-crafted creation marketing strategy is essential. The agency's mission, assignment, target market, competitive analysis, economic projections, marketing strategies, and operating guidelines are all outlined in this comprehensive blueprint. Assignment manipulation, hazard analysis, regulatory compliance, and sustainability practices are all addressed along with crucial elements. A solid marketing plan shows the entrepreneur's understanding of the business, ability to handle difficult conditions, and dedication to provide superior production offers profitably and sustainably.  </w:t>
      </w:r>
    </w:p>
    <w:p w14:paraId="115B5840" w14:textId="77777777" w:rsidR="00582AED" w:rsidRDefault="00582AED">
      <w:pPr>
        <w:pBdr>
          <w:top w:val="nil"/>
          <w:left w:val="nil"/>
          <w:bottom w:val="nil"/>
          <w:right w:val="nil"/>
          <w:between w:val="nil"/>
        </w:pBdr>
        <w:spacing w:line="360" w:lineRule="auto"/>
        <w:jc w:val="both"/>
        <w:rPr>
          <w:color w:val="000000"/>
        </w:rPr>
      </w:pPr>
    </w:p>
    <w:p w14:paraId="78554831" w14:textId="77777777" w:rsidR="00582AED" w:rsidRDefault="00582AED">
      <w:pPr>
        <w:pBdr>
          <w:top w:val="nil"/>
          <w:left w:val="nil"/>
          <w:bottom w:val="nil"/>
          <w:right w:val="nil"/>
          <w:between w:val="nil"/>
        </w:pBdr>
        <w:rPr>
          <w:color w:val="000000"/>
        </w:rPr>
      </w:pPr>
    </w:p>
    <w:p w14:paraId="0BBF21BF" w14:textId="77777777" w:rsidR="005B2905" w:rsidRDefault="005B2905">
      <w:pPr>
        <w:pBdr>
          <w:top w:val="nil"/>
          <w:left w:val="nil"/>
          <w:bottom w:val="nil"/>
          <w:right w:val="nil"/>
          <w:between w:val="nil"/>
        </w:pBdr>
        <w:rPr>
          <w:color w:val="000000"/>
        </w:rPr>
      </w:pPr>
    </w:p>
    <w:p w14:paraId="11430682" w14:textId="77777777" w:rsidR="005B2905" w:rsidRDefault="005B2905">
      <w:pPr>
        <w:pBdr>
          <w:top w:val="nil"/>
          <w:left w:val="nil"/>
          <w:bottom w:val="nil"/>
          <w:right w:val="nil"/>
          <w:between w:val="nil"/>
        </w:pBdr>
        <w:rPr>
          <w:color w:val="000000"/>
        </w:rPr>
      </w:pPr>
    </w:p>
    <w:p w14:paraId="41C55F86" w14:textId="77777777" w:rsidR="005B2905" w:rsidRDefault="005B2905">
      <w:pPr>
        <w:pBdr>
          <w:top w:val="nil"/>
          <w:left w:val="nil"/>
          <w:bottom w:val="nil"/>
          <w:right w:val="nil"/>
          <w:between w:val="nil"/>
        </w:pBdr>
        <w:rPr>
          <w:color w:val="000000"/>
        </w:rPr>
      </w:pPr>
    </w:p>
    <w:p w14:paraId="1809B006" w14:textId="77777777" w:rsidR="005B2905" w:rsidRDefault="005B2905">
      <w:pPr>
        <w:pBdr>
          <w:top w:val="nil"/>
          <w:left w:val="nil"/>
          <w:bottom w:val="nil"/>
          <w:right w:val="nil"/>
          <w:between w:val="nil"/>
        </w:pBdr>
        <w:rPr>
          <w:color w:val="000000"/>
        </w:rPr>
      </w:pPr>
    </w:p>
    <w:p w14:paraId="49EA889E" w14:textId="77777777" w:rsidR="005B2905" w:rsidRDefault="005B2905">
      <w:pPr>
        <w:pBdr>
          <w:top w:val="nil"/>
          <w:left w:val="nil"/>
          <w:bottom w:val="nil"/>
          <w:right w:val="nil"/>
          <w:between w:val="nil"/>
        </w:pBdr>
        <w:rPr>
          <w:color w:val="000000"/>
        </w:rPr>
      </w:pPr>
    </w:p>
    <w:p w14:paraId="0B59442E" w14:textId="77777777" w:rsidR="005B2905" w:rsidRDefault="005B2905">
      <w:pPr>
        <w:pBdr>
          <w:top w:val="nil"/>
          <w:left w:val="nil"/>
          <w:bottom w:val="nil"/>
          <w:right w:val="nil"/>
          <w:between w:val="nil"/>
        </w:pBdr>
        <w:rPr>
          <w:color w:val="000000"/>
        </w:rPr>
      </w:pPr>
    </w:p>
    <w:p w14:paraId="66BED717" w14:textId="77777777" w:rsidR="005B2905" w:rsidRDefault="005B2905">
      <w:pPr>
        <w:pBdr>
          <w:top w:val="nil"/>
          <w:left w:val="nil"/>
          <w:bottom w:val="nil"/>
          <w:right w:val="nil"/>
          <w:between w:val="nil"/>
        </w:pBdr>
        <w:rPr>
          <w:color w:val="000000"/>
        </w:rPr>
      </w:pPr>
    </w:p>
    <w:p w14:paraId="56BCA51C" w14:textId="77777777" w:rsidR="005B2905" w:rsidRDefault="005B2905">
      <w:pPr>
        <w:pBdr>
          <w:top w:val="nil"/>
          <w:left w:val="nil"/>
          <w:bottom w:val="nil"/>
          <w:right w:val="nil"/>
          <w:between w:val="nil"/>
        </w:pBdr>
        <w:rPr>
          <w:color w:val="000000"/>
        </w:rPr>
      </w:pPr>
    </w:p>
    <w:p w14:paraId="729EF1A4" w14:textId="77777777" w:rsidR="005B2905" w:rsidRDefault="005B2905">
      <w:pPr>
        <w:pBdr>
          <w:top w:val="nil"/>
          <w:left w:val="nil"/>
          <w:bottom w:val="nil"/>
          <w:right w:val="nil"/>
          <w:between w:val="nil"/>
        </w:pBdr>
        <w:rPr>
          <w:color w:val="000000"/>
        </w:rPr>
      </w:pPr>
    </w:p>
    <w:p w14:paraId="2CD21EA7" w14:textId="77777777" w:rsidR="005B2905" w:rsidRDefault="005B2905">
      <w:pPr>
        <w:pBdr>
          <w:top w:val="nil"/>
          <w:left w:val="nil"/>
          <w:bottom w:val="nil"/>
          <w:right w:val="nil"/>
          <w:between w:val="nil"/>
        </w:pBdr>
        <w:rPr>
          <w:color w:val="000000"/>
        </w:rPr>
      </w:pPr>
    </w:p>
    <w:p w14:paraId="47C6F77B" w14:textId="77777777" w:rsidR="005B2905" w:rsidRDefault="005B2905">
      <w:pPr>
        <w:pBdr>
          <w:top w:val="nil"/>
          <w:left w:val="nil"/>
          <w:bottom w:val="nil"/>
          <w:right w:val="nil"/>
          <w:between w:val="nil"/>
        </w:pBdr>
        <w:rPr>
          <w:color w:val="000000"/>
        </w:rPr>
      </w:pPr>
    </w:p>
    <w:p w14:paraId="21316F54" w14:textId="77777777" w:rsidR="005B2905" w:rsidRDefault="005B2905">
      <w:pPr>
        <w:pBdr>
          <w:top w:val="nil"/>
          <w:left w:val="nil"/>
          <w:bottom w:val="nil"/>
          <w:right w:val="nil"/>
          <w:between w:val="nil"/>
        </w:pBdr>
        <w:rPr>
          <w:color w:val="000000"/>
        </w:rPr>
      </w:pPr>
    </w:p>
    <w:p w14:paraId="19457109" w14:textId="77777777" w:rsidR="005B2905" w:rsidRDefault="005B2905">
      <w:pPr>
        <w:pBdr>
          <w:top w:val="nil"/>
          <w:left w:val="nil"/>
          <w:bottom w:val="nil"/>
          <w:right w:val="nil"/>
          <w:between w:val="nil"/>
        </w:pBdr>
        <w:rPr>
          <w:color w:val="000000"/>
        </w:rPr>
      </w:pPr>
    </w:p>
    <w:p w14:paraId="72405790" w14:textId="77777777" w:rsidR="005B2905" w:rsidRDefault="005B2905">
      <w:pPr>
        <w:pBdr>
          <w:top w:val="nil"/>
          <w:left w:val="nil"/>
          <w:bottom w:val="nil"/>
          <w:right w:val="nil"/>
          <w:between w:val="nil"/>
        </w:pBdr>
        <w:rPr>
          <w:color w:val="000000"/>
        </w:rPr>
      </w:pPr>
    </w:p>
    <w:p w14:paraId="35216B58" w14:textId="77777777" w:rsidR="005B2905" w:rsidRDefault="005B2905">
      <w:pPr>
        <w:pBdr>
          <w:top w:val="nil"/>
          <w:left w:val="nil"/>
          <w:bottom w:val="nil"/>
          <w:right w:val="nil"/>
          <w:between w:val="nil"/>
        </w:pBdr>
        <w:rPr>
          <w:color w:val="000000"/>
        </w:rPr>
      </w:pPr>
    </w:p>
    <w:p w14:paraId="0502EF1D" w14:textId="77777777" w:rsidR="005B2905" w:rsidRDefault="005B2905">
      <w:pPr>
        <w:pBdr>
          <w:top w:val="nil"/>
          <w:left w:val="nil"/>
          <w:bottom w:val="nil"/>
          <w:right w:val="nil"/>
          <w:between w:val="nil"/>
        </w:pBdr>
        <w:rPr>
          <w:color w:val="000000"/>
        </w:rPr>
      </w:pPr>
    </w:p>
    <w:p w14:paraId="631AA402" w14:textId="77777777" w:rsidR="005B2905" w:rsidRDefault="005B2905">
      <w:pPr>
        <w:pBdr>
          <w:top w:val="nil"/>
          <w:left w:val="nil"/>
          <w:bottom w:val="nil"/>
          <w:right w:val="nil"/>
          <w:between w:val="nil"/>
        </w:pBdr>
        <w:rPr>
          <w:color w:val="000000"/>
        </w:rPr>
      </w:pPr>
    </w:p>
    <w:p w14:paraId="3E91048A" w14:textId="77777777" w:rsidR="005B2905" w:rsidRDefault="005B2905">
      <w:pPr>
        <w:pBdr>
          <w:top w:val="nil"/>
          <w:left w:val="nil"/>
          <w:bottom w:val="nil"/>
          <w:right w:val="nil"/>
          <w:between w:val="nil"/>
        </w:pBdr>
        <w:rPr>
          <w:color w:val="000000"/>
        </w:rPr>
      </w:pPr>
    </w:p>
    <w:p w14:paraId="1C0F3312" w14:textId="77777777" w:rsidR="005B2905" w:rsidRDefault="005B2905">
      <w:pPr>
        <w:pBdr>
          <w:top w:val="nil"/>
          <w:left w:val="nil"/>
          <w:bottom w:val="nil"/>
          <w:right w:val="nil"/>
          <w:between w:val="nil"/>
        </w:pBdr>
        <w:rPr>
          <w:color w:val="000000"/>
        </w:rPr>
      </w:pPr>
    </w:p>
    <w:p w14:paraId="09D1FC6D" w14:textId="77777777" w:rsidR="005B2905" w:rsidRDefault="005B2905">
      <w:pPr>
        <w:pBdr>
          <w:top w:val="nil"/>
          <w:left w:val="nil"/>
          <w:bottom w:val="nil"/>
          <w:right w:val="nil"/>
          <w:between w:val="nil"/>
        </w:pBdr>
        <w:rPr>
          <w:color w:val="000000"/>
        </w:rPr>
      </w:pPr>
    </w:p>
    <w:p w14:paraId="04EB2AEE" w14:textId="77777777" w:rsidR="005B2905" w:rsidRDefault="005B2905">
      <w:pPr>
        <w:pBdr>
          <w:top w:val="nil"/>
          <w:left w:val="nil"/>
          <w:bottom w:val="nil"/>
          <w:right w:val="nil"/>
          <w:between w:val="nil"/>
        </w:pBdr>
        <w:rPr>
          <w:color w:val="000000"/>
        </w:rPr>
      </w:pPr>
    </w:p>
    <w:p w14:paraId="7CCE8DFB" w14:textId="77777777" w:rsidR="005B2905" w:rsidRDefault="005B2905">
      <w:pPr>
        <w:pBdr>
          <w:top w:val="nil"/>
          <w:left w:val="nil"/>
          <w:bottom w:val="nil"/>
          <w:right w:val="nil"/>
          <w:between w:val="nil"/>
        </w:pBdr>
        <w:rPr>
          <w:color w:val="000000"/>
        </w:rPr>
      </w:pPr>
    </w:p>
    <w:p w14:paraId="425F6555" w14:textId="77777777" w:rsidR="005B2905" w:rsidRDefault="005B2905">
      <w:pPr>
        <w:pBdr>
          <w:top w:val="nil"/>
          <w:left w:val="nil"/>
          <w:bottom w:val="nil"/>
          <w:right w:val="nil"/>
          <w:between w:val="nil"/>
        </w:pBdr>
        <w:rPr>
          <w:color w:val="000000"/>
        </w:rPr>
      </w:pPr>
    </w:p>
    <w:p w14:paraId="7ABF81CC" w14:textId="77777777" w:rsidR="00582AED" w:rsidRDefault="00CD7A12">
      <w:pPr>
        <w:pStyle w:val="Heading1"/>
      </w:pPr>
      <w:bookmarkStart w:id="16" w:name="_heading=h.44sinio" w:colFirst="0" w:colLast="0"/>
      <w:bookmarkEnd w:id="16"/>
      <w:r>
        <w:t>Reference</w:t>
      </w:r>
    </w:p>
    <w:p w14:paraId="1FE37502" w14:textId="77777777" w:rsidR="00582AED" w:rsidRDefault="00CD7A12">
      <w:pPr>
        <w:pBdr>
          <w:top w:val="nil"/>
          <w:left w:val="nil"/>
          <w:bottom w:val="nil"/>
          <w:right w:val="nil"/>
          <w:between w:val="nil"/>
        </w:pBdr>
        <w:spacing w:before="240" w:after="240" w:line="360" w:lineRule="auto"/>
        <w:jc w:val="both"/>
        <w:rPr>
          <w:color w:val="000000"/>
        </w:rPr>
      </w:pPr>
      <w:r>
        <w:rPr>
          <w:color w:val="000000"/>
        </w:rPr>
        <w:t xml:space="preserve">statista and 13, F. (2023) </w:t>
      </w:r>
      <w:r>
        <w:rPr>
          <w:i/>
          <w:color w:val="000000"/>
        </w:rPr>
        <w:t>UK Construction Industry Segment Size 1997-2022</w:t>
      </w:r>
      <w:r>
        <w:rPr>
          <w:color w:val="000000"/>
        </w:rPr>
        <w:t xml:space="preserve">, </w:t>
      </w:r>
      <w:r>
        <w:rPr>
          <w:i/>
          <w:color w:val="000000"/>
        </w:rPr>
        <w:t>Statista</w:t>
      </w:r>
      <w:r>
        <w:rPr>
          <w:color w:val="000000"/>
        </w:rPr>
        <w:t xml:space="preserve">. Available at: </w:t>
      </w:r>
      <w:hyperlink r:id="rId15">
        <w:r>
          <w:rPr>
            <w:color w:val="1155CC"/>
            <w:u w:val="single"/>
          </w:rPr>
          <w:t>https://www.statista.com/statistics/565511/construction-industry-structure-uk/</w:t>
        </w:r>
      </w:hyperlink>
      <w:r>
        <w:rPr>
          <w:color w:val="000000"/>
        </w:rPr>
        <w:t xml:space="preserve">  (Accessed: 20 June 2023). </w:t>
      </w:r>
    </w:p>
    <w:p w14:paraId="740C97FA" w14:textId="77777777" w:rsidR="00582AED" w:rsidRDefault="00CD7A12">
      <w:pPr>
        <w:pBdr>
          <w:top w:val="nil"/>
          <w:left w:val="nil"/>
          <w:bottom w:val="nil"/>
          <w:right w:val="nil"/>
          <w:between w:val="nil"/>
        </w:pBdr>
        <w:spacing w:before="240" w:after="240" w:line="360" w:lineRule="auto"/>
        <w:jc w:val="both"/>
        <w:rPr>
          <w:color w:val="000000"/>
        </w:rPr>
      </w:pPr>
      <w:r>
        <w:rPr>
          <w:color w:val="222222"/>
          <w:highlight w:val="white"/>
        </w:rPr>
        <w:t xml:space="preserve">Newman, C., Edwards, D., Martek, I., Lai, J., Thwala, W.D. and Rillie, I., 2021. Industry 4.0 deployment in the construction industry: a bibliometric literature review and UK-based case study. </w:t>
      </w:r>
      <w:r>
        <w:rPr>
          <w:i/>
          <w:color w:val="000000"/>
        </w:rPr>
        <w:t>Smart and Sustainable Built Environment</w:t>
      </w:r>
      <w:r>
        <w:rPr>
          <w:color w:val="000000"/>
        </w:rPr>
        <w:t xml:space="preserve">, </w:t>
      </w:r>
      <w:r>
        <w:rPr>
          <w:i/>
          <w:color w:val="000000"/>
        </w:rPr>
        <w:t>10</w:t>
      </w:r>
      <w:r>
        <w:rPr>
          <w:color w:val="000000"/>
        </w:rPr>
        <w:t>(4), pp.557-580. Available at:</w:t>
      </w:r>
      <w:hyperlink r:id="rId16">
        <w:r>
          <w:rPr>
            <w:color w:val="000000"/>
          </w:rPr>
          <w:t xml:space="preserve"> </w:t>
        </w:r>
      </w:hyperlink>
      <w:hyperlink r:id="rId17">
        <w:r>
          <w:rPr>
            <w:color w:val="1155CC"/>
            <w:highlight w:val="white"/>
            <w:u w:val="single"/>
          </w:rPr>
          <w:t>https://doi.org/10.1108/SASBE-02-2020-0016</w:t>
        </w:r>
      </w:hyperlink>
      <w:r>
        <w:rPr>
          <w:color w:val="222222"/>
          <w:highlight w:val="white"/>
        </w:rPr>
        <w:t xml:space="preserve"> </w:t>
      </w:r>
      <w:r>
        <w:rPr>
          <w:color w:val="000000"/>
        </w:rPr>
        <w:t>(Accessed: 20 June 2023).</w:t>
      </w:r>
    </w:p>
    <w:p w14:paraId="222F5240" w14:textId="77777777" w:rsidR="00582AED" w:rsidRDefault="00CD7A12">
      <w:pPr>
        <w:pBdr>
          <w:top w:val="nil"/>
          <w:left w:val="nil"/>
          <w:bottom w:val="nil"/>
          <w:right w:val="nil"/>
          <w:between w:val="nil"/>
        </w:pBdr>
        <w:spacing w:before="240" w:after="240" w:line="360" w:lineRule="auto"/>
        <w:jc w:val="both"/>
        <w:rPr>
          <w:color w:val="000000"/>
        </w:rPr>
      </w:pPr>
      <w:r>
        <w:rPr>
          <w:color w:val="222222"/>
          <w:highlight w:val="white"/>
        </w:rPr>
        <w:t xml:space="preserve">Awwad, K.A., Shibani, A. and Ghostin, M., 2022. Exploring the critical success factors influencing BIM level 2 implementation in the UK construction industry: the case of SMEs. </w:t>
      </w:r>
      <w:r>
        <w:rPr>
          <w:i/>
          <w:color w:val="000000"/>
        </w:rPr>
        <w:t>International journal of construction management</w:t>
      </w:r>
      <w:r>
        <w:rPr>
          <w:color w:val="000000"/>
        </w:rPr>
        <w:t xml:space="preserve">, </w:t>
      </w:r>
      <w:r>
        <w:rPr>
          <w:i/>
          <w:color w:val="000000"/>
        </w:rPr>
        <w:t>22</w:t>
      </w:r>
      <w:r>
        <w:rPr>
          <w:color w:val="000000"/>
        </w:rPr>
        <w:t>(10), pp.1894-1901. Available at:</w:t>
      </w:r>
      <w:hyperlink r:id="rId18">
        <w:r>
          <w:rPr>
            <w:color w:val="000000"/>
          </w:rPr>
          <w:t xml:space="preserve"> </w:t>
        </w:r>
      </w:hyperlink>
      <w:hyperlink r:id="rId19">
        <w:r>
          <w:rPr>
            <w:color w:val="1155CC"/>
            <w:highlight w:val="white"/>
            <w:u w:val="single"/>
          </w:rPr>
          <w:t>https://doi.org/10.1080/15623599.2020.1744213</w:t>
        </w:r>
      </w:hyperlink>
      <w:r>
        <w:rPr>
          <w:color w:val="222222"/>
          <w:highlight w:val="white"/>
        </w:rPr>
        <w:t xml:space="preserve"> </w:t>
      </w:r>
      <w:r>
        <w:rPr>
          <w:color w:val="000000"/>
        </w:rPr>
        <w:t>(Accessed: 20 June 2023).</w:t>
      </w:r>
    </w:p>
    <w:p w14:paraId="0C732178" w14:textId="77777777" w:rsidR="00582AED" w:rsidRDefault="00CD7A12">
      <w:pPr>
        <w:pBdr>
          <w:top w:val="nil"/>
          <w:left w:val="nil"/>
          <w:bottom w:val="nil"/>
          <w:right w:val="nil"/>
          <w:between w:val="nil"/>
        </w:pBdr>
        <w:spacing w:before="240" w:after="240" w:line="360" w:lineRule="auto"/>
        <w:jc w:val="both"/>
        <w:rPr>
          <w:color w:val="000000"/>
        </w:rPr>
      </w:pPr>
      <w:r>
        <w:rPr>
          <w:color w:val="222222"/>
          <w:highlight w:val="white"/>
        </w:rPr>
        <w:t xml:space="preserve">Atkinson, R.J., Tennakoon, M. and Wedawatta, G., 2022. Use of new models of construction procurement to enhance collaboration in construction projects: The UK construction industry perspective. </w:t>
      </w:r>
      <w:r>
        <w:rPr>
          <w:i/>
          <w:color w:val="000000"/>
        </w:rPr>
        <w:t>Journal of Financial Management of Property and Construction</w:t>
      </w:r>
      <w:r>
        <w:rPr>
          <w:color w:val="000000"/>
        </w:rPr>
        <w:t>. Available at:</w:t>
      </w:r>
      <w:hyperlink r:id="rId20">
        <w:r>
          <w:rPr>
            <w:color w:val="000000"/>
          </w:rPr>
          <w:t xml:space="preserve"> </w:t>
        </w:r>
      </w:hyperlink>
      <w:hyperlink r:id="rId21">
        <w:r>
          <w:rPr>
            <w:color w:val="1155CC"/>
            <w:highlight w:val="white"/>
            <w:u w:val="single"/>
          </w:rPr>
          <w:t>https://doi.org/10.1108/JFMPC-02-2021-0016</w:t>
        </w:r>
      </w:hyperlink>
      <w:r>
        <w:rPr>
          <w:color w:val="222222"/>
          <w:highlight w:val="white"/>
        </w:rPr>
        <w:t xml:space="preserve"> </w:t>
      </w:r>
      <w:r>
        <w:rPr>
          <w:color w:val="000000"/>
        </w:rPr>
        <w:t>(Accessed: 20 June 2023).</w:t>
      </w:r>
    </w:p>
    <w:p w14:paraId="37D79F42" w14:textId="77777777" w:rsidR="00582AED" w:rsidRDefault="00CD7A12">
      <w:pPr>
        <w:pBdr>
          <w:top w:val="nil"/>
          <w:left w:val="nil"/>
          <w:bottom w:val="nil"/>
          <w:right w:val="nil"/>
          <w:between w:val="nil"/>
        </w:pBdr>
        <w:spacing w:before="240" w:after="240" w:line="360" w:lineRule="auto"/>
        <w:jc w:val="both"/>
        <w:rPr>
          <w:color w:val="000000"/>
        </w:rPr>
      </w:pPr>
      <w:r>
        <w:rPr>
          <w:color w:val="222222"/>
          <w:highlight w:val="white"/>
        </w:rPr>
        <w:t xml:space="preserve">Clarke, J., Littlewood, J.R. and Karani, G., 2023. Developing Tools to Enable the UK Construction Industry to Adopt the Active Building Concept for Net Zero Carbon Buildings. </w:t>
      </w:r>
      <w:r>
        <w:rPr>
          <w:i/>
          <w:color w:val="000000"/>
        </w:rPr>
        <w:t>Buildings</w:t>
      </w:r>
      <w:r>
        <w:rPr>
          <w:color w:val="000000"/>
        </w:rPr>
        <w:t xml:space="preserve">, </w:t>
      </w:r>
      <w:r>
        <w:rPr>
          <w:i/>
          <w:color w:val="000000"/>
        </w:rPr>
        <w:t>13</w:t>
      </w:r>
      <w:r>
        <w:rPr>
          <w:color w:val="000000"/>
        </w:rPr>
        <w:t>(2), p.304. Available at:</w:t>
      </w:r>
      <w:hyperlink r:id="rId22">
        <w:r>
          <w:rPr>
            <w:color w:val="000000"/>
          </w:rPr>
          <w:t xml:space="preserve"> </w:t>
        </w:r>
      </w:hyperlink>
      <w:hyperlink r:id="rId23">
        <w:r>
          <w:rPr>
            <w:color w:val="1155CC"/>
            <w:highlight w:val="white"/>
            <w:u w:val="single"/>
          </w:rPr>
          <w:t>https://doi.org/10.3390/buildings13020304</w:t>
        </w:r>
      </w:hyperlink>
      <w:r>
        <w:rPr>
          <w:color w:val="222222"/>
          <w:highlight w:val="white"/>
        </w:rPr>
        <w:t xml:space="preserve"> </w:t>
      </w:r>
      <w:r>
        <w:rPr>
          <w:color w:val="000000"/>
        </w:rPr>
        <w:t>(Accessed: 20 June 2023).</w:t>
      </w:r>
    </w:p>
    <w:p w14:paraId="66057653" w14:textId="77777777" w:rsidR="00582AED" w:rsidRDefault="00CD7A12">
      <w:pPr>
        <w:pBdr>
          <w:top w:val="nil"/>
          <w:left w:val="nil"/>
          <w:bottom w:val="nil"/>
          <w:right w:val="nil"/>
          <w:between w:val="nil"/>
        </w:pBdr>
        <w:spacing w:before="240" w:after="240" w:line="360" w:lineRule="auto"/>
        <w:jc w:val="both"/>
        <w:rPr>
          <w:color w:val="000000"/>
        </w:rPr>
      </w:pPr>
      <w:r>
        <w:rPr>
          <w:color w:val="222222"/>
          <w:highlight w:val="white"/>
        </w:rPr>
        <w:t xml:space="preserve">Ajayi, S.O., Jones, W. and Unuigbe, M., 2019. Occupational stress management for UK construction professionals: Understanding the causes and strategies for improvement. </w:t>
      </w:r>
      <w:r>
        <w:rPr>
          <w:i/>
          <w:color w:val="000000"/>
        </w:rPr>
        <w:t>Journal of engineering, design and technology</w:t>
      </w:r>
      <w:r>
        <w:rPr>
          <w:color w:val="000000"/>
        </w:rPr>
        <w:t xml:space="preserve">, </w:t>
      </w:r>
      <w:r>
        <w:rPr>
          <w:i/>
          <w:color w:val="000000"/>
        </w:rPr>
        <w:t>17</w:t>
      </w:r>
      <w:r>
        <w:rPr>
          <w:color w:val="000000"/>
        </w:rPr>
        <w:t>(4), pp.819-832. Available at:</w:t>
      </w:r>
      <w:hyperlink r:id="rId24">
        <w:r>
          <w:rPr>
            <w:color w:val="000000"/>
          </w:rPr>
          <w:t xml:space="preserve"> </w:t>
        </w:r>
      </w:hyperlink>
      <w:hyperlink r:id="rId25">
        <w:r>
          <w:rPr>
            <w:color w:val="1155CC"/>
            <w:highlight w:val="white"/>
            <w:u w:val="single"/>
          </w:rPr>
          <w:t>https://doi.org/10.1108/JEDT-09-2018-0162</w:t>
        </w:r>
      </w:hyperlink>
      <w:r>
        <w:rPr>
          <w:color w:val="222222"/>
          <w:highlight w:val="white"/>
        </w:rPr>
        <w:t xml:space="preserve"> </w:t>
      </w:r>
      <w:r>
        <w:rPr>
          <w:color w:val="000000"/>
        </w:rPr>
        <w:t>(Accessed: 20 June 2023).</w:t>
      </w:r>
    </w:p>
    <w:p w14:paraId="7A9935B3" w14:textId="77777777" w:rsidR="00582AED" w:rsidRDefault="00CD7A12">
      <w:pPr>
        <w:pBdr>
          <w:top w:val="nil"/>
          <w:left w:val="nil"/>
          <w:bottom w:val="nil"/>
          <w:right w:val="nil"/>
          <w:between w:val="nil"/>
        </w:pBdr>
        <w:spacing w:before="240" w:after="240" w:line="360" w:lineRule="auto"/>
        <w:jc w:val="both"/>
        <w:rPr>
          <w:color w:val="000000"/>
        </w:rPr>
      </w:pPr>
      <w:r>
        <w:rPr>
          <w:color w:val="222222"/>
          <w:highlight w:val="white"/>
        </w:rPr>
        <w:t xml:space="preserve">Onat, N.C. and Kucukvar, M., 2020. Carbon footprint of construction industry: A global review and supply chain analysis. </w:t>
      </w:r>
      <w:r>
        <w:rPr>
          <w:i/>
          <w:color w:val="000000"/>
        </w:rPr>
        <w:t>Renewable and Sustainable Energy Reviews</w:t>
      </w:r>
      <w:r>
        <w:rPr>
          <w:color w:val="000000"/>
        </w:rPr>
        <w:t xml:space="preserve">, </w:t>
      </w:r>
      <w:r>
        <w:rPr>
          <w:i/>
          <w:color w:val="000000"/>
        </w:rPr>
        <w:t>124</w:t>
      </w:r>
      <w:r>
        <w:rPr>
          <w:color w:val="000000"/>
        </w:rPr>
        <w:t>, p.109783. Available at:</w:t>
      </w:r>
      <w:hyperlink r:id="rId26">
        <w:r>
          <w:rPr>
            <w:color w:val="000000"/>
          </w:rPr>
          <w:t xml:space="preserve"> </w:t>
        </w:r>
      </w:hyperlink>
      <w:hyperlink r:id="rId27">
        <w:r>
          <w:rPr>
            <w:color w:val="1155CC"/>
            <w:highlight w:val="white"/>
            <w:u w:val="single"/>
          </w:rPr>
          <w:t>https://doi.org/10.1016/j.rser.2020.109783</w:t>
        </w:r>
      </w:hyperlink>
      <w:r>
        <w:rPr>
          <w:color w:val="222222"/>
          <w:highlight w:val="white"/>
        </w:rPr>
        <w:t xml:space="preserve"> </w:t>
      </w:r>
      <w:r>
        <w:rPr>
          <w:color w:val="000000"/>
        </w:rPr>
        <w:t>(Accessed: 20 June 2023).</w:t>
      </w:r>
    </w:p>
    <w:p w14:paraId="62AE1547" w14:textId="77777777" w:rsidR="00582AED" w:rsidRDefault="00CD7A12">
      <w:pPr>
        <w:pBdr>
          <w:top w:val="nil"/>
          <w:left w:val="nil"/>
          <w:bottom w:val="nil"/>
          <w:right w:val="nil"/>
          <w:between w:val="nil"/>
        </w:pBdr>
        <w:spacing w:before="240" w:after="240" w:line="360" w:lineRule="auto"/>
        <w:jc w:val="both"/>
        <w:rPr>
          <w:color w:val="000000"/>
        </w:rPr>
      </w:pPr>
      <w:r>
        <w:rPr>
          <w:color w:val="222222"/>
          <w:highlight w:val="white"/>
        </w:rPr>
        <w:t xml:space="preserve">Jones, P., Comfort, D. and Hillier, D., 2018. Materiality and external assurance in corporate sustainability reporting: An exploratory case study of the UK construction industry. </w:t>
      </w:r>
      <w:r>
        <w:rPr>
          <w:i/>
          <w:color w:val="000000"/>
        </w:rPr>
        <w:t>World Review of Entrepreneurship, Management and Sustainable Development</w:t>
      </w:r>
      <w:r>
        <w:rPr>
          <w:color w:val="000000"/>
        </w:rPr>
        <w:t xml:space="preserve">, </w:t>
      </w:r>
      <w:r>
        <w:rPr>
          <w:i/>
          <w:color w:val="000000"/>
        </w:rPr>
        <w:t>14</w:t>
      </w:r>
      <w:r>
        <w:rPr>
          <w:color w:val="000000"/>
        </w:rPr>
        <w:t>(4), pp.454-472. Available at:</w:t>
      </w:r>
      <w:hyperlink r:id="rId28">
        <w:r>
          <w:rPr>
            <w:color w:val="000000"/>
          </w:rPr>
          <w:t xml:space="preserve"> </w:t>
        </w:r>
      </w:hyperlink>
      <w:hyperlink r:id="rId29">
        <w:r>
          <w:rPr>
            <w:color w:val="1155CC"/>
            <w:highlight w:val="white"/>
            <w:u w:val="single"/>
          </w:rPr>
          <w:t>https://doi.org/10.1504/WREMSD.2018.093568</w:t>
        </w:r>
      </w:hyperlink>
      <w:r>
        <w:rPr>
          <w:color w:val="222222"/>
          <w:highlight w:val="white"/>
        </w:rPr>
        <w:t xml:space="preserve"> </w:t>
      </w:r>
      <w:r>
        <w:rPr>
          <w:color w:val="000000"/>
        </w:rPr>
        <w:t>(Accessed: 20 June 2023).</w:t>
      </w:r>
    </w:p>
    <w:p w14:paraId="4B732B5F" w14:textId="77777777" w:rsidR="00582AED" w:rsidRDefault="00CD7A12">
      <w:pPr>
        <w:pBdr>
          <w:top w:val="nil"/>
          <w:left w:val="nil"/>
          <w:bottom w:val="nil"/>
          <w:right w:val="nil"/>
          <w:between w:val="nil"/>
        </w:pBdr>
        <w:spacing w:before="240" w:after="240" w:line="360" w:lineRule="auto"/>
        <w:jc w:val="both"/>
        <w:rPr>
          <w:color w:val="1155CC"/>
          <w:highlight w:val="white"/>
          <w:u w:val="single"/>
        </w:rPr>
      </w:pPr>
      <w:r>
        <w:rPr>
          <w:color w:val="222222"/>
          <w:highlight w:val="white"/>
        </w:rPr>
        <w:t xml:space="preserve">Ullah, K., Lill, I. and Witt, E., 2019, May. An overview of BIM adoption in the construction industry: Benefits and barriers. In </w:t>
      </w:r>
      <w:r>
        <w:rPr>
          <w:i/>
          <w:color w:val="000000"/>
        </w:rPr>
        <w:t>10th Nordic conference on construction economics and organization</w:t>
      </w:r>
      <w:r>
        <w:rPr>
          <w:color w:val="000000"/>
        </w:rPr>
        <w:t xml:space="preserve"> (Vol. 2, pp. 297-303). Emerald Publishing Limited. Available at:</w:t>
      </w:r>
      <w:hyperlink r:id="rId30">
        <w:r>
          <w:rPr>
            <w:color w:val="000000"/>
          </w:rPr>
          <w:t xml:space="preserve"> </w:t>
        </w:r>
      </w:hyperlink>
      <w:hyperlink r:id="rId31">
        <w:r>
          <w:rPr>
            <w:color w:val="1155CC"/>
            <w:highlight w:val="white"/>
            <w:u w:val="single"/>
          </w:rPr>
          <w:t>https://doi.org/10.1108/S2516-285320190000002052</w:t>
        </w:r>
      </w:hyperlink>
    </w:p>
    <w:p w14:paraId="1C53A88A" w14:textId="77777777" w:rsidR="00582AED" w:rsidRDefault="00CD7A12">
      <w:pPr>
        <w:pBdr>
          <w:top w:val="nil"/>
          <w:left w:val="nil"/>
          <w:bottom w:val="nil"/>
          <w:right w:val="nil"/>
          <w:between w:val="nil"/>
        </w:pBdr>
        <w:spacing w:before="240" w:after="240" w:line="360" w:lineRule="auto"/>
        <w:jc w:val="both"/>
        <w:rPr>
          <w:color w:val="000000"/>
        </w:rPr>
      </w:pPr>
      <w:r>
        <w:rPr>
          <w:color w:val="000000"/>
        </w:rPr>
        <w:t xml:space="preserve">Allas, T. </w:t>
      </w:r>
      <w:r>
        <w:rPr>
          <w:i/>
          <w:color w:val="000000"/>
        </w:rPr>
        <w:t>et al.</w:t>
      </w:r>
      <w:r>
        <w:rPr>
          <w:color w:val="000000"/>
        </w:rPr>
        <w:t xml:space="preserve"> (2019) </w:t>
      </w:r>
      <w:r>
        <w:rPr>
          <w:i/>
          <w:color w:val="000000"/>
        </w:rPr>
        <w:t>The Future of Work: Rethinking Skills to tackle the UK’s looming talent shortage</w:t>
      </w:r>
      <w:r>
        <w:rPr>
          <w:color w:val="000000"/>
        </w:rPr>
        <w:t xml:space="preserve">, </w:t>
      </w:r>
      <w:r>
        <w:rPr>
          <w:i/>
          <w:color w:val="000000"/>
        </w:rPr>
        <w:t>McKinsey &amp; Company</w:t>
      </w:r>
      <w:r>
        <w:rPr>
          <w:color w:val="000000"/>
        </w:rPr>
        <w:t>. Available at:</w:t>
      </w:r>
      <w:hyperlink r:id="rId32">
        <w:r>
          <w:rPr>
            <w:color w:val="000000"/>
          </w:rPr>
          <w:t xml:space="preserve"> </w:t>
        </w:r>
      </w:hyperlink>
      <w:hyperlink r:id="rId33">
        <w:r>
          <w:rPr>
            <w:color w:val="1155CC"/>
            <w:u w:val="single"/>
          </w:rPr>
          <w:t>https://www.mckinsey.com/featured-insights/future-of-work/the-future-of-work-rethinking-skills-to-tackle-the-uks-looming-talent-shortage</w:t>
        </w:r>
      </w:hyperlink>
      <w:r>
        <w:rPr>
          <w:color w:val="000000"/>
        </w:rPr>
        <w:t xml:space="preserve"> (Accessed: 20 June 2023).</w:t>
      </w:r>
    </w:p>
    <w:p w14:paraId="5075857B" w14:textId="77777777" w:rsidR="00582AED" w:rsidRDefault="00CD7A12">
      <w:pPr>
        <w:pBdr>
          <w:top w:val="nil"/>
          <w:left w:val="nil"/>
          <w:bottom w:val="nil"/>
          <w:right w:val="nil"/>
          <w:between w:val="nil"/>
        </w:pBdr>
        <w:spacing w:before="240" w:after="240" w:line="360" w:lineRule="auto"/>
        <w:jc w:val="both"/>
        <w:rPr>
          <w:color w:val="000000"/>
        </w:rPr>
      </w:pPr>
      <w:r>
        <w:rPr>
          <w:color w:val="000000"/>
        </w:rPr>
        <w:t xml:space="preserve">mckinsey.com (2019) </w:t>
      </w:r>
      <w:r>
        <w:rPr>
          <w:i/>
          <w:color w:val="000000"/>
        </w:rPr>
        <w:t>The Future of Work: Rethinking Skills to tackle the UK’s looming talent shortage</w:t>
      </w:r>
      <w:r>
        <w:rPr>
          <w:color w:val="000000"/>
        </w:rPr>
        <w:t xml:space="preserve">, </w:t>
      </w:r>
      <w:r>
        <w:rPr>
          <w:i/>
          <w:color w:val="000000"/>
        </w:rPr>
        <w:t>McKinsey &amp; Company</w:t>
      </w:r>
      <w:r>
        <w:rPr>
          <w:color w:val="000000"/>
        </w:rPr>
        <w:t>. Available at:</w:t>
      </w:r>
      <w:hyperlink r:id="rId34">
        <w:r>
          <w:rPr>
            <w:color w:val="000000"/>
          </w:rPr>
          <w:t xml:space="preserve"> </w:t>
        </w:r>
      </w:hyperlink>
      <w:hyperlink r:id="rId35">
        <w:r>
          <w:rPr>
            <w:color w:val="1155CC"/>
            <w:u w:val="single"/>
          </w:rPr>
          <w:t>https://www.mckinsey.com/featured-insights/future-of-work/the-future-of-work-rethinking-skills-to-tackle-the-uks-looming-talent-shortage</w:t>
        </w:r>
      </w:hyperlink>
      <w:r>
        <w:rPr>
          <w:color w:val="000000"/>
        </w:rPr>
        <w:t xml:space="preserve"> (Accessed: 20 June 2023).</w:t>
      </w:r>
    </w:p>
    <w:p w14:paraId="478EA73C" w14:textId="77777777" w:rsidR="00582AED" w:rsidRDefault="00CD7A12">
      <w:pPr>
        <w:pBdr>
          <w:top w:val="nil"/>
          <w:left w:val="nil"/>
          <w:bottom w:val="nil"/>
          <w:right w:val="nil"/>
          <w:between w:val="nil"/>
        </w:pBdr>
        <w:spacing w:before="240" w:after="240" w:line="360" w:lineRule="auto"/>
        <w:jc w:val="both"/>
        <w:rPr>
          <w:color w:val="000000"/>
        </w:rPr>
      </w:pPr>
      <w:r>
        <w:rPr>
          <w:color w:val="000000"/>
        </w:rPr>
        <w:t xml:space="preserve">researchbriefings.files.parliament.uk (2022) </w:t>
      </w:r>
      <w:r>
        <w:rPr>
          <w:i/>
          <w:color w:val="000000"/>
        </w:rPr>
        <w:t>Researchbriefings.files.parliament.uk</w:t>
      </w:r>
      <w:r>
        <w:rPr>
          <w:color w:val="000000"/>
        </w:rPr>
        <w:t>. Available at:</w:t>
      </w:r>
      <w:hyperlink r:id="rId36">
        <w:r>
          <w:rPr>
            <w:color w:val="000000"/>
          </w:rPr>
          <w:t xml:space="preserve"> </w:t>
        </w:r>
      </w:hyperlink>
      <w:hyperlink r:id="rId37">
        <w:r>
          <w:rPr>
            <w:color w:val="1155CC"/>
            <w:u w:val="single"/>
          </w:rPr>
          <w:t>https://researchbriefings.files.parliament.uk/documents/SN01432/SN01432.pdf</w:t>
        </w:r>
      </w:hyperlink>
      <w:r>
        <w:rPr>
          <w:color w:val="000000"/>
        </w:rPr>
        <w:t xml:space="preserve"> (Accessed: 20 June 2023). </w:t>
      </w:r>
    </w:p>
    <w:p w14:paraId="46B283AF" w14:textId="77777777" w:rsidR="00582AED" w:rsidRDefault="00CD7A12">
      <w:pPr>
        <w:pBdr>
          <w:top w:val="nil"/>
          <w:left w:val="nil"/>
          <w:bottom w:val="nil"/>
          <w:right w:val="nil"/>
          <w:between w:val="nil"/>
        </w:pBdr>
        <w:spacing w:before="240" w:after="240" w:line="360" w:lineRule="auto"/>
        <w:jc w:val="both"/>
        <w:rPr>
          <w:color w:val="000000"/>
        </w:rPr>
      </w:pPr>
      <w:r>
        <w:rPr>
          <w:color w:val="222222"/>
          <w:highlight w:val="white"/>
        </w:rPr>
        <w:t xml:space="preserve">Gu, L., 2023. Executives’ financial experience and myopic marketing management: A myopic loss-aversion perspective. </w:t>
      </w:r>
      <w:r>
        <w:rPr>
          <w:i/>
          <w:color w:val="222222"/>
          <w:highlight w:val="white"/>
        </w:rPr>
        <w:t>Journal of Business Research</w:t>
      </w:r>
      <w:r>
        <w:rPr>
          <w:color w:val="222222"/>
          <w:highlight w:val="white"/>
        </w:rPr>
        <w:t xml:space="preserve">, </w:t>
      </w:r>
      <w:r>
        <w:rPr>
          <w:i/>
          <w:color w:val="222222"/>
          <w:highlight w:val="white"/>
        </w:rPr>
        <w:t>157</w:t>
      </w:r>
      <w:r>
        <w:rPr>
          <w:color w:val="222222"/>
          <w:highlight w:val="white"/>
        </w:rPr>
        <w:t>, p.113587.</w:t>
      </w:r>
      <w:r>
        <w:rPr>
          <w:color w:val="222222"/>
          <w:sz w:val="18"/>
          <w:szCs w:val="18"/>
          <w:highlight w:val="white"/>
        </w:rPr>
        <w:t xml:space="preserve"> </w:t>
      </w:r>
      <w:r>
        <w:rPr>
          <w:color w:val="000000"/>
        </w:rPr>
        <w:t>Available at:</w:t>
      </w:r>
      <w:hyperlink r:id="rId38">
        <w:r>
          <w:rPr>
            <w:color w:val="000000"/>
          </w:rPr>
          <w:t xml:space="preserve"> </w:t>
        </w:r>
      </w:hyperlink>
      <w:hyperlink r:id="rId39">
        <w:r>
          <w:rPr>
            <w:color w:val="1155CC"/>
            <w:u w:val="single"/>
          </w:rPr>
          <w:t>https://doi.org/10.1016/j.jbusres.2022.113587</w:t>
        </w:r>
      </w:hyperlink>
      <w:r>
        <w:rPr>
          <w:color w:val="000000"/>
        </w:rPr>
        <w:t xml:space="preserve"> (Accessed: 20 June 2023). </w:t>
      </w:r>
    </w:p>
    <w:p w14:paraId="4972B713" w14:textId="77777777" w:rsidR="00582AED" w:rsidRDefault="00CD7A12">
      <w:pPr>
        <w:pBdr>
          <w:top w:val="nil"/>
          <w:left w:val="nil"/>
          <w:bottom w:val="nil"/>
          <w:right w:val="nil"/>
          <w:between w:val="nil"/>
        </w:pBdr>
        <w:spacing w:before="240" w:after="240" w:line="360" w:lineRule="auto"/>
        <w:jc w:val="both"/>
        <w:rPr>
          <w:color w:val="000000"/>
        </w:rPr>
      </w:pPr>
      <w:r>
        <w:rPr>
          <w:color w:val="222222"/>
          <w:highlight w:val="white"/>
        </w:rPr>
        <w:t xml:space="preserve">Beliaeva, T., Ferasso, M., Kraus, S. and Mahto, R.V., 2022. Marketing and family firms: Theoretical roots, research trajectories, and themes. </w:t>
      </w:r>
      <w:r>
        <w:rPr>
          <w:i/>
          <w:color w:val="222222"/>
          <w:highlight w:val="white"/>
        </w:rPr>
        <w:t>Journal of Business Research</w:t>
      </w:r>
      <w:r>
        <w:rPr>
          <w:color w:val="222222"/>
          <w:highlight w:val="white"/>
        </w:rPr>
        <w:t xml:space="preserve">, </w:t>
      </w:r>
      <w:r>
        <w:rPr>
          <w:i/>
          <w:color w:val="222222"/>
          <w:highlight w:val="white"/>
        </w:rPr>
        <w:t>144</w:t>
      </w:r>
      <w:r>
        <w:rPr>
          <w:color w:val="222222"/>
          <w:highlight w:val="white"/>
        </w:rPr>
        <w:t xml:space="preserve">, pp.66-79. </w:t>
      </w:r>
      <w:r>
        <w:rPr>
          <w:color w:val="000000"/>
        </w:rPr>
        <w:t>Available at:</w:t>
      </w:r>
      <w:hyperlink r:id="rId40">
        <w:r>
          <w:rPr>
            <w:color w:val="000000"/>
          </w:rPr>
          <w:t xml:space="preserve"> </w:t>
        </w:r>
      </w:hyperlink>
      <w:hyperlink r:id="rId41">
        <w:r>
          <w:rPr>
            <w:color w:val="1155CC"/>
            <w:u w:val="single"/>
          </w:rPr>
          <w:t>https://doi.org/10.1016/j.jbusres.2022.01.094</w:t>
        </w:r>
      </w:hyperlink>
      <w:r>
        <w:rPr>
          <w:color w:val="000000"/>
        </w:rPr>
        <w:t xml:space="preserve">  (Accessed: 20 June 2023). </w:t>
      </w:r>
    </w:p>
    <w:p w14:paraId="50E64053" w14:textId="77777777" w:rsidR="00582AED" w:rsidRDefault="00CD7A12">
      <w:pPr>
        <w:spacing w:before="240" w:after="240" w:line="360" w:lineRule="auto"/>
        <w:ind w:left="560"/>
        <w:jc w:val="both"/>
        <w:rPr>
          <w:rFonts w:ascii="Arial" w:eastAsia="Arial" w:hAnsi="Arial" w:cs="Arial"/>
        </w:rPr>
      </w:pPr>
      <w:r>
        <w:rPr>
          <w:rFonts w:ascii="Arial" w:eastAsia="Arial" w:hAnsi="Arial" w:cs="Arial"/>
        </w:rPr>
        <w:t xml:space="preserve">researchgate (2023) </w:t>
      </w:r>
      <w:r>
        <w:rPr>
          <w:rFonts w:ascii="Arial" w:eastAsia="Arial" w:hAnsi="Arial" w:cs="Arial"/>
          <w:i/>
        </w:rPr>
        <w:t>Market segmentation by means of socio- demographic &amp; behavioural ...</w:t>
      </w:r>
      <w:r>
        <w:rPr>
          <w:rFonts w:ascii="Arial" w:eastAsia="Arial" w:hAnsi="Arial" w:cs="Arial"/>
        </w:rPr>
        <w:t xml:space="preserve"> Available at: </w:t>
      </w:r>
      <w:hyperlink r:id="rId42">
        <w:r>
          <w:rPr>
            <w:rFonts w:ascii="Arial" w:eastAsia="Arial" w:hAnsi="Arial" w:cs="Arial"/>
            <w:color w:val="1155CC"/>
            <w:u w:val="single"/>
          </w:rPr>
          <w:t>https://www.researchgate.net/figure/Market-segmentation-by-means-of-socio-demographic-behavioural-variables-Source_fig1_281996277</w:t>
        </w:r>
      </w:hyperlink>
      <w:r>
        <w:rPr>
          <w:rFonts w:ascii="Arial" w:eastAsia="Arial" w:hAnsi="Arial" w:cs="Arial"/>
        </w:rPr>
        <w:t xml:space="preserve">  (Accessed: 21 June 2023). </w:t>
      </w:r>
    </w:p>
    <w:p w14:paraId="2C3E83A0" w14:textId="77777777" w:rsidR="00582AED" w:rsidRDefault="00582AED">
      <w:pPr>
        <w:pBdr>
          <w:top w:val="nil"/>
          <w:left w:val="nil"/>
          <w:bottom w:val="nil"/>
          <w:right w:val="nil"/>
          <w:between w:val="nil"/>
        </w:pBdr>
        <w:spacing w:before="240" w:after="240" w:line="360" w:lineRule="auto"/>
        <w:jc w:val="both"/>
        <w:rPr>
          <w:rFonts w:ascii="Arial" w:eastAsia="Arial" w:hAnsi="Arial" w:cs="Arial"/>
        </w:rPr>
      </w:pPr>
    </w:p>
    <w:p w14:paraId="754C51EF" w14:textId="77777777" w:rsidR="00582AED" w:rsidRDefault="00582AED">
      <w:pPr>
        <w:pBdr>
          <w:top w:val="nil"/>
          <w:left w:val="nil"/>
          <w:bottom w:val="nil"/>
          <w:right w:val="nil"/>
          <w:between w:val="nil"/>
        </w:pBdr>
        <w:spacing w:before="240" w:after="240" w:line="360" w:lineRule="auto"/>
        <w:jc w:val="both"/>
        <w:rPr>
          <w:color w:val="000000"/>
        </w:rPr>
      </w:pPr>
    </w:p>
    <w:p w14:paraId="0BF0429A" w14:textId="77777777" w:rsidR="00582AED" w:rsidRDefault="00582AED">
      <w:pPr>
        <w:pBdr>
          <w:top w:val="nil"/>
          <w:left w:val="nil"/>
          <w:bottom w:val="nil"/>
          <w:right w:val="nil"/>
          <w:between w:val="nil"/>
        </w:pBdr>
        <w:rPr>
          <w:color w:val="000000"/>
        </w:rPr>
      </w:pPr>
    </w:p>
    <w:sectPr w:rsidR="00582AED">
      <w:footerReference w:type="default" r:id="rId4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A52A4" w14:textId="77777777" w:rsidR="00ED35E7" w:rsidRDefault="00ED35E7">
      <w:pPr>
        <w:spacing w:after="0" w:line="240" w:lineRule="auto"/>
      </w:pPr>
      <w:r>
        <w:separator/>
      </w:r>
    </w:p>
  </w:endnote>
  <w:endnote w:type="continuationSeparator" w:id="0">
    <w:p w14:paraId="1A3FE83A" w14:textId="77777777" w:rsidR="00ED35E7" w:rsidRDefault="00ED35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Roboto">
    <w:panose1 w:val="02000000000000000000"/>
    <w:charset w:val="00"/>
    <w:family w:val="auto"/>
    <w:pitch w:val="variable"/>
    <w:sig w:usb0="E00002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065CD" w14:textId="77777777" w:rsidR="00582AED" w:rsidRDefault="00CD7A12">
    <w:pPr>
      <w:pBdr>
        <w:top w:val="nil"/>
        <w:left w:val="nil"/>
        <w:bottom w:val="nil"/>
        <w:right w:val="nil"/>
        <w:between w:val="nil"/>
      </w:pBdr>
      <w:tabs>
        <w:tab w:val="center" w:pos="4680"/>
        <w:tab w:val="right" w:pos="9360"/>
      </w:tabs>
      <w:spacing w:after="0" w:line="240" w:lineRule="auto"/>
      <w:jc w:val="right"/>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9F3E1E">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9F3E1E">
      <w:rPr>
        <w:b/>
        <w:noProof/>
        <w:color w:val="000000"/>
        <w:sz w:val="24"/>
        <w:szCs w:val="24"/>
      </w:rPr>
      <w:t>2</w:t>
    </w:r>
    <w:r>
      <w:rPr>
        <w:b/>
        <w:color w:val="000000"/>
        <w:sz w:val="24"/>
        <w:szCs w:val="24"/>
      </w:rPr>
      <w:fldChar w:fldCharType="end"/>
    </w:r>
  </w:p>
  <w:p w14:paraId="1A1E233F" w14:textId="77777777" w:rsidR="00582AED" w:rsidRDefault="00582AED">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5A3FE" w14:textId="77777777" w:rsidR="00ED35E7" w:rsidRDefault="00ED35E7">
      <w:pPr>
        <w:spacing w:after="0" w:line="240" w:lineRule="auto"/>
      </w:pPr>
      <w:r>
        <w:separator/>
      </w:r>
    </w:p>
  </w:footnote>
  <w:footnote w:type="continuationSeparator" w:id="0">
    <w:p w14:paraId="725DC9DD" w14:textId="77777777" w:rsidR="00ED35E7" w:rsidRDefault="00ED35E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AED"/>
    <w:rsid w:val="0000116A"/>
    <w:rsid w:val="001812D5"/>
    <w:rsid w:val="003030B7"/>
    <w:rsid w:val="00303959"/>
    <w:rsid w:val="0035699C"/>
    <w:rsid w:val="00497045"/>
    <w:rsid w:val="004D4101"/>
    <w:rsid w:val="00582AED"/>
    <w:rsid w:val="005B2905"/>
    <w:rsid w:val="0073313B"/>
    <w:rsid w:val="0091698E"/>
    <w:rsid w:val="009A17C2"/>
    <w:rsid w:val="009F3E1E"/>
    <w:rsid w:val="00AD20CF"/>
    <w:rsid w:val="00CD7A12"/>
    <w:rsid w:val="00E26311"/>
    <w:rsid w:val="00ED35E7"/>
    <w:rsid w:val="00F12C49"/>
    <w:rsid w:val="00FF7F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66115"/>
  <w15:docId w15:val="{B9688019-974F-CF49-BA1B-3252E3CE6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Cambria"/>
        <w:sz w:val="22"/>
        <w:szCs w:val="22"/>
        <w:lang w:val="en-US"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150"/>
  </w:style>
  <w:style w:type="paragraph" w:styleId="Heading1">
    <w:name w:val="heading 1"/>
    <w:basedOn w:val="Normal"/>
    <w:next w:val="Normal"/>
    <w:link w:val="Heading1Char"/>
    <w:uiPriority w:val="9"/>
    <w:qFormat/>
    <w:rsid w:val="005D4150"/>
    <w:pPr>
      <w:keepNext/>
      <w:keepLines/>
      <w:spacing w:before="480" w:after="0" w:line="360" w:lineRule="auto"/>
      <w:outlineLvl w:val="0"/>
    </w:pPr>
    <w:rPr>
      <w:rFonts w:ascii="Arial" w:eastAsiaTheme="majorEastAsia" w:hAnsi="Arial" w:cstheme="majorBidi"/>
      <w:b/>
      <w:bCs/>
      <w:color w:val="000000" w:themeColor="text1"/>
      <w:sz w:val="28"/>
      <w:szCs w:val="28"/>
    </w:rPr>
  </w:style>
  <w:style w:type="paragraph" w:styleId="Heading2">
    <w:name w:val="heading 2"/>
    <w:basedOn w:val="Normal"/>
    <w:next w:val="Normal"/>
    <w:link w:val="Heading2Char"/>
    <w:uiPriority w:val="9"/>
    <w:unhideWhenUsed/>
    <w:qFormat/>
    <w:rsid w:val="005D4150"/>
    <w:pPr>
      <w:keepNext/>
      <w:keepLines/>
      <w:spacing w:before="200" w:after="0" w:line="360" w:lineRule="auto"/>
      <w:outlineLvl w:val="1"/>
    </w:pPr>
    <w:rPr>
      <w:rFonts w:ascii="Arial" w:eastAsiaTheme="majorEastAsia" w:hAnsi="Arial" w:cstheme="majorBidi"/>
      <w:b/>
      <w:bCs/>
      <w:i/>
      <w:color w:val="000000" w:themeColor="text1"/>
      <w:sz w:val="26"/>
      <w:szCs w:val="26"/>
    </w:rPr>
  </w:style>
  <w:style w:type="paragraph" w:styleId="Heading3">
    <w:name w:val="heading 3"/>
    <w:basedOn w:val="Normal"/>
    <w:next w:val="Normal"/>
    <w:link w:val="Heading3Char"/>
    <w:uiPriority w:val="9"/>
    <w:semiHidden/>
    <w:unhideWhenUsed/>
    <w:qFormat/>
    <w:rsid w:val="005D415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D415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5D4150"/>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D415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D415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D4150"/>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5D4150"/>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D415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customStyle="1" w:styleId="Normal1">
    <w:name w:val="Normal1"/>
    <w:rsid w:val="00120FCD"/>
  </w:style>
  <w:style w:type="paragraph" w:styleId="Subtitle">
    <w:name w:val="Subtitle"/>
    <w:basedOn w:val="Normal"/>
    <w:next w:val="Normal"/>
    <w:link w:val="SubtitleChar"/>
    <w:uiPriority w:val="11"/>
    <w:qFormat/>
    <w:rPr>
      <w:rFonts w:ascii="Calibri" w:eastAsia="Calibri" w:hAnsi="Calibri" w:cs="Calibri"/>
      <w:i/>
      <w:color w:val="4F81BD"/>
      <w:sz w:val="24"/>
      <w:szCs w:val="24"/>
    </w:rPr>
  </w:style>
  <w:style w:type="table" w:customStyle="1" w:styleId="a">
    <w:name w:val="a"/>
    <w:basedOn w:val="TableNormal"/>
    <w:rsid w:val="00120FCD"/>
    <w:tblPr>
      <w:tblStyleRowBandSize w:val="1"/>
      <w:tblStyleColBandSize w:val="1"/>
      <w:tblCellMar>
        <w:top w:w="100" w:type="dxa"/>
        <w:left w:w="100" w:type="dxa"/>
        <w:bottom w:w="100" w:type="dxa"/>
        <w:right w:w="100" w:type="dxa"/>
      </w:tblCellMar>
    </w:tblPr>
  </w:style>
  <w:style w:type="table" w:customStyle="1" w:styleId="a0">
    <w:name w:val="a0"/>
    <w:basedOn w:val="TableNormal"/>
    <w:rsid w:val="00120FCD"/>
    <w:tblPr>
      <w:tblStyleRowBandSize w:val="1"/>
      <w:tblStyleColBandSize w:val="1"/>
      <w:tblCellMar>
        <w:top w:w="100" w:type="dxa"/>
        <w:left w:w="100" w:type="dxa"/>
        <w:bottom w:w="100" w:type="dxa"/>
        <w:right w:w="100" w:type="dxa"/>
      </w:tblCellMar>
    </w:tblPr>
  </w:style>
  <w:style w:type="table" w:customStyle="1" w:styleId="a1">
    <w:name w:val="a1"/>
    <w:basedOn w:val="TableNormal"/>
    <w:rsid w:val="00120FCD"/>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5D415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4150"/>
    <w:rPr>
      <w:rFonts w:ascii="Tahoma" w:hAnsi="Tahoma" w:cs="Tahoma"/>
      <w:sz w:val="16"/>
      <w:szCs w:val="16"/>
    </w:rPr>
  </w:style>
  <w:style w:type="character" w:customStyle="1" w:styleId="Heading1Char">
    <w:name w:val="Heading 1 Char"/>
    <w:basedOn w:val="DefaultParagraphFont"/>
    <w:link w:val="Heading1"/>
    <w:uiPriority w:val="9"/>
    <w:rsid w:val="005D4150"/>
    <w:rPr>
      <w:rFonts w:ascii="Arial" w:eastAsiaTheme="majorEastAsia" w:hAnsi="Arial" w:cstheme="majorBidi"/>
      <w:b/>
      <w:bCs/>
      <w:color w:val="000000" w:themeColor="text1"/>
      <w:sz w:val="28"/>
      <w:szCs w:val="28"/>
    </w:rPr>
  </w:style>
  <w:style w:type="character" w:customStyle="1" w:styleId="Heading2Char">
    <w:name w:val="Heading 2 Char"/>
    <w:basedOn w:val="DefaultParagraphFont"/>
    <w:link w:val="Heading2"/>
    <w:uiPriority w:val="9"/>
    <w:rsid w:val="005D4150"/>
    <w:rPr>
      <w:rFonts w:ascii="Arial" w:eastAsiaTheme="majorEastAsia" w:hAnsi="Arial" w:cstheme="majorBidi"/>
      <w:b/>
      <w:bCs/>
      <w:i/>
      <w:color w:val="000000" w:themeColor="text1"/>
      <w:sz w:val="26"/>
      <w:szCs w:val="26"/>
    </w:rPr>
  </w:style>
  <w:style w:type="character" w:customStyle="1" w:styleId="Heading3Char">
    <w:name w:val="Heading 3 Char"/>
    <w:basedOn w:val="DefaultParagraphFont"/>
    <w:link w:val="Heading3"/>
    <w:uiPriority w:val="9"/>
    <w:rsid w:val="005D415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5D415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5D4150"/>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5D4150"/>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5D415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5D4150"/>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5D415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5D4150"/>
    <w:pPr>
      <w:spacing w:line="240" w:lineRule="auto"/>
    </w:pPr>
    <w:rPr>
      <w:b/>
      <w:bCs/>
      <w:color w:val="4F81BD" w:themeColor="accent1"/>
      <w:sz w:val="18"/>
      <w:szCs w:val="18"/>
    </w:rPr>
  </w:style>
  <w:style w:type="character" w:customStyle="1" w:styleId="TitleChar">
    <w:name w:val="Title Char"/>
    <w:basedOn w:val="DefaultParagraphFont"/>
    <w:link w:val="Title"/>
    <w:uiPriority w:val="10"/>
    <w:rsid w:val="005D4150"/>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sid w:val="005D4150"/>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5D4150"/>
    <w:rPr>
      <w:b/>
      <w:bCs/>
    </w:rPr>
  </w:style>
  <w:style w:type="character" w:styleId="Emphasis">
    <w:name w:val="Emphasis"/>
    <w:basedOn w:val="DefaultParagraphFont"/>
    <w:uiPriority w:val="20"/>
    <w:qFormat/>
    <w:rsid w:val="005D4150"/>
    <w:rPr>
      <w:i/>
      <w:iCs/>
    </w:rPr>
  </w:style>
  <w:style w:type="paragraph" w:styleId="NoSpacing">
    <w:name w:val="No Spacing"/>
    <w:uiPriority w:val="1"/>
    <w:qFormat/>
    <w:rsid w:val="005D4150"/>
    <w:pPr>
      <w:spacing w:after="0" w:line="240" w:lineRule="auto"/>
    </w:pPr>
  </w:style>
  <w:style w:type="paragraph" w:styleId="ListParagraph">
    <w:name w:val="List Paragraph"/>
    <w:basedOn w:val="Normal"/>
    <w:uiPriority w:val="34"/>
    <w:qFormat/>
    <w:rsid w:val="005D4150"/>
    <w:pPr>
      <w:ind w:left="720"/>
      <w:contextualSpacing/>
    </w:pPr>
  </w:style>
  <w:style w:type="paragraph" w:styleId="Quote">
    <w:name w:val="Quote"/>
    <w:basedOn w:val="Normal"/>
    <w:next w:val="Normal"/>
    <w:link w:val="QuoteChar"/>
    <w:uiPriority w:val="29"/>
    <w:qFormat/>
    <w:rsid w:val="005D4150"/>
    <w:rPr>
      <w:i/>
      <w:iCs/>
      <w:color w:val="000000" w:themeColor="text1"/>
    </w:rPr>
  </w:style>
  <w:style w:type="character" w:customStyle="1" w:styleId="QuoteChar">
    <w:name w:val="Quote Char"/>
    <w:basedOn w:val="DefaultParagraphFont"/>
    <w:link w:val="Quote"/>
    <w:uiPriority w:val="29"/>
    <w:rsid w:val="005D4150"/>
    <w:rPr>
      <w:i/>
      <w:iCs/>
      <w:color w:val="000000" w:themeColor="text1"/>
    </w:rPr>
  </w:style>
  <w:style w:type="paragraph" w:styleId="IntenseQuote">
    <w:name w:val="Intense Quote"/>
    <w:basedOn w:val="Normal"/>
    <w:next w:val="Normal"/>
    <w:link w:val="IntenseQuoteChar"/>
    <w:uiPriority w:val="30"/>
    <w:qFormat/>
    <w:rsid w:val="005D4150"/>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5D4150"/>
    <w:rPr>
      <w:b/>
      <w:bCs/>
      <w:i/>
      <w:iCs/>
      <w:color w:val="4F81BD" w:themeColor="accent1"/>
    </w:rPr>
  </w:style>
  <w:style w:type="character" w:styleId="SubtleEmphasis">
    <w:name w:val="Subtle Emphasis"/>
    <w:basedOn w:val="DefaultParagraphFont"/>
    <w:uiPriority w:val="19"/>
    <w:qFormat/>
    <w:rsid w:val="005D4150"/>
    <w:rPr>
      <w:i/>
      <w:iCs/>
      <w:color w:val="808080" w:themeColor="text1" w:themeTint="7F"/>
    </w:rPr>
  </w:style>
  <w:style w:type="character" w:styleId="IntenseEmphasis">
    <w:name w:val="Intense Emphasis"/>
    <w:basedOn w:val="DefaultParagraphFont"/>
    <w:uiPriority w:val="21"/>
    <w:qFormat/>
    <w:rsid w:val="005D4150"/>
    <w:rPr>
      <w:b/>
      <w:bCs/>
      <w:i/>
      <w:iCs/>
      <w:color w:val="4F81BD" w:themeColor="accent1"/>
    </w:rPr>
  </w:style>
  <w:style w:type="character" w:styleId="SubtleReference">
    <w:name w:val="Subtle Reference"/>
    <w:basedOn w:val="DefaultParagraphFont"/>
    <w:uiPriority w:val="31"/>
    <w:qFormat/>
    <w:rsid w:val="005D4150"/>
    <w:rPr>
      <w:smallCaps/>
      <w:color w:val="C0504D" w:themeColor="accent2"/>
      <w:u w:val="single"/>
    </w:rPr>
  </w:style>
  <w:style w:type="character" w:styleId="IntenseReference">
    <w:name w:val="Intense Reference"/>
    <w:basedOn w:val="DefaultParagraphFont"/>
    <w:uiPriority w:val="32"/>
    <w:qFormat/>
    <w:rsid w:val="005D4150"/>
    <w:rPr>
      <w:b/>
      <w:bCs/>
      <w:smallCaps/>
      <w:color w:val="C0504D" w:themeColor="accent2"/>
      <w:spacing w:val="5"/>
      <w:u w:val="single"/>
    </w:rPr>
  </w:style>
  <w:style w:type="character" w:styleId="BookTitle">
    <w:name w:val="Book Title"/>
    <w:basedOn w:val="DefaultParagraphFont"/>
    <w:uiPriority w:val="33"/>
    <w:qFormat/>
    <w:rsid w:val="005D4150"/>
    <w:rPr>
      <w:b/>
      <w:bCs/>
      <w:smallCaps/>
      <w:spacing w:val="5"/>
    </w:rPr>
  </w:style>
  <w:style w:type="paragraph" w:styleId="TOCHeading">
    <w:name w:val="TOC Heading"/>
    <w:basedOn w:val="Heading1"/>
    <w:next w:val="Normal"/>
    <w:uiPriority w:val="39"/>
    <w:semiHidden/>
    <w:unhideWhenUsed/>
    <w:qFormat/>
    <w:rsid w:val="005D4150"/>
    <w:pPr>
      <w:outlineLvl w:val="9"/>
    </w:pPr>
  </w:style>
  <w:style w:type="paragraph" w:styleId="Header">
    <w:name w:val="header"/>
    <w:basedOn w:val="Normal"/>
    <w:link w:val="HeaderChar"/>
    <w:uiPriority w:val="99"/>
    <w:semiHidden/>
    <w:unhideWhenUsed/>
    <w:rsid w:val="005D415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D4150"/>
  </w:style>
  <w:style w:type="paragraph" w:styleId="Footer">
    <w:name w:val="footer"/>
    <w:basedOn w:val="Normal"/>
    <w:link w:val="FooterChar"/>
    <w:uiPriority w:val="99"/>
    <w:unhideWhenUsed/>
    <w:rsid w:val="005D41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4150"/>
  </w:style>
  <w:style w:type="paragraph" w:styleId="TOC1">
    <w:name w:val="toc 1"/>
    <w:basedOn w:val="Normal"/>
    <w:next w:val="Normal"/>
    <w:autoRedefine/>
    <w:uiPriority w:val="39"/>
    <w:unhideWhenUsed/>
    <w:rsid w:val="005D4150"/>
    <w:pPr>
      <w:spacing w:after="100"/>
    </w:pPr>
  </w:style>
  <w:style w:type="paragraph" w:styleId="TOC2">
    <w:name w:val="toc 2"/>
    <w:basedOn w:val="Normal"/>
    <w:next w:val="Normal"/>
    <w:autoRedefine/>
    <w:uiPriority w:val="39"/>
    <w:unhideWhenUsed/>
    <w:rsid w:val="005D4150"/>
    <w:pPr>
      <w:spacing w:after="100"/>
      <w:ind w:left="220"/>
    </w:pPr>
  </w:style>
  <w:style w:type="character" w:styleId="Hyperlink">
    <w:name w:val="Hyperlink"/>
    <w:basedOn w:val="DefaultParagraphFont"/>
    <w:uiPriority w:val="99"/>
    <w:unhideWhenUsed/>
    <w:rsid w:val="005D4150"/>
    <w:rPr>
      <w:color w:val="0000FF" w:themeColor="hyperlink"/>
      <w:u w:val="single"/>
    </w:rPr>
  </w:style>
  <w:style w:type="paragraph" w:styleId="NormalWeb">
    <w:name w:val="Normal (Web)"/>
    <w:basedOn w:val="Normal"/>
    <w:uiPriority w:val="99"/>
    <w:unhideWhenUsed/>
    <w:rsid w:val="006B2251"/>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png" /><Relationship Id="rId18" Type="http://schemas.openxmlformats.org/officeDocument/2006/relationships/hyperlink" Target="https://doi.org/10.1080/15623599.2020.1744213" TargetMode="External" /><Relationship Id="rId26" Type="http://schemas.openxmlformats.org/officeDocument/2006/relationships/hyperlink" Target="https://doi.org/10.1016/j.rser.2020.109783" TargetMode="External" /><Relationship Id="rId39" Type="http://schemas.openxmlformats.org/officeDocument/2006/relationships/hyperlink" Target="https://doi.org/10.1016/j.jbusres.2022.113587" TargetMode="External" /><Relationship Id="rId3" Type="http://schemas.openxmlformats.org/officeDocument/2006/relationships/settings" Target="settings.xml" /><Relationship Id="rId21" Type="http://schemas.openxmlformats.org/officeDocument/2006/relationships/hyperlink" Target="https://doi.org/10.1108/JFMPC-02-2021-0016" TargetMode="External" /><Relationship Id="rId34" Type="http://schemas.openxmlformats.org/officeDocument/2006/relationships/hyperlink" Target="https://www.mckinsey.com/featured-insights/future-of-work/the-future-of-work-rethinking-skills-to-tackle-the-uks-looming-talent-shortage" TargetMode="External" /><Relationship Id="rId42" Type="http://schemas.openxmlformats.org/officeDocument/2006/relationships/hyperlink" Target="https://www.researchgate.net/figure/Market-segmentation-by-means-of-socio-demographic-behavioural-variables-Source_fig1_281996277" TargetMode="Externa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hyperlink" Target="https://doi.org/10.1108/SASBE-02-2020-0016" TargetMode="External" /><Relationship Id="rId25" Type="http://schemas.openxmlformats.org/officeDocument/2006/relationships/hyperlink" Target="https://doi.org/10.1108/JEDT-09-2018-0162" TargetMode="External" /><Relationship Id="rId33" Type="http://schemas.openxmlformats.org/officeDocument/2006/relationships/hyperlink" Target="https://www.mckinsey.com/featured-insights/future-of-work/the-future-of-work-rethinking-skills-to-tackle-the-uks-looming-talent-shortage" TargetMode="External" /><Relationship Id="rId38" Type="http://schemas.openxmlformats.org/officeDocument/2006/relationships/hyperlink" Target="https://researchbriefings.files.parliament.uk/documents/SN01432/SN01432.pdf" TargetMode="External" /><Relationship Id="rId2" Type="http://schemas.openxmlformats.org/officeDocument/2006/relationships/styles" Target="styles.xml" /><Relationship Id="rId16" Type="http://schemas.openxmlformats.org/officeDocument/2006/relationships/hyperlink" Target="https://doi.org/10.1108/SASBE-02-2020-0016" TargetMode="External" /><Relationship Id="rId20" Type="http://schemas.openxmlformats.org/officeDocument/2006/relationships/hyperlink" Target="https://doi.org/10.1108/JFMPC-02-2021-0016" TargetMode="External" /><Relationship Id="rId29" Type="http://schemas.openxmlformats.org/officeDocument/2006/relationships/hyperlink" Target="https://doi.org/10.1504/WREMSD.2018.093568" TargetMode="External" /><Relationship Id="rId41" Type="http://schemas.openxmlformats.org/officeDocument/2006/relationships/hyperlink" Target="https://doi.org/10.1016/j.jbusres.2022.01.094"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hyperlink" Target="https://doi.org/10.1108/JEDT-09-2018-0162" TargetMode="External" /><Relationship Id="rId32" Type="http://schemas.openxmlformats.org/officeDocument/2006/relationships/hyperlink" Target="https://www.mckinsey.com/featured-insights/future-of-work/the-future-of-work-rethinking-skills-to-tackle-the-uks-looming-talent-shortage" TargetMode="External" /><Relationship Id="rId37" Type="http://schemas.openxmlformats.org/officeDocument/2006/relationships/hyperlink" Target="https://researchbriefings.files.parliament.uk/documents/SN01432/SN01432.pdf" TargetMode="External" /><Relationship Id="rId40" Type="http://schemas.openxmlformats.org/officeDocument/2006/relationships/hyperlink" Target="https://researchbriefings.files.parliament.uk/documents/SN01432/SN01432.pdf" TargetMode="External" /><Relationship Id="rId45"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hyperlink" Target="https://www.statista.com/statistics/565511/construction-industry-structure-uk/" TargetMode="External" /><Relationship Id="rId23" Type="http://schemas.openxmlformats.org/officeDocument/2006/relationships/hyperlink" Target="https://doi.org/10.3390/buildings13020304" TargetMode="External" /><Relationship Id="rId28" Type="http://schemas.openxmlformats.org/officeDocument/2006/relationships/hyperlink" Target="https://doi.org/10.1504/WREMSD.2018.093568" TargetMode="External" /><Relationship Id="rId36" Type="http://schemas.openxmlformats.org/officeDocument/2006/relationships/hyperlink" Target="https://researchbriefings.files.parliament.uk/documents/SN01432/SN01432.pdf" TargetMode="External" /><Relationship Id="rId10" Type="http://schemas.openxmlformats.org/officeDocument/2006/relationships/image" Target="media/image4.png" /><Relationship Id="rId19" Type="http://schemas.openxmlformats.org/officeDocument/2006/relationships/hyperlink" Target="https://doi.org/10.1080/15623599.2020.1744213" TargetMode="External" /><Relationship Id="rId31" Type="http://schemas.openxmlformats.org/officeDocument/2006/relationships/hyperlink" Target="https://doi.org/10.1108/S2516-285320190000002052" TargetMode="External" /><Relationship Id="rId44"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8.png" /><Relationship Id="rId22" Type="http://schemas.openxmlformats.org/officeDocument/2006/relationships/hyperlink" Target="https://doi.org/10.3390/buildings13020304" TargetMode="External" /><Relationship Id="rId27" Type="http://schemas.openxmlformats.org/officeDocument/2006/relationships/hyperlink" Target="https://doi.org/10.1016/j.rser.2020.109783" TargetMode="External" /><Relationship Id="rId30" Type="http://schemas.openxmlformats.org/officeDocument/2006/relationships/hyperlink" Target="https://doi.org/10.1108/S2516-285320190000002052" TargetMode="External" /><Relationship Id="rId35" Type="http://schemas.openxmlformats.org/officeDocument/2006/relationships/hyperlink" Target="https://www.mckinsey.com/featured-insights/future-of-work/the-future-of-work-rethinking-skills-to-tackle-the-uks-looming-talent-shortage" TargetMode="External" /><Relationship Id="rId43"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gUDDoLoPr3cGrzj8WxtwfoR4Zw==">CgMxLjAyCGguZ2pkZ3hzMgloLjMwajB6bGwyCWguMWZvYjl0ZTIJaC4zem55c2g3MgloLjJldDkycDAyCGgudHlqY3d0MgloLjNkeTZ2a20yCWguMXQzaDVzZjIJaC40ZDM0b2c4MgloLjJzOGV5bzEyCWguMTdkcDh2dTIJaC4zcmRjcmpuMgloLjI2aW4xcmcyCGgubG54Yno5MgloLjM1bmt1bjIyCWguMWtzdjR1djIJaC40NHNpbmlvOAByITFESDIwcl9RLWVDVW5UOHdSQkFITjQ1b1JXY0FySkVJc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3859</Words>
  <Characters>21998</Characters>
  <Application>Microsoft Office Word</Application>
  <DocSecurity>0</DocSecurity>
  <Lines>183</Lines>
  <Paragraphs>51</Paragraphs>
  <ScaleCrop>false</ScaleCrop>
  <Company/>
  <LinksUpToDate>false</LinksUpToDate>
  <CharactersWithSpaces>25806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 Vivobook</dc:creator>
  <cp:lastModifiedBy>Niveditha Mohan</cp:lastModifiedBy>
  <cp:revision>2</cp:revision>
  <dcterms:created xsi:type="dcterms:W3CDTF">2023-07-07T19:44:00Z</dcterms:created>
  <dcterms:modified xsi:type="dcterms:W3CDTF">2023-07-07T19:44:00Z</dcterms:modified>
</cp:coreProperties>
</file>