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3EC9E" w14:textId="2D837CF9" w:rsidR="00DF08A2" w:rsidRDefault="00E663AF">
      <w:r>
        <w:t>Holly Drummond 2201153</w:t>
      </w:r>
    </w:p>
    <w:p w14:paraId="416169C4" w14:textId="1FA37BCD" w:rsidR="00E663AF" w:rsidRPr="003B459D" w:rsidRDefault="00E663AF">
      <w:pPr>
        <w:rPr>
          <w:b/>
          <w:bCs/>
          <w:sz w:val="28"/>
          <w:szCs w:val="28"/>
        </w:rPr>
      </w:pPr>
      <w:r w:rsidRPr="003B459D">
        <w:rPr>
          <w:b/>
          <w:bCs/>
          <w:sz w:val="28"/>
          <w:szCs w:val="28"/>
        </w:rPr>
        <w:t>A written assignment critically evaluating how Assessment for Learning can be utilised in a series of learning opportunities to aid progression across chosen areas of learning and experience.</w:t>
      </w:r>
    </w:p>
    <w:p w14:paraId="3F82C1A8" w14:textId="77777777" w:rsidR="00AB1DD8" w:rsidRDefault="00E663AF">
      <w:r>
        <w:tab/>
        <w:t xml:space="preserve">This assignment will be discussing in depth the AOLEs of expressive arts, languages, literacy and communication, and mathematics and numeracy. </w:t>
      </w:r>
      <w:r w:rsidR="00A026E2">
        <w:t xml:space="preserve">The expressive arts area covers topics such as “art, dance, drama, film and digital media and music” (Welsh Government, 2020). </w:t>
      </w:r>
      <w:r>
        <w:t xml:space="preserve">The expressive arts are in place to help encourage children </w:t>
      </w:r>
      <w:r w:rsidR="00414627">
        <w:t xml:space="preserve">to evolve their creativity skills by taking opportunities and risks to help better their innovative thoughts </w:t>
      </w:r>
      <w:proofErr w:type="gramStart"/>
      <w:r w:rsidR="00414627">
        <w:t>in order to</w:t>
      </w:r>
      <w:proofErr w:type="gramEnd"/>
      <w:r w:rsidR="00414627">
        <w:t xml:space="preserve"> link this to their work. It is a positive way to get learners to develop their own unique ideas by “thinking creatively and engaging their imagination and senses” (Welsh Government, 2020).</w:t>
      </w:r>
      <w:r w:rsidR="00A026E2">
        <w:t xml:space="preserve"> </w:t>
      </w:r>
    </w:p>
    <w:p w14:paraId="02734EE7" w14:textId="77777777" w:rsidR="00AB1DD8" w:rsidRDefault="00A026E2" w:rsidP="00AB1DD8">
      <w:pPr>
        <w:ind w:firstLine="720"/>
      </w:pPr>
      <w:r>
        <w:t xml:space="preserve">The area of languages, literacy and communication </w:t>
      </w:r>
      <w:r w:rsidR="00B83537">
        <w:t xml:space="preserve">aims to </w:t>
      </w:r>
      <w:r>
        <w:t xml:space="preserve">encourage thorough and </w:t>
      </w:r>
      <w:r w:rsidR="00B83537">
        <w:t>effective</w:t>
      </w:r>
      <w:r>
        <w:t xml:space="preserve"> communication throughout Wales. </w:t>
      </w:r>
      <w:r w:rsidR="00B83537">
        <w:t xml:space="preserve">It focusses on languages from across the world and the different forms of communication that are available for everyone to learn and develop, including reading, writing, </w:t>
      </w:r>
      <w:proofErr w:type="gramStart"/>
      <w:r w:rsidR="00B83537">
        <w:t>speaking</w:t>
      </w:r>
      <w:proofErr w:type="gramEnd"/>
      <w:r w:rsidR="00B83537">
        <w:t xml:space="preserve"> and listening. These can help learners to develop a wide range of skills, personal confidence, </w:t>
      </w:r>
      <w:proofErr w:type="gramStart"/>
      <w:r w:rsidR="00B83537">
        <w:t>and also</w:t>
      </w:r>
      <w:proofErr w:type="gramEnd"/>
      <w:r w:rsidR="00B83537">
        <w:t xml:space="preserve"> gives them ample chances to “adapt to roles” (Welsh Government, 2021) depending on what works best and what doesn’t. </w:t>
      </w:r>
      <w:r w:rsidR="006E2F56">
        <w:t xml:space="preserve">This area of learning and experience allows for individual to have a greater understanding of the world and the people around them as it enables them to listen to others, agree and disagree and have meaningful conversations regarding this. This means that effective relationships can be made </w:t>
      </w:r>
      <w:proofErr w:type="gramStart"/>
      <w:r w:rsidR="006E2F56">
        <w:t>through the use of</w:t>
      </w:r>
      <w:proofErr w:type="gramEnd"/>
      <w:r w:rsidR="006E2F56">
        <w:t xml:space="preserve"> communication between different people. </w:t>
      </w:r>
    </w:p>
    <w:p w14:paraId="3D3CA8D5" w14:textId="164C26A5" w:rsidR="00E663AF" w:rsidRDefault="00F72AF9" w:rsidP="00AB1DD8">
      <w:pPr>
        <w:ind w:firstLine="720"/>
      </w:pPr>
      <w:r>
        <w:t xml:space="preserve">Mathematics and numeracy </w:t>
      </w:r>
      <w:proofErr w:type="gramStart"/>
      <w:r>
        <w:t>is</w:t>
      </w:r>
      <w:proofErr w:type="gramEnd"/>
      <w:r>
        <w:t xml:space="preserve"> critical for </w:t>
      </w:r>
      <w:proofErr w:type="spellStart"/>
      <w:r>
        <w:t>every day</w:t>
      </w:r>
      <w:proofErr w:type="spellEnd"/>
      <w:r>
        <w:t xml:space="preserve"> use. It is a subject area that is </w:t>
      </w:r>
      <w:proofErr w:type="gramStart"/>
      <w:r>
        <w:t>required at all times</w:t>
      </w:r>
      <w:proofErr w:type="gramEnd"/>
      <w:r>
        <w:t xml:space="preserve"> and good knowledge of it can help individuals in certain situations. It is crucial that learners are taught the great importance of maths at a young age so they can grow up understanding why they are learning it and what it will be useful for. This is why lessons need to be fun and engaging for all pupils as they need to enjoy what they are doing </w:t>
      </w:r>
      <w:proofErr w:type="gramStart"/>
      <w:r>
        <w:t>in order to</w:t>
      </w:r>
      <w:proofErr w:type="gramEnd"/>
      <w:r>
        <w:t xml:space="preserve"> think about implementing it into their lives outside of school. This area of learning and experience requires systematic and logical ways of thinking as well as the ability to give justifications for </w:t>
      </w:r>
      <w:proofErr w:type="gramStart"/>
      <w:r>
        <w:t>particular answers</w:t>
      </w:r>
      <w:proofErr w:type="gramEnd"/>
      <w:r>
        <w:t xml:space="preserve">. Specific mathematical language is expected in a school setting as it helps the learners to engage with the task that they are completing. The knowledge of mathematics and numeracy gives individuals the opportunity to make their own informed decisions and choices which can lead them to be successful with what they do. This knowledge comes from the five key elements of “conceptual understanding, communication using symbols, fluency, logical reasoning and strategic competence” </w:t>
      </w:r>
      <w:r w:rsidR="00B306F5">
        <w:t xml:space="preserve">(Welsh Government, 2020). </w:t>
      </w:r>
    </w:p>
    <w:p w14:paraId="4084BE76" w14:textId="3A036880" w:rsidR="00AB1DD8" w:rsidRDefault="00AB1DD8" w:rsidP="00AB1DD8">
      <w:pPr>
        <w:ind w:firstLine="720"/>
      </w:pPr>
      <w:r>
        <w:t xml:space="preserve">The theme that will be used throughout this assignment will be mining in Wales. This is an informative topic as it allows learners to dive deep into the history of Wales to get to know more about their country and what happened with the mines in Wales all those years ago. It gives a wide range of flexibility to the subject areas and tasks that can be done in a classroom as it is so versatile and can be used for different reasons. </w:t>
      </w:r>
    </w:p>
    <w:p w14:paraId="40FD4FFA" w14:textId="0A1B1606" w:rsidR="00B3748B" w:rsidRDefault="00B3748B" w:rsidP="00AB1DD8">
      <w:pPr>
        <w:ind w:firstLine="720"/>
      </w:pPr>
      <w:r>
        <w:t xml:space="preserve">Pupil progression is key within a classroom setting. The main aim of a teacher is to help provide learners with the skills and knowledge they need </w:t>
      </w:r>
      <w:proofErr w:type="gramStart"/>
      <w:r>
        <w:t>in order to</w:t>
      </w:r>
      <w:proofErr w:type="gramEnd"/>
      <w:r>
        <w:t xml:space="preserve"> progress and develop even further. </w:t>
      </w:r>
      <w:r w:rsidR="00A64411">
        <w:t>Paul Main (2021) referred to pupil progress as “</w:t>
      </w:r>
      <w:r>
        <w:t>a student’s understanding of fundamental knowledge and academic skills”</w:t>
      </w:r>
      <w:r w:rsidR="00A64411">
        <w:t xml:space="preserve">. </w:t>
      </w:r>
      <w:r w:rsidR="002E4C3D">
        <w:t xml:space="preserve">Progress for learners is not always about how quickly they can understand something, but it is about what they do </w:t>
      </w:r>
      <w:proofErr w:type="gramStart"/>
      <w:r w:rsidR="002E4C3D">
        <w:t>in order to</w:t>
      </w:r>
      <w:proofErr w:type="gramEnd"/>
      <w:r w:rsidR="002E4C3D">
        <w:t xml:space="preserve"> achieve that next step and successfully gain the skills</w:t>
      </w:r>
      <w:r w:rsidR="000C61BA">
        <w:t xml:space="preserve"> that are needed</w:t>
      </w:r>
      <w:r w:rsidR="002E4C3D">
        <w:t xml:space="preserve">. It is focussed on the knowledge they as individuals have </w:t>
      </w:r>
      <w:r w:rsidR="002E4C3D">
        <w:lastRenderedPageBreak/>
        <w:t xml:space="preserve">obtained </w:t>
      </w:r>
      <w:proofErr w:type="gramStart"/>
      <w:r w:rsidR="002E4C3D">
        <w:t>in order to</w:t>
      </w:r>
      <w:proofErr w:type="gramEnd"/>
      <w:r w:rsidR="002E4C3D">
        <w:t xml:space="preserve"> have the ability to progress even further. </w:t>
      </w:r>
      <w:r w:rsidR="00C57B5E">
        <w:t>Assessment for Learning (</w:t>
      </w:r>
      <w:proofErr w:type="spellStart"/>
      <w:r w:rsidR="00C57B5E">
        <w:t>AfL</w:t>
      </w:r>
      <w:proofErr w:type="spellEnd"/>
      <w:r w:rsidR="00C57B5E">
        <w:t>) is the most informative way for a teacher to monitor pupil progress. Assessment for Learning (also known as formative assessment) is completely pupil and classroom focussed, meaning that is at the heart of why</w:t>
      </w:r>
      <w:r w:rsidR="00275039">
        <w:t xml:space="preserve"> and how</w:t>
      </w:r>
      <w:r w:rsidR="00C57B5E">
        <w:t xml:space="preserve"> teachers </w:t>
      </w:r>
      <w:r w:rsidR="00275039">
        <w:t xml:space="preserve">monitor progress </w:t>
      </w:r>
      <w:proofErr w:type="gramStart"/>
      <w:r w:rsidR="00275039">
        <w:t>on a daily basis</w:t>
      </w:r>
      <w:proofErr w:type="gramEnd"/>
      <w:r w:rsidR="00275039">
        <w:t xml:space="preserve">. It is integrated into all planning for lessons to ensure that every child has equal opportunities to improve and </w:t>
      </w:r>
      <w:r w:rsidR="000C61BA">
        <w:t>succeed and</w:t>
      </w:r>
      <w:r w:rsidR="00275039">
        <w:t xml:space="preserve"> progress from where they are currently at in their learning ability (Clarke, 2008, p. 9). </w:t>
      </w:r>
      <w:r w:rsidR="000C61BA">
        <w:t xml:space="preserve">The process of </w:t>
      </w:r>
      <w:proofErr w:type="spellStart"/>
      <w:r w:rsidR="000C61BA">
        <w:t>AfL</w:t>
      </w:r>
      <w:proofErr w:type="spellEnd"/>
      <w:r w:rsidR="000C61BA">
        <w:t xml:space="preserve"> allows teachers to gain a clear understanding of where each child in their class is at with their academic achievements and abilities, which helps to aid the teachers to know what they need to integrate into future planning and lessons to make sure that all pupils are of similar level and can progress as equally as other individuals in the class. </w:t>
      </w:r>
    </w:p>
    <w:p w14:paraId="302F53D6" w14:textId="49FD6532" w:rsidR="00ED0DDE" w:rsidRDefault="000C61BA" w:rsidP="00AB1DD8">
      <w:pPr>
        <w:ind w:firstLine="720"/>
      </w:pPr>
      <w:r>
        <w:t xml:space="preserve">According to </w:t>
      </w:r>
      <w:r w:rsidR="008F3335">
        <w:t xml:space="preserve">(Clarke, 2008, p. 7), Assessment for Learning is defined as a key policy when it comes to bettering and positively increasing the outcomes of pupil learning. </w:t>
      </w:r>
      <w:r w:rsidR="00522324">
        <w:t xml:space="preserve">It is designed to be able to continuously monitor and assess pupil progress through a range of different strategies </w:t>
      </w:r>
      <w:proofErr w:type="gramStart"/>
      <w:r w:rsidR="00522324">
        <w:t>in order to</w:t>
      </w:r>
      <w:proofErr w:type="gramEnd"/>
      <w:r w:rsidR="00522324">
        <w:t xml:space="preserve"> determine how a learner is currently performing and what needs to be done and put in place to get them to progress further in their learning and academic skills. </w:t>
      </w:r>
      <w:r w:rsidR="001D791E">
        <w:t xml:space="preserve">Jones (2005) sees Assessment for Learning as a great way for learners to take more control over their learning and to have more independence with it. This suggests that by learners understanding the purpose of improving and the different skills that are required, then they can take that control and aim to better themselves. Ultimately this is going to have a lasting impact on them by giving them a sense of positive achievement, and it is highly likely to be noticed and easily recognised within the work that they produce. </w:t>
      </w:r>
      <w:r w:rsidR="001B7E22">
        <w:t xml:space="preserve">“Formative assessment questions how pupils learn, why they have the curriculum they have, and how they are helped or hindered by their provision” (Blanchard, 2009, p. 2). This indicates that </w:t>
      </w:r>
      <w:proofErr w:type="gramStart"/>
      <w:r w:rsidR="001B7E22">
        <w:t>in order for</w:t>
      </w:r>
      <w:proofErr w:type="gramEnd"/>
      <w:r w:rsidR="001B7E22">
        <w:t xml:space="preserve"> pupils to understand what they are learning and the purpose of learning it, they need to be made aware of the curriculum that they are learning within, to give them more of a sense of justification. </w:t>
      </w:r>
      <w:r w:rsidR="002F2B36">
        <w:t xml:space="preserve">It suggests that </w:t>
      </w:r>
      <w:proofErr w:type="spellStart"/>
      <w:r w:rsidR="002F2B36">
        <w:t>AfL</w:t>
      </w:r>
      <w:proofErr w:type="spellEnd"/>
      <w:r w:rsidR="002F2B36">
        <w:t xml:space="preserve"> is also teacher focussed too as it concentrates on the assistance that they give their learners </w:t>
      </w:r>
      <w:proofErr w:type="gramStart"/>
      <w:r w:rsidR="002F2B36">
        <w:t>in order to</w:t>
      </w:r>
      <w:proofErr w:type="gramEnd"/>
      <w:r w:rsidR="002F2B36">
        <w:t xml:space="preserve"> develop themselves and their learning abilities. It looks at the resources and the planning that teachers </w:t>
      </w:r>
      <w:proofErr w:type="gramStart"/>
      <w:r w:rsidR="002F2B36">
        <w:t>are able to</w:t>
      </w:r>
      <w:proofErr w:type="gramEnd"/>
      <w:r w:rsidR="002F2B36">
        <w:t xml:space="preserve"> carry out depending on the differentiation within their class. </w:t>
      </w:r>
    </w:p>
    <w:p w14:paraId="7B4E70D2" w14:textId="65BE909D" w:rsidR="002F2B36" w:rsidRDefault="00301162" w:rsidP="00AB1DD8">
      <w:pPr>
        <w:ind w:firstLine="720"/>
      </w:pPr>
      <w:r>
        <w:t xml:space="preserve">Planning for differentiation is the ability for teachers to </w:t>
      </w:r>
      <w:proofErr w:type="gramStart"/>
      <w:r>
        <w:t>take into account</w:t>
      </w:r>
      <w:proofErr w:type="gramEnd"/>
      <w:r>
        <w:t xml:space="preserve"> the different needs and abilities within their class, and plan for each of them, with some tasks varying in detail and difficulty. It has been stated that teachers who differentiate are more likely to work alongside their learners more than those who don’t differentiate, as it implies that they know their children better, as well as what would work better for them all individually in terms of tasks and activities in the classroom (Tomlinson, 2017, p. 34). </w:t>
      </w:r>
      <w:r w:rsidR="00593AD6">
        <w:t>Learners who are within a differentiated classroom and setting are highly likely to feel more welcome as they are positively recognised by those around them. Learners are generally encouraged to participate more and not feel afraid of getting anything wrong. All answers would be c</w:t>
      </w:r>
      <w:r w:rsidR="00395899">
        <w:t xml:space="preserve">elebrated and considered, which can help make a child feel safe and acknowledged (Tomlinson, 2017, p. 44). </w:t>
      </w:r>
    </w:p>
    <w:p w14:paraId="4F8D9454" w14:textId="75F76D77" w:rsidR="000C61BA" w:rsidRDefault="005155F2" w:rsidP="00AB1DD8">
      <w:pPr>
        <w:ind w:firstLine="720"/>
      </w:pPr>
      <w:r>
        <w:t>“</w:t>
      </w:r>
      <w:proofErr w:type="spellStart"/>
      <w:r>
        <w:t>AfL</w:t>
      </w:r>
      <w:proofErr w:type="spellEnd"/>
      <w:r>
        <w:t xml:space="preserve"> further contributes to a generative experience of learning when it enhances dialogic interactions, with students and teachers as partners in moving learning forward” (Arnold, 2022, p. 1.). </w:t>
      </w:r>
      <w:r w:rsidR="00822A6C">
        <w:t xml:space="preserve">This implies that </w:t>
      </w:r>
      <w:proofErr w:type="gramStart"/>
      <w:r w:rsidR="00822A6C">
        <w:t>in order for</w:t>
      </w:r>
      <w:proofErr w:type="gramEnd"/>
      <w:r w:rsidR="00822A6C">
        <w:t xml:space="preserve"> successful </w:t>
      </w:r>
      <w:proofErr w:type="spellStart"/>
      <w:r w:rsidR="00822A6C">
        <w:t>AfL</w:t>
      </w:r>
      <w:proofErr w:type="spellEnd"/>
      <w:r w:rsidR="00822A6C">
        <w:t xml:space="preserve"> to take place within the classroom, a wide range of transferable skills are needed in order for this level of communication and discussion to take place</w:t>
      </w:r>
      <w:r w:rsidR="00E610C5">
        <w:t xml:space="preserve">. According to (Indeed Career Guide, 2023), transferable skills can be used in a variety of different places and sectors. They can be evolved from working and communicating with different people, through sharing personal experiences, </w:t>
      </w:r>
      <w:proofErr w:type="gramStart"/>
      <w:r w:rsidR="00E610C5">
        <w:t>ideas</w:t>
      </w:r>
      <w:proofErr w:type="gramEnd"/>
      <w:r w:rsidR="00E610C5">
        <w:t xml:space="preserve"> and new concepts. </w:t>
      </w:r>
      <w:r w:rsidR="00BD3C5E">
        <w:t>This highlights the important need of communication between teachers and their pupils</w:t>
      </w:r>
      <w:r w:rsidR="00ED0DDE">
        <w:t>,</w:t>
      </w:r>
      <w:r w:rsidR="00BD3C5E">
        <w:t xml:space="preserve"> </w:t>
      </w:r>
      <w:proofErr w:type="gramStart"/>
      <w:r w:rsidR="00BD3C5E">
        <w:t>in order to</w:t>
      </w:r>
      <w:proofErr w:type="gramEnd"/>
      <w:r w:rsidR="00BD3C5E">
        <w:t xml:space="preserve"> determine current attainment and </w:t>
      </w:r>
      <w:r w:rsidR="00BD3C5E">
        <w:lastRenderedPageBreak/>
        <w:t>further development, to ensure the best possible outcomes for each child when they leave school, meaning that they will be able to take risks and opportunities throughout their lives.</w:t>
      </w:r>
      <w:r w:rsidR="00ED0DDE">
        <w:t xml:space="preserve"> </w:t>
      </w:r>
    </w:p>
    <w:p w14:paraId="53C65DD7" w14:textId="66B5B8A0" w:rsidR="00ED0DDE" w:rsidRDefault="001358AB" w:rsidP="00AB1DD8">
      <w:pPr>
        <w:ind w:firstLine="720"/>
      </w:pPr>
      <w:proofErr w:type="gramStart"/>
      <w:r>
        <w:t>In order for</w:t>
      </w:r>
      <w:proofErr w:type="gramEnd"/>
      <w:r>
        <w:t xml:space="preserve"> learners to have the ability to progress and advance in their current learning ability, teachers need to know their pupils and closely monitor them in order to determine if they are where they should be, or if they are behind or ahead. This is based on the relationships between teachers and their pupils, as without these close relationships, continuous and </w:t>
      </w:r>
      <w:proofErr w:type="gramStart"/>
      <w:r>
        <w:t>in depth</w:t>
      </w:r>
      <w:proofErr w:type="gramEnd"/>
      <w:r>
        <w:t xml:space="preserve"> monitoring of work and progress can be difficult. The term assessment is given to the strategies that teachers and learners carry out </w:t>
      </w:r>
      <w:r w:rsidR="00907D3A">
        <w:t xml:space="preserve">to provide strong evidence of development. “Such assessment becomes formative assessment when the evidence is actually used to adapt the teaching to meet student needs” (Black and Wiliam, 2010). This proves that teachers have an important role and responsibility in being able to be adaptable depending on the level of understanding and improvement that is happening within a particular lesson, </w:t>
      </w:r>
      <w:proofErr w:type="gramStart"/>
      <w:r w:rsidR="00907D3A">
        <w:t>subject</w:t>
      </w:r>
      <w:proofErr w:type="gramEnd"/>
      <w:r w:rsidR="00907D3A">
        <w:t xml:space="preserve"> or topic/theme. This is </w:t>
      </w:r>
      <w:proofErr w:type="gramStart"/>
      <w:r w:rsidR="00907D3A">
        <w:t>due to the fact that</w:t>
      </w:r>
      <w:proofErr w:type="gramEnd"/>
      <w:r w:rsidR="00907D3A">
        <w:t xml:space="preserve"> plans may need to change and lesson ideas may be required to be adapted and modified to suit the needs, levels and abilities of those within the classroom. </w:t>
      </w:r>
    </w:p>
    <w:p w14:paraId="4621C2A5" w14:textId="3BBDA81B" w:rsidR="001B794F" w:rsidRDefault="004D3423" w:rsidP="00AB1DD8">
      <w:pPr>
        <w:ind w:firstLine="720"/>
      </w:pPr>
      <w:r>
        <w:t xml:space="preserve">Literature suggests that “a student’s needs and ability to progress are always at the forefront of professional practice” (Twinkl, 2023). This meaning that a teacher’s prime and </w:t>
      </w:r>
      <w:proofErr w:type="gramStart"/>
      <w:r>
        <w:t>main focus</w:t>
      </w:r>
      <w:proofErr w:type="gramEnd"/>
      <w:r>
        <w:t xml:space="preserve"> will always be about the personal development of each child, not necessarily on the grades and scores from tests taken place within the class. It is about ensuring that every child is receiving the best possible opportunities for themselves to be able to grow and succeed. The principles of Assessment for Learning are in place for teachers and their learners to be able to create specific goals that will allow them to meet the criteria of where they need to be. This should help keep pupils motivated and help them to become more resilient as it means giving them a focus and a chance to grow, develop and bounce back. </w:t>
      </w:r>
      <w:r w:rsidR="00231AFD">
        <w:t xml:space="preserve">Further literature supports this view as it states that formative assessment should be ongoing rather than at the end of each topic or term. This gives teachers a better understanding of where their pupils are at and it gives more chances and opportunities to rectify and make changes and adjustments to support specific learning </w:t>
      </w:r>
      <w:r w:rsidR="00F42933">
        <w:t xml:space="preserve">(Blanchard, 2009, p. 1). </w:t>
      </w:r>
    </w:p>
    <w:p w14:paraId="1C4571B2" w14:textId="70E2F545" w:rsidR="003A5815" w:rsidRDefault="003A5815" w:rsidP="00AB1DD8">
      <w:pPr>
        <w:ind w:firstLine="720"/>
      </w:pPr>
      <w:r>
        <w:t xml:space="preserve">The first lesson plan I created was an expressive arts lesson based on the </w:t>
      </w:r>
      <w:proofErr w:type="gramStart"/>
      <w:r>
        <w:t>art work</w:t>
      </w:r>
      <w:proofErr w:type="gramEnd"/>
      <w:r>
        <w:t xml:space="preserve"> of Josef Herman. This artist focussed a lot on miners and mining, hence the link to the theme.</w:t>
      </w:r>
      <w:r w:rsidR="00823B3A">
        <w:t xml:space="preserve"> </w:t>
      </w:r>
      <w:r w:rsidR="00EF0682">
        <w:t xml:space="preserve">Learners will begin by receiving information based on the artist and the elements of art. For their starter activity, they will need to practise examples of mark making techniques, which will be followed by their main </w:t>
      </w:r>
      <w:proofErr w:type="gramStart"/>
      <w:r w:rsidR="00EF0682">
        <w:t>task</w:t>
      </w:r>
      <w:proofErr w:type="gramEnd"/>
      <w:r w:rsidR="00EF0682">
        <w:t xml:space="preserve"> which is to choose one of Herman’s paintings, and sketch it using the techniques they have learned.</w:t>
      </w:r>
      <w:r w:rsidR="00823B3A">
        <w:t xml:space="preserve"> </w:t>
      </w:r>
      <w:r w:rsidR="002D6A8E">
        <w:t xml:space="preserve">Expressive arts </w:t>
      </w:r>
      <w:proofErr w:type="gramStart"/>
      <w:r w:rsidR="002D6A8E">
        <w:t>is</w:t>
      </w:r>
      <w:proofErr w:type="gramEnd"/>
      <w:r w:rsidR="002D6A8E">
        <w:t xml:space="preserve"> such a diverse AOLE that encompasses a range of subjects within. It gives pupils opportunities to express themselves creatively and try out new things. </w:t>
      </w:r>
      <w:r w:rsidR="00414362">
        <w:t>There are two Assessment for Learning strategies I aim to use throughout this lesson, those including lollipop sticks and exit cards.</w:t>
      </w:r>
    </w:p>
    <w:p w14:paraId="492C1F4E" w14:textId="04852B6A" w:rsidR="00414362" w:rsidRDefault="00CB0ECE" w:rsidP="00AB1DD8">
      <w:pPr>
        <w:ind w:firstLine="720"/>
      </w:pPr>
      <w:r>
        <w:t xml:space="preserve">I will use lollipop sticks throughout this lesson, especially after going through the information on the PowerPoint to ensure that everyone was listening, as I will be testing them to see what they remember. </w:t>
      </w:r>
      <w:r w:rsidR="00701234">
        <w:t xml:space="preserve">Lollipop sticks are a way of choosing at random who in the class will answer a question. This strategy focusses heavily on the teachers need to have every child involved with the lesson. It encourages engagement because children need to be </w:t>
      </w:r>
      <w:r>
        <w:t xml:space="preserve">on task and </w:t>
      </w:r>
      <w:r w:rsidR="00701234">
        <w:t>aware of what is going on in the lesso</w:t>
      </w:r>
      <w:r w:rsidR="00217CB7">
        <w:t>n</w:t>
      </w:r>
      <w:r w:rsidR="00701234">
        <w:t xml:space="preserve"> just in </w:t>
      </w:r>
      <w:proofErr w:type="gramStart"/>
      <w:r w:rsidR="00701234">
        <w:t>case</w:t>
      </w:r>
      <w:proofErr w:type="gramEnd"/>
      <w:r w:rsidR="00701234">
        <w:t xml:space="preserve"> they are selected to answer a question. It means that children need to be </w:t>
      </w:r>
      <w:proofErr w:type="gramStart"/>
      <w:r w:rsidR="00701234">
        <w:t>paying attention at all times</w:t>
      </w:r>
      <w:proofErr w:type="gramEnd"/>
      <w:r w:rsidR="00701234">
        <w:t xml:space="preserve"> and engaging with the materials and information that they are provided with. </w:t>
      </w:r>
      <w:r>
        <w:t xml:space="preserve">Harry Fletcher – Wood (2014) states that the use of lollipop sticks in a classroom ensures that every child is equal </w:t>
      </w:r>
      <w:r w:rsidR="00217CB7">
        <w:t xml:space="preserve">in terms of if they will be selected to answer, </w:t>
      </w:r>
      <w:proofErr w:type="gramStart"/>
      <w:r w:rsidR="00217CB7">
        <w:t>and also</w:t>
      </w:r>
      <w:proofErr w:type="gramEnd"/>
      <w:r w:rsidR="00217CB7">
        <w:t xml:space="preserve"> the time they are given to prepare an answer. Strategies like this can help a teacher be aware that it is highly likely that every child is thinking of an answer, as no one has any idea who will be chosen. Fletcher – Wood further </w:t>
      </w:r>
      <w:r w:rsidR="00217CB7">
        <w:lastRenderedPageBreak/>
        <w:t>states that “this seems particularly effective when asking students to prepare something as a group but noting that any one of them may be asked to feed back”. This ultimately encourages collaboration between peers and participation in the classroom as it aims for each child to get involved.</w:t>
      </w:r>
    </w:p>
    <w:p w14:paraId="27C39968" w14:textId="26815803" w:rsidR="00FC7999" w:rsidRDefault="00FC7999" w:rsidP="00AB1DD8">
      <w:pPr>
        <w:ind w:firstLine="720"/>
      </w:pPr>
      <w:r>
        <w:t xml:space="preserve">Although John Dabell (2018) agrees that lollipop sticks make a good randomiser so that every child is encouraged to be prepared with an answer or a response, he believes that the types of questions asked, and the types of answers received are more important when it comes to the learning of the pupils. Therefore, he believes </w:t>
      </w:r>
      <w:r w:rsidR="00F32657">
        <w:t xml:space="preserve">that the use of lollipop sticks in class is a fad and a complete waste of time, and that teachers should be focussing more on the quality of talk rather than who will be the selected learner to answer. He says that there is nothing wrong with the hand up approach and that it would allow for more children to feel comfortable knowing that they can’t be chosen at random. </w:t>
      </w:r>
    </w:p>
    <w:p w14:paraId="534E3CAF" w14:textId="0B75DF24" w:rsidR="004820F0" w:rsidRDefault="000E6DDE" w:rsidP="004820F0">
      <w:pPr>
        <w:ind w:firstLine="720"/>
      </w:pPr>
      <w:r>
        <w:t xml:space="preserve">Exit cards will be used at the end of the lesson where each child will be given a small piece of paper, on which they will need to write down the formal elements of art as well as provide an example of a mark making technique. They will hand in these pieces of paper on their way out of class </w:t>
      </w:r>
      <w:proofErr w:type="gramStart"/>
      <w:r>
        <w:t>in order for</w:t>
      </w:r>
      <w:proofErr w:type="gramEnd"/>
      <w:r>
        <w:t xml:space="preserve"> the teacher to check over and determine how well the learners responded to the lesson. Exit cards give teachers a good indication of subject knowledge following a lesson, allowing them to adapt future lessons to meet the needs of the class. </w:t>
      </w:r>
      <w:r w:rsidR="00CF7A3D">
        <w:t xml:space="preserve">Harry Fletcher – Wood (2016) states that “introducing exit seems to have a transformative effect on teachers, modifying their sense of students’ understanding and hence of the best actions they can take”. This suggests that the use of exit cards gives teachers a clearer understanding of what their learners know, and what they need to plan </w:t>
      </w:r>
      <w:proofErr w:type="gramStart"/>
      <w:r w:rsidR="00CF7A3D">
        <w:t>in order for</w:t>
      </w:r>
      <w:proofErr w:type="gramEnd"/>
      <w:r w:rsidR="00CF7A3D">
        <w:t xml:space="preserve"> </w:t>
      </w:r>
      <w:r w:rsidR="00D67A3E">
        <w:t xml:space="preserve">the class as a whole to better their knowledge. Moreover, this means that pupils would be receiving teaching experiences that are more personal to them and their class </w:t>
      </w:r>
      <w:proofErr w:type="gramStart"/>
      <w:r w:rsidR="00D67A3E">
        <w:t>in order for</w:t>
      </w:r>
      <w:proofErr w:type="gramEnd"/>
      <w:r w:rsidR="00D67A3E">
        <w:t xml:space="preserve"> them to improve. </w:t>
      </w:r>
    </w:p>
    <w:p w14:paraId="07513E4E" w14:textId="6C36F3E9" w:rsidR="004820F0" w:rsidRDefault="004820F0" w:rsidP="004820F0">
      <w:pPr>
        <w:ind w:firstLine="720"/>
      </w:pPr>
      <w:r>
        <w:t xml:space="preserve">Paul Main (2022) suggests that exit cards are a positive </w:t>
      </w:r>
      <w:r w:rsidR="00790E55">
        <w:t xml:space="preserve">method to gain information regarding ability there and then in the classroom. He believes that they are a way to improve engagement in class however, it could be argued that those who don’t pay attention usually aren’t going to start just to be able to write something on a piece of paper at the end of the lesson. This implies that a rewards or sanction system might need to be considered </w:t>
      </w:r>
      <w:proofErr w:type="gramStart"/>
      <w:r w:rsidR="00790E55">
        <w:t>in order to</w:t>
      </w:r>
      <w:proofErr w:type="gramEnd"/>
      <w:r w:rsidR="00790E55">
        <w:t xml:space="preserve"> encourage more pupil participation. </w:t>
      </w:r>
    </w:p>
    <w:p w14:paraId="283BF343" w14:textId="749271DF" w:rsidR="006250CC" w:rsidRDefault="006250CC" w:rsidP="004820F0">
      <w:pPr>
        <w:ind w:firstLine="720"/>
      </w:pPr>
      <w:r>
        <w:t xml:space="preserve">The second lesson is based on the AOLE of languages, literature and communication and the task is to create a mining infographic. An infographic is </w:t>
      </w:r>
      <w:proofErr w:type="gramStart"/>
      <w:r>
        <w:t>similar to</w:t>
      </w:r>
      <w:proofErr w:type="gramEnd"/>
      <w:r>
        <w:t xml:space="preserve"> a poster where it includes both information and pictures regarding a specific topic. The class will be presented with information on mining and the miners’ strike, of which they will need to incorporate this information within their infographic. Languages, </w:t>
      </w:r>
      <w:proofErr w:type="gramStart"/>
      <w:r>
        <w:t>literature</w:t>
      </w:r>
      <w:proofErr w:type="gramEnd"/>
      <w:r>
        <w:t xml:space="preserve"> and communication allow learners to get creative with how they communicate certain information. </w:t>
      </w:r>
      <w:r w:rsidR="002F5C95">
        <w:t xml:space="preserve">This being the reason for creating an infographic as it is </w:t>
      </w:r>
      <w:proofErr w:type="gramStart"/>
      <w:r w:rsidR="002F5C95">
        <w:t>presents</w:t>
      </w:r>
      <w:proofErr w:type="gramEnd"/>
      <w:r w:rsidR="002F5C95">
        <w:t xml:space="preserve"> a new way of presenting information and data. Sharing criteria and peer assessment will be the two </w:t>
      </w:r>
      <w:proofErr w:type="spellStart"/>
      <w:r w:rsidR="002F5C95">
        <w:t>AfL</w:t>
      </w:r>
      <w:proofErr w:type="spellEnd"/>
      <w:r w:rsidR="002F5C95">
        <w:t xml:space="preserve"> strategies I focus on throughout this lesson.</w:t>
      </w:r>
    </w:p>
    <w:p w14:paraId="5224A8C3" w14:textId="5E6F4181" w:rsidR="002F5C95" w:rsidRDefault="002F5C95" w:rsidP="004820F0">
      <w:pPr>
        <w:ind w:firstLine="720"/>
      </w:pPr>
      <w:r>
        <w:t xml:space="preserve">The aim of sharing success criteria is to allow learners to become aware of what it is they need to do in the lesson </w:t>
      </w:r>
      <w:proofErr w:type="gramStart"/>
      <w:r>
        <w:t>in order to</w:t>
      </w:r>
      <w:proofErr w:type="gramEnd"/>
      <w:r>
        <w:t xml:space="preserve"> be successful and meet the brief. </w:t>
      </w:r>
      <w:r w:rsidR="00BC4040">
        <w:t xml:space="preserve">Literature suggests that by sharing criteria, it encourages learners to become more engaged in their learning, meaning that they are more likely to succeed and do well. It gives them more independence by not having to constantly as what they need to do, as the checklist is there and completed for them (National Council for Curriculum and Assessment, 2015). This implies that creating a </w:t>
      </w:r>
      <w:proofErr w:type="gramStart"/>
      <w:r w:rsidR="00BC4040">
        <w:t>success criteria</w:t>
      </w:r>
      <w:proofErr w:type="gramEnd"/>
      <w:r w:rsidR="00BC4040">
        <w:t xml:space="preserve"> gives children an </w:t>
      </w:r>
      <w:r w:rsidR="00BC4040">
        <w:lastRenderedPageBreak/>
        <w:t xml:space="preserve">opportunity to take control and focus on their work much easier, as they have a clearer understanding of what they need to do and what is expected/required of them. </w:t>
      </w:r>
    </w:p>
    <w:p w14:paraId="02A2965F" w14:textId="40AF6152" w:rsidR="00936248" w:rsidRDefault="00E35FD4" w:rsidP="004820F0">
      <w:pPr>
        <w:ind w:firstLine="720"/>
      </w:pPr>
      <w:r>
        <w:t xml:space="preserve">Whilst he does believe in sharing criteria, John Hattie (2019) agrees that creating a </w:t>
      </w:r>
      <w:proofErr w:type="gramStart"/>
      <w:r>
        <w:t>success criteria</w:t>
      </w:r>
      <w:proofErr w:type="gramEnd"/>
      <w:r>
        <w:t xml:space="preserve"> should be the role of the class and the teacher, not just the teacher creating one before the lesson. He states that if a child comes up with their own point/list, they are more likely to stick and adhere to it. Sometimes, depending on the task, a teacher’s criteria list can be relatively unrealistic, so giving the leaners the chance to create their own </w:t>
      </w:r>
      <w:proofErr w:type="gramStart"/>
      <w:r>
        <w:t>opens up</w:t>
      </w:r>
      <w:proofErr w:type="gramEnd"/>
      <w:r>
        <w:t xml:space="preserve"> ideas for the whole class that might not have been considered otherwise. This uses a good level of collaboration skills as it allows the class to share different thoughts and concepts. </w:t>
      </w:r>
    </w:p>
    <w:p w14:paraId="69DFA783" w14:textId="476B1B0D" w:rsidR="00AC0169" w:rsidRDefault="00AC0169" w:rsidP="004820F0">
      <w:pPr>
        <w:ind w:firstLine="720"/>
      </w:pPr>
      <w:r>
        <w:t xml:space="preserve">Peer assessment will be used during the mini plenary and the main plenary at the end for pupils to give their opinions about someone else’s work and give a comment to say what they like about it/what they could improve on. </w:t>
      </w:r>
      <w:r w:rsidR="009C1B66">
        <w:t xml:space="preserve">It is described that peer assessment “can improve students’ understanding of success criteria, help them to become more engaged in learning and develop their interpersonal skills” (Boon, 2018). This suggests that peer assessment can have a positive impact on learners as it helps to build motivation as well as communication with others. It requires collaboration which takes place in abundance in a classroom anyway, so this just encourages that further. Feedback may come across as more personal coming from a peer which could help some relate to it better, however, it is important to note that such feedback need to be lesson focussed. </w:t>
      </w:r>
    </w:p>
    <w:p w14:paraId="36A624F1" w14:textId="44A31505" w:rsidR="00E91115" w:rsidRDefault="00E91115" w:rsidP="004820F0">
      <w:pPr>
        <w:ind w:firstLine="720"/>
      </w:pPr>
      <w:r>
        <w:t xml:space="preserve">Literature explains that whilst the concept of peer assessment can have its positive impacts, such as reducing anxiety and stress, it argues that the reliability of the assessment itself is not strong enough to get a clear idea of a pupils’ ability and current attainment level (Gurbanov, 2016, p. 89). This implying that it is completely necessary for peer assessment to still take place, </w:t>
      </w:r>
      <w:proofErr w:type="gramStart"/>
      <w:r>
        <w:t>as long as</w:t>
      </w:r>
      <w:proofErr w:type="gramEnd"/>
      <w:r>
        <w:t xml:space="preserve"> other forms of assessment are still taking place frequently. This will give a fair level of assessment and ensure that all learners are evaluated equally. </w:t>
      </w:r>
      <w:r w:rsidR="00A825CF">
        <w:t xml:space="preserve">Paul Moss (2021) concludes that the main disadvantage of peer assessment is due to the differing range of abilities in the class. This suggesting that if someone of a high ability is assessing work produced by a lower ability learner, the feedback is likely to be negative/constructive. However, that might be the best work they have done, so it’s about teachers being aware of their learners, and that if peer assessment does take place, that it is fair for all. </w:t>
      </w:r>
    </w:p>
    <w:p w14:paraId="7BB1FACB" w14:textId="7CF1615A" w:rsidR="00A825CF" w:rsidRDefault="00A825CF" w:rsidP="004820F0">
      <w:pPr>
        <w:ind w:firstLine="720"/>
      </w:pPr>
      <w:r>
        <w:t xml:space="preserve">The third lesson planned, is a </w:t>
      </w:r>
      <w:proofErr w:type="gramStart"/>
      <w:r>
        <w:t>problem solving</w:t>
      </w:r>
      <w:proofErr w:type="gramEnd"/>
      <w:r>
        <w:t xml:space="preserve"> task within the mathematics and numeracy AOLE. Again, this task will be based on mining, so learners will be finding out how much money miners would have lost during different time periods of the strike. They will be using their multiplication and division skills for this task. </w:t>
      </w:r>
      <w:r w:rsidR="00690707">
        <w:t xml:space="preserve">Mathematics and numeracy, especially focussing on problem solving allow children to understand why it is taught in schools as it gives them real life contexts to deal with. This prepares them for life and provides them with skills that they can use every day in different situations. The two </w:t>
      </w:r>
      <w:proofErr w:type="spellStart"/>
      <w:r w:rsidR="00690707">
        <w:t>AfL</w:t>
      </w:r>
      <w:proofErr w:type="spellEnd"/>
      <w:r w:rsidR="00690707">
        <w:t xml:space="preserve"> strategies that will be used throughout this lesson will be mini white boards and </w:t>
      </w:r>
      <w:proofErr w:type="spellStart"/>
      <w:r w:rsidR="00690707">
        <w:t>self assessment</w:t>
      </w:r>
      <w:proofErr w:type="spellEnd"/>
      <w:r w:rsidR="00690707">
        <w:t xml:space="preserve">. </w:t>
      </w:r>
    </w:p>
    <w:p w14:paraId="0D4D55D8" w14:textId="718BDDD5" w:rsidR="00690707" w:rsidRDefault="00407509" w:rsidP="004820F0">
      <w:pPr>
        <w:ind w:firstLine="720"/>
      </w:pPr>
      <w:r>
        <w:t xml:space="preserve">Mini white boards will be used at the beginning of this lesson to check for understanding of mining. Following previous lessons, this will test their knowledge to see what the remember. Mini white boards are a great way to get all children engaged and involved. Mr Rahman (2023) says that mini white boards are an efficient way to examine understanding of the whole class on a specific topic. This strategy can help give teachers a quick and clear understanding of who understands and who may need more support. </w:t>
      </w:r>
      <w:r w:rsidR="0075022A">
        <w:t xml:space="preserve">Using mini white boards, especially with pupils who aren’t very confident, can be beneficial because no one else in the class (apart from the teacher) </w:t>
      </w:r>
      <w:proofErr w:type="gramStart"/>
      <w:r w:rsidR="0075022A">
        <w:t>has to</w:t>
      </w:r>
      <w:proofErr w:type="gramEnd"/>
      <w:r w:rsidR="0075022A">
        <w:t xml:space="preserve"> see their </w:t>
      </w:r>
      <w:r w:rsidR="0075022A">
        <w:lastRenderedPageBreak/>
        <w:t xml:space="preserve">answers. This could encourage more students to enjoy this approach as they can feel comfortable while doing it. </w:t>
      </w:r>
    </w:p>
    <w:p w14:paraId="60C6EDB2" w14:textId="22B52981" w:rsidR="00F55B74" w:rsidRDefault="00F55B74" w:rsidP="004820F0">
      <w:pPr>
        <w:ind w:firstLine="720"/>
      </w:pPr>
      <w:r>
        <w:t xml:space="preserve">Literature suggests that using mini white boards in a lesson can cause unnecessary disruption and can distract other learners who are wanting to learn and behave (Durrington Research School, 2021). Whilst this doesn’t state that they are not useful for checking understanding, it does suggest that they are not the most methodical strategy, especially when the teacher has a lot to get through in the lesson, as the distractions will inevitably push everything back. </w:t>
      </w:r>
      <w:r w:rsidR="00791207">
        <w:t xml:space="preserve">A concern that Mr Rahman (2023) has is “the lack of evidence in their book of students’ working”. This makes a valid point because although Assessment for Learning is continuous throughout the term, formal assessments at the end of terms/the year is evidence based </w:t>
      </w:r>
      <w:proofErr w:type="gramStart"/>
      <w:r w:rsidR="00791207">
        <w:t>from</w:t>
      </w:r>
      <w:proofErr w:type="gramEnd"/>
      <w:r w:rsidR="00791207">
        <w:t xml:space="preserve"> work books. </w:t>
      </w:r>
    </w:p>
    <w:p w14:paraId="04B80D41" w14:textId="40A9DBCA" w:rsidR="00DA2CBD" w:rsidRDefault="00DA2CBD" w:rsidP="004820F0">
      <w:pPr>
        <w:ind w:firstLine="720"/>
      </w:pPr>
      <w:r>
        <w:t xml:space="preserve">The strategy of </w:t>
      </w:r>
      <w:proofErr w:type="spellStart"/>
      <w:r>
        <w:t>self assessment</w:t>
      </w:r>
      <w:proofErr w:type="spellEnd"/>
      <w:r>
        <w:t xml:space="preserve"> will be used in this lesson </w:t>
      </w:r>
      <w:proofErr w:type="gramStart"/>
      <w:r>
        <w:t>through the use of</w:t>
      </w:r>
      <w:proofErr w:type="gramEnd"/>
      <w:r>
        <w:t xml:space="preserve"> their success criteria. Each child will have a slip of paper with the success criteria on, that at the end of the lesson they will need to </w:t>
      </w:r>
      <w:proofErr w:type="gramStart"/>
      <w:r>
        <w:t>refer back</w:t>
      </w:r>
      <w:proofErr w:type="gramEnd"/>
      <w:r>
        <w:t xml:space="preserve"> to and determine what they have achieved. They will do this by colouring in the box next to each point, either red, </w:t>
      </w:r>
      <w:proofErr w:type="gramStart"/>
      <w:r>
        <w:t>amber</w:t>
      </w:r>
      <w:proofErr w:type="gramEnd"/>
      <w:r>
        <w:t xml:space="preserve"> or green depending on how well that achieved that individually. </w:t>
      </w:r>
      <w:proofErr w:type="spellStart"/>
      <w:r>
        <w:t>Self assessment</w:t>
      </w:r>
      <w:proofErr w:type="spellEnd"/>
      <w:r>
        <w:t xml:space="preserve"> is an effective strategy of </w:t>
      </w:r>
      <w:proofErr w:type="spellStart"/>
      <w:r>
        <w:t>AfL</w:t>
      </w:r>
      <w:proofErr w:type="spellEnd"/>
      <w:r>
        <w:t xml:space="preserve"> as it encourages learners to take more responsibility over their own work. Literature suggests that </w:t>
      </w:r>
      <w:proofErr w:type="spellStart"/>
      <w:r>
        <w:t>self assessment</w:t>
      </w:r>
      <w:proofErr w:type="spellEnd"/>
      <w:r>
        <w:t xml:space="preserve"> “can positively affect learning by helping them develop their reflective and critical thinking skills” (Ndoye, 2017, p. 255). This explains that although assessing their own work, they are provided with the skills to still be critical, which ultimately can help them to produce higher quality work in the future as they can </w:t>
      </w:r>
      <w:r w:rsidR="00D7425C">
        <w:t>carry these lessons with them and apply them to other situations. Moreover,</w:t>
      </w:r>
      <w:r w:rsidR="004B3AFF">
        <w:t xml:space="preserve"> </w:t>
      </w:r>
      <w:proofErr w:type="spellStart"/>
      <w:r w:rsidR="004B3AFF">
        <w:t>self assessment</w:t>
      </w:r>
      <w:proofErr w:type="spellEnd"/>
      <w:r w:rsidR="004B3AFF">
        <w:t xml:space="preserve"> means that children have more control and independence when it comes to their learning, highlighting the fact that learners are more likely to engage within lessons and complete a good level of work. </w:t>
      </w:r>
    </w:p>
    <w:p w14:paraId="0B361D80" w14:textId="2360A0BF" w:rsidR="002708C0" w:rsidRDefault="00207646" w:rsidP="004820F0">
      <w:pPr>
        <w:ind w:firstLine="720"/>
      </w:pPr>
      <w:r>
        <w:t xml:space="preserve">It has been stated that there is a level of inaccuracy when it comes to </w:t>
      </w:r>
      <w:proofErr w:type="gramStart"/>
      <w:r>
        <w:t>learners</w:t>
      </w:r>
      <w:proofErr w:type="gramEnd"/>
      <w:r>
        <w:t xml:space="preserve"> </w:t>
      </w:r>
      <w:proofErr w:type="spellStart"/>
      <w:r>
        <w:t>self assessing</w:t>
      </w:r>
      <w:proofErr w:type="spellEnd"/>
      <w:r>
        <w:t xml:space="preserve"> their own work. Naturally, children are going to want to give themselves a good mark, so may be giving feedback that isn’t all exact. This suggests that such work that has been </w:t>
      </w:r>
      <w:proofErr w:type="spellStart"/>
      <w:r>
        <w:t>self assessed</w:t>
      </w:r>
      <w:proofErr w:type="spellEnd"/>
      <w:r>
        <w:t xml:space="preserve">, should still be looked at and monitored by the teacher </w:t>
      </w:r>
      <w:proofErr w:type="gramStart"/>
      <w:r>
        <w:t>in order to</w:t>
      </w:r>
      <w:proofErr w:type="gramEnd"/>
      <w:r>
        <w:t xml:space="preserve"> ensure accuracy and consistency. Another issue highlighted, is that there are multiple forms of </w:t>
      </w:r>
      <w:proofErr w:type="spellStart"/>
      <w:r>
        <w:t>self assessment</w:t>
      </w:r>
      <w:proofErr w:type="spellEnd"/>
      <w:r>
        <w:t xml:space="preserve"> that can take place in a classroom. This implies that teachers need to make sure that every child is clearly aware of each approach so that they can be carried out accordingly each time (Andrade, 2019, p. </w:t>
      </w:r>
      <w:proofErr w:type="spellStart"/>
      <w:r>
        <w:t>n.a</w:t>
      </w:r>
      <w:proofErr w:type="spellEnd"/>
      <w:r>
        <w:t xml:space="preserve">). </w:t>
      </w:r>
    </w:p>
    <w:p w14:paraId="693A61BD" w14:textId="5BFBFDDF" w:rsidR="008B1140" w:rsidRDefault="008B1140" w:rsidP="004820F0">
      <w:pPr>
        <w:ind w:firstLine="720"/>
      </w:pPr>
      <w:r>
        <w:t xml:space="preserve">The process of planning a lesson consists of a lot of thought and adaptations </w:t>
      </w:r>
      <w:proofErr w:type="gramStart"/>
      <w:r>
        <w:t>in order to</w:t>
      </w:r>
      <w:proofErr w:type="gramEnd"/>
      <w:r>
        <w:t xml:space="preserve"> ensure that you are catering for all the specific needs within the class. Being able to link each lesson to the curriculum for Wales is vital </w:t>
      </w:r>
      <w:proofErr w:type="gramStart"/>
      <w:r>
        <w:t>in order to</w:t>
      </w:r>
      <w:proofErr w:type="gramEnd"/>
      <w:r>
        <w:t xml:space="preserve"> have a clear purpose for the lesson, and having the ability to differentiate, ensures that all learners will be provided with work that best suits them and their ability. Planning the actual lesson including the introduction and the work sheets are vital, but what is also important are the little pit stops throughout and the plenaries at the end that aren’t always given a lot of thought. These are the moments within the lesson that the teacher can get a clear view of the pupil’s understanding of the work and the information that has been provided to them. Planning certain questions to ask and </w:t>
      </w:r>
      <w:proofErr w:type="spellStart"/>
      <w:r>
        <w:t>AfL</w:t>
      </w:r>
      <w:proofErr w:type="spellEnd"/>
      <w:r>
        <w:t xml:space="preserve"> strategies to use can help the teacher have a clear path of what they are going to do at each point during the lesson </w:t>
      </w:r>
      <w:proofErr w:type="gramStart"/>
      <w:r>
        <w:t>in order to</w:t>
      </w:r>
      <w:proofErr w:type="gramEnd"/>
      <w:r>
        <w:t xml:space="preserve"> check for progress. </w:t>
      </w:r>
    </w:p>
    <w:p w14:paraId="402D1DEF" w14:textId="6E653171" w:rsidR="00C04C57" w:rsidRDefault="008B1140" w:rsidP="00C04C57">
      <w:pPr>
        <w:ind w:firstLine="720"/>
      </w:pPr>
      <w:r>
        <w:t xml:space="preserve">Using </w:t>
      </w:r>
      <w:proofErr w:type="spellStart"/>
      <w:r>
        <w:t>AfL</w:t>
      </w:r>
      <w:proofErr w:type="spellEnd"/>
      <w:r>
        <w:t xml:space="preserve"> strategies are the most beneficial way of a teacher gaining feedback straight away from a child to see how well they understand the work. It means that they don’t have to wait until a test at the end of the term to determine this. This then allows teachers to adapt any other lessons and planning </w:t>
      </w:r>
      <w:proofErr w:type="gramStart"/>
      <w:r>
        <w:t>in order to</w:t>
      </w:r>
      <w:proofErr w:type="gramEnd"/>
      <w:r>
        <w:t xml:space="preserve"> match the understanding of the class. This implies that each lesson is always centred around the class and their</w:t>
      </w:r>
      <w:r w:rsidR="00C04C57">
        <w:t xml:space="preserve"> individual</w:t>
      </w:r>
      <w:r>
        <w:t xml:space="preserve"> abilities. </w:t>
      </w:r>
      <w:r w:rsidR="00C04C57">
        <w:t xml:space="preserve">The main issue with using </w:t>
      </w:r>
      <w:proofErr w:type="spellStart"/>
      <w:r w:rsidR="00C04C57">
        <w:t>AfL</w:t>
      </w:r>
      <w:proofErr w:type="spellEnd"/>
      <w:r w:rsidR="00C04C57">
        <w:t xml:space="preserve"> strategies throughout each lesson is that they could become repetitive, so ensuring that a different range of </w:t>
      </w:r>
      <w:r w:rsidR="00C04C57">
        <w:lastRenderedPageBreak/>
        <w:t xml:space="preserve">them are used is important </w:t>
      </w:r>
      <w:proofErr w:type="gramStart"/>
      <w:r w:rsidR="00C04C57">
        <w:t>in order to</w:t>
      </w:r>
      <w:proofErr w:type="gramEnd"/>
      <w:r w:rsidR="00C04C57">
        <w:t xml:space="preserve"> keep the children engaged. I propose that schools should consider the use of self and peer assessment as well as mini white boards. Self and peer assessment allow each child to develop new skills including communication, collaboration, reflective </w:t>
      </w:r>
      <w:proofErr w:type="gramStart"/>
      <w:r w:rsidR="00C04C57">
        <w:t>skills</w:t>
      </w:r>
      <w:proofErr w:type="gramEnd"/>
      <w:r w:rsidR="00C04C57">
        <w:t xml:space="preserve"> and critical analysis skills. This will help to prepare them for other situations too, as they will have this bank of skills that they can utilise for different circumstances. Mini white boards help to keep learners engaged and they can give teachers immediate knowledge of who understands the topic/the work. They make a good starter activity to recap on previous lessons, whilst they also make good plenaries to test them on that lesson. </w:t>
      </w:r>
    </w:p>
    <w:p w14:paraId="7ECC660E" w14:textId="77777777" w:rsidR="00936DDD" w:rsidRPr="004D304D" w:rsidRDefault="00936DDD" w:rsidP="00936DDD">
      <w:pPr>
        <w:rPr>
          <w:b/>
          <w:bCs/>
          <w:sz w:val="28"/>
          <w:szCs w:val="28"/>
        </w:rPr>
      </w:pPr>
      <w:r w:rsidRPr="004D304D">
        <w:rPr>
          <w:b/>
          <w:bCs/>
          <w:sz w:val="28"/>
          <w:szCs w:val="28"/>
        </w:rPr>
        <w:t>Reference List</w:t>
      </w:r>
    </w:p>
    <w:p w14:paraId="02742F76" w14:textId="77777777" w:rsidR="00936DDD" w:rsidRPr="00D30DDF" w:rsidRDefault="00936DDD" w:rsidP="00936DDD">
      <w:r>
        <w:t xml:space="preserve">Andrade, H. L. (2019) ‘A Critical Review of Research on Student Self-Assessment’, </w:t>
      </w:r>
      <w:r>
        <w:rPr>
          <w:i/>
          <w:iCs/>
        </w:rPr>
        <w:t>Frontiers</w:t>
      </w:r>
      <w:r>
        <w:t xml:space="preserve">, 4, pp. </w:t>
      </w:r>
      <w:proofErr w:type="spellStart"/>
      <w:r>
        <w:t>n.a.</w:t>
      </w:r>
      <w:proofErr w:type="spellEnd"/>
      <w:r>
        <w:t xml:space="preserve"> Available at: </w:t>
      </w:r>
      <w:hyperlink r:id="rId4" w:history="1">
        <w:r w:rsidRPr="001102A6">
          <w:rPr>
            <w:rStyle w:val="Hyperlink"/>
          </w:rPr>
          <w:t>https://www.frontiersin.org/articles/10.3389/feduc.2019.00087/full</w:t>
        </w:r>
      </w:hyperlink>
      <w:r>
        <w:t xml:space="preserve"> (Accessed: 5 January 2024). </w:t>
      </w:r>
    </w:p>
    <w:p w14:paraId="3E4D6575" w14:textId="77777777" w:rsidR="00936DDD" w:rsidRPr="0087461A" w:rsidRDefault="00936DDD" w:rsidP="00936DDD">
      <w:r>
        <w:t xml:space="preserve">Arnold, J. (2022) ‘Prioritising students in Assessment for Learning: A scoping review of research on students’ classroom experience’, </w:t>
      </w:r>
      <w:r>
        <w:rPr>
          <w:i/>
          <w:iCs/>
        </w:rPr>
        <w:t>British Educational Research Association</w:t>
      </w:r>
      <w:r>
        <w:t xml:space="preserve">, 10(3), pp. 1. Available at: </w:t>
      </w:r>
      <w:hyperlink r:id="rId5" w:history="1">
        <w:r w:rsidRPr="003F2557">
          <w:rPr>
            <w:rStyle w:val="Hyperlink"/>
          </w:rPr>
          <w:t>https://bera-journals.onlinelibrary.wiley.com/doi/full/10.1002/rev3.3366</w:t>
        </w:r>
      </w:hyperlink>
      <w:r>
        <w:t xml:space="preserve"> (Accessed: 29 December 2023). </w:t>
      </w:r>
    </w:p>
    <w:p w14:paraId="3A3A1E10" w14:textId="77777777" w:rsidR="00936DDD" w:rsidRDefault="00936DDD" w:rsidP="00936DDD">
      <w:r>
        <w:t>Black, P. J. and Wiliam, D. (2010) ‘Inside the Black Box Raising Standards Through Classroom Assessment’, Research Gate</w:t>
      </w:r>
      <w:r>
        <w:rPr>
          <w:i/>
          <w:iCs/>
        </w:rPr>
        <w:t xml:space="preserve">, </w:t>
      </w:r>
      <w:r>
        <w:t xml:space="preserve">September. Available at: </w:t>
      </w:r>
      <w:hyperlink r:id="rId6" w:history="1">
        <w:r w:rsidRPr="003F2557">
          <w:rPr>
            <w:rStyle w:val="Hyperlink"/>
          </w:rPr>
          <w:t>https://www.researchgate.net/publication/44836144_Inside_the_Black_Box_Raising_Standards_Through_Classroom_Assessment</w:t>
        </w:r>
      </w:hyperlink>
      <w:r>
        <w:t xml:space="preserve"> (Accessed: 29 December 2023). </w:t>
      </w:r>
    </w:p>
    <w:p w14:paraId="62A00D26" w14:textId="77777777" w:rsidR="00936DDD" w:rsidRPr="00BD2FAF" w:rsidRDefault="00936DDD" w:rsidP="00936DDD">
      <w:r>
        <w:t xml:space="preserve">Boon, S. (2018) ‘Using peer assessment as an effective learning strategy in the classroom’, </w:t>
      </w:r>
      <w:r>
        <w:rPr>
          <w:i/>
          <w:iCs/>
        </w:rPr>
        <w:t xml:space="preserve">Impact, </w:t>
      </w:r>
      <w:r>
        <w:t>12</w:t>
      </w:r>
      <w:r w:rsidRPr="00BD2FAF">
        <w:rPr>
          <w:vertAlign w:val="superscript"/>
        </w:rPr>
        <w:t>th</w:t>
      </w:r>
      <w:r>
        <w:t xml:space="preserve"> September. Available at: </w:t>
      </w:r>
      <w:hyperlink r:id="rId7" w:history="1">
        <w:r w:rsidRPr="000D7AB4">
          <w:rPr>
            <w:rStyle w:val="Hyperlink"/>
          </w:rPr>
          <w:t>https://my.chartered.college/impact_article/using-peer-assessment-as-an-effective-learning-strategy-in-the-classroom/</w:t>
        </w:r>
      </w:hyperlink>
      <w:r>
        <w:t xml:space="preserve"> (Accessed: 3 January 2024). </w:t>
      </w:r>
    </w:p>
    <w:p w14:paraId="312553A1" w14:textId="77777777" w:rsidR="00936DDD" w:rsidRPr="004978C5" w:rsidRDefault="00936DDD" w:rsidP="00936DDD">
      <w:r>
        <w:t xml:space="preserve">Blanchard, J. (2009) </w:t>
      </w:r>
      <w:r>
        <w:rPr>
          <w:i/>
          <w:iCs/>
        </w:rPr>
        <w:t xml:space="preserve">Teaching, Learning and Assessment. </w:t>
      </w:r>
      <w:r>
        <w:t>New York: McGraw Hill.</w:t>
      </w:r>
    </w:p>
    <w:p w14:paraId="000625C1" w14:textId="77777777" w:rsidR="00936DDD" w:rsidRDefault="00936DDD" w:rsidP="00936DDD">
      <w:r>
        <w:t xml:space="preserve">Clarke, S. (2008) </w:t>
      </w:r>
      <w:r>
        <w:rPr>
          <w:i/>
          <w:iCs/>
        </w:rPr>
        <w:t xml:space="preserve">Active Learning Through Formative Assessment. </w:t>
      </w:r>
      <w:r>
        <w:t>London: Hodder Education.</w:t>
      </w:r>
    </w:p>
    <w:p w14:paraId="06E2FD90" w14:textId="77777777" w:rsidR="00936DDD" w:rsidRDefault="00936DDD" w:rsidP="00936DDD">
      <w:r>
        <w:t xml:space="preserve">Dabell, J. (2018) ‘Educational Fad: Lollipop Sticks’, </w:t>
      </w:r>
      <w:r>
        <w:rPr>
          <w:i/>
          <w:iCs/>
        </w:rPr>
        <w:t xml:space="preserve">Teacher Toolkit </w:t>
      </w:r>
      <w:r>
        <w:t xml:space="preserve">[blog]. 29 April. Available at: </w:t>
      </w:r>
      <w:hyperlink r:id="rId8" w:history="1">
        <w:r w:rsidRPr="00041D30">
          <w:rPr>
            <w:rStyle w:val="Hyperlink"/>
          </w:rPr>
          <w:t>https://www.teachertoolkit.co.uk/2018/04/29/educational-fad-3/</w:t>
        </w:r>
      </w:hyperlink>
      <w:r>
        <w:t xml:space="preserve"> (Accessed: 2 January 2024).</w:t>
      </w:r>
    </w:p>
    <w:p w14:paraId="4D262361" w14:textId="77777777" w:rsidR="00936DDD" w:rsidRPr="00167B95" w:rsidRDefault="00936DDD" w:rsidP="00936DDD">
      <w:r>
        <w:t xml:space="preserve">Durrington Research School (2021) </w:t>
      </w:r>
      <w:r>
        <w:rPr>
          <w:i/>
          <w:iCs/>
        </w:rPr>
        <w:t xml:space="preserve">The use of mini whiteboards in the classroom. </w:t>
      </w:r>
      <w:r>
        <w:t xml:space="preserve">Available at: </w:t>
      </w:r>
      <w:hyperlink r:id="rId9" w:history="1">
        <w:r w:rsidRPr="00B833E9">
          <w:rPr>
            <w:rStyle w:val="Hyperlink"/>
          </w:rPr>
          <w:t>https://researchschool.org.uk/durrington/news/the-use-of-mini-whiteboards-in-the-classrom</w:t>
        </w:r>
      </w:hyperlink>
      <w:r>
        <w:t xml:space="preserve"> (Accessed: 4 January 2024).</w:t>
      </w:r>
    </w:p>
    <w:p w14:paraId="4B280BDC" w14:textId="77777777" w:rsidR="00936DDD" w:rsidRDefault="00936DDD" w:rsidP="00936DDD">
      <w:r>
        <w:t xml:space="preserve">Fletcher – Wood, H. (2014) ‘Gimmick, fad or tool: Why do I rely on lollipop sticks?’, </w:t>
      </w:r>
      <w:r>
        <w:rPr>
          <w:i/>
          <w:iCs/>
        </w:rPr>
        <w:t xml:space="preserve">Improving Teaching </w:t>
      </w:r>
      <w:r>
        <w:t xml:space="preserve">[blog]. 17 May. Available at: </w:t>
      </w:r>
      <w:hyperlink r:id="rId10" w:history="1">
        <w:r w:rsidRPr="00041D30">
          <w:rPr>
            <w:rStyle w:val="Hyperlink"/>
          </w:rPr>
          <w:t>https://improvingteaching.co.uk/2014/05/17/why-do-i-rely-on-lollipop-sticks/</w:t>
        </w:r>
      </w:hyperlink>
      <w:r>
        <w:t xml:space="preserve"> (Accessed: 2 January 2024). </w:t>
      </w:r>
    </w:p>
    <w:p w14:paraId="5A5BD375" w14:textId="77777777" w:rsidR="00936DDD" w:rsidRDefault="00936DDD" w:rsidP="00936DDD">
      <w:r>
        <w:t xml:space="preserve">Fletcher – Wood, H. (2016) ‘Using exit tickets to assess and plan: ‘The tuning fork of teaching’’, </w:t>
      </w:r>
      <w:r>
        <w:rPr>
          <w:i/>
          <w:iCs/>
        </w:rPr>
        <w:t xml:space="preserve">Improving Teaching </w:t>
      </w:r>
      <w:r>
        <w:t xml:space="preserve">[blog]. 24 April. Available at: </w:t>
      </w:r>
      <w:hyperlink r:id="rId11" w:history="1">
        <w:r w:rsidRPr="00041D30">
          <w:rPr>
            <w:rStyle w:val="Hyperlink"/>
          </w:rPr>
          <w:t>https://improvingteaching.co.uk/2016/04/24/exit-tickets-assess-plan/</w:t>
        </w:r>
      </w:hyperlink>
      <w:r>
        <w:t xml:space="preserve"> (Accessed: 2 January 2024). </w:t>
      </w:r>
    </w:p>
    <w:p w14:paraId="0FCC15DC" w14:textId="77777777" w:rsidR="00936DDD" w:rsidRPr="00196696" w:rsidRDefault="00936DDD" w:rsidP="00936DDD">
      <w:r>
        <w:t xml:space="preserve">Gurbanov, E. (2016) ‘The Challenge of Grading in Self and Peer – Assessment’, </w:t>
      </w:r>
      <w:r>
        <w:rPr>
          <w:i/>
          <w:iCs/>
        </w:rPr>
        <w:t xml:space="preserve">Journal of Education in Black Sea Region, </w:t>
      </w:r>
      <w:r>
        <w:t xml:space="preserve">1(2), pp. 89. Available at: </w:t>
      </w:r>
      <w:hyperlink r:id="rId12" w:history="1">
        <w:r w:rsidRPr="000D7AB4">
          <w:rPr>
            <w:rStyle w:val="Hyperlink"/>
          </w:rPr>
          <w:t>https://files.eric.ed.gov/fulltext/ED569122.pdf</w:t>
        </w:r>
      </w:hyperlink>
      <w:r>
        <w:t xml:space="preserve"> (Accessed: 3 January 2024). </w:t>
      </w:r>
    </w:p>
    <w:p w14:paraId="236F510C" w14:textId="77777777" w:rsidR="00936DDD" w:rsidRPr="000B00B5" w:rsidRDefault="00936DDD" w:rsidP="00936DDD">
      <w:r>
        <w:lastRenderedPageBreak/>
        <w:t xml:space="preserve">Hattie, J. (2019) ‘John Hattie: Learning intentions and success criteria’, </w:t>
      </w:r>
      <w:r>
        <w:rPr>
          <w:i/>
          <w:iCs/>
        </w:rPr>
        <w:t xml:space="preserve">STEM Learning </w:t>
      </w:r>
      <w:r>
        <w:t xml:space="preserve">[blog]. N.d. Available at: </w:t>
      </w:r>
      <w:hyperlink r:id="rId13" w:history="1">
        <w:r w:rsidRPr="000D7AB4">
          <w:rPr>
            <w:rStyle w:val="Hyperlink"/>
          </w:rPr>
          <w:t>https://www.stem.org.uk/resources/elibrary/resource/273227/john-hattie-learning-intentions-and-success-criteria</w:t>
        </w:r>
      </w:hyperlink>
      <w:r>
        <w:t xml:space="preserve"> (Accessed: 3 January 2024).</w:t>
      </w:r>
    </w:p>
    <w:p w14:paraId="0084EEB6" w14:textId="77777777" w:rsidR="00936DDD" w:rsidRPr="00B37864" w:rsidRDefault="00936DDD" w:rsidP="00936DDD">
      <w:proofErr w:type="gramStart"/>
      <w:r>
        <w:t>Indeed</w:t>
      </w:r>
      <w:proofErr w:type="gramEnd"/>
      <w:r>
        <w:t xml:space="preserve"> Career Guide (2023) </w:t>
      </w:r>
      <w:r>
        <w:rPr>
          <w:i/>
          <w:iCs/>
        </w:rPr>
        <w:t xml:space="preserve">Transferable skills: definitions and examples. </w:t>
      </w:r>
      <w:r>
        <w:t xml:space="preserve">Available at: </w:t>
      </w:r>
      <w:hyperlink r:id="rId14" w:history="1">
        <w:r w:rsidRPr="003F2557">
          <w:rPr>
            <w:rStyle w:val="Hyperlink"/>
          </w:rPr>
          <w:t>https://uk.indeed.com/career-advice/career-development/transferable-skills</w:t>
        </w:r>
      </w:hyperlink>
      <w:r>
        <w:t xml:space="preserve"> (Accessed: 29 December 2023). </w:t>
      </w:r>
    </w:p>
    <w:p w14:paraId="06C67C2F" w14:textId="77777777" w:rsidR="00936DDD" w:rsidRPr="00874A7A" w:rsidRDefault="00936DDD" w:rsidP="00936DDD">
      <w:r>
        <w:t xml:space="preserve">Jones, </w:t>
      </w:r>
      <w:proofErr w:type="spellStart"/>
      <w:r>
        <w:t>Dr.</w:t>
      </w:r>
      <w:proofErr w:type="spellEnd"/>
      <w:r>
        <w:t xml:space="preserve"> C. A. (2005) Assessment for Learning. Available at: </w:t>
      </w:r>
      <w:hyperlink r:id="rId15" w:history="1">
        <w:r w:rsidRPr="003F2557">
          <w:rPr>
            <w:rStyle w:val="Hyperlink"/>
          </w:rPr>
          <w:t>https://dera.ioe.ac.uk/id/eprint/7800/1/AssessmentforLearning.pdf</w:t>
        </w:r>
      </w:hyperlink>
      <w:r>
        <w:t xml:space="preserve"> (Accessed: 29 December 2023).</w:t>
      </w:r>
    </w:p>
    <w:p w14:paraId="0796D62B" w14:textId="77777777" w:rsidR="00936DDD" w:rsidRDefault="00936DDD" w:rsidP="00936DDD">
      <w:r>
        <w:t xml:space="preserve">Main, P. (2021) ‘Rethinking Pupil Progress’, </w:t>
      </w:r>
      <w:r>
        <w:rPr>
          <w:i/>
          <w:iCs/>
        </w:rPr>
        <w:t xml:space="preserve">Structural Learning </w:t>
      </w:r>
      <w:r>
        <w:t xml:space="preserve">[blog]. 13 December. Available at: </w:t>
      </w:r>
      <w:hyperlink r:id="rId16" w:history="1">
        <w:r w:rsidRPr="006878D6">
          <w:rPr>
            <w:rStyle w:val="Hyperlink"/>
          </w:rPr>
          <w:t>https://www.structural-learning.com/post/rethinking-pupil-progress</w:t>
        </w:r>
      </w:hyperlink>
      <w:r>
        <w:t xml:space="preserve"> (Accessed: 28 December 2023). </w:t>
      </w:r>
    </w:p>
    <w:p w14:paraId="40A2EC5A" w14:textId="77777777" w:rsidR="00936DDD" w:rsidRDefault="00936DDD" w:rsidP="00936DDD">
      <w:r>
        <w:t xml:space="preserve">Main, P. (2022) ‘Exit Tickets’, </w:t>
      </w:r>
      <w:r>
        <w:rPr>
          <w:i/>
          <w:iCs/>
        </w:rPr>
        <w:t xml:space="preserve">Structural Learning </w:t>
      </w:r>
      <w:r>
        <w:t xml:space="preserve">[blog]. 21 October. Available at: </w:t>
      </w:r>
      <w:hyperlink r:id="rId17" w:history="1">
        <w:r w:rsidRPr="00041D30">
          <w:rPr>
            <w:rStyle w:val="Hyperlink"/>
          </w:rPr>
          <w:t>https://www.structural-learning.com/post/exit-tickets</w:t>
        </w:r>
      </w:hyperlink>
      <w:r>
        <w:t xml:space="preserve"> (Accessed: 2 January 2024). </w:t>
      </w:r>
    </w:p>
    <w:p w14:paraId="455207C8" w14:textId="77777777" w:rsidR="00936DDD" w:rsidRPr="00594A24" w:rsidRDefault="00936DDD" w:rsidP="00936DDD">
      <w:r>
        <w:t xml:space="preserve">Moss, P. G. (2021) ‘Peer Assessment – Advantages and Caveats’, </w:t>
      </w:r>
      <w:r>
        <w:rPr>
          <w:i/>
          <w:iCs/>
        </w:rPr>
        <w:t xml:space="preserve">Learning Design </w:t>
      </w:r>
      <w:r>
        <w:t xml:space="preserve">[blog]. 14 January. Available at: </w:t>
      </w:r>
      <w:hyperlink r:id="rId18" w:history="1">
        <w:r w:rsidRPr="00B833E9">
          <w:rPr>
            <w:rStyle w:val="Hyperlink"/>
          </w:rPr>
          <w:t>https://paulgmoss.com/2021/01/14/peer-assessment-advantages-and-caveats/</w:t>
        </w:r>
      </w:hyperlink>
      <w:r>
        <w:t xml:space="preserve"> (Accessed: 4 January 2024).</w:t>
      </w:r>
    </w:p>
    <w:p w14:paraId="770165F6" w14:textId="77777777" w:rsidR="00936DDD" w:rsidRDefault="00936DDD" w:rsidP="00936DDD">
      <w:r>
        <w:t xml:space="preserve">National Council for Curriculum and Assessment (2015) </w:t>
      </w:r>
      <w:r>
        <w:rPr>
          <w:i/>
          <w:iCs/>
        </w:rPr>
        <w:t xml:space="preserve">Learning Intentions and Success Criteria. </w:t>
      </w:r>
      <w:r>
        <w:t xml:space="preserve">Available at: </w:t>
      </w:r>
      <w:hyperlink r:id="rId19" w:history="1">
        <w:r w:rsidRPr="000D7AB4">
          <w:rPr>
            <w:rStyle w:val="Hyperlink"/>
          </w:rPr>
          <w:t>https://ncca.ie/media/1927/assessment-workshop-1_en.pdf</w:t>
        </w:r>
      </w:hyperlink>
      <w:r>
        <w:t xml:space="preserve"> (Accessed: 3 January 2024).</w:t>
      </w:r>
    </w:p>
    <w:p w14:paraId="0BB17433" w14:textId="77777777" w:rsidR="00936DDD" w:rsidRPr="0067761C" w:rsidRDefault="00936DDD" w:rsidP="00936DDD">
      <w:r>
        <w:t xml:space="preserve">Ndoye, A. (2017) ‘Peer / </w:t>
      </w:r>
      <w:proofErr w:type="spellStart"/>
      <w:r>
        <w:t>Self Assessment</w:t>
      </w:r>
      <w:proofErr w:type="spellEnd"/>
      <w:r>
        <w:t xml:space="preserve"> and Student Learning’, </w:t>
      </w:r>
      <w:r>
        <w:rPr>
          <w:i/>
          <w:iCs/>
        </w:rPr>
        <w:t xml:space="preserve">International Journal of Teaching and Learning in Higher Education, </w:t>
      </w:r>
      <w:r>
        <w:t xml:space="preserve">29(2), pp. 255. Available at: </w:t>
      </w:r>
      <w:hyperlink r:id="rId20" w:history="1">
        <w:r w:rsidRPr="001102A6">
          <w:rPr>
            <w:rStyle w:val="Hyperlink"/>
          </w:rPr>
          <w:t>https://files.eric.ed.gov/fulltext/EJ1146193.pdf</w:t>
        </w:r>
      </w:hyperlink>
      <w:r>
        <w:t xml:space="preserve"> (Accessed: 5 January 2024). </w:t>
      </w:r>
    </w:p>
    <w:p w14:paraId="31C3764F" w14:textId="77777777" w:rsidR="00936DDD" w:rsidRPr="007A6961" w:rsidRDefault="00936DDD" w:rsidP="00936DDD">
      <w:r>
        <w:t xml:space="preserve">Rahman, M. (2023) ‘Mr Rahman on mini – whiteboards’, </w:t>
      </w:r>
      <w:r>
        <w:rPr>
          <w:i/>
          <w:iCs/>
        </w:rPr>
        <w:t xml:space="preserve">Class Teaching </w:t>
      </w:r>
      <w:r>
        <w:t xml:space="preserve">[blog]. 4 May. Available at: </w:t>
      </w:r>
      <w:hyperlink r:id="rId21" w:history="1">
        <w:r w:rsidRPr="00B833E9">
          <w:rPr>
            <w:rStyle w:val="Hyperlink"/>
          </w:rPr>
          <w:t>https://classteaching.wordpress.com/2023/05/04/mr-rahman-on-mini-whiteboards/</w:t>
        </w:r>
      </w:hyperlink>
      <w:r>
        <w:t xml:space="preserve"> (Accessed: 4 January 2024). </w:t>
      </w:r>
    </w:p>
    <w:p w14:paraId="329E8DDD" w14:textId="77777777" w:rsidR="00936DDD" w:rsidRPr="003D6FD8" w:rsidRDefault="00936DDD" w:rsidP="00936DDD">
      <w:r>
        <w:t xml:space="preserve">Tomlinson, C. A. (2017) </w:t>
      </w:r>
      <w:r>
        <w:rPr>
          <w:i/>
          <w:iCs/>
        </w:rPr>
        <w:t xml:space="preserve">How to Differentiate Instruction in Academically Diverse Classrooms. </w:t>
      </w:r>
      <w:r>
        <w:t>3</w:t>
      </w:r>
      <w:r w:rsidRPr="003D6FD8">
        <w:rPr>
          <w:vertAlign w:val="superscript"/>
        </w:rPr>
        <w:t>rd</w:t>
      </w:r>
      <w:r>
        <w:t xml:space="preserve"> </w:t>
      </w:r>
      <w:proofErr w:type="spellStart"/>
      <w:r>
        <w:t>edn</w:t>
      </w:r>
      <w:proofErr w:type="spellEnd"/>
      <w:r>
        <w:t>. Danvers: ASCD.</w:t>
      </w:r>
    </w:p>
    <w:p w14:paraId="07B536F9" w14:textId="77777777" w:rsidR="00936DDD" w:rsidRPr="00F80772" w:rsidRDefault="00936DDD" w:rsidP="00936DDD">
      <w:r>
        <w:t xml:space="preserve">Twinkl (2023) </w:t>
      </w:r>
      <w:r>
        <w:rPr>
          <w:i/>
          <w:iCs/>
        </w:rPr>
        <w:t xml:space="preserve">What is </w:t>
      </w:r>
      <w:proofErr w:type="spellStart"/>
      <w:r>
        <w:rPr>
          <w:i/>
          <w:iCs/>
        </w:rPr>
        <w:t>AfL</w:t>
      </w:r>
      <w:proofErr w:type="spellEnd"/>
      <w:r>
        <w:rPr>
          <w:i/>
          <w:iCs/>
        </w:rPr>
        <w:t xml:space="preserve"> or Assessment for Learning? </w:t>
      </w:r>
      <w:r>
        <w:t xml:space="preserve">Available at: </w:t>
      </w:r>
      <w:hyperlink r:id="rId22" w:history="1">
        <w:r w:rsidRPr="003F2557">
          <w:rPr>
            <w:rStyle w:val="Hyperlink"/>
          </w:rPr>
          <w:t>https://www.twinkl.co.uk/teaching-wiki/afl-or-assessment-for-learning</w:t>
        </w:r>
      </w:hyperlink>
      <w:r>
        <w:t xml:space="preserve"> (Accessed: 29 December 2023). </w:t>
      </w:r>
    </w:p>
    <w:p w14:paraId="4E0AA035" w14:textId="77777777" w:rsidR="00936DDD" w:rsidRDefault="00936DDD" w:rsidP="00936DDD">
      <w:r>
        <w:t xml:space="preserve">Welsh Government (2020) </w:t>
      </w:r>
      <w:r>
        <w:rPr>
          <w:i/>
          <w:iCs/>
        </w:rPr>
        <w:t xml:space="preserve">Expressive Arts. </w:t>
      </w:r>
      <w:r>
        <w:t xml:space="preserve">Available at: </w:t>
      </w:r>
      <w:hyperlink r:id="rId23" w:history="1">
        <w:r w:rsidRPr="006878D6">
          <w:rPr>
            <w:rStyle w:val="Hyperlink"/>
          </w:rPr>
          <w:t>https://hwb.gov.wales/curriculum-for-wales/expressive-arts/</w:t>
        </w:r>
      </w:hyperlink>
      <w:r>
        <w:t xml:space="preserve"> (Accessed: 28 December 2023). </w:t>
      </w:r>
    </w:p>
    <w:p w14:paraId="08B10279" w14:textId="77777777" w:rsidR="00936DDD" w:rsidRDefault="00936DDD" w:rsidP="00936DDD">
      <w:r>
        <w:t xml:space="preserve">Welsh Government (2021) </w:t>
      </w:r>
      <w:r>
        <w:rPr>
          <w:i/>
          <w:iCs/>
        </w:rPr>
        <w:t xml:space="preserve">Languages, Literacy and Communication. </w:t>
      </w:r>
      <w:r>
        <w:t xml:space="preserve">Available at: </w:t>
      </w:r>
      <w:hyperlink r:id="rId24" w:history="1">
        <w:r w:rsidRPr="006878D6">
          <w:rPr>
            <w:rStyle w:val="Hyperlink"/>
          </w:rPr>
          <w:t>https://hwb.gov.wales/curriculum-for-wales/languages-literacy-and-communication/</w:t>
        </w:r>
      </w:hyperlink>
      <w:r>
        <w:t xml:space="preserve"> (Accessed: 28 December 2023). </w:t>
      </w:r>
    </w:p>
    <w:p w14:paraId="09B8A10B" w14:textId="77777777" w:rsidR="00936DDD" w:rsidRDefault="00936DDD" w:rsidP="00936DDD">
      <w:r>
        <w:t xml:space="preserve">Welsh Government (2020) </w:t>
      </w:r>
      <w:r>
        <w:rPr>
          <w:i/>
          <w:iCs/>
        </w:rPr>
        <w:t xml:space="preserve">Mathematics and Numeracy. </w:t>
      </w:r>
      <w:r>
        <w:t xml:space="preserve">Available at: </w:t>
      </w:r>
      <w:hyperlink r:id="rId25" w:history="1">
        <w:r w:rsidRPr="006878D6">
          <w:rPr>
            <w:rStyle w:val="Hyperlink"/>
          </w:rPr>
          <w:t>https://hwb.gov.wales/curriculum-for-wales/mathematics-and-numeracy/</w:t>
        </w:r>
      </w:hyperlink>
      <w:r>
        <w:t xml:space="preserve"> (Accessed: 28 December 2023). </w:t>
      </w:r>
    </w:p>
    <w:p w14:paraId="0B06E89C" w14:textId="77777777" w:rsidR="00936DDD" w:rsidRPr="00732051" w:rsidRDefault="00936DDD" w:rsidP="00936DDD">
      <w:pPr>
        <w:rPr>
          <w:b/>
          <w:bCs/>
        </w:rPr>
      </w:pPr>
    </w:p>
    <w:p w14:paraId="3147FCF1" w14:textId="77777777" w:rsidR="00936DDD" w:rsidRDefault="00936DDD" w:rsidP="00936DDD"/>
    <w:p w14:paraId="08DFADC9" w14:textId="4A210E22" w:rsidR="00936DDD" w:rsidRDefault="00936DDD" w:rsidP="00936DDD">
      <w:pPr>
        <w:rPr>
          <w:b/>
          <w:bCs/>
          <w:sz w:val="28"/>
          <w:szCs w:val="28"/>
        </w:rPr>
      </w:pPr>
      <w:r w:rsidRPr="00936DDD">
        <w:rPr>
          <w:b/>
          <w:bCs/>
          <w:sz w:val="28"/>
          <w:szCs w:val="28"/>
        </w:rPr>
        <w:lastRenderedPageBreak/>
        <w:t>Appendix</w:t>
      </w:r>
    </w:p>
    <w:p w14:paraId="2AFF6CBF" w14:textId="52CA778B" w:rsidR="00936DDD" w:rsidRDefault="00D14761" w:rsidP="00936DDD">
      <w:pPr>
        <w:rPr>
          <w:noProof/>
        </w:rPr>
      </w:pPr>
      <w:r w:rsidRPr="00D14761">
        <w:rPr>
          <w:noProof/>
          <w:sz w:val="28"/>
          <w:szCs w:val="28"/>
        </w:rPr>
        <w:drawing>
          <wp:inline distT="0" distB="0" distL="0" distR="0" wp14:anchorId="73FD8A39" wp14:editId="75AAEA9E">
            <wp:extent cx="5731510" cy="5603240"/>
            <wp:effectExtent l="0" t="0" r="2540" b="0"/>
            <wp:docPr id="278803163" name="Picture 1" descr="A white sheet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803163" name="Picture 1" descr="A white sheet of paper with text&#10;&#10;Description automatically generated"/>
                    <pic:cNvPicPr/>
                  </pic:nvPicPr>
                  <pic:blipFill>
                    <a:blip r:embed="rId26"/>
                    <a:stretch>
                      <a:fillRect/>
                    </a:stretch>
                  </pic:blipFill>
                  <pic:spPr>
                    <a:xfrm>
                      <a:off x="0" y="0"/>
                      <a:ext cx="5731510" cy="5603240"/>
                    </a:xfrm>
                    <a:prstGeom prst="rect">
                      <a:avLst/>
                    </a:prstGeom>
                  </pic:spPr>
                </pic:pic>
              </a:graphicData>
            </a:graphic>
          </wp:inline>
        </w:drawing>
      </w:r>
      <w:r w:rsidRPr="00D14761">
        <w:rPr>
          <w:noProof/>
        </w:rPr>
        <w:t xml:space="preserve"> </w:t>
      </w:r>
      <w:r w:rsidRPr="00D14761">
        <w:rPr>
          <w:noProof/>
          <w:sz w:val="28"/>
          <w:szCs w:val="28"/>
        </w:rPr>
        <w:drawing>
          <wp:inline distT="0" distB="0" distL="0" distR="0" wp14:anchorId="5044D1E8" wp14:editId="2150799D">
            <wp:extent cx="5731510" cy="762000"/>
            <wp:effectExtent l="0" t="0" r="2540" b="0"/>
            <wp:docPr id="138130454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304543" name="Picture 1" descr="A close-up of a sign&#10;&#10;Description automatically generated"/>
                    <pic:cNvPicPr/>
                  </pic:nvPicPr>
                  <pic:blipFill>
                    <a:blip r:embed="rId27"/>
                    <a:stretch>
                      <a:fillRect/>
                    </a:stretch>
                  </pic:blipFill>
                  <pic:spPr>
                    <a:xfrm>
                      <a:off x="0" y="0"/>
                      <a:ext cx="5731510" cy="762000"/>
                    </a:xfrm>
                    <a:prstGeom prst="rect">
                      <a:avLst/>
                    </a:prstGeom>
                  </pic:spPr>
                </pic:pic>
              </a:graphicData>
            </a:graphic>
          </wp:inline>
        </w:drawing>
      </w:r>
    </w:p>
    <w:p w14:paraId="32DF09F1" w14:textId="31CB44EA" w:rsidR="00D14761" w:rsidRDefault="00D14761" w:rsidP="00936DDD">
      <w:pPr>
        <w:rPr>
          <w:sz w:val="28"/>
          <w:szCs w:val="28"/>
        </w:rPr>
      </w:pPr>
      <w:r w:rsidRPr="00D14761">
        <w:rPr>
          <w:noProof/>
          <w:sz w:val="28"/>
          <w:szCs w:val="28"/>
        </w:rPr>
        <w:drawing>
          <wp:inline distT="0" distB="0" distL="0" distR="0" wp14:anchorId="5E1F8AC4" wp14:editId="604FB5D6">
            <wp:extent cx="5731510" cy="1938020"/>
            <wp:effectExtent l="0" t="0" r="2540" b="5080"/>
            <wp:docPr id="361585250" name="Picture 1" descr="A diagram of a learning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585250" name="Picture 1" descr="A diagram of a learning process&#10;&#10;Description automatically generated with medium confidence"/>
                    <pic:cNvPicPr/>
                  </pic:nvPicPr>
                  <pic:blipFill>
                    <a:blip r:embed="rId28"/>
                    <a:stretch>
                      <a:fillRect/>
                    </a:stretch>
                  </pic:blipFill>
                  <pic:spPr>
                    <a:xfrm>
                      <a:off x="0" y="0"/>
                      <a:ext cx="5731510" cy="1938020"/>
                    </a:xfrm>
                    <a:prstGeom prst="rect">
                      <a:avLst/>
                    </a:prstGeom>
                  </pic:spPr>
                </pic:pic>
              </a:graphicData>
            </a:graphic>
          </wp:inline>
        </w:drawing>
      </w:r>
    </w:p>
    <w:p w14:paraId="2A4A023F" w14:textId="4EE332F6" w:rsidR="00D14761" w:rsidRDefault="00D14761" w:rsidP="00936DDD">
      <w:pPr>
        <w:rPr>
          <w:sz w:val="28"/>
          <w:szCs w:val="28"/>
        </w:rPr>
      </w:pPr>
      <w:r w:rsidRPr="00D14761">
        <w:rPr>
          <w:noProof/>
          <w:sz w:val="28"/>
          <w:szCs w:val="28"/>
        </w:rPr>
        <w:lastRenderedPageBreak/>
        <w:drawing>
          <wp:inline distT="0" distB="0" distL="0" distR="0" wp14:anchorId="7D26E7CC" wp14:editId="4EA55A38">
            <wp:extent cx="5731510" cy="2574290"/>
            <wp:effectExtent l="0" t="0" r="2540" b="0"/>
            <wp:docPr id="17781698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16980" name="Picture 1" descr="A close-up of a document&#10;&#10;Description automatically generated"/>
                    <pic:cNvPicPr/>
                  </pic:nvPicPr>
                  <pic:blipFill>
                    <a:blip r:embed="rId29"/>
                    <a:stretch>
                      <a:fillRect/>
                    </a:stretch>
                  </pic:blipFill>
                  <pic:spPr>
                    <a:xfrm>
                      <a:off x="0" y="0"/>
                      <a:ext cx="5731510" cy="2574290"/>
                    </a:xfrm>
                    <a:prstGeom prst="rect">
                      <a:avLst/>
                    </a:prstGeom>
                  </pic:spPr>
                </pic:pic>
              </a:graphicData>
            </a:graphic>
          </wp:inline>
        </w:drawing>
      </w:r>
    </w:p>
    <w:p w14:paraId="1486D2C1" w14:textId="3ED6971C" w:rsidR="00D14761" w:rsidRDefault="00D14761" w:rsidP="00936DDD">
      <w:pPr>
        <w:rPr>
          <w:sz w:val="28"/>
          <w:szCs w:val="28"/>
        </w:rPr>
      </w:pPr>
      <w:r w:rsidRPr="00D14761">
        <w:rPr>
          <w:noProof/>
          <w:sz w:val="28"/>
          <w:szCs w:val="28"/>
        </w:rPr>
        <w:drawing>
          <wp:inline distT="0" distB="0" distL="0" distR="0" wp14:anchorId="496FEA02" wp14:editId="4DA3C3E8">
            <wp:extent cx="5731510" cy="1023620"/>
            <wp:effectExtent l="0" t="0" r="2540" b="5080"/>
            <wp:docPr id="1129806182" name="Picture 1"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806182" name="Picture 1" descr="A close up of a newspaper&#10;&#10;Description automatically generated"/>
                    <pic:cNvPicPr/>
                  </pic:nvPicPr>
                  <pic:blipFill>
                    <a:blip r:embed="rId30"/>
                    <a:stretch>
                      <a:fillRect/>
                    </a:stretch>
                  </pic:blipFill>
                  <pic:spPr>
                    <a:xfrm>
                      <a:off x="0" y="0"/>
                      <a:ext cx="5731510" cy="1023620"/>
                    </a:xfrm>
                    <a:prstGeom prst="rect">
                      <a:avLst/>
                    </a:prstGeom>
                  </pic:spPr>
                </pic:pic>
              </a:graphicData>
            </a:graphic>
          </wp:inline>
        </w:drawing>
      </w:r>
    </w:p>
    <w:p w14:paraId="67400DB7" w14:textId="1B181068" w:rsidR="00D14761" w:rsidRDefault="00D14761" w:rsidP="00936DDD">
      <w:pPr>
        <w:rPr>
          <w:sz w:val="28"/>
          <w:szCs w:val="28"/>
        </w:rPr>
      </w:pPr>
      <w:r w:rsidRPr="00D14761">
        <w:rPr>
          <w:noProof/>
          <w:sz w:val="28"/>
          <w:szCs w:val="28"/>
        </w:rPr>
        <w:drawing>
          <wp:inline distT="0" distB="0" distL="0" distR="0" wp14:anchorId="053A38CE" wp14:editId="24AEA9EE">
            <wp:extent cx="5731510" cy="1002665"/>
            <wp:effectExtent l="0" t="0" r="2540" b="6985"/>
            <wp:docPr id="499499752"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499752" name="Picture 1" descr="A close-up of a white background&#10;&#10;Description automatically generated"/>
                    <pic:cNvPicPr/>
                  </pic:nvPicPr>
                  <pic:blipFill>
                    <a:blip r:embed="rId31"/>
                    <a:stretch>
                      <a:fillRect/>
                    </a:stretch>
                  </pic:blipFill>
                  <pic:spPr>
                    <a:xfrm>
                      <a:off x="0" y="0"/>
                      <a:ext cx="5731510" cy="1002665"/>
                    </a:xfrm>
                    <a:prstGeom prst="rect">
                      <a:avLst/>
                    </a:prstGeom>
                  </pic:spPr>
                </pic:pic>
              </a:graphicData>
            </a:graphic>
          </wp:inline>
        </w:drawing>
      </w:r>
    </w:p>
    <w:p w14:paraId="036F20B9" w14:textId="189387A3" w:rsidR="00D14761" w:rsidRDefault="00D14761" w:rsidP="00936DDD">
      <w:pPr>
        <w:rPr>
          <w:sz w:val="28"/>
          <w:szCs w:val="28"/>
        </w:rPr>
      </w:pPr>
      <w:r w:rsidRPr="00D14761">
        <w:rPr>
          <w:noProof/>
          <w:sz w:val="28"/>
          <w:szCs w:val="28"/>
        </w:rPr>
        <w:drawing>
          <wp:inline distT="0" distB="0" distL="0" distR="0" wp14:anchorId="6EC7319B" wp14:editId="140EF131">
            <wp:extent cx="5731510" cy="2334895"/>
            <wp:effectExtent l="0" t="0" r="2540" b="8255"/>
            <wp:docPr id="448942018"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42018" name="Picture 1" descr="A close-up of a text&#10;&#10;Description automatically generated"/>
                    <pic:cNvPicPr/>
                  </pic:nvPicPr>
                  <pic:blipFill>
                    <a:blip r:embed="rId32"/>
                    <a:stretch>
                      <a:fillRect/>
                    </a:stretch>
                  </pic:blipFill>
                  <pic:spPr>
                    <a:xfrm>
                      <a:off x="0" y="0"/>
                      <a:ext cx="5731510" cy="2334895"/>
                    </a:xfrm>
                    <a:prstGeom prst="rect">
                      <a:avLst/>
                    </a:prstGeom>
                  </pic:spPr>
                </pic:pic>
              </a:graphicData>
            </a:graphic>
          </wp:inline>
        </w:drawing>
      </w:r>
    </w:p>
    <w:p w14:paraId="0358DA12" w14:textId="77777777" w:rsidR="00D14761" w:rsidRDefault="00D14761" w:rsidP="00936DDD">
      <w:pPr>
        <w:rPr>
          <w:sz w:val="28"/>
          <w:szCs w:val="28"/>
        </w:rPr>
      </w:pPr>
    </w:p>
    <w:p w14:paraId="17C6AB68" w14:textId="77777777" w:rsidR="00D14761" w:rsidRDefault="00D14761" w:rsidP="00936DDD">
      <w:pPr>
        <w:rPr>
          <w:sz w:val="28"/>
          <w:szCs w:val="28"/>
        </w:rPr>
      </w:pPr>
    </w:p>
    <w:p w14:paraId="12A55DB5" w14:textId="77777777" w:rsidR="00D14761" w:rsidRDefault="00D14761" w:rsidP="00936DDD">
      <w:pPr>
        <w:rPr>
          <w:sz w:val="28"/>
          <w:szCs w:val="28"/>
        </w:rPr>
      </w:pPr>
    </w:p>
    <w:p w14:paraId="0D42F9B8" w14:textId="77777777" w:rsidR="00D14761" w:rsidRDefault="00D14761" w:rsidP="00936DDD">
      <w:pPr>
        <w:rPr>
          <w:sz w:val="28"/>
          <w:szCs w:val="28"/>
        </w:rPr>
      </w:pPr>
    </w:p>
    <w:p w14:paraId="14E531D6" w14:textId="34C22F9F" w:rsidR="00D14761" w:rsidRDefault="00D14761" w:rsidP="00936DDD">
      <w:pPr>
        <w:rPr>
          <w:sz w:val="28"/>
          <w:szCs w:val="28"/>
        </w:rPr>
      </w:pPr>
      <w:r w:rsidRPr="00D14761">
        <w:rPr>
          <w:noProof/>
          <w:sz w:val="28"/>
          <w:szCs w:val="28"/>
        </w:rPr>
        <w:lastRenderedPageBreak/>
        <w:drawing>
          <wp:inline distT="0" distB="0" distL="0" distR="0" wp14:anchorId="18A9BD3B" wp14:editId="3562A6D2">
            <wp:extent cx="5731510" cy="5136515"/>
            <wp:effectExtent l="0" t="0" r="2540" b="6985"/>
            <wp:docPr id="897243670" name="Picture 1" descr="A black and white tex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243670" name="Picture 1" descr="A black and white text with white text&#10;&#10;Description automatically generated"/>
                    <pic:cNvPicPr/>
                  </pic:nvPicPr>
                  <pic:blipFill>
                    <a:blip r:embed="rId33"/>
                    <a:stretch>
                      <a:fillRect/>
                    </a:stretch>
                  </pic:blipFill>
                  <pic:spPr>
                    <a:xfrm>
                      <a:off x="0" y="0"/>
                      <a:ext cx="5731510" cy="5136515"/>
                    </a:xfrm>
                    <a:prstGeom prst="rect">
                      <a:avLst/>
                    </a:prstGeom>
                  </pic:spPr>
                </pic:pic>
              </a:graphicData>
            </a:graphic>
          </wp:inline>
        </w:drawing>
      </w:r>
    </w:p>
    <w:p w14:paraId="26403056" w14:textId="0208480B" w:rsidR="00D14761" w:rsidRDefault="00D14761" w:rsidP="00936DDD">
      <w:pPr>
        <w:rPr>
          <w:sz w:val="28"/>
          <w:szCs w:val="28"/>
        </w:rPr>
      </w:pPr>
      <w:r w:rsidRPr="00D14761">
        <w:rPr>
          <w:noProof/>
          <w:sz w:val="28"/>
          <w:szCs w:val="28"/>
        </w:rPr>
        <w:drawing>
          <wp:inline distT="0" distB="0" distL="0" distR="0" wp14:anchorId="12C08333" wp14:editId="7E1CE745">
            <wp:extent cx="5731510" cy="450850"/>
            <wp:effectExtent l="0" t="0" r="2540" b="6350"/>
            <wp:docPr id="552686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686162" name=""/>
                    <pic:cNvPicPr/>
                  </pic:nvPicPr>
                  <pic:blipFill>
                    <a:blip r:embed="rId34"/>
                    <a:stretch>
                      <a:fillRect/>
                    </a:stretch>
                  </pic:blipFill>
                  <pic:spPr>
                    <a:xfrm>
                      <a:off x="0" y="0"/>
                      <a:ext cx="5731510" cy="450850"/>
                    </a:xfrm>
                    <a:prstGeom prst="rect">
                      <a:avLst/>
                    </a:prstGeom>
                  </pic:spPr>
                </pic:pic>
              </a:graphicData>
            </a:graphic>
          </wp:inline>
        </w:drawing>
      </w:r>
    </w:p>
    <w:p w14:paraId="1EBAD72D" w14:textId="0EBC8E86" w:rsidR="00D14761" w:rsidRDefault="00D14761" w:rsidP="00936DDD">
      <w:pPr>
        <w:rPr>
          <w:sz w:val="28"/>
          <w:szCs w:val="28"/>
        </w:rPr>
      </w:pPr>
      <w:r w:rsidRPr="00D14761">
        <w:rPr>
          <w:noProof/>
          <w:sz w:val="28"/>
          <w:szCs w:val="28"/>
        </w:rPr>
        <w:drawing>
          <wp:inline distT="0" distB="0" distL="0" distR="0" wp14:anchorId="72B46379" wp14:editId="35596A72">
            <wp:extent cx="5731510" cy="1248410"/>
            <wp:effectExtent l="0" t="0" r="2540" b="8890"/>
            <wp:docPr id="172408283" name="Picture 1" descr="A diagram of a learning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08283" name="Picture 1" descr="A diagram of a learning process&#10;&#10;Description automatically generated with medium confidence"/>
                    <pic:cNvPicPr/>
                  </pic:nvPicPr>
                  <pic:blipFill>
                    <a:blip r:embed="rId35"/>
                    <a:stretch>
                      <a:fillRect/>
                    </a:stretch>
                  </pic:blipFill>
                  <pic:spPr>
                    <a:xfrm>
                      <a:off x="0" y="0"/>
                      <a:ext cx="5731510" cy="1248410"/>
                    </a:xfrm>
                    <a:prstGeom prst="rect">
                      <a:avLst/>
                    </a:prstGeom>
                  </pic:spPr>
                </pic:pic>
              </a:graphicData>
            </a:graphic>
          </wp:inline>
        </w:drawing>
      </w:r>
    </w:p>
    <w:p w14:paraId="601ADC7C" w14:textId="4F909BF1" w:rsidR="00D14761" w:rsidRDefault="00D14761" w:rsidP="00936DDD">
      <w:pPr>
        <w:rPr>
          <w:sz w:val="28"/>
          <w:szCs w:val="28"/>
        </w:rPr>
      </w:pPr>
      <w:r w:rsidRPr="00D14761">
        <w:rPr>
          <w:noProof/>
          <w:sz w:val="28"/>
          <w:szCs w:val="28"/>
        </w:rPr>
        <w:drawing>
          <wp:inline distT="0" distB="0" distL="0" distR="0" wp14:anchorId="79BB4CC1" wp14:editId="5BB8EE98">
            <wp:extent cx="5731510" cy="1047115"/>
            <wp:effectExtent l="0" t="0" r="2540" b="635"/>
            <wp:docPr id="1897297128" name="Picture 1" descr="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297128" name="Picture 1" descr="A white and black text&#10;&#10;Description automatically generated"/>
                    <pic:cNvPicPr/>
                  </pic:nvPicPr>
                  <pic:blipFill>
                    <a:blip r:embed="rId36"/>
                    <a:stretch>
                      <a:fillRect/>
                    </a:stretch>
                  </pic:blipFill>
                  <pic:spPr>
                    <a:xfrm>
                      <a:off x="0" y="0"/>
                      <a:ext cx="5731510" cy="1047115"/>
                    </a:xfrm>
                    <a:prstGeom prst="rect">
                      <a:avLst/>
                    </a:prstGeom>
                  </pic:spPr>
                </pic:pic>
              </a:graphicData>
            </a:graphic>
          </wp:inline>
        </w:drawing>
      </w:r>
    </w:p>
    <w:p w14:paraId="5EC6CC82" w14:textId="238C9261" w:rsidR="00D14761" w:rsidRDefault="00D14761" w:rsidP="00936DDD">
      <w:pPr>
        <w:rPr>
          <w:sz w:val="28"/>
          <w:szCs w:val="28"/>
        </w:rPr>
      </w:pPr>
      <w:r w:rsidRPr="00D14761">
        <w:rPr>
          <w:noProof/>
          <w:sz w:val="28"/>
          <w:szCs w:val="28"/>
        </w:rPr>
        <w:lastRenderedPageBreak/>
        <w:drawing>
          <wp:inline distT="0" distB="0" distL="0" distR="0" wp14:anchorId="62D8504E" wp14:editId="02255A56">
            <wp:extent cx="5731510" cy="2153920"/>
            <wp:effectExtent l="0" t="0" r="2540" b="0"/>
            <wp:docPr id="197290454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904549" name="Picture 1" descr="A close-up of a document&#10;&#10;Description automatically generated"/>
                    <pic:cNvPicPr/>
                  </pic:nvPicPr>
                  <pic:blipFill>
                    <a:blip r:embed="rId37"/>
                    <a:stretch>
                      <a:fillRect/>
                    </a:stretch>
                  </pic:blipFill>
                  <pic:spPr>
                    <a:xfrm>
                      <a:off x="0" y="0"/>
                      <a:ext cx="5731510" cy="2153920"/>
                    </a:xfrm>
                    <a:prstGeom prst="rect">
                      <a:avLst/>
                    </a:prstGeom>
                  </pic:spPr>
                </pic:pic>
              </a:graphicData>
            </a:graphic>
          </wp:inline>
        </w:drawing>
      </w:r>
    </w:p>
    <w:p w14:paraId="27D9B3E4" w14:textId="19DF88E5" w:rsidR="00D14761" w:rsidRDefault="00D14761" w:rsidP="00936DDD">
      <w:pPr>
        <w:rPr>
          <w:sz w:val="28"/>
          <w:szCs w:val="28"/>
        </w:rPr>
      </w:pPr>
      <w:r w:rsidRPr="00D14761">
        <w:rPr>
          <w:noProof/>
          <w:sz w:val="28"/>
          <w:szCs w:val="28"/>
        </w:rPr>
        <w:drawing>
          <wp:inline distT="0" distB="0" distL="0" distR="0" wp14:anchorId="2F936FD1" wp14:editId="51AC28CD">
            <wp:extent cx="5731510" cy="1349375"/>
            <wp:effectExtent l="0" t="0" r="2540" b="3175"/>
            <wp:docPr id="195636693" name="Picture 1" descr="A close-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36693" name="Picture 1" descr="A close-up of a newspaper&#10;&#10;Description automatically generated"/>
                    <pic:cNvPicPr/>
                  </pic:nvPicPr>
                  <pic:blipFill>
                    <a:blip r:embed="rId38"/>
                    <a:stretch>
                      <a:fillRect/>
                    </a:stretch>
                  </pic:blipFill>
                  <pic:spPr>
                    <a:xfrm>
                      <a:off x="0" y="0"/>
                      <a:ext cx="5731510" cy="1349375"/>
                    </a:xfrm>
                    <a:prstGeom prst="rect">
                      <a:avLst/>
                    </a:prstGeom>
                  </pic:spPr>
                </pic:pic>
              </a:graphicData>
            </a:graphic>
          </wp:inline>
        </w:drawing>
      </w:r>
    </w:p>
    <w:p w14:paraId="03C21B70" w14:textId="75AFC51D" w:rsidR="00D14761" w:rsidRDefault="00D14761" w:rsidP="00936DDD">
      <w:pPr>
        <w:rPr>
          <w:sz w:val="28"/>
          <w:szCs w:val="28"/>
        </w:rPr>
      </w:pPr>
      <w:r w:rsidRPr="00D14761">
        <w:rPr>
          <w:noProof/>
          <w:sz w:val="28"/>
          <w:szCs w:val="28"/>
        </w:rPr>
        <w:drawing>
          <wp:inline distT="0" distB="0" distL="0" distR="0" wp14:anchorId="7329EE0B" wp14:editId="01106EEA">
            <wp:extent cx="5731510" cy="1313815"/>
            <wp:effectExtent l="0" t="0" r="2540" b="635"/>
            <wp:docPr id="1249694367"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694367" name="Picture 1" descr="A white background with black text&#10;&#10;Description automatically generated"/>
                    <pic:cNvPicPr/>
                  </pic:nvPicPr>
                  <pic:blipFill>
                    <a:blip r:embed="rId39"/>
                    <a:stretch>
                      <a:fillRect/>
                    </a:stretch>
                  </pic:blipFill>
                  <pic:spPr>
                    <a:xfrm>
                      <a:off x="0" y="0"/>
                      <a:ext cx="5731510" cy="1313815"/>
                    </a:xfrm>
                    <a:prstGeom prst="rect">
                      <a:avLst/>
                    </a:prstGeom>
                  </pic:spPr>
                </pic:pic>
              </a:graphicData>
            </a:graphic>
          </wp:inline>
        </w:drawing>
      </w:r>
    </w:p>
    <w:p w14:paraId="1C6BB030" w14:textId="4025AB1E" w:rsidR="00D14761" w:rsidRDefault="00D14761" w:rsidP="00936DDD">
      <w:pPr>
        <w:rPr>
          <w:sz w:val="28"/>
          <w:szCs w:val="28"/>
        </w:rPr>
      </w:pPr>
      <w:r w:rsidRPr="00D14761">
        <w:rPr>
          <w:noProof/>
          <w:sz w:val="28"/>
          <w:szCs w:val="28"/>
        </w:rPr>
        <w:drawing>
          <wp:inline distT="0" distB="0" distL="0" distR="0" wp14:anchorId="0022733F" wp14:editId="1D3A8808">
            <wp:extent cx="5731510" cy="1386840"/>
            <wp:effectExtent l="0" t="0" r="2540" b="3810"/>
            <wp:docPr id="148717224"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17224" name="Picture 1" descr="A close-up of a text&#10;&#10;Description automatically generated"/>
                    <pic:cNvPicPr/>
                  </pic:nvPicPr>
                  <pic:blipFill>
                    <a:blip r:embed="rId40"/>
                    <a:stretch>
                      <a:fillRect/>
                    </a:stretch>
                  </pic:blipFill>
                  <pic:spPr>
                    <a:xfrm>
                      <a:off x="0" y="0"/>
                      <a:ext cx="5731510" cy="1386840"/>
                    </a:xfrm>
                    <a:prstGeom prst="rect">
                      <a:avLst/>
                    </a:prstGeom>
                  </pic:spPr>
                </pic:pic>
              </a:graphicData>
            </a:graphic>
          </wp:inline>
        </w:drawing>
      </w:r>
    </w:p>
    <w:p w14:paraId="220A675E" w14:textId="77777777" w:rsidR="00D14761" w:rsidRDefault="00D14761" w:rsidP="00936DDD">
      <w:pPr>
        <w:rPr>
          <w:sz w:val="28"/>
          <w:szCs w:val="28"/>
        </w:rPr>
      </w:pPr>
    </w:p>
    <w:p w14:paraId="3360DC75" w14:textId="77777777" w:rsidR="00D14761" w:rsidRDefault="00D14761" w:rsidP="00936DDD">
      <w:pPr>
        <w:rPr>
          <w:sz w:val="28"/>
          <w:szCs w:val="28"/>
        </w:rPr>
      </w:pPr>
    </w:p>
    <w:p w14:paraId="715FA339" w14:textId="77777777" w:rsidR="00D14761" w:rsidRDefault="00D14761" w:rsidP="00936DDD">
      <w:pPr>
        <w:rPr>
          <w:sz w:val="28"/>
          <w:szCs w:val="28"/>
        </w:rPr>
      </w:pPr>
    </w:p>
    <w:p w14:paraId="5C43EEFC" w14:textId="77777777" w:rsidR="00D14761" w:rsidRDefault="00D14761" w:rsidP="00936DDD">
      <w:pPr>
        <w:rPr>
          <w:sz w:val="28"/>
          <w:szCs w:val="28"/>
        </w:rPr>
      </w:pPr>
    </w:p>
    <w:p w14:paraId="2D1FE8E0" w14:textId="77777777" w:rsidR="00D14761" w:rsidRDefault="00D14761" w:rsidP="00936DDD">
      <w:pPr>
        <w:rPr>
          <w:sz w:val="28"/>
          <w:szCs w:val="28"/>
        </w:rPr>
      </w:pPr>
    </w:p>
    <w:p w14:paraId="6F31F668" w14:textId="77777777" w:rsidR="00D14761" w:rsidRDefault="00D14761" w:rsidP="00936DDD">
      <w:pPr>
        <w:rPr>
          <w:sz w:val="28"/>
          <w:szCs w:val="28"/>
        </w:rPr>
      </w:pPr>
    </w:p>
    <w:p w14:paraId="69468D6F" w14:textId="370D2083" w:rsidR="00D14761" w:rsidRDefault="00D14761" w:rsidP="00936DDD">
      <w:pPr>
        <w:rPr>
          <w:sz w:val="28"/>
          <w:szCs w:val="28"/>
        </w:rPr>
      </w:pPr>
      <w:r w:rsidRPr="00D14761">
        <w:rPr>
          <w:noProof/>
          <w:sz w:val="28"/>
          <w:szCs w:val="28"/>
        </w:rPr>
        <w:lastRenderedPageBreak/>
        <w:drawing>
          <wp:inline distT="0" distB="0" distL="0" distR="0" wp14:anchorId="0DA50AF3" wp14:editId="74AFE052">
            <wp:extent cx="5731510" cy="5036820"/>
            <wp:effectExtent l="0" t="0" r="2540" b="0"/>
            <wp:docPr id="169176430" name="Picture 1" descr="A screenshot of a math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76430" name="Picture 1" descr="A screenshot of a math test&#10;&#10;Description automatically generated"/>
                    <pic:cNvPicPr/>
                  </pic:nvPicPr>
                  <pic:blipFill>
                    <a:blip r:embed="rId41"/>
                    <a:stretch>
                      <a:fillRect/>
                    </a:stretch>
                  </pic:blipFill>
                  <pic:spPr>
                    <a:xfrm>
                      <a:off x="0" y="0"/>
                      <a:ext cx="5731510" cy="5036820"/>
                    </a:xfrm>
                    <a:prstGeom prst="rect">
                      <a:avLst/>
                    </a:prstGeom>
                  </pic:spPr>
                </pic:pic>
              </a:graphicData>
            </a:graphic>
          </wp:inline>
        </w:drawing>
      </w:r>
    </w:p>
    <w:p w14:paraId="498CF428" w14:textId="002839C2" w:rsidR="00D14761" w:rsidRDefault="00D14761" w:rsidP="00936DDD">
      <w:pPr>
        <w:rPr>
          <w:sz w:val="28"/>
          <w:szCs w:val="28"/>
        </w:rPr>
      </w:pPr>
      <w:r w:rsidRPr="00D14761">
        <w:rPr>
          <w:noProof/>
          <w:sz w:val="28"/>
          <w:szCs w:val="28"/>
        </w:rPr>
        <w:drawing>
          <wp:inline distT="0" distB="0" distL="0" distR="0" wp14:anchorId="223C6AC5" wp14:editId="3EC6A635">
            <wp:extent cx="5731510" cy="430530"/>
            <wp:effectExtent l="0" t="0" r="2540" b="7620"/>
            <wp:docPr id="1757579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579707" name=""/>
                    <pic:cNvPicPr/>
                  </pic:nvPicPr>
                  <pic:blipFill>
                    <a:blip r:embed="rId42"/>
                    <a:stretch>
                      <a:fillRect/>
                    </a:stretch>
                  </pic:blipFill>
                  <pic:spPr>
                    <a:xfrm>
                      <a:off x="0" y="0"/>
                      <a:ext cx="5731510" cy="430530"/>
                    </a:xfrm>
                    <a:prstGeom prst="rect">
                      <a:avLst/>
                    </a:prstGeom>
                  </pic:spPr>
                </pic:pic>
              </a:graphicData>
            </a:graphic>
          </wp:inline>
        </w:drawing>
      </w:r>
    </w:p>
    <w:p w14:paraId="55F5ABFE" w14:textId="0CF79F08" w:rsidR="00D14761" w:rsidRDefault="00D14761" w:rsidP="00936DDD">
      <w:pPr>
        <w:rPr>
          <w:sz w:val="28"/>
          <w:szCs w:val="28"/>
        </w:rPr>
      </w:pPr>
      <w:r w:rsidRPr="00D14761">
        <w:rPr>
          <w:noProof/>
          <w:sz w:val="28"/>
          <w:szCs w:val="28"/>
        </w:rPr>
        <w:drawing>
          <wp:inline distT="0" distB="0" distL="0" distR="0" wp14:anchorId="129CA437" wp14:editId="1E46F93F">
            <wp:extent cx="5731510" cy="1402715"/>
            <wp:effectExtent l="0" t="0" r="2540" b="6985"/>
            <wp:docPr id="1126297481" name="Picture 1" descr="A diagram of a learning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297481" name="Picture 1" descr="A diagram of a learning process&#10;&#10;Description automatically generated with medium confidence"/>
                    <pic:cNvPicPr/>
                  </pic:nvPicPr>
                  <pic:blipFill>
                    <a:blip r:embed="rId43"/>
                    <a:stretch>
                      <a:fillRect/>
                    </a:stretch>
                  </pic:blipFill>
                  <pic:spPr>
                    <a:xfrm>
                      <a:off x="0" y="0"/>
                      <a:ext cx="5731510" cy="1402715"/>
                    </a:xfrm>
                    <a:prstGeom prst="rect">
                      <a:avLst/>
                    </a:prstGeom>
                  </pic:spPr>
                </pic:pic>
              </a:graphicData>
            </a:graphic>
          </wp:inline>
        </w:drawing>
      </w:r>
    </w:p>
    <w:p w14:paraId="32116829" w14:textId="2E966861" w:rsidR="00D14761" w:rsidRDefault="00D14761" w:rsidP="00936DDD">
      <w:pPr>
        <w:rPr>
          <w:sz w:val="28"/>
          <w:szCs w:val="28"/>
        </w:rPr>
      </w:pPr>
      <w:r w:rsidRPr="00D14761">
        <w:rPr>
          <w:noProof/>
          <w:sz w:val="28"/>
          <w:szCs w:val="28"/>
        </w:rPr>
        <w:drawing>
          <wp:inline distT="0" distB="0" distL="0" distR="0" wp14:anchorId="5B2F1CD7" wp14:editId="6D4BAE10">
            <wp:extent cx="5731510" cy="779780"/>
            <wp:effectExtent l="0" t="0" r="2540" b="1270"/>
            <wp:docPr id="1929727492"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727492" name="Picture 1" descr="A white rectangular object with black text&#10;&#10;Description automatically generated"/>
                    <pic:cNvPicPr/>
                  </pic:nvPicPr>
                  <pic:blipFill>
                    <a:blip r:embed="rId44"/>
                    <a:stretch>
                      <a:fillRect/>
                    </a:stretch>
                  </pic:blipFill>
                  <pic:spPr>
                    <a:xfrm>
                      <a:off x="0" y="0"/>
                      <a:ext cx="5731510" cy="779780"/>
                    </a:xfrm>
                    <a:prstGeom prst="rect">
                      <a:avLst/>
                    </a:prstGeom>
                  </pic:spPr>
                </pic:pic>
              </a:graphicData>
            </a:graphic>
          </wp:inline>
        </w:drawing>
      </w:r>
    </w:p>
    <w:p w14:paraId="3AFB9394" w14:textId="1A9D9D21" w:rsidR="00D14761" w:rsidRDefault="00D14761" w:rsidP="00936DDD">
      <w:pPr>
        <w:rPr>
          <w:sz w:val="28"/>
          <w:szCs w:val="28"/>
        </w:rPr>
      </w:pPr>
      <w:r w:rsidRPr="00D14761">
        <w:rPr>
          <w:noProof/>
          <w:sz w:val="28"/>
          <w:szCs w:val="28"/>
        </w:rPr>
        <w:lastRenderedPageBreak/>
        <w:drawing>
          <wp:inline distT="0" distB="0" distL="0" distR="0" wp14:anchorId="2BA1A9D2" wp14:editId="63F455D7">
            <wp:extent cx="5731510" cy="1442720"/>
            <wp:effectExtent l="0" t="0" r="2540" b="5080"/>
            <wp:docPr id="1054302996" name="Picture 1" descr="A close-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302996" name="Picture 1" descr="A close-up of a newspaper&#10;&#10;Description automatically generated"/>
                    <pic:cNvPicPr/>
                  </pic:nvPicPr>
                  <pic:blipFill>
                    <a:blip r:embed="rId45"/>
                    <a:stretch>
                      <a:fillRect/>
                    </a:stretch>
                  </pic:blipFill>
                  <pic:spPr>
                    <a:xfrm>
                      <a:off x="0" y="0"/>
                      <a:ext cx="5731510" cy="1442720"/>
                    </a:xfrm>
                    <a:prstGeom prst="rect">
                      <a:avLst/>
                    </a:prstGeom>
                  </pic:spPr>
                </pic:pic>
              </a:graphicData>
            </a:graphic>
          </wp:inline>
        </w:drawing>
      </w:r>
    </w:p>
    <w:p w14:paraId="7876887D" w14:textId="5ABE2FC9" w:rsidR="00D14761" w:rsidRDefault="00D14761" w:rsidP="00936DDD">
      <w:pPr>
        <w:rPr>
          <w:sz w:val="28"/>
          <w:szCs w:val="28"/>
        </w:rPr>
      </w:pPr>
      <w:r w:rsidRPr="00D14761">
        <w:rPr>
          <w:noProof/>
          <w:sz w:val="28"/>
          <w:szCs w:val="28"/>
        </w:rPr>
        <w:drawing>
          <wp:inline distT="0" distB="0" distL="0" distR="0" wp14:anchorId="4D3C2A34" wp14:editId="5D1439C0">
            <wp:extent cx="5731510" cy="2080260"/>
            <wp:effectExtent l="0" t="0" r="2540" b="0"/>
            <wp:docPr id="501382728" name="Picture 1" descr="A close-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382728" name="Picture 1" descr="A close-up of a newspaper&#10;&#10;Description automatically generated"/>
                    <pic:cNvPicPr/>
                  </pic:nvPicPr>
                  <pic:blipFill>
                    <a:blip r:embed="rId46"/>
                    <a:stretch>
                      <a:fillRect/>
                    </a:stretch>
                  </pic:blipFill>
                  <pic:spPr>
                    <a:xfrm>
                      <a:off x="0" y="0"/>
                      <a:ext cx="5731510" cy="2080260"/>
                    </a:xfrm>
                    <a:prstGeom prst="rect">
                      <a:avLst/>
                    </a:prstGeom>
                  </pic:spPr>
                </pic:pic>
              </a:graphicData>
            </a:graphic>
          </wp:inline>
        </w:drawing>
      </w:r>
    </w:p>
    <w:p w14:paraId="3172EF49" w14:textId="14CCD89E" w:rsidR="00D14761" w:rsidRDefault="00D14761" w:rsidP="00936DDD">
      <w:pPr>
        <w:rPr>
          <w:sz w:val="28"/>
          <w:szCs w:val="28"/>
        </w:rPr>
      </w:pPr>
      <w:r w:rsidRPr="00D14761">
        <w:rPr>
          <w:noProof/>
          <w:sz w:val="28"/>
          <w:szCs w:val="28"/>
        </w:rPr>
        <w:drawing>
          <wp:inline distT="0" distB="0" distL="0" distR="0" wp14:anchorId="119EF50D" wp14:editId="0CEAE333">
            <wp:extent cx="5731510" cy="796925"/>
            <wp:effectExtent l="0" t="0" r="2540" b="3175"/>
            <wp:docPr id="1322143142" name="Picture 1" descr="A white background with a black and white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143142" name="Picture 1" descr="A white background with a black and white flag&#10;&#10;Description automatically generated"/>
                    <pic:cNvPicPr/>
                  </pic:nvPicPr>
                  <pic:blipFill>
                    <a:blip r:embed="rId47"/>
                    <a:stretch>
                      <a:fillRect/>
                    </a:stretch>
                  </pic:blipFill>
                  <pic:spPr>
                    <a:xfrm>
                      <a:off x="0" y="0"/>
                      <a:ext cx="5731510" cy="796925"/>
                    </a:xfrm>
                    <a:prstGeom prst="rect">
                      <a:avLst/>
                    </a:prstGeom>
                  </pic:spPr>
                </pic:pic>
              </a:graphicData>
            </a:graphic>
          </wp:inline>
        </w:drawing>
      </w:r>
    </w:p>
    <w:p w14:paraId="6202A558" w14:textId="73D7C1B8" w:rsidR="00D14761" w:rsidRPr="00936DDD" w:rsidRDefault="00D14761" w:rsidP="00936DDD">
      <w:pPr>
        <w:rPr>
          <w:sz w:val="28"/>
          <w:szCs w:val="28"/>
        </w:rPr>
      </w:pPr>
      <w:r w:rsidRPr="00D14761">
        <w:rPr>
          <w:noProof/>
          <w:sz w:val="28"/>
          <w:szCs w:val="28"/>
        </w:rPr>
        <w:drawing>
          <wp:inline distT="0" distB="0" distL="0" distR="0" wp14:anchorId="372F92D3" wp14:editId="6FDC12DD">
            <wp:extent cx="5731510" cy="1688465"/>
            <wp:effectExtent l="0" t="0" r="2540" b="6985"/>
            <wp:docPr id="945863616" name="Picture 1" descr="A close-up of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863616" name="Picture 1" descr="A close-up of a page&#10;&#10;Description automatically generated"/>
                    <pic:cNvPicPr/>
                  </pic:nvPicPr>
                  <pic:blipFill>
                    <a:blip r:embed="rId48"/>
                    <a:stretch>
                      <a:fillRect/>
                    </a:stretch>
                  </pic:blipFill>
                  <pic:spPr>
                    <a:xfrm>
                      <a:off x="0" y="0"/>
                      <a:ext cx="5731510" cy="1688465"/>
                    </a:xfrm>
                    <a:prstGeom prst="rect">
                      <a:avLst/>
                    </a:prstGeom>
                  </pic:spPr>
                </pic:pic>
              </a:graphicData>
            </a:graphic>
          </wp:inline>
        </w:drawing>
      </w:r>
    </w:p>
    <w:sectPr w:rsidR="00D14761" w:rsidRPr="00936D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3AF"/>
    <w:rsid w:val="000C61BA"/>
    <w:rsid w:val="000E6DDE"/>
    <w:rsid w:val="001358AB"/>
    <w:rsid w:val="001B0E38"/>
    <w:rsid w:val="001B794F"/>
    <w:rsid w:val="001B7E22"/>
    <w:rsid w:val="001D791E"/>
    <w:rsid w:val="00207646"/>
    <w:rsid w:val="00217CB7"/>
    <w:rsid w:val="00231AFD"/>
    <w:rsid w:val="002708C0"/>
    <w:rsid w:val="00275039"/>
    <w:rsid w:val="002D6A8E"/>
    <w:rsid w:val="002E4C3D"/>
    <w:rsid w:val="002F2B36"/>
    <w:rsid w:val="002F5C95"/>
    <w:rsid w:val="00301162"/>
    <w:rsid w:val="00395899"/>
    <w:rsid w:val="003A5815"/>
    <w:rsid w:val="003B459D"/>
    <w:rsid w:val="00407509"/>
    <w:rsid w:val="00414362"/>
    <w:rsid w:val="00414627"/>
    <w:rsid w:val="004820F0"/>
    <w:rsid w:val="004B3AFF"/>
    <w:rsid w:val="004D3423"/>
    <w:rsid w:val="00514453"/>
    <w:rsid w:val="005155F2"/>
    <w:rsid w:val="00522324"/>
    <w:rsid w:val="00593AD6"/>
    <w:rsid w:val="005A29C9"/>
    <w:rsid w:val="006250CC"/>
    <w:rsid w:val="00631513"/>
    <w:rsid w:val="00690707"/>
    <w:rsid w:val="006E2F56"/>
    <w:rsid w:val="00701234"/>
    <w:rsid w:val="0075022A"/>
    <w:rsid w:val="00764EDA"/>
    <w:rsid w:val="00765310"/>
    <w:rsid w:val="007658D9"/>
    <w:rsid w:val="00790E55"/>
    <w:rsid w:val="00791207"/>
    <w:rsid w:val="00822A6C"/>
    <w:rsid w:val="00823B3A"/>
    <w:rsid w:val="008B1140"/>
    <w:rsid w:val="008F3335"/>
    <w:rsid w:val="00907D3A"/>
    <w:rsid w:val="00936248"/>
    <w:rsid w:val="00936DDD"/>
    <w:rsid w:val="009C1B66"/>
    <w:rsid w:val="009C5E81"/>
    <w:rsid w:val="00A026E2"/>
    <w:rsid w:val="00A5321E"/>
    <w:rsid w:val="00A64411"/>
    <w:rsid w:val="00A825CF"/>
    <w:rsid w:val="00AB1DD8"/>
    <w:rsid w:val="00AC0169"/>
    <w:rsid w:val="00B306F5"/>
    <w:rsid w:val="00B3748B"/>
    <w:rsid w:val="00B83537"/>
    <w:rsid w:val="00BC4040"/>
    <w:rsid w:val="00BC520E"/>
    <w:rsid w:val="00BD3C5E"/>
    <w:rsid w:val="00C01324"/>
    <w:rsid w:val="00C04C57"/>
    <w:rsid w:val="00C153FB"/>
    <w:rsid w:val="00C313BD"/>
    <w:rsid w:val="00C57B5E"/>
    <w:rsid w:val="00CB0ECE"/>
    <w:rsid w:val="00CF7A3D"/>
    <w:rsid w:val="00D14761"/>
    <w:rsid w:val="00D2211B"/>
    <w:rsid w:val="00D32C81"/>
    <w:rsid w:val="00D67A3E"/>
    <w:rsid w:val="00D7425C"/>
    <w:rsid w:val="00DA2CBD"/>
    <w:rsid w:val="00DF03EF"/>
    <w:rsid w:val="00DF08A2"/>
    <w:rsid w:val="00E35FD4"/>
    <w:rsid w:val="00E610C5"/>
    <w:rsid w:val="00E663AF"/>
    <w:rsid w:val="00E91115"/>
    <w:rsid w:val="00ED0DDE"/>
    <w:rsid w:val="00EF0682"/>
    <w:rsid w:val="00F32657"/>
    <w:rsid w:val="00F42933"/>
    <w:rsid w:val="00F55B74"/>
    <w:rsid w:val="00F673BA"/>
    <w:rsid w:val="00F72AF9"/>
    <w:rsid w:val="00FC7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36448"/>
  <w15:chartTrackingRefBased/>
  <w15:docId w15:val="{83931270-973C-4A8A-9ADC-F325ED244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6D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em.org.uk/resources/elibrary/resource/273227/john-hattie-learning-intentions-and-success-criteria" TargetMode="External"/><Relationship Id="rId18" Type="http://schemas.openxmlformats.org/officeDocument/2006/relationships/hyperlink" Target="https://paulgmoss.com/2021/01/14/peer-assessment-advantages-and-caveats/" TargetMode="External"/><Relationship Id="rId26" Type="http://schemas.openxmlformats.org/officeDocument/2006/relationships/image" Target="media/image1.png"/><Relationship Id="rId39" Type="http://schemas.openxmlformats.org/officeDocument/2006/relationships/image" Target="media/image14.png"/><Relationship Id="rId21" Type="http://schemas.openxmlformats.org/officeDocument/2006/relationships/hyperlink" Target="https://classteaching.wordpress.com/2023/05/04/mr-rahman-on-mini-whiteboards/" TargetMode="External"/><Relationship Id="rId34" Type="http://schemas.openxmlformats.org/officeDocument/2006/relationships/image" Target="media/image9.png"/><Relationship Id="rId42" Type="http://schemas.openxmlformats.org/officeDocument/2006/relationships/image" Target="media/image17.png"/><Relationship Id="rId47" Type="http://schemas.openxmlformats.org/officeDocument/2006/relationships/image" Target="media/image22.png"/><Relationship Id="rId50" Type="http://schemas.openxmlformats.org/officeDocument/2006/relationships/theme" Target="theme/theme1.xml"/><Relationship Id="rId7" Type="http://schemas.openxmlformats.org/officeDocument/2006/relationships/hyperlink" Target="https://my.chartered.college/impact_article/using-peer-assessment-as-an-effective-learning-strategy-in-the-classroom/" TargetMode="External"/><Relationship Id="rId2" Type="http://schemas.openxmlformats.org/officeDocument/2006/relationships/settings" Target="settings.xml"/><Relationship Id="rId16" Type="http://schemas.openxmlformats.org/officeDocument/2006/relationships/hyperlink" Target="https://www.structural-learning.com/post/rethinking-pupil-progress" TargetMode="External"/><Relationship Id="rId29" Type="http://schemas.openxmlformats.org/officeDocument/2006/relationships/image" Target="media/image4.png"/><Relationship Id="rId11" Type="http://schemas.openxmlformats.org/officeDocument/2006/relationships/hyperlink" Target="https://improvingteaching.co.uk/2016/04/24/exit-tickets-assess-plan/" TargetMode="External"/><Relationship Id="rId24" Type="http://schemas.openxmlformats.org/officeDocument/2006/relationships/hyperlink" Target="https://hwb.gov.wales/curriculum-for-wales/languages-literacy-and-communication/"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0.png"/><Relationship Id="rId5" Type="http://schemas.openxmlformats.org/officeDocument/2006/relationships/hyperlink" Target="https://bera-journals.onlinelibrary.wiley.com/doi/full/10.1002/rev3.3366" TargetMode="External"/><Relationship Id="rId15" Type="http://schemas.openxmlformats.org/officeDocument/2006/relationships/hyperlink" Target="https://dera.ioe.ac.uk/id/eprint/7800/1/AssessmentforLearning.pdf" TargetMode="External"/><Relationship Id="rId23" Type="http://schemas.openxmlformats.org/officeDocument/2006/relationships/hyperlink" Target="https://hwb.gov.wales/curriculum-for-wales/expressive-arts/" TargetMode="External"/><Relationship Id="rId28" Type="http://schemas.openxmlformats.org/officeDocument/2006/relationships/image" Target="media/image3.png"/><Relationship Id="rId36" Type="http://schemas.openxmlformats.org/officeDocument/2006/relationships/image" Target="media/image11.png"/><Relationship Id="rId49" Type="http://schemas.openxmlformats.org/officeDocument/2006/relationships/fontTable" Target="fontTable.xml"/><Relationship Id="rId10" Type="http://schemas.openxmlformats.org/officeDocument/2006/relationships/hyperlink" Target="https://improvingteaching.co.uk/2014/05/17/why-do-i-rely-on-lollipop-sticks/" TargetMode="External"/><Relationship Id="rId19" Type="http://schemas.openxmlformats.org/officeDocument/2006/relationships/hyperlink" Target="https://ncca.ie/media/1927/assessment-workshop-1_en.pdf" TargetMode="External"/><Relationship Id="rId31" Type="http://schemas.openxmlformats.org/officeDocument/2006/relationships/image" Target="media/image6.png"/><Relationship Id="rId44" Type="http://schemas.openxmlformats.org/officeDocument/2006/relationships/image" Target="media/image19.png"/><Relationship Id="rId4" Type="http://schemas.openxmlformats.org/officeDocument/2006/relationships/hyperlink" Target="https://www.frontiersin.org/articles/10.3389/feduc.2019.00087/full" TargetMode="External"/><Relationship Id="rId9" Type="http://schemas.openxmlformats.org/officeDocument/2006/relationships/hyperlink" Target="https://researchschool.org.uk/durrington/news/the-use-of-mini-whiteboards-in-the-classrom" TargetMode="External"/><Relationship Id="rId14" Type="http://schemas.openxmlformats.org/officeDocument/2006/relationships/hyperlink" Target="https://uk.indeed.com/career-advice/career-development/transferable-skills" TargetMode="External"/><Relationship Id="rId22" Type="http://schemas.openxmlformats.org/officeDocument/2006/relationships/hyperlink" Target="https://www.twinkl.co.uk/teaching-wiki/afl-or-assessment-for-learning" TargetMode="External"/><Relationship Id="rId27" Type="http://schemas.openxmlformats.org/officeDocument/2006/relationships/image" Target="media/image2.png"/><Relationship Id="rId30" Type="http://schemas.openxmlformats.org/officeDocument/2006/relationships/image" Target="media/image5.png"/><Relationship Id="rId35"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image" Target="media/image23.png"/><Relationship Id="rId8" Type="http://schemas.openxmlformats.org/officeDocument/2006/relationships/hyperlink" Target="https://www.teachertoolkit.co.uk/2018/04/29/educational-fad-3/" TargetMode="External"/><Relationship Id="rId3" Type="http://schemas.openxmlformats.org/officeDocument/2006/relationships/webSettings" Target="webSettings.xml"/><Relationship Id="rId12" Type="http://schemas.openxmlformats.org/officeDocument/2006/relationships/hyperlink" Target="https://files.eric.ed.gov/fulltext/ED569122.pdf" TargetMode="External"/><Relationship Id="rId17" Type="http://schemas.openxmlformats.org/officeDocument/2006/relationships/hyperlink" Target="https://www.structural-learning.com/post/exit-tickets" TargetMode="External"/><Relationship Id="rId25" Type="http://schemas.openxmlformats.org/officeDocument/2006/relationships/hyperlink" Target="https://hwb.gov.wales/curriculum-for-wales/mathematics-and-numeracy/" TargetMode="External"/><Relationship Id="rId33" Type="http://schemas.openxmlformats.org/officeDocument/2006/relationships/image" Target="media/image8.png"/><Relationship Id="rId38" Type="http://schemas.openxmlformats.org/officeDocument/2006/relationships/image" Target="media/image13.png"/><Relationship Id="rId46" Type="http://schemas.openxmlformats.org/officeDocument/2006/relationships/image" Target="media/image21.png"/><Relationship Id="rId20" Type="http://schemas.openxmlformats.org/officeDocument/2006/relationships/hyperlink" Target="https://files.eric.ed.gov/fulltext/EJ1146193.pdf" TargetMode="External"/><Relationship Id="rId41" Type="http://schemas.openxmlformats.org/officeDocument/2006/relationships/image" Target="media/image16.png"/><Relationship Id="rId1" Type="http://schemas.openxmlformats.org/officeDocument/2006/relationships/styles" Target="styles.xml"/><Relationship Id="rId6" Type="http://schemas.openxmlformats.org/officeDocument/2006/relationships/hyperlink" Target="https://www.researchgate.net/publication/44836144_Inside_the_Black_Box_Raising_Standards_Through_Classroom_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961</TotalTime>
  <Pages>14</Pages>
  <Words>4893</Words>
  <Characters>27892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Drummond</dc:creator>
  <cp:keywords/>
  <dc:description/>
  <cp:lastModifiedBy>Holly Drummond</cp:lastModifiedBy>
  <cp:revision>67</cp:revision>
  <dcterms:created xsi:type="dcterms:W3CDTF">2023-12-28T15:37:00Z</dcterms:created>
  <dcterms:modified xsi:type="dcterms:W3CDTF">2024-01-08T12:20:00Z</dcterms:modified>
</cp:coreProperties>
</file>