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ABDDD" w14:textId="77777777" w:rsidR="00AF603D" w:rsidRPr="004F33B6" w:rsidRDefault="00AF603D" w:rsidP="00AF603D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</w:pPr>
      <w:r w:rsidRPr="004F33B6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t>ASSIGNMENT TITLE:</w:t>
      </w:r>
      <w:r w:rsidRPr="004F33B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F33B6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t>COMPONENT 2: DEBATE / DISCUSSION OF DOES TECHNOLOGY TRULY EMPOWER OLDER ADULTS, OR DOES IT FURTHER ISOLATE THEM?</w:t>
      </w:r>
    </w:p>
    <w:p w14:paraId="2902BF06" w14:textId="77777777" w:rsidR="00AF603D" w:rsidRDefault="00AF603D" w:rsidP="00AF603D">
      <w:pPr>
        <w:spacing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</w:p>
    <w:p w14:paraId="3E40E74D" w14:textId="17336791" w:rsidR="00AF603D" w:rsidRPr="0083395E" w:rsidRDefault="007D1DB0" w:rsidP="0083395E">
      <w:pPr>
        <w:pStyle w:val="NoSpacing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4F33B6">
        <w:rPr>
          <w:rFonts w:ascii="Times New Roman" w:hAnsi="Times New Roman" w:cs="Times New Roman"/>
          <w:b/>
          <w:bCs/>
          <w:sz w:val="24"/>
          <w:szCs w:val="24"/>
          <w:lang w:val="en-GB"/>
        </w:rPr>
        <w:t>Arguments supporting digital tools promote independence and inclusion among aged people</w:t>
      </w:r>
      <w:r w:rsidR="00AF603D" w:rsidRPr="004F33B6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 xml:space="preserve"> </w:t>
      </w:r>
    </w:p>
    <w:p w14:paraId="5AF641FF" w14:textId="77777777" w:rsidR="00AF603D" w:rsidRPr="004F33B6" w:rsidRDefault="00925428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Albarqi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, M.N. (2024</w:t>
      </w:r>
      <w:r w:rsidR="00AF603D"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). ‘Exploring the effectiveness of technology-assisted interventions for promoting independence in elderly patients: A systematic review.’ In </w:t>
      </w:r>
      <w:r w:rsidR="00AF603D"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Healthcare</w:t>
      </w:r>
      <w:r w:rsidR="00AF603D"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 (Vol. 12, No. 21, p. 2105). MDPI. </w:t>
      </w:r>
    </w:p>
    <w:p w14:paraId="344EC95A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Alhussein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M., Patel, B. and Liu, X. (2023). ‘Closing the gap: technology access and telehealth use among older adults in the US Medicare beneficiaries.’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Telematics and Informatics Reports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12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pp.1-9. </w:t>
      </w:r>
    </w:p>
    <w:p w14:paraId="4D8F42E2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Alnasser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Y., Grande, N., Masood, F., Powell, C. and Gilman, R.H. (2025). ‘Be smart and use smartphones for telemedicine: narrative review.’ </w:t>
      </w:r>
      <w:proofErr w:type="spellStart"/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mHealth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11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pp.1-9. </w:t>
      </w:r>
    </w:p>
    <w:p w14:paraId="0C05B2FE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Bell, J., Gottlieb, L.M., Lyles, C.R., Nguyen, O.K., Ackerman, S.L. and De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Marchis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E.H. (2024). ‘Provision of digital devices and internet connectivity to improve synchronous telemedicine access in the US: a systematic scoping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Frontiers in Digital Health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6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pp. 1-9. </w:t>
      </w:r>
    </w:p>
    <w:p w14:paraId="51B07A69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Cui, J. (2025). ‘Measuring the adoption of internet and communication technologies among practitioners in routine disability services: a stepped inclusive approach.’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Disability and Rehabilitation: Assistive Technology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20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(3), pp.536-544. </w:t>
      </w:r>
    </w:p>
    <w:p w14:paraId="7A54FA90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Curry, J.,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Caperchione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C.M.,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Greenley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S., Dennis, E. and Forbes, C.C. (2025). ‘Using digital technology to support wellbeing and independence among people living with incurable cancers: a systematic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Supportive Care in Cancer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33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(8), pp.1-31.</w:t>
      </w:r>
    </w:p>
    <w:p w14:paraId="291D6026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Ferretti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A.,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Hubbs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S.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Vayena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E. (2023). ‘Global youth perspectives on digital health promotion: a scoping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BMC Digital Health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1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(1), pp. 1-12. </w:t>
      </w:r>
    </w:p>
    <w:p w14:paraId="66FE529E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lastRenderedPageBreak/>
        <w:t xml:space="preserve">Gillie, M., Ali, D.,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Vadlamuri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D.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Carstarphen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K.J. (2022). ‘Telehealth literacy as a social determinant of health: a novel screening tool to support vulnerable patient equity.’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Journal of Alzheimer's disease reports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6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(1), pp.67-72. </w:t>
      </w:r>
    </w:p>
    <w:p w14:paraId="45B455CF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Gov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 (2018).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Mobile technology and inclusion of persons with disabilities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. </w:t>
      </w:r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</w:t>
      </w:r>
      <w:hyperlink r:id="rId6">
        <w:r w:rsidRPr="004F33B6"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white"/>
            <w:u w:val="single"/>
            <w:lang w:val="en-GB"/>
          </w:rPr>
          <w:t>https://assets.publishing.service.gov.uk/media/5b43205a40f0b678b369e262/Mobile_tech_and_inclusion_of_persons_with_disability.pdf</w:t>
        </w:r>
      </w:hyperlink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 (Accessed 30 October 2025). </w:t>
      </w:r>
    </w:p>
    <w:p w14:paraId="324CBAF2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Kandeel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M.,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Morsy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M.A.,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Alkhodair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K.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Alhojaily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S. (2024). ‘Digital health interventions for individuals with disabilities and their impacts on health, quality of life, and social participation.’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Digital Health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10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, pp.1-14.</w:t>
      </w:r>
    </w:p>
    <w:p w14:paraId="44AC9A19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NHS England (2024). </w:t>
      </w:r>
      <w:r w:rsidRPr="004F33B6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Inclusive digital healthcare: a framework for NHS action on digital inclusion</w:t>
      </w:r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Available at: </w:t>
      </w:r>
      <w:hyperlink r:id="rId7">
        <w:r w:rsidRPr="004F33B6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en-GB"/>
          </w:rPr>
          <w:t>https://www.NHS England.uk/long-read/inclusive-digital-healthcare-a-framework-for-nhs-action-on-digital-inclusion/</w:t>
        </w:r>
      </w:hyperlink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(Accessed 29 October 2025). </w:t>
      </w:r>
    </w:p>
    <w:p w14:paraId="2CA09629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Petretto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D.R.,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Carrogu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G.P.,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Gaviano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L.,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Berti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R., Pinna, M.,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Petretto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A.D. and Pili, R. (2024). ‘Telemedicine, e-health, and digital health equity: a scoping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Clinical practice and epidemiology in mental health: CP &amp; EMH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20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, pp. 1-21 .</w:t>
      </w:r>
    </w:p>
    <w:p w14:paraId="27AD7E02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Raihan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M.M.,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Subroto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S., Chowdhury, N., Koch, K.,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Ruttan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E. and Turin, T.C. (2025). ‘Dimensions and barriers for digital (in) equity and digital divide: A systematic integrative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Digital Transformation and Society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4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(2), pp.111-127. </w:t>
      </w:r>
    </w:p>
    <w:p w14:paraId="45C7E7C5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Raja, M.,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Bjerkan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J.,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Kymre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I.G., Galvin, K.T.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Uhrenfeldt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L. (2021). ‘Telehealth and digital developments in society that persons 75 years and older in European countries have been part of: a scoping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BMC health services research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21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(1), pp. 1-15. </w:t>
      </w:r>
    </w:p>
    <w:p w14:paraId="211350A0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Raja, M.,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Bjerkan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J.,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Kymre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I.G., Galvin, K.T.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Uhrenfeldt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L. (2021). ‘Telehealth and digital developments in society that persons 75 years and older in European countries have been part of: a scoping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BMC health services research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21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(1), pp.1-15.</w:t>
      </w:r>
    </w:p>
    <w:p w14:paraId="7D08DEB7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Sen, K.,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Prybutok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G.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Prybutok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V. (2022). ‘The use of digital technology for social wellbeing reduces social isolation in older adults: A systematic review.’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SSM-population health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17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pp.1-9.  </w:t>
      </w:r>
    </w:p>
    <w:p w14:paraId="58551574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Uslu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O. (2025). ‘Understanding digital wellbeing: impacts, strategies, and the path to healthier technology practices.’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Discover Social Science and Health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5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(1), pp. 1-17. </w:t>
      </w:r>
    </w:p>
    <w:p w14:paraId="5324F076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WHO (</w:t>
      </w:r>
      <w:proofErr w:type="spellStart"/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>n.d</w:t>
      </w:r>
      <w:proofErr w:type="spellEnd"/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). Digital health. Available at: </w:t>
      </w:r>
      <w:hyperlink r:id="rId8" w:anchor="tab=tab_1">
        <w:r w:rsidRPr="004F33B6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en-GB"/>
          </w:rPr>
          <w:t>https://www.who.int/health-topics/digital-health#tab=tab_1</w:t>
        </w:r>
      </w:hyperlink>
      <w:r w:rsidRPr="004F33B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(Accessed 29 October 2025). </w:t>
      </w:r>
    </w:p>
    <w:p w14:paraId="4B29B93B" w14:textId="77777777" w:rsidR="00AF603D" w:rsidRPr="004F33B6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Xie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B.,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Charness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N.,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Fingerman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K., Kaye, J., Kim, M.T. and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Khurshid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A. (2021). ‘When going digital becomes a necessity: Ensuring older adults’ needs for information, services, and social inclusion during COVID-19.’ In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Older adults and COVID-19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 (pp. 181-191). Routledge. </w:t>
      </w:r>
    </w:p>
    <w:p w14:paraId="1AB3E886" w14:textId="77777777" w:rsidR="00AF603D" w:rsidRDefault="00AF603D" w:rsidP="00AF603D">
      <w:p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</w:pP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Xu, H., </w:t>
      </w:r>
      <w:proofErr w:type="spellStart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>Xie</w:t>
      </w:r>
      <w:proofErr w:type="spellEnd"/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B. and Chang, C.H. (2024). ‘Empowering the care of older adults through the use of technology.’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Work, Aging and Retirement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, </w:t>
      </w:r>
      <w:r w:rsidRPr="004F33B6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  <w:lang w:val="en-GB"/>
        </w:rPr>
        <w:t>10</w:t>
      </w:r>
      <w:r w:rsidRPr="004F33B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en-GB"/>
        </w:rPr>
        <w:t xml:space="preserve">(1), pp.1-5. </w:t>
      </w:r>
    </w:p>
    <w:p w14:paraId="02EC193A" w14:textId="77777777" w:rsidR="006C08C2" w:rsidRDefault="006C08C2"/>
    <w:sectPr w:rsidR="006C0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4DAAA" w14:textId="77777777" w:rsidR="004016F3" w:rsidRDefault="004016F3" w:rsidP="00B338DF">
      <w:pPr>
        <w:spacing w:line="240" w:lineRule="auto"/>
      </w:pPr>
      <w:r>
        <w:separator/>
      </w:r>
    </w:p>
  </w:endnote>
  <w:endnote w:type="continuationSeparator" w:id="0">
    <w:p w14:paraId="09780D27" w14:textId="77777777" w:rsidR="004016F3" w:rsidRDefault="004016F3" w:rsidP="00B33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2CBEC" w14:textId="77777777" w:rsidR="004016F3" w:rsidRDefault="004016F3" w:rsidP="00B338DF">
      <w:pPr>
        <w:spacing w:line="240" w:lineRule="auto"/>
      </w:pPr>
      <w:r>
        <w:separator/>
      </w:r>
    </w:p>
  </w:footnote>
  <w:footnote w:type="continuationSeparator" w:id="0">
    <w:p w14:paraId="07BAE627" w14:textId="77777777" w:rsidR="004016F3" w:rsidRDefault="004016F3" w:rsidP="00B338D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movePersonalInformation/>
  <w:removeDateAndTime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603D"/>
    <w:rsid w:val="001E0848"/>
    <w:rsid w:val="004016F3"/>
    <w:rsid w:val="00484A33"/>
    <w:rsid w:val="0065114B"/>
    <w:rsid w:val="006C08C2"/>
    <w:rsid w:val="006D3A0F"/>
    <w:rsid w:val="007D1DB0"/>
    <w:rsid w:val="0083395E"/>
    <w:rsid w:val="008D0D0E"/>
    <w:rsid w:val="00925428"/>
    <w:rsid w:val="00A96D16"/>
    <w:rsid w:val="00AF603D"/>
    <w:rsid w:val="00B338DF"/>
    <w:rsid w:val="00DC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ACFA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603D"/>
    <w:pPr>
      <w:spacing w:after="0"/>
    </w:pPr>
    <w:rPr>
      <w:rFonts w:ascii="Arial" w:eastAsia="Arial" w:hAnsi="Arial" w:cs="Arial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1DB0"/>
    <w:pPr>
      <w:spacing w:after="0" w:line="240" w:lineRule="auto"/>
    </w:pPr>
    <w:rPr>
      <w:rFonts w:ascii="Arial" w:eastAsia="Arial" w:hAnsi="Arial" w:cs="Arial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B338D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8DF"/>
    <w:rPr>
      <w:rFonts w:ascii="Arial" w:eastAsia="Arial" w:hAnsi="Arial" w:cs="Arial"/>
      <w:lang w:eastAsia="en-IN"/>
    </w:rPr>
  </w:style>
  <w:style w:type="paragraph" w:styleId="Footer">
    <w:name w:val="footer"/>
    <w:basedOn w:val="Normal"/>
    <w:link w:val="FooterChar"/>
    <w:uiPriority w:val="99"/>
    <w:unhideWhenUsed/>
    <w:rsid w:val="00B338D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8DF"/>
    <w:rPr>
      <w:rFonts w:ascii="Arial" w:eastAsia="Arial" w:hAnsi="Arial" w:cs="Arial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health-topics/digital-health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england.nhs.uk/long-read/inclusive-digital-healthcare-a-framework-for-nhs-action-on-digital-inclusion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assets.publishing.service.gov.uk/media/5b43205a40f0b678b369e262/Mobile_tech_and_inclusion_of_persons_with_disability.pdf" TargetMode="External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4267</Characters>
  <Application>Microsoft Office Word</Application>
  <DocSecurity>0</DocSecurity>
  <Lines>35</Lines>
  <Paragraphs>10</Paragraphs>
  <ScaleCrop>false</ScaleCrop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2025-11-07T13:02:00Z</dcterms:created>
  <dcterms:modified xsi:type="dcterms:W3CDTF">2025-11-07T13:03:00Z</dcterms:modified>
</cp:coreProperties>
</file>