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21EE4E" w14:textId="77777777" w:rsidR="00FE5F88" w:rsidRDefault="00FE5F88" w:rsidP="00FE5F88">
      <w:pPr>
        <w:spacing w:line="360" w:lineRule="auto"/>
        <w:rPr>
          <w:rFonts w:ascii="Arial" w:hAnsi="Arial" w:cs="Arial"/>
          <w:sz w:val="22"/>
          <w:szCs w:val="22"/>
        </w:rPr>
      </w:pPr>
    </w:p>
    <w:p w14:paraId="533E9E95" w14:textId="76A3337B" w:rsidR="00E53401" w:rsidRPr="00EB5D24" w:rsidRDefault="00E53401" w:rsidP="00E53401">
      <w:pPr>
        <w:jc w:val="center"/>
        <w:rPr>
          <w:rFonts w:ascii="Arial" w:hAnsi="Arial" w:cs="Arial"/>
          <w:b/>
          <w:bCs/>
          <w:sz w:val="52"/>
          <w:szCs w:val="52"/>
          <w:lang w:val="nl-NL"/>
        </w:rPr>
      </w:pPr>
      <w:r w:rsidRPr="00EB5D24">
        <w:rPr>
          <w:rFonts w:ascii="Arial" w:hAnsi="Arial" w:cs="Arial"/>
          <w:b/>
          <w:bCs/>
          <w:sz w:val="52"/>
          <w:szCs w:val="52"/>
          <w:lang w:val="nl-NL"/>
        </w:rPr>
        <w:t>Student name:</w:t>
      </w:r>
      <w:r w:rsidR="00E50D1C">
        <w:rPr>
          <w:rFonts w:ascii="Arial" w:hAnsi="Arial" w:cs="Arial"/>
          <w:b/>
          <w:bCs/>
          <w:sz w:val="52"/>
          <w:szCs w:val="52"/>
          <w:lang w:val="nl-NL"/>
        </w:rPr>
        <w:t xml:space="preserve"> </w:t>
      </w:r>
      <w:r w:rsidRPr="00EB5D24">
        <w:rPr>
          <w:rFonts w:ascii="Arial" w:hAnsi="Arial" w:cs="Arial"/>
          <w:b/>
          <w:bCs/>
          <w:sz w:val="52"/>
          <w:szCs w:val="52"/>
          <w:lang w:val="nl-NL"/>
        </w:rPr>
        <w:t>Nadia Bi</w:t>
      </w:r>
    </w:p>
    <w:p w14:paraId="2456A1AF" w14:textId="77777777" w:rsidR="00E53401" w:rsidRPr="00EB5D24" w:rsidRDefault="00E53401" w:rsidP="00E53401">
      <w:pPr>
        <w:jc w:val="center"/>
        <w:rPr>
          <w:rFonts w:ascii="Arial" w:hAnsi="Arial" w:cs="Arial"/>
          <w:b/>
          <w:bCs/>
          <w:sz w:val="52"/>
          <w:szCs w:val="52"/>
          <w:lang w:val="nl-NL"/>
        </w:rPr>
      </w:pPr>
    </w:p>
    <w:p w14:paraId="2A856B1A" w14:textId="4BF4E276" w:rsidR="00E53401" w:rsidRDefault="00E53401" w:rsidP="00E53401">
      <w:pPr>
        <w:jc w:val="center"/>
        <w:rPr>
          <w:rFonts w:ascii="Arial" w:hAnsi="Arial" w:cs="Arial"/>
          <w:b/>
          <w:bCs/>
          <w:sz w:val="52"/>
          <w:szCs w:val="52"/>
          <w:lang w:val="nl-NL"/>
        </w:rPr>
      </w:pPr>
      <w:r w:rsidRPr="00EB5D24">
        <w:rPr>
          <w:rFonts w:ascii="Arial" w:hAnsi="Arial" w:cs="Arial"/>
          <w:b/>
          <w:bCs/>
          <w:sz w:val="52"/>
          <w:szCs w:val="52"/>
          <w:lang w:val="nl-NL"/>
        </w:rPr>
        <w:t xml:space="preserve">Student </w:t>
      </w:r>
      <w:proofErr w:type="spellStart"/>
      <w:r w:rsidR="005C5ACD">
        <w:rPr>
          <w:rFonts w:ascii="Arial" w:hAnsi="Arial" w:cs="Arial"/>
          <w:b/>
          <w:bCs/>
          <w:sz w:val="52"/>
          <w:szCs w:val="52"/>
          <w:lang w:val="nl-NL"/>
        </w:rPr>
        <w:t>N</w:t>
      </w:r>
      <w:r w:rsidRPr="00EB5D24">
        <w:rPr>
          <w:rFonts w:ascii="Arial" w:hAnsi="Arial" w:cs="Arial"/>
          <w:b/>
          <w:bCs/>
          <w:sz w:val="52"/>
          <w:szCs w:val="52"/>
          <w:lang w:val="nl-NL"/>
        </w:rPr>
        <w:t>umber</w:t>
      </w:r>
      <w:proofErr w:type="spellEnd"/>
      <w:r w:rsidRPr="00EB5D24">
        <w:rPr>
          <w:rFonts w:ascii="Arial" w:hAnsi="Arial" w:cs="Arial"/>
          <w:b/>
          <w:bCs/>
          <w:sz w:val="52"/>
          <w:szCs w:val="52"/>
          <w:lang w:val="nl-NL"/>
        </w:rPr>
        <w:t>:</w:t>
      </w:r>
      <w:r w:rsidR="00E50D1C">
        <w:rPr>
          <w:rFonts w:ascii="Arial" w:hAnsi="Arial" w:cs="Arial"/>
          <w:b/>
          <w:bCs/>
          <w:sz w:val="52"/>
          <w:szCs w:val="52"/>
          <w:lang w:val="nl-NL"/>
        </w:rPr>
        <w:t xml:space="preserve"> </w:t>
      </w:r>
      <w:r w:rsidRPr="00EB5D24">
        <w:rPr>
          <w:rFonts w:ascii="Arial" w:hAnsi="Arial" w:cs="Arial"/>
          <w:b/>
          <w:bCs/>
          <w:sz w:val="52"/>
          <w:szCs w:val="52"/>
          <w:lang w:val="nl-NL"/>
        </w:rPr>
        <w:t>2434187</w:t>
      </w:r>
    </w:p>
    <w:p w14:paraId="5B6A8495" w14:textId="77777777" w:rsidR="00E53401" w:rsidRDefault="00E53401" w:rsidP="00E53401">
      <w:pPr>
        <w:jc w:val="center"/>
        <w:rPr>
          <w:rFonts w:ascii="Arial" w:hAnsi="Arial" w:cs="Arial"/>
          <w:b/>
          <w:bCs/>
          <w:sz w:val="52"/>
          <w:szCs w:val="52"/>
          <w:lang w:val="nl-NL"/>
        </w:rPr>
      </w:pPr>
    </w:p>
    <w:p w14:paraId="206D348D" w14:textId="77777777" w:rsidR="00E53401" w:rsidRPr="00E53401" w:rsidRDefault="00E53401" w:rsidP="00E53401">
      <w:pPr>
        <w:jc w:val="center"/>
        <w:rPr>
          <w:rFonts w:ascii="Arial" w:hAnsi="Arial" w:cs="Arial"/>
          <w:b/>
          <w:bCs/>
          <w:sz w:val="52"/>
          <w:szCs w:val="52"/>
        </w:rPr>
      </w:pPr>
      <w:r w:rsidRPr="00D56943">
        <w:rPr>
          <w:rFonts w:ascii="Arial" w:hAnsi="Arial" w:cs="Arial"/>
          <w:b/>
          <w:bCs/>
          <w:sz w:val="52"/>
          <w:szCs w:val="52"/>
        </w:rPr>
        <w:t xml:space="preserve">Tutor </w:t>
      </w:r>
      <w:r>
        <w:rPr>
          <w:rFonts w:ascii="Arial" w:hAnsi="Arial" w:cs="Arial"/>
          <w:b/>
          <w:bCs/>
          <w:sz w:val="52"/>
          <w:szCs w:val="52"/>
        </w:rPr>
        <w:t>N</w:t>
      </w:r>
      <w:r w:rsidRPr="00D56943">
        <w:rPr>
          <w:rFonts w:ascii="Arial" w:hAnsi="Arial" w:cs="Arial"/>
          <w:b/>
          <w:bCs/>
          <w:sz w:val="52"/>
          <w:szCs w:val="52"/>
        </w:rPr>
        <w:t xml:space="preserve">ame: </w:t>
      </w:r>
      <w:r w:rsidRPr="00D56943">
        <w:rPr>
          <w:rFonts w:ascii="Arial" w:hAnsi="Arial" w:cs="Arial"/>
          <w:b/>
          <w:bCs/>
          <w:color w:val="1D2125"/>
          <w:sz w:val="52"/>
          <w:szCs w:val="52"/>
          <w:shd w:val="clear" w:color="auto" w:fill="FFFFFF"/>
        </w:rPr>
        <w:t>Rizwan Nadim</w:t>
      </w:r>
    </w:p>
    <w:p w14:paraId="1885D8B2" w14:textId="77777777" w:rsidR="00E53401" w:rsidRPr="00D56943" w:rsidRDefault="00E53401" w:rsidP="00E53401">
      <w:pPr>
        <w:jc w:val="center"/>
        <w:rPr>
          <w:rFonts w:ascii="Segoe UI" w:hAnsi="Segoe UI" w:cs="Segoe UI"/>
          <w:color w:val="1D2125"/>
          <w:sz w:val="52"/>
          <w:szCs w:val="52"/>
          <w:shd w:val="clear" w:color="auto" w:fill="FFFFFF"/>
        </w:rPr>
      </w:pPr>
    </w:p>
    <w:p w14:paraId="61D6E57A" w14:textId="2E95BD0E" w:rsidR="00E53401" w:rsidRPr="00D56943" w:rsidRDefault="00E53401" w:rsidP="00E53401">
      <w:pPr>
        <w:jc w:val="center"/>
        <w:rPr>
          <w:rFonts w:ascii="Segoe UI" w:hAnsi="Segoe UI" w:cs="Segoe UI"/>
          <w:b/>
          <w:bCs/>
          <w:color w:val="1D2125"/>
          <w:sz w:val="52"/>
          <w:szCs w:val="52"/>
          <w:shd w:val="clear" w:color="auto" w:fill="FFFFFF"/>
        </w:rPr>
      </w:pPr>
      <w:r w:rsidRPr="00D56943">
        <w:rPr>
          <w:rFonts w:ascii="Arial" w:hAnsi="Arial" w:cs="Arial"/>
          <w:b/>
          <w:bCs/>
          <w:color w:val="1D2125"/>
          <w:sz w:val="52"/>
          <w:szCs w:val="52"/>
          <w:shd w:val="clear" w:color="auto" w:fill="FFFFFF"/>
        </w:rPr>
        <w:t xml:space="preserve">Title </w:t>
      </w:r>
      <w:r w:rsidR="005C5ACD">
        <w:rPr>
          <w:rFonts w:ascii="Arial" w:hAnsi="Arial" w:cs="Arial"/>
          <w:b/>
          <w:bCs/>
          <w:color w:val="1D2125"/>
          <w:sz w:val="52"/>
          <w:szCs w:val="52"/>
          <w:shd w:val="clear" w:color="auto" w:fill="FFFFFF"/>
        </w:rPr>
        <w:t>N</w:t>
      </w:r>
      <w:r w:rsidR="005C5ACD" w:rsidRPr="00D56943">
        <w:rPr>
          <w:rFonts w:ascii="Arial" w:hAnsi="Arial" w:cs="Arial"/>
          <w:b/>
          <w:bCs/>
          <w:color w:val="1D2125"/>
          <w:sz w:val="52"/>
          <w:szCs w:val="52"/>
          <w:shd w:val="clear" w:color="auto" w:fill="FFFFFF"/>
        </w:rPr>
        <w:t>ame</w:t>
      </w:r>
      <w:r w:rsidR="005C5ACD" w:rsidRPr="00D56943">
        <w:rPr>
          <w:rFonts w:ascii="Segoe UI" w:hAnsi="Segoe UI" w:cs="Segoe UI"/>
          <w:color w:val="1D2125"/>
          <w:sz w:val="52"/>
          <w:szCs w:val="52"/>
          <w:shd w:val="clear" w:color="auto" w:fill="FFFFFF"/>
        </w:rPr>
        <w:t>:</w:t>
      </w:r>
      <w:r w:rsidRPr="00D56943">
        <w:rPr>
          <w:rFonts w:ascii="Segoe UI" w:eastAsia="Times New Roman" w:hAnsi="Segoe UI" w:cs="Segoe UI"/>
          <w:b/>
          <w:bCs/>
          <w:color w:val="1D2125"/>
          <w:kern w:val="36"/>
          <w:sz w:val="52"/>
          <w:szCs w:val="52"/>
          <w:lang w:eastAsia="en-GB"/>
          <w14:ligatures w14:val="none"/>
        </w:rPr>
        <w:t xml:space="preserve"> </w:t>
      </w:r>
      <w:r w:rsidRPr="00D56943">
        <w:rPr>
          <w:rFonts w:ascii="Segoe UI" w:hAnsi="Segoe UI" w:cs="Segoe UI"/>
          <w:b/>
          <w:bCs/>
          <w:color w:val="1D2125"/>
          <w:sz w:val="52"/>
          <w:szCs w:val="52"/>
          <w:shd w:val="clear" w:color="auto" w:fill="FFFFFF"/>
        </w:rPr>
        <w:t xml:space="preserve">Principles of Health and Social Care Practice </w:t>
      </w:r>
      <w:r>
        <w:rPr>
          <w:rFonts w:ascii="Segoe UI" w:hAnsi="Segoe UI" w:cs="Segoe UI"/>
          <w:b/>
          <w:bCs/>
          <w:color w:val="1D2125"/>
          <w:sz w:val="52"/>
          <w:szCs w:val="52"/>
          <w:shd w:val="clear" w:color="auto" w:fill="FFFFFF"/>
        </w:rPr>
        <w:t>BMHP</w:t>
      </w:r>
      <w:r w:rsidRPr="00D56943">
        <w:rPr>
          <w:rFonts w:ascii="Segoe UI" w:hAnsi="Segoe UI" w:cs="Segoe UI"/>
          <w:b/>
          <w:bCs/>
          <w:color w:val="1D2125"/>
          <w:sz w:val="52"/>
          <w:szCs w:val="52"/>
          <w:shd w:val="clear" w:color="auto" w:fill="FFFFFF"/>
        </w:rPr>
        <w:t xml:space="preserve"> 5016</w:t>
      </w:r>
    </w:p>
    <w:p w14:paraId="0C2E57BC" w14:textId="77777777" w:rsidR="00E53401" w:rsidRDefault="00E53401" w:rsidP="00E53401">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p>
    <w:p w14:paraId="68E875AD" w14:textId="77777777" w:rsidR="00E53401" w:rsidRDefault="00E53401" w:rsidP="00E53401">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bookmarkStart w:id="0" w:name="_Toc234479902"/>
      <w:r>
        <w:rPr>
          <w:rFonts w:ascii="Times New Roman" w:eastAsia="Times New Roman" w:hAnsi="Times New Roman" w:cs="Times New Roman"/>
          <w:b/>
          <w:bCs/>
          <w:kern w:val="36"/>
          <w:sz w:val="48"/>
          <w:szCs w:val="48"/>
          <w:lang w:eastAsia="en-GB"/>
          <w14:ligatures w14:val="none"/>
        </w:rPr>
        <w:t>Date 26 July 2026</w:t>
      </w:r>
      <w:bookmarkEnd w:id="0"/>
    </w:p>
    <w:p w14:paraId="48B78DBD" w14:textId="77777777" w:rsidR="00FE5F88" w:rsidRDefault="00FE5F88" w:rsidP="00FE5F88">
      <w:pPr>
        <w:spacing w:line="360" w:lineRule="auto"/>
        <w:rPr>
          <w:rFonts w:ascii="Arial" w:hAnsi="Arial" w:cs="Arial"/>
          <w:sz w:val="22"/>
          <w:szCs w:val="22"/>
        </w:rPr>
      </w:pPr>
    </w:p>
    <w:p w14:paraId="64DC2546" w14:textId="77777777" w:rsidR="00FE5F88" w:rsidRDefault="00FE5F88" w:rsidP="00FE5F88">
      <w:pPr>
        <w:spacing w:line="360" w:lineRule="auto"/>
        <w:rPr>
          <w:rFonts w:ascii="Arial" w:hAnsi="Arial" w:cs="Arial"/>
          <w:sz w:val="22"/>
          <w:szCs w:val="22"/>
        </w:rPr>
      </w:pPr>
    </w:p>
    <w:p w14:paraId="3D4109C1" w14:textId="77777777" w:rsidR="00FE5F88" w:rsidRDefault="00FE5F88" w:rsidP="00FE5F88">
      <w:pPr>
        <w:spacing w:line="360" w:lineRule="auto"/>
        <w:rPr>
          <w:rFonts w:ascii="Arial" w:hAnsi="Arial" w:cs="Arial"/>
          <w:sz w:val="22"/>
          <w:szCs w:val="22"/>
        </w:rPr>
      </w:pPr>
    </w:p>
    <w:p w14:paraId="0064F7E7" w14:textId="77777777" w:rsidR="00FE5F88" w:rsidRDefault="00FE5F88" w:rsidP="00FE5F88">
      <w:pPr>
        <w:spacing w:line="360" w:lineRule="auto"/>
        <w:rPr>
          <w:rFonts w:ascii="Arial" w:hAnsi="Arial" w:cs="Arial"/>
          <w:sz w:val="22"/>
          <w:szCs w:val="22"/>
        </w:rPr>
      </w:pPr>
    </w:p>
    <w:p w14:paraId="22163CD5" w14:textId="77777777" w:rsidR="00FE5F88" w:rsidRDefault="00FE5F88" w:rsidP="00FE5F88">
      <w:pPr>
        <w:spacing w:line="360" w:lineRule="auto"/>
        <w:rPr>
          <w:rFonts w:ascii="Arial" w:hAnsi="Arial" w:cs="Arial"/>
          <w:sz w:val="22"/>
          <w:szCs w:val="22"/>
        </w:rPr>
      </w:pPr>
    </w:p>
    <w:p w14:paraId="0C83DAA1" w14:textId="77777777" w:rsidR="00FE5F88" w:rsidRDefault="00FE5F88" w:rsidP="00FE5F88">
      <w:pPr>
        <w:spacing w:line="360" w:lineRule="auto"/>
        <w:rPr>
          <w:rFonts w:ascii="Arial" w:hAnsi="Arial" w:cs="Arial"/>
          <w:sz w:val="22"/>
          <w:szCs w:val="22"/>
        </w:rPr>
      </w:pPr>
    </w:p>
    <w:p w14:paraId="41651A81" w14:textId="77777777" w:rsidR="00FE5F88" w:rsidRDefault="00FE5F88" w:rsidP="00FE5F88">
      <w:pPr>
        <w:spacing w:line="360" w:lineRule="auto"/>
        <w:rPr>
          <w:rFonts w:ascii="Arial" w:hAnsi="Arial" w:cs="Arial"/>
          <w:sz w:val="22"/>
          <w:szCs w:val="22"/>
        </w:rPr>
      </w:pPr>
    </w:p>
    <w:p w14:paraId="2E6E1530" w14:textId="77777777" w:rsidR="00FE5F88" w:rsidRDefault="00FE5F88" w:rsidP="00FE5F88">
      <w:pPr>
        <w:spacing w:line="360" w:lineRule="auto"/>
        <w:rPr>
          <w:rFonts w:ascii="Arial" w:hAnsi="Arial" w:cs="Arial"/>
          <w:sz w:val="22"/>
          <w:szCs w:val="22"/>
        </w:rPr>
      </w:pPr>
    </w:p>
    <w:p w14:paraId="307420C5" w14:textId="77777777" w:rsidR="00FE5F88" w:rsidRDefault="00FE5F88" w:rsidP="00FE5F88">
      <w:pPr>
        <w:spacing w:line="360" w:lineRule="auto"/>
        <w:rPr>
          <w:rFonts w:ascii="Arial" w:hAnsi="Arial" w:cs="Arial"/>
          <w:sz w:val="22"/>
          <w:szCs w:val="22"/>
        </w:rPr>
      </w:pPr>
    </w:p>
    <w:sdt>
      <w:sdtPr>
        <w:id w:val="-709496495"/>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120C61B" w14:textId="07735C63" w:rsidR="00EA7202" w:rsidRDefault="00EA7202">
          <w:pPr>
            <w:pStyle w:val="TOCHeading"/>
          </w:pPr>
          <w:r>
            <w:t>Contents</w:t>
          </w:r>
        </w:p>
        <w:p w14:paraId="366F4AED" w14:textId="1559F74C" w:rsidR="00EA7202" w:rsidRDefault="00BA319E" w:rsidP="00574D65">
          <w:pPr>
            <w:rPr>
              <w:rStyle w:val="Hyperlink"/>
              <w:noProof/>
            </w:rPr>
          </w:pPr>
          <w:r w:rsidRPr="00BA319E">
            <w:rPr>
              <w:rFonts w:ascii="Segoe UI" w:eastAsia="Times New Roman" w:hAnsi="Segoe UI" w:cs="Segoe UI"/>
              <w:b/>
              <w:bCs/>
              <w:color w:val="1D2125"/>
              <w:kern w:val="36"/>
              <w:sz w:val="20"/>
              <w:szCs w:val="20"/>
              <w:lang w:eastAsia="en-GB"/>
              <w14:ligatures w14:val="none"/>
            </w:rPr>
            <w:t xml:space="preserve"> </w:t>
          </w:r>
          <w:r w:rsidRPr="00BA319E">
            <w:rPr>
              <w:rFonts w:ascii="Segoe UI" w:hAnsi="Segoe UI" w:cs="Segoe UI"/>
              <w:b/>
              <w:bCs/>
              <w:color w:val="1D2125"/>
              <w:sz w:val="20"/>
              <w:szCs w:val="20"/>
              <w:shd w:val="clear" w:color="auto" w:fill="FFFFFF"/>
            </w:rPr>
            <w:t>Principles of Health and Social Care Practice BMHP 5016</w:t>
          </w:r>
          <w:r w:rsidR="00EA7202">
            <w:fldChar w:fldCharType="begin"/>
          </w:r>
          <w:r w:rsidR="00EA7202">
            <w:instrText xml:space="preserve"> TOC \o "1-3" \h \z \u </w:instrText>
          </w:r>
          <w:r w:rsidR="00EA7202">
            <w:fldChar w:fldCharType="separate"/>
          </w:r>
          <w:hyperlink w:anchor="_Toc234479902" w:history="1">
            <w:r w:rsidR="00EA7202">
              <w:rPr>
                <w:noProof/>
                <w:webHidden/>
              </w:rPr>
              <w:tab/>
            </w:r>
            <w:r w:rsidR="00EA7202">
              <w:rPr>
                <w:noProof/>
                <w:webHidden/>
              </w:rPr>
              <w:fldChar w:fldCharType="begin"/>
            </w:r>
            <w:r w:rsidR="00EA7202">
              <w:rPr>
                <w:noProof/>
                <w:webHidden/>
              </w:rPr>
              <w:instrText xml:space="preserve"> PAGEREF _Toc234479902 \h </w:instrText>
            </w:r>
            <w:r w:rsidR="00EA7202">
              <w:rPr>
                <w:noProof/>
                <w:webHidden/>
              </w:rPr>
            </w:r>
            <w:r w:rsidR="00EA7202">
              <w:rPr>
                <w:noProof/>
                <w:webHidden/>
              </w:rPr>
              <w:fldChar w:fldCharType="separate"/>
            </w:r>
            <w:r w:rsidR="008F0EA6">
              <w:rPr>
                <w:noProof/>
                <w:webHidden/>
              </w:rPr>
              <w:t>1</w:t>
            </w:r>
            <w:r w:rsidR="00EA7202">
              <w:rPr>
                <w:noProof/>
                <w:webHidden/>
              </w:rPr>
              <w:fldChar w:fldCharType="end"/>
            </w:r>
          </w:hyperlink>
        </w:p>
        <w:p w14:paraId="782F402F" w14:textId="62C06150" w:rsidR="00574D65" w:rsidRDefault="00574D65" w:rsidP="00574D65">
          <w:pPr>
            <w:rPr>
              <w:rStyle w:val="Hyperlink"/>
              <w:noProof/>
            </w:rPr>
          </w:pPr>
          <w:r>
            <w:rPr>
              <w:rStyle w:val="Hyperlink"/>
              <w:noProof/>
            </w:rPr>
            <w:t>int</w:t>
          </w:r>
          <w:r w:rsidR="0085636F">
            <w:rPr>
              <w:rStyle w:val="Hyperlink"/>
              <w:noProof/>
            </w:rPr>
            <w:t xml:space="preserve">roduction </w:t>
          </w:r>
          <w:r w:rsidR="008F0EA6">
            <w:rPr>
              <w:rStyle w:val="Hyperlink"/>
              <w:noProof/>
            </w:rPr>
            <w:t xml:space="preserve">  3</w:t>
          </w:r>
        </w:p>
        <w:p w14:paraId="56D1861B" w14:textId="0E7DD523" w:rsidR="00626DBA" w:rsidRDefault="00626DBA" w:rsidP="00626DBA">
          <w:pPr>
            <w:spacing w:line="360" w:lineRule="auto"/>
            <w:rPr>
              <w:rFonts w:ascii="Arial" w:hAnsi="Arial" w:cs="Arial"/>
              <w:noProof/>
              <w:sz w:val="22"/>
              <w:szCs w:val="22"/>
            </w:rPr>
          </w:pPr>
          <w:r w:rsidRPr="00FE5F88">
            <w:rPr>
              <w:rFonts w:ascii="Arial" w:hAnsi="Arial" w:cs="Arial"/>
              <w:noProof/>
              <w:sz w:val="22"/>
              <w:szCs w:val="22"/>
            </w:rPr>
            <w:t>Person-Centred Care: Definition, Benefits and Limitations</w:t>
          </w:r>
          <w:r w:rsidR="008F0EA6">
            <w:rPr>
              <w:rFonts w:ascii="Arial" w:hAnsi="Arial" w:cs="Arial"/>
              <w:noProof/>
              <w:sz w:val="22"/>
              <w:szCs w:val="22"/>
            </w:rPr>
            <w:t xml:space="preserve">  3</w:t>
          </w:r>
        </w:p>
        <w:p w14:paraId="267EEDB7" w14:textId="4B41FF9A" w:rsidR="00626DBA" w:rsidRDefault="00626DBA" w:rsidP="00626DBA">
          <w:pPr>
            <w:spacing w:line="360" w:lineRule="auto"/>
            <w:rPr>
              <w:rFonts w:ascii="Arial" w:hAnsi="Arial" w:cs="Arial"/>
              <w:noProof/>
              <w:sz w:val="22"/>
              <w:szCs w:val="22"/>
            </w:rPr>
          </w:pPr>
          <w:r w:rsidRPr="00FE5F88">
            <w:rPr>
              <w:rFonts w:ascii="Arial" w:hAnsi="Arial" w:cs="Arial"/>
              <w:noProof/>
              <w:sz w:val="22"/>
              <w:szCs w:val="22"/>
            </w:rPr>
            <w:t>Benefits of PCC in mental health services</w:t>
          </w:r>
          <w:r w:rsidR="008F0EA6">
            <w:rPr>
              <w:rFonts w:ascii="Arial" w:hAnsi="Arial" w:cs="Arial"/>
              <w:noProof/>
              <w:sz w:val="22"/>
              <w:szCs w:val="22"/>
            </w:rPr>
            <w:t xml:space="preserve"> 3</w:t>
          </w:r>
        </w:p>
        <w:p w14:paraId="0F47F6F2" w14:textId="60AD7BD5" w:rsidR="008F0EA6" w:rsidRDefault="008F0EA6" w:rsidP="008F0EA6">
          <w:pPr>
            <w:spacing w:line="360" w:lineRule="auto"/>
            <w:rPr>
              <w:rFonts w:ascii="Arial" w:hAnsi="Arial" w:cs="Arial"/>
              <w:noProof/>
              <w:sz w:val="22"/>
              <w:szCs w:val="22"/>
            </w:rPr>
          </w:pPr>
          <w:r w:rsidRPr="00FE5F88">
            <w:rPr>
              <w:rFonts w:ascii="Arial" w:hAnsi="Arial" w:cs="Arial"/>
              <w:noProof/>
              <w:sz w:val="22"/>
              <w:szCs w:val="22"/>
            </w:rPr>
            <w:t>Limitations of PCC</w:t>
          </w:r>
          <w:r>
            <w:rPr>
              <w:rFonts w:ascii="Arial" w:hAnsi="Arial" w:cs="Arial"/>
              <w:noProof/>
              <w:sz w:val="22"/>
              <w:szCs w:val="22"/>
            </w:rPr>
            <w:t xml:space="preserve"> 3</w:t>
          </w:r>
        </w:p>
        <w:p w14:paraId="38B7F9A3" w14:textId="2090AB0A" w:rsidR="008F0EA6" w:rsidRDefault="008F0EA6" w:rsidP="008F0EA6">
          <w:pPr>
            <w:spacing w:line="360" w:lineRule="auto"/>
            <w:rPr>
              <w:rFonts w:ascii="Arial" w:hAnsi="Arial" w:cs="Arial"/>
              <w:sz w:val="22"/>
              <w:szCs w:val="22"/>
            </w:rPr>
          </w:pPr>
          <w:r w:rsidRPr="00FE5F88">
            <w:rPr>
              <w:rFonts w:ascii="Arial" w:hAnsi="Arial" w:cs="Arial"/>
              <w:sz w:val="22"/>
              <w:szCs w:val="22"/>
            </w:rPr>
            <w:t>The Recovery Model in Mental Health Care</w:t>
          </w:r>
          <w:r>
            <w:rPr>
              <w:rFonts w:ascii="Arial" w:hAnsi="Arial" w:cs="Arial"/>
              <w:sz w:val="22"/>
              <w:szCs w:val="22"/>
            </w:rPr>
            <w:t xml:space="preserve">   4</w:t>
          </w:r>
        </w:p>
        <w:p w14:paraId="597D8DC0" w14:textId="4B1EED1F" w:rsidR="008F0EA6" w:rsidRDefault="008F0EA6" w:rsidP="008F0EA6">
          <w:pPr>
            <w:spacing w:line="360" w:lineRule="auto"/>
            <w:rPr>
              <w:rFonts w:ascii="Arial" w:hAnsi="Arial" w:cs="Arial"/>
              <w:sz w:val="22"/>
              <w:szCs w:val="22"/>
            </w:rPr>
          </w:pPr>
          <w:r w:rsidRPr="00FE5F88">
            <w:rPr>
              <w:rFonts w:ascii="Arial" w:hAnsi="Arial" w:cs="Arial"/>
              <w:sz w:val="22"/>
              <w:szCs w:val="22"/>
            </w:rPr>
            <w:t>Ethical Principles in Mental Health Care (</w:t>
          </w:r>
          <w:proofErr w:type="gramStart"/>
          <w:r w:rsidRPr="00FE5F88">
            <w:rPr>
              <w:rFonts w:ascii="Arial" w:hAnsi="Arial" w:cs="Arial"/>
              <w:sz w:val="22"/>
              <w:szCs w:val="22"/>
            </w:rPr>
            <w:t>Expanded)</w:t>
          </w:r>
          <w:r>
            <w:rPr>
              <w:rFonts w:ascii="Arial" w:hAnsi="Arial" w:cs="Arial"/>
              <w:sz w:val="22"/>
              <w:szCs w:val="22"/>
            </w:rPr>
            <w:t xml:space="preserve">   </w:t>
          </w:r>
          <w:proofErr w:type="gramEnd"/>
          <w:r>
            <w:rPr>
              <w:rFonts w:ascii="Arial" w:hAnsi="Arial" w:cs="Arial"/>
              <w:sz w:val="22"/>
              <w:szCs w:val="22"/>
            </w:rPr>
            <w:t>5</w:t>
          </w:r>
        </w:p>
        <w:p w14:paraId="3DC36EB5" w14:textId="2D16A8A7" w:rsidR="008F0EA6" w:rsidRDefault="008F0EA6" w:rsidP="008F0EA6">
          <w:pPr>
            <w:spacing w:line="360" w:lineRule="auto"/>
            <w:rPr>
              <w:rFonts w:ascii="Arial" w:hAnsi="Arial" w:cs="Arial"/>
              <w:sz w:val="22"/>
              <w:szCs w:val="22"/>
            </w:rPr>
          </w:pPr>
          <w:r w:rsidRPr="00FE5F88">
            <w:rPr>
              <w:rFonts w:ascii="Arial" w:hAnsi="Arial" w:cs="Arial"/>
              <w:sz w:val="22"/>
              <w:szCs w:val="22"/>
            </w:rPr>
            <w:t xml:space="preserve"> Application in Practice: Community Mental Health Teams (</w:t>
          </w:r>
          <w:proofErr w:type="gramStart"/>
          <w:r w:rsidRPr="00FE5F88">
            <w:rPr>
              <w:rFonts w:ascii="Arial" w:hAnsi="Arial" w:cs="Arial"/>
              <w:sz w:val="22"/>
              <w:szCs w:val="22"/>
            </w:rPr>
            <w:t>CMHTs)</w:t>
          </w:r>
          <w:r>
            <w:rPr>
              <w:rFonts w:ascii="Arial" w:hAnsi="Arial" w:cs="Arial"/>
              <w:sz w:val="22"/>
              <w:szCs w:val="22"/>
            </w:rPr>
            <w:t xml:space="preserve">  </w:t>
          </w:r>
          <w:r w:rsidR="007916B1">
            <w:rPr>
              <w:rFonts w:ascii="Arial" w:hAnsi="Arial" w:cs="Arial"/>
              <w:sz w:val="22"/>
              <w:szCs w:val="22"/>
            </w:rPr>
            <w:t>8</w:t>
          </w:r>
          <w:proofErr w:type="gramEnd"/>
        </w:p>
        <w:p w14:paraId="630051CC" w14:textId="34CD3AD2" w:rsidR="008F0EA6" w:rsidRDefault="008F0EA6" w:rsidP="008F0EA6">
          <w:pPr>
            <w:spacing w:line="360" w:lineRule="auto"/>
            <w:rPr>
              <w:rFonts w:ascii="Arial" w:hAnsi="Arial" w:cs="Arial"/>
              <w:sz w:val="22"/>
              <w:szCs w:val="22"/>
            </w:rPr>
          </w:pPr>
          <w:r w:rsidRPr="00FE5F88">
            <w:rPr>
              <w:rFonts w:ascii="Arial" w:hAnsi="Arial" w:cs="Arial"/>
              <w:sz w:val="22"/>
              <w:szCs w:val="22"/>
            </w:rPr>
            <w:t>Policy and Legislation</w:t>
          </w:r>
          <w:r>
            <w:rPr>
              <w:rFonts w:ascii="Arial" w:hAnsi="Arial" w:cs="Arial"/>
              <w:sz w:val="22"/>
              <w:szCs w:val="22"/>
            </w:rPr>
            <w:t xml:space="preserve">   8</w:t>
          </w:r>
        </w:p>
        <w:p w14:paraId="175AF803" w14:textId="5656864D" w:rsidR="007916B1" w:rsidRDefault="007916B1" w:rsidP="007916B1">
          <w:pPr>
            <w:spacing w:line="360" w:lineRule="auto"/>
            <w:rPr>
              <w:rFonts w:ascii="Arial" w:hAnsi="Arial" w:cs="Arial"/>
              <w:sz w:val="22"/>
              <w:szCs w:val="22"/>
            </w:rPr>
          </w:pPr>
          <w:r w:rsidRPr="00FE5F88">
            <w:rPr>
              <w:rFonts w:ascii="Arial" w:hAnsi="Arial" w:cs="Arial"/>
              <w:sz w:val="22"/>
              <w:szCs w:val="22"/>
            </w:rPr>
            <w:t xml:space="preserve"> </w:t>
          </w:r>
          <w:proofErr w:type="gramStart"/>
          <w:r w:rsidRPr="00FE5F88">
            <w:rPr>
              <w:rFonts w:ascii="Arial" w:hAnsi="Arial" w:cs="Arial"/>
              <w:sz w:val="22"/>
              <w:szCs w:val="22"/>
            </w:rPr>
            <w:t>Recommendations</w:t>
          </w:r>
          <w:r w:rsidR="00CD00DB">
            <w:rPr>
              <w:rFonts w:ascii="Arial" w:hAnsi="Arial" w:cs="Arial"/>
              <w:sz w:val="22"/>
              <w:szCs w:val="22"/>
            </w:rPr>
            <w:t xml:space="preserve">  9</w:t>
          </w:r>
          <w:proofErr w:type="gramEnd"/>
        </w:p>
        <w:p w14:paraId="44630BD5" w14:textId="76915B20" w:rsidR="00CD00DB" w:rsidRDefault="00CD00DB" w:rsidP="00CD00DB">
          <w:pPr>
            <w:spacing w:line="360" w:lineRule="auto"/>
            <w:rPr>
              <w:rFonts w:ascii="Arial" w:hAnsi="Arial" w:cs="Arial"/>
              <w:sz w:val="22"/>
              <w:szCs w:val="22"/>
            </w:rPr>
          </w:pPr>
          <w:proofErr w:type="gramStart"/>
          <w:r w:rsidRPr="00FE5F88">
            <w:rPr>
              <w:rFonts w:ascii="Arial" w:hAnsi="Arial" w:cs="Arial"/>
              <w:sz w:val="22"/>
              <w:szCs w:val="22"/>
            </w:rPr>
            <w:t>Conclusion</w:t>
          </w:r>
          <w:r>
            <w:rPr>
              <w:rFonts w:ascii="Arial" w:hAnsi="Arial" w:cs="Arial"/>
              <w:sz w:val="22"/>
              <w:szCs w:val="22"/>
            </w:rPr>
            <w:t xml:space="preserve">  9</w:t>
          </w:r>
          <w:proofErr w:type="gramEnd"/>
          <w:r>
            <w:rPr>
              <w:rFonts w:ascii="Arial" w:hAnsi="Arial" w:cs="Arial"/>
              <w:sz w:val="22"/>
              <w:szCs w:val="22"/>
            </w:rPr>
            <w:t xml:space="preserve">  </w:t>
          </w:r>
          <w:proofErr w:type="gramStart"/>
          <w:r>
            <w:rPr>
              <w:rFonts w:ascii="Arial" w:hAnsi="Arial" w:cs="Arial"/>
              <w:sz w:val="22"/>
              <w:szCs w:val="22"/>
            </w:rPr>
            <w:t>/  10</w:t>
          </w:r>
          <w:proofErr w:type="gramEnd"/>
        </w:p>
        <w:p w14:paraId="311D09FB" w14:textId="426A312D" w:rsidR="00CE2F59" w:rsidRPr="0027625E" w:rsidRDefault="00CE2F59" w:rsidP="00CE2F59">
          <w:pPr>
            <w:rPr>
              <w:b/>
              <w:bCs/>
            </w:rPr>
          </w:pPr>
          <w:r w:rsidRPr="0027625E">
            <w:rPr>
              <w:b/>
              <w:bCs/>
            </w:rPr>
            <w:t xml:space="preserve">Reference List </w:t>
          </w:r>
          <w:r>
            <w:rPr>
              <w:b/>
              <w:bCs/>
            </w:rPr>
            <w:t xml:space="preserve">  11</w:t>
          </w:r>
          <w:r w:rsidR="007A0301">
            <w:rPr>
              <w:b/>
              <w:bCs/>
            </w:rPr>
            <w:t xml:space="preserve">  /12</w:t>
          </w:r>
        </w:p>
        <w:p w14:paraId="426B8012" w14:textId="77777777" w:rsidR="00CE2F59" w:rsidRPr="00FE5F88" w:rsidRDefault="00CE2F59" w:rsidP="00CD00DB">
          <w:pPr>
            <w:spacing w:line="360" w:lineRule="auto"/>
            <w:rPr>
              <w:rFonts w:ascii="Arial" w:hAnsi="Arial" w:cs="Arial"/>
              <w:sz w:val="22"/>
              <w:szCs w:val="22"/>
            </w:rPr>
          </w:pPr>
        </w:p>
        <w:p w14:paraId="7BCB615C" w14:textId="77777777" w:rsidR="00CD00DB" w:rsidRPr="00FE5F88" w:rsidRDefault="00CD00DB" w:rsidP="007916B1">
          <w:pPr>
            <w:spacing w:line="360" w:lineRule="auto"/>
            <w:rPr>
              <w:rFonts w:ascii="Arial" w:hAnsi="Arial" w:cs="Arial"/>
              <w:sz w:val="22"/>
              <w:szCs w:val="22"/>
            </w:rPr>
          </w:pPr>
        </w:p>
        <w:p w14:paraId="5034DEFA" w14:textId="77777777" w:rsidR="007916B1" w:rsidRPr="00FE5F88" w:rsidRDefault="007916B1" w:rsidP="008F0EA6">
          <w:pPr>
            <w:spacing w:line="360" w:lineRule="auto"/>
            <w:rPr>
              <w:rFonts w:ascii="Arial" w:hAnsi="Arial" w:cs="Arial"/>
              <w:sz w:val="22"/>
              <w:szCs w:val="22"/>
            </w:rPr>
          </w:pPr>
        </w:p>
        <w:p w14:paraId="68AC38BE" w14:textId="77777777" w:rsidR="008F0EA6" w:rsidRDefault="008F0EA6" w:rsidP="008F0EA6">
          <w:pPr>
            <w:spacing w:line="360" w:lineRule="auto"/>
            <w:rPr>
              <w:rFonts w:ascii="Arial" w:hAnsi="Arial" w:cs="Arial"/>
              <w:sz w:val="22"/>
              <w:szCs w:val="22"/>
            </w:rPr>
          </w:pPr>
        </w:p>
        <w:p w14:paraId="5466D6BE" w14:textId="77777777" w:rsidR="008F0EA6" w:rsidRPr="00FE5F88" w:rsidRDefault="008F0EA6" w:rsidP="008F0EA6">
          <w:pPr>
            <w:spacing w:line="360" w:lineRule="auto"/>
            <w:rPr>
              <w:rFonts w:ascii="Arial" w:hAnsi="Arial" w:cs="Arial"/>
              <w:sz w:val="22"/>
              <w:szCs w:val="22"/>
            </w:rPr>
          </w:pPr>
        </w:p>
        <w:p w14:paraId="522B12D0" w14:textId="77777777" w:rsidR="008F0EA6" w:rsidRPr="00FE5F88" w:rsidRDefault="008F0EA6" w:rsidP="008F0EA6">
          <w:pPr>
            <w:spacing w:line="360" w:lineRule="auto"/>
            <w:rPr>
              <w:rFonts w:ascii="Arial" w:hAnsi="Arial" w:cs="Arial"/>
              <w:sz w:val="22"/>
              <w:szCs w:val="22"/>
            </w:rPr>
          </w:pPr>
        </w:p>
        <w:p w14:paraId="0B362F0F" w14:textId="77777777" w:rsidR="008F0EA6" w:rsidRDefault="008F0EA6" w:rsidP="008F0EA6">
          <w:pPr>
            <w:spacing w:line="360" w:lineRule="auto"/>
            <w:rPr>
              <w:rFonts w:ascii="Arial" w:hAnsi="Arial" w:cs="Arial"/>
              <w:noProof/>
              <w:sz w:val="22"/>
              <w:szCs w:val="22"/>
            </w:rPr>
          </w:pPr>
        </w:p>
        <w:p w14:paraId="7E2CE82E" w14:textId="77777777" w:rsidR="008F0EA6" w:rsidRPr="00FE5F88" w:rsidRDefault="008F0EA6" w:rsidP="008F0EA6">
          <w:pPr>
            <w:spacing w:line="360" w:lineRule="auto"/>
            <w:rPr>
              <w:rFonts w:ascii="Arial" w:hAnsi="Arial" w:cs="Arial"/>
              <w:noProof/>
              <w:sz w:val="22"/>
              <w:szCs w:val="22"/>
            </w:rPr>
          </w:pPr>
        </w:p>
        <w:p w14:paraId="5E0C0C7D" w14:textId="77777777" w:rsidR="008F0EA6" w:rsidRPr="00FE5F88" w:rsidRDefault="008F0EA6" w:rsidP="00626DBA">
          <w:pPr>
            <w:spacing w:line="360" w:lineRule="auto"/>
            <w:rPr>
              <w:rFonts w:ascii="Arial" w:hAnsi="Arial" w:cs="Arial"/>
              <w:noProof/>
              <w:sz w:val="22"/>
              <w:szCs w:val="22"/>
            </w:rPr>
          </w:pPr>
        </w:p>
        <w:p w14:paraId="4DCF5865" w14:textId="77777777" w:rsidR="00626DBA" w:rsidRDefault="00626DBA" w:rsidP="00626DBA">
          <w:pPr>
            <w:spacing w:line="360" w:lineRule="auto"/>
            <w:rPr>
              <w:rFonts w:ascii="Arial" w:hAnsi="Arial" w:cs="Arial"/>
              <w:noProof/>
              <w:sz w:val="22"/>
              <w:szCs w:val="22"/>
            </w:rPr>
          </w:pPr>
        </w:p>
        <w:p w14:paraId="4D3E62E1" w14:textId="77777777" w:rsidR="00626DBA" w:rsidRPr="00FE5F88" w:rsidRDefault="00626DBA" w:rsidP="00626DBA">
          <w:pPr>
            <w:spacing w:line="360" w:lineRule="auto"/>
            <w:rPr>
              <w:rFonts w:ascii="Arial" w:hAnsi="Arial" w:cs="Arial"/>
              <w:noProof/>
              <w:sz w:val="22"/>
              <w:szCs w:val="22"/>
            </w:rPr>
          </w:pPr>
        </w:p>
        <w:p w14:paraId="014016E7" w14:textId="77777777" w:rsidR="00626DBA" w:rsidRDefault="00626DBA" w:rsidP="00574D65">
          <w:pPr>
            <w:rPr>
              <w:rStyle w:val="Hyperlink"/>
              <w:noProof/>
            </w:rPr>
          </w:pPr>
        </w:p>
        <w:p w14:paraId="2C329BEC" w14:textId="77777777" w:rsidR="0085636F" w:rsidRPr="00574D65" w:rsidRDefault="0085636F" w:rsidP="00574D65">
          <w:pPr>
            <w:rPr>
              <w:rFonts w:ascii="Segoe UI" w:hAnsi="Segoe UI" w:cs="Segoe UI"/>
              <w:b/>
              <w:bCs/>
              <w:noProof/>
              <w:color w:val="1D2125"/>
              <w:sz w:val="20"/>
              <w:szCs w:val="20"/>
              <w:shd w:val="clear" w:color="auto" w:fill="FFFFFF"/>
            </w:rPr>
          </w:pPr>
        </w:p>
        <w:p w14:paraId="355603CA" w14:textId="77777777" w:rsidR="005C5ACD" w:rsidRDefault="00EA7202" w:rsidP="005C5ACD">
          <w:pPr>
            <w:rPr>
              <w:b/>
              <w:bCs/>
            </w:rPr>
          </w:pPr>
          <w:r>
            <w:rPr>
              <w:b/>
              <w:bCs/>
            </w:rPr>
            <w:lastRenderedPageBreak/>
            <w:fldChar w:fldCharType="end"/>
          </w:r>
        </w:p>
      </w:sdtContent>
    </w:sdt>
    <w:p w14:paraId="74C444B0" w14:textId="06D1AFE8" w:rsidR="0027625E" w:rsidRPr="005C5ACD" w:rsidRDefault="0027625E" w:rsidP="005C5ACD">
      <w:pPr>
        <w:spacing w:line="360" w:lineRule="auto"/>
        <w:rPr>
          <w:b/>
          <w:bCs/>
        </w:rPr>
      </w:pPr>
      <w:r w:rsidRPr="00FE5F88">
        <w:rPr>
          <w:rFonts w:ascii="Arial" w:hAnsi="Arial" w:cs="Arial"/>
          <w:sz w:val="22"/>
          <w:szCs w:val="22"/>
        </w:rPr>
        <w:t>Person-Centred Care and Partnership Working in Mental Health Services in the UK</w:t>
      </w:r>
    </w:p>
    <w:p w14:paraId="288C1437" w14:textId="2FA655EF" w:rsidR="0027625E" w:rsidRPr="00FE5F88" w:rsidRDefault="0027625E" w:rsidP="005C5ACD">
      <w:pPr>
        <w:spacing w:line="360" w:lineRule="auto"/>
        <w:rPr>
          <w:rFonts w:ascii="Arial" w:hAnsi="Arial" w:cs="Arial"/>
          <w:sz w:val="22"/>
          <w:szCs w:val="22"/>
        </w:rPr>
      </w:pPr>
    </w:p>
    <w:p w14:paraId="20F05A9F" w14:textId="239751FA"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Introduction</w:t>
      </w:r>
    </w:p>
    <w:p w14:paraId="3FD15B08"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Health and social care services in the United Kingdom are increasingly shaped by two fundamental approaches: person-centred care (PCC) and partnership working (PW). These approaches are particularly significant within mental health services, where individuals often present with complex, long-term needs requiring coordinated and holistic support.</w:t>
      </w:r>
    </w:p>
    <w:p w14:paraId="5D9E1081"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Person-centred care focuses on placing the individual at the centre of care planning, ensuring that their values, preferences, and needs guide decision-making. The approach promotes dignity, autonomy, and shared decision-making, which are essential in mental health recovery (NICE, 2021). Partnership working refers to collaboration between professionals, service users, carers, and organisations across health, social care, and voluntary sectors. This integrated approach is essential for delivering continuous and effective mental health support (NHS England, 2019).</w:t>
      </w:r>
    </w:p>
    <w:p w14:paraId="13EC1376"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This report will define PCC and PW, critically evaluate theoretical models, explore ethical principles, assess relevant policy and legislation, and examine their application within UK mental health services. Recommendations for improving future practice will also be provided.</w:t>
      </w:r>
    </w:p>
    <w:p w14:paraId="62B34D3D" w14:textId="147910D9" w:rsidR="0027625E" w:rsidRPr="00FE5F88" w:rsidRDefault="0027625E" w:rsidP="005C5ACD">
      <w:pPr>
        <w:spacing w:line="360" w:lineRule="auto"/>
        <w:rPr>
          <w:rFonts w:ascii="Arial" w:hAnsi="Arial" w:cs="Arial"/>
          <w:sz w:val="22"/>
          <w:szCs w:val="22"/>
        </w:rPr>
      </w:pPr>
    </w:p>
    <w:p w14:paraId="13A6FFEB" w14:textId="77CD8C96"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 xml:space="preserve"> Person-Centred Care: Definition, Benefits and Limitations</w:t>
      </w:r>
    </w:p>
    <w:p w14:paraId="08B49D49"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Person-centred care (PCC) is an approach that ensures individuals are actively involved in decisions about their care, with services tailored to their personal needs and circumstances. It is strongly supported by NICE (2021), which emphasises shared decision-making and recovery-focused care in mental health services.</w:t>
      </w:r>
    </w:p>
    <w:p w14:paraId="1402B4DE"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In mental health settings, PCC involves understanding the individual beyond their diagnosis. For example, Community Mental Health Teams (CMHTs) develop care plans that incorporate psychological support, medication management, social needs, and personal recovery goals (Barker, 2017).</w:t>
      </w:r>
    </w:p>
    <w:p w14:paraId="46E156BB"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Benefits of PCC in mental health services</w:t>
      </w:r>
    </w:p>
    <w:p w14:paraId="4DC9129C"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lastRenderedPageBreak/>
        <w:t>One key benefit of PCC is improved engagement and trust between service users and professionals. When individuals feel heard and respected, they are more likely to engage with treatment and adhere to care plans (Slade, 2009).</w:t>
      </w:r>
    </w:p>
    <w:p w14:paraId="35DBB9DF"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PCC also promotes self-management and empowerment, which is particularly important in conditions such as depression, bipolar disorder, and schizophrenia. According to Repper and Perkins (2013), recovery-oriented care enhances independence and improves long-term outcomes.</w:t>
      </w:r>
    </w:p>
    <w:p w14:paraId="497679A0"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Another advantage is improved continuity of care through structured frameworks such as the Care Programme Approach (CPA), which ensures coordinated support across services (Department of Health, 2007).</w:t>
      </w:r>
    </w:p>
    <w:p w14:paraId="6124D241"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Limitations of PCC</w:t>
      </w:r>
    </w:p>
    <w:p w14:paraId="5CA2ED5D"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Despite its advantages, PCC faces several challenges. Resource constraints in mental health services often limit the time professionals can spend with service users, reducing meaningful engagement (The King’s Fund, 2020).</w:t>
      </w:r>
    </w:p>
    <w:p w14:paraId="7178FC3F"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Additionally, risk management can conflict with autonomy. In acute mental health crises, professionals may need to prioritise safety under the Mental Health Act (1983), limiting individual choice (Department of Health, 2007). This creates ethical tension between autonomy and safeguarding.</w:t>
      </w:r>
    </w:p>
    <w:p w14:paraId="4971F991"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Furthermore, inconsistent staff training and fragmented service delivery can reduce the effectiveness of PCC in practice (SCIE, 2024).</w:t>
      </w:r>
    </w:p>
    <w:p w14:paraId="3480131B" w14:textId="5733D825" w:rsidR="0027625E" w:rsidRPr="00FE5F88" w:rsidRDefault="0027625E" w:rsidP="005C5ACD">
      <w:pPr>
        <w:spacing w:line="360" w:lineRule="auto"/>
        <w:rPr>
          <w:rFonts w:ascii="Arial" w:hAnsi="Arial" w:cs="Arial"/>
          <w:sz w:val="22"/>
          <w:szCs w:val="22"/>
        </w:rPr>
      </w:pPr>
    </w:p>
    <w:p w14:paraId="3069CE13" w14:textId="17CA67FD"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 xml:space="preserve"> The Recovery Model in Mental Health Care</w:t>
      </w:r>
    </w:p>
    <w:p w14:paraId="66136B84"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A key theoretical model underpinning PCC is the Recovery Model. This model shifts focus from symptom reduction to living a meaningful life despite mental illness.</w:t>
      </w:r>
    </w:p>
    <w:p w14:paraId="1210A523"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The recovery approach emphasises hope, identity, empowerment, and personal responsibility. Slade (2009) argues that recovery is a deeply personal process where individuals define their own goals rather than focusing solely on clinical outcomes.</w:t>
      </w:r>
    </w:p>
    <w:p w14:paraId="239BDEB2"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In practice, recovery-oriented care is widely used in community mental health services, where service users collaborate with professionals to create personalised recovery plans (Leamy et al., 2011).</w:t>
      </w:r>
    </w:p>
    <w:p w14:paraId="2DBB283C"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 xml:space="preserve">However, the model has limitations. Critics argue that it may not fully account for individuals with severe mental illness who experience limited insight or high levels of risk. Additionally, </w:t>
      </w:r>
      <w:r w:rsidRPr="00FE5F88">
        <w:rPr>
          <w:rFonts w:ascii="Arial" w:hAnsi="Arial" w:cs="Arial"/>
          <w:sz w:val="22"/>
          <w:szCs w:val="22"/>
        </w:rPr>
        <w:lastRenderedPageBreak/>
        <w:t>services may adopt the language of recovery without fully implementing its principles in practice (Le Boutillier et al., 2011).</w:t>
      </w:r>
    </w:p>
    <w:p w14:paraId="066AB3DD" w14:textId="77777777" w:rsidR="00CE2F59" w:rsidRDefault="00CE2F59" w:rsidP="005C5ACD">
      <w:pPr>
        <w:spacing w:line="360" w:lineRule="auto"/>
        <w:rPr>
          <w:rFonts w:ascii="Arial" w:hAnsi="Arial" w:cs="Arial"/>
          <w:sz w:val="22"/>
          <w:szCs w:val="22"/>
        </w:rPr>
      </w:pPr>
    </w:p>
    <w:p w14:paraId="28BCA4D5" w14:textId="76ADD8FF"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 xml:space="preserve"> Ethical Principles in Mental Health Care (Expanded)</w:t>
      </w:r>
    </w:p>
    <w:p w14:paraId="680C54B8"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Ethical practice is central to PCC and partnership working. The four key principles are autonomy, beneficence, non-maleficence, and justice.</w:t>
      </w:r>
    </w:p>
    <w:p w14:paraId="3C1B12C7"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In mental health services, these principles often overlap and can create ethical dilemmas for professionals. For example, autonomy may be restricted under the Mental Health Act (1983) when an individual lacks capacity or presents a significant risk to themselves or others. In such cases, professionals must carefully justify decisions to ensure that restrictions are lawful, proportionate, and in the person’s best interests (Department of Health, 2007).</w:t>
      </w:r>
    </w:p>
    <w:p w14:paraId="75AC2066"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Beneficence requires professionals to actively promote recovery and wellbeing, which may involve encouraging adherence to treatment plans such as medication or psychological therapy. However, this must always be balanced with respect for the service user’s preferences. Similarly, non-maleficence extends beyond physical harm and includes avoiding psychological harm, such as distress caused by coercive interventions or poor communication.</w:t>
      </w:r>
    </w:p>
    <w:p w14:paraId="6763ED87"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Justice in mental health care also involves addressing inequalities in access to services. Individuals from minority ethnic groups or disadvantaged backgrounds are often more likely to experience barriers to care, meaning professionals must work to ensure fair and equal treatment for all service users (WHO, 2022).</w:t>
      </w:r>
    </w:p>
    <w:p w14:paraId="7F9C3346"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Overall, ethical decision-making in mental health care requires continuous reflection, professional judgement, and collaboration with service users to ensure care remains both safe and person-centred</w:t>
      </w:r>
    </w:p>
    <w:p w14:paraId="3C2CEB21" w14:textId="77777777" w:rsidR="000869EA" w:rsidRPr="00FE5F88" w:rsidRDefault="000869EA" w:rsidP="005C5ACD">
      <w:pPr>
        <w:spacing w:line="360" w:lineRule="auto"/>
        <w:rPr>
          <w:rFonts w:ascii="Arial" w:hAnsi="Arial" w:cs="Arial"/>
          <w:sz w:val="22"/>
          <w:szCs w:val="22"/>
        </w:rPr>
      </w:pPr>
    </w:p>
    <w:p w14:paraId="1ECF3A9B" w14:textId="0FF16E9B"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Autonomy</w:t>
      </w:r>
      <w:r w:rsidRPr="00FE5F88">
        <w:rPr>
          <w:rFonts w:ascii="Arial" w:hAnsi="Arial" w:cs="Arial"/>
          <w:sz w:val="22"/>
          <w:szCs w:val="22"/>
        </w:rPr>
        <w:br/>
      </w:r>
      <w:proofErr w:type="spellStart"/>
      <w:r w:rsidRPr="00FE5F88">
        <w:rPr>
          <w:rFonts w:ascii="Arial" w:hAnsi="Arial" w:cs="Arial"/>
          <w:sz w:val="22"/>
          <w:szCs w:val="22"/>
        </w:rPr>
        <w:t>Autonomy</w:t>
      </w:r>
      <w:proofErr w:type="spellEnd"/>
      <w:r w:rsidRPr="00FE5F88">
        <w:rPr>
          <w:rFonts w:ascii="Arial" w:hAnsi="Arial" w:cs="Arial"/>
          <w:sz w:val="22"/>
          <w:szCs w:val="22"/>
        </w:rPr>
        <w:t xml:space="preserve"> refers to respecting an individual’s right to make decisions about their care. In mental health services, this is supported through shared decision-making and advance care planning (NICE, 2022). However, autonomy may be restricted under the Mental Health Act (1983) when individuals pose a risk to themselves or others. In these situations, professionals must ensure that any restriction of choice is legally justified, proportionate, and regularly reviewed to prevent unnecessary loss of independence. Even when autonomy is limited, practitioners should still involve service users as much as possible in discussions </w:t>
      </w:r>
      <w:r w:rsidRPr="00FE5F88">
        <w:rPr>
          <w:rFonts w:ascii="Arial" w:hAnsi="Arial" w:cs="Arial"/>
          <w:sz w:val="22"/>
          <w:szCs w:val="22"/>
        </w:rPr>
        <w:lastRenderedPageBreak/>
        <w:t>about their care to maintain dignity and respect. This may include offering choices in treatment options, explaining decisions clearly, and supporting individuals to regain control as their condition improves. Upholding autonomy in mental health care is essential for promoting recovery, building trust, and empowering individuals to participate actively in their ongoing treatment and long-term wellbeing.</w:t>
      </w:r>
    </w:p>
    <w:p w14:paraId="502A53F9" w14:textId="77777777" w:rsidR="000869EA" w:rsidRPr="00FE5F88" w:rsidRDefault="000869EA" w:rsidP="005C5ACD">
      <w:pPr>
        <w:spacing w:line="360" w:lineRule="auto"/>
        <w:rPr>
          <w:rFonts w:ascii="Arial" w:hAnsi="Arial" w:cs="Arial"/>
          <w:sz w:val="22"/>
          <w:szCs w:val="22"/>
        </w:rPr>
      </w:pPr>
    </w:p>
    <w:p w14:paraId="7A2E8B51" w14:textId="6A0AB0AA" w:rsidR="000869EA" w:rsidRPr="00FE5F88" w:rsidRDefault="000869EA" w:rsidP="005C5ACD">
      <w:pPr>
        <w:spacing w:line="360" w:lineRule="auto"/>
        <w:rPr>
          <w:rFonts w:ascii="Arial" w:hAnsi="Arial" w:cs="Arial"/>
          <w:sz w:val="22"/>
          <w:szCs w:val="22"/>
        </w:rPr>
      </w:pPr>
      <w:r w:rsidRPr="00FE5F88">
        <w:rPr>
          <w:rFonts w:ascii="Arial" w:hAnsi="Arial" w:cs="Arial"/>
          <w:sz w:val="22"/>
          <w:szCs w:val="22"/>
        </w:rPr>
        <w:t>Beneficence</w:t>
      </w:r>
      <w:r w:rsidRPr="00FE5F88">
        <w:rPr>
          <w:rFonts w:ascii="Arial" w:hAnsi="Arial" w:cs="Arial"/>
          <w:sz w:val="22"/>
          <w:szCs w:val="22"/>
        </w:rPr>
        <w:br/>
      </w:r>
      <w:proofErr w:type="spellStart"/>
      <w:r w:rsidRPr="00FE5F88">
        <w:rPr>
          <w:rFonts w:ascii="Arial" w:hAnsi="Arial" w:cs="Arial"/>
          <w:sz w:val="22"/>
          <w:szCs w:val="22"/>
        </w:rPr>
        <w:t>Beneficence</w:t>
      </w:r>
      <w:proofErr w:type="spellEnd"/>
      <w:r w:rsidRPr="00FE5F88">
        <w:rPr>
          <w:rFonts w:ascii="Arial" w:hAnsi="Arial" w:cs="Arial"/>
          <w:sz w:val="22"/>
          <w:szCs w:val="22"/>
        </w:rPr>
        <w:t xml:space="preserve"> involves acting in the best interests of service users to promote wellbeing and recovery (Barker, 2017). In mental health care, this may include providing appropriate interventions such as medication, psychological therapies, and social support to enhance recovery outcomes. Professionals must also take a proactive approach in identifying risks early and ensuring timely referrals to specialist services where needed. Beneficence is closely linked to promoting recovery-focused care, where the aim is not only symptom management but also improving quality of life, independence, and social inclusion.</w:t>
      </w:r>
    </w:p>
    <w:p w14:paraId="66A39A62" w14:textId="77777777" w:rsidR="000869EA" w:rsidRPr="00FE5F88" w:rsidRDefault="000869EA" w:rsidP="005C5ACD">
      <w:pPr>
        <w:spacing w:line="360" w:lineRule="auto"/>
        <w:rPr>
          <w:rFonts w:ascii="Arial" w:hAnsi="Arial" w:cs="Arial"/>
          <w:sz w:val="22"/>
          <w:szCs w:val="22"/>
        </w:rPr>
      </w:pPr>
      <w:r w:rsidRPr="00FE5F88">
        <w:rPr>
          <w:rFonts w:ascii="Arial" w:hAnsi="Arial" w:cs="Arial"/>
          <w:sz w:val="22"/>
          <w:szCs w:val="22"/>
        </w:rPr>
        <w:t>Non-maleficence</w:t>
      </w:r>
      <w:r w:rsidRPr="00FE5F88">
        <w:rPr>
          <w:rFonts w:ascii="Arial" w:hAnsi="Arial" w:cs="Arial"/>
          <w:sz w:val="22"/>
          <w:szCs w:val="22"/>
        </w:rPr>
        <w:br/>
        <w:t>This principle focuses on avoiding harm. In mental health care, safeguarding and risk assessments are essential to prevent self-harm or harm to others. It also includes reducing the potential for psychological harm caused by stigma, coercive treatment, or poor communication. Practitioners must carefully consider the impact of their actions and ensure that any intervention is the least restrictive option available while still maintaining safety and wellbeing.</w:t>
      </w:r>
    </w:p>
    <w:p w14:paraId="62814F7B" w14:textId="335D5B1A" w:rsidR="000869EA" w:rsidRPr="00FE5F88" w:rsidRDefault="000869EA" w:rsidP="005C5ACD">
      <w:pPr>
        <w:spacing w:line="360" w:lineRule="auto"/>
        <w:rPr>
          <w:rFonts w:ascii="Arial" w:hAnsi="Arial" w:cs="Arial"/>
          <w:sz w:val="22"/>
          <w:szCs w:val="22"/>
        </w:rPr>
      </w:pPr>
      <w:r w:rsidRPr="00FE5F88">
        <w:rPr>
          <w:rFonts w:ascii="Arial" w:hAnsi="Arial" w:cs="Arial"/>
          <w:sz w:val="22"/>
          <w:szCs w:val="22"/>
        </w:rPr>
        <w:t>justice</w:t>
      </w:r>
      <w:r w:rsidRPr="00FE5F88">
        <w:rPr>
          <w:rFonts w:ascii="Arial" w:hAnsi="Arial" w:cs="Arial"/>
          <w:sz w:val="22"/>
          <w:szCs w:val="22"/>
        </w:rPr>
        <w:br/>
      </w:r>
      <w:proofErr w:type="spellStart"/>
      <w:r w:rsidRPr="00FE5F88">
        <w:rPr>
          <w:rFonts w:ascii="Arial" w:hAnsi="Arial" w:cs="Arial"/>
          <w:sz w:val="22"/>
          <w:szCs w:val="22"/>
        </w:rPr>
        <w:t>Justice</w:t>
      </w:r>
      <w:proofErr w:type="spellEnd"/>
      <w:r w:rsidRPr="00FE5F88">
        <w:rPr>
          <w:rFonts w:ascii="Arial" w:hAnsi="Arial" w:cs="Arial"/>
          <w:sz w:val="22"/>
          <w:szCs w:val="22"/>
        </w:rPr>
        <w:t xml:space="preserve"> ensures fair and equal access to mental health services regardless of background, diagnosis, or socioeconomic status (WHO, 2022). In practice, professionals must balance these ethical principles. For example, restricting autonomy may be justified if it prevents harm, but such decisions must always be proportionate and regularly reviewed. Justice also involves actively reducing health inequalities and ensuring that vulnerable groups, including ethnic minorities and individuals with complex needs, are not disadvantaged in accessing timely and appropriate mental health support. This promotes fairness, inclusion, and equitable treatment across all services</w:t>
      </w:r>
    </w:p>
    <w:p w14:paraId="4B63EB28" w14:textId="5ED609D3" w:rsidR="008378EF" w:rsidRPr="00FE5F88" w:rsidRDefault="002E5B57" w:rsidP="005C5ACD">
      <w:pPr>
        <w:spacing w:line="360" w:lineRule="auto"/>
        <w:rPr>
          <w:rFonts w:ascii="Arial" w:hAnsi="Arial" w:cs="Arial"/>
          <w:sz w:val="22"/>
          <w:szCs w:val="22"/>
        </w:rPr>
      </w:pPr>
      <w:r w:rsidRPr="00FE5F88">
        <w:rPr>
          <w:rFonts w:ascii="Arial" w:hAnsi="Arial" w:cs="Arial"/>
          <w:sz w:val="22"/>
          <w:szCs w:val="22"/>
        </w:rPr>
        <w:t>Partnership working refers to collaboration between multiple stakeholders, including NHS services, social care, voluntary organisations, carers, and service users (NHS England, 2019).</w:t>
      </w:r>
      <w:r w:rsidRPr="00FE5F88">
        <w:rPr>
          <w:rFonts w:ascii="Arial" w:hAnsi="Arial" w:cs="Arial"/>
          <w:sz w:val="22"/>
          <w:szCs w:val="22"/>
        </w:rPr>
        <w:br/>
        <w:t xml:space="preserve">In mental health services, individuals often require support from multiple agencies simultaneously, making partnership working essential. This ensures that care is delivered in </w:t>
      </w:r>
      <w:r w:rsidRPr="00FE5F88">
        <w:rPr>
          <w:rFonts w:ascii="Arial" w:hAnsi="Arial" w:cs="Arial"/>
          <w:sz w:val="22"/>
          <w:szCs w:val="22"/>
        </w:rPr>
        <w:lastRenderedPageBreak/>
        <w:t>a coordinated and consistent way, reducing fragmentation and improving overall service user experience. It also allows professionals to share information appropriately, develop joint care plans, and respond more effectively to complex and changing needs. Effective partnership working strengthens continuity of care and promotes better recovery outcomes by ensuring that both clinical treatment and social support needs are fully addressed in an integrated manner.</w:t>
      </w:r>
    </w:p>
    <w:p w14:paraId="7933D552" w14:textId="74B8C2C2" w:rsidR="0027625E" w:rsidRPr="00FE5F88" w:rsidRDefault="0027625E" w:rsidP="005C5ACD">
      <w:pPr>
        <w:spacing w:line="360" w:lineRule="auto"/>
        <w:jc w:val="both"/>
        <w:rPr>
          <w:rFonts w:ascii="Arial" w:hAnsi="Arial" w:cs="Arial"/>
          <w:sz w:val="22"/>
          <w:szCs w:val="22"/>
        </w:rPr>
      </w:pPr>
    </w:p>
    <w:p w14:paraId="65EABE74" w14:textId="77777777" w:rsidR="00307E2A" w:rsidRPr="00FE5F88" w:rsidRDefault="00307E2A" w:rsidP="005C5ACD">
      <w:pPr>
        <w:spacing w:line="360" w:lineRule="auto"/>
        <w:jc w:val="both"/>
        <w:rPr>
          <w:rFonts w:ascii="Arial" w:hAnsi="Arial" w:cs="Arial"/>
          <w:sz w:val="22"/>
          <w:szCs w:val="22"/>
        </w:rPr>
      </w:pPr>
    </w:p>
    <w:p w14:paraId="08E69BF4" w14:textId="77777777" w:rsidR="00307E2A" w:rsidRPr="00FE5F88" w:rsidRDefault="00307E2A" w:rsidP="005C5ACD">
      <w:pPr>
        <w:spacing w:line="360" w:lineRule="auto"/>
        <w:jc w:val="both"/>
        <w:rPr>
          <w:rFonts w:ascii="Arial" w:hAnsi="Arial" w:cs="Arial"/>
          <w:sz w:val="22"/>
          <w:szCs w:val="22"/>
        </w:rPr>
      </w:pPr>
    </w:p>
    <w:p w14:paraId="77A53264" w14:textId="79994B31"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Benefits of partnership working</w:t>
      </w:r>
    </w:p>
    <w:p w14:paraId="178B2F13"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Effective partnership working improves coordination of care and reduces service duplication. It also ensures holistic support addressing medical, psychological, and social needs (The King’s Fund, 2020).</w:t>
      </w:r>
    </w:p>
    <w:p w14:paraId="5199B269"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Another benefit is improved safeguarding, as information sharing between agencies allows for earlier intervention and risk management.</w:t>
      </w:r>
    </w:p>
    <w:p w14:paraId="105E3D11"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The Triangle of Care model highlights the importance of including carers alongside professionals and service users, improving communication and outcomes (Mind, 2023).</w:t>
      </w:r>
    </w:p>
    <w:p w14:paraId="0A595D44"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Challenges of partnership working</w:t>
      </w:r>
    </w:p>
    <w:p w14:paraId="215BB400"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Despite its benefits, partnership working can be difficult due to communication barriers between agencies, differing organisational priorities, and confidentiality concerns (SCIE, 2024).</w:t>
      </w:r>
    </w:p>
    <w:p w14:paraId="5615239D"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Fragmented care pathways can also lead to inconsistent support, particularly when services are under pressure or poorly integrated.</w:t>
      </w:r>
    </w:p>
    <w:p w14:paraId="0404200C" w14:textId="347EB1DE" w:rsidR="0027625E" w:rsidRPr="00FE5F88" w:rsidRDefault="0027625E" w:rsidP="005C5ACD">
      <w:pPr>
        <w:spacing w:line="360" w:lineRule="auto"/>
        <w:rPr>
          <w:rFonts w:ascii="Arial" w:hAnsi="Arial" w:cs="Arial"/>
          <w:sz w:val="22"/>
          <w:szCs w:val="22"/>
        </w:rPr>
      </w:pPr>
    </w:p>
    <w:p w14:paraId="2D4E0FF4" w14:textId="4682D743"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Application in Practice: Community Mental Health Teams (CMHTs)</w:t>
      </w:r>
    </w:p>
    <w:p w14:paraId="26C6C1D5"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A key example of PCC and PW in practice is the Community Mental Health Team (CMHT) model.</w:t>
      </w:r>
    </w:p>
    <w:p w14:paraId="3206D914"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CMHTs consist of multidisciplinary professionals including psychiatrists, nurses, psychologists, occupational therapists, and social workers working collaboratively to support service users (NHS England, 2019).</w:t>
      </w:r>
    </w:p>
    <w:p w14:paraId="4BC29FCB"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lastRenderedPageBreak/>
        <w:t>For example, a person with severe depression may receive:</w:t>
      </w:r>
    </w:p>
    <w:p w14:paraId="04790C30" w14:textId="77777777" w:rsidR="0027625E" w:rsidRPr="00FE5F88" w:rsidRDefault="0027625E" w:rsidP="005C5ACD">
      <w:pPr>
        <w:numPr>
          <w:ilvl w:val="0"/>
          <w:numId w:val="1"/>
        </w:numPr>
        <w:spacing w:line="360" w:lineRule="auto"/>
        <w:rPr>
          <w:rFonts w:ascii="Arial" w:hAnsi="Arial" w:cs="Arial"/>
          <w:sz w:val="22"/>
          <w:szCs w:val="22"/>
        </w:rPr>
      </w:pPr>
      <w:r w:rsidRPr="00FE5F88">
        <w:rPr>
          <w:rFonts w:ascii="Arial" w:hAnsi="Arial" w:cs="Arial"/>
          <w:sz w:val="22"/>
          <w:szCs w:val="22"/>
        </w:rPr>
        <w:t xml:space="preserve">Psychiatric assessment and medication management </w:t>
      </w:r>
    </w:p>
    <w:p w14:paraId="32D52DF5" w14:textId="77777777" w:rsidR="0027625E" w:rsidRPr="00FE5F88" w:rsidRDefault="0027625E" w:rsidP="005C5ACD">
      <w:pPr>
        <w:numPr>
          <w:ilvl w:val="0"/>
          <w:numId w:val="1"/>
        </w:numPr>
        <w:spacing w:line="360" w:lineRule="auto"/>
        <w:rPr>
          <w:rFonts w:ascii="Arial" w:hAnsi="Arial" w:cs="Arial"/>
          <w:sz w:val="22"/>
          <w:szCs w:val="22"/>
        </w:rPr>
      </w:pPr>
      <w:r w:rsidRPr="00FE5F88">
        <w:rPr>
          <w:rFonts w:ascii="Arial" w:hAnsi="Arial" w:cs="Arial"/>
          <w:sz w:val="22"/>
          <w:szCs w:val="22"/>
        </w:rPr>
        <w:t xml:space="preserve">Psychological therapy such as Cognitive Behavioural Therapy (CBT) </w:t>
      </w:r>
    </w:p>
    <w:p w14:paraId="3750E366" w14:textId="77777777" w:rsidR="0027625E" w:rsidRPr="00FE5F88" w:rsidRDefault="0027625E" w:rsidP="005C5ACD">
      <w:pPr>
        <w:numPr>
          <w:ilvl w:val="0"/>
          <w:numId w:val="1"/>
        </w:numPr>
        <w:spacing w:line="360" w:lineRule="auto"/>
        <w:rPr>
          <w:rFonts w:ascii="Arial" w:hAnsi="Arial" w:cs="Arial"/>
          <w:sz w:val="22"/>
          <w:szCs w:val="22"/>
        </w:rPr>
      </w:pPr>
      <w:r w:rsidRPr="00FE5F88">
        <w:rPr>
          <w:rFonts w:ascii="Arial" w:hAnsi="Arial" w:cs="Arial"/>
          <w:sz w:val="22"/>
          <w:szCs w:val="22"/>
        </w:rPr>
        <w:t xml:space="preserve">Social support for housing and employment </w:t>
      </w:r>
    </w:p>
    <w:p w14:paraId="3530A043" w14:textId="77777777" w:rsidR="0027625E" w:rsidRPr="00FE5F88" w:rsidRDefault="0027625E" w:rsidP="005C5ACD">
      <w:pPr>
        <w:numPr>
          <w:ilvl w:val="0"/>
          <w:numId w:val="1"/>
        </w:numPr>
        <w:spacing w:line="360" w:lineRule="auto"/>
        <w:rPr>
          <w:rFonts w:ascii="Arial" w:hAnsi="Arial" w:cs="Arial"/>
          <w:sz w:val="22"/>
          <w:szCs w:val="22"/>
        </w:rPr>
      </w:pPr>
      <w:r w:rsidRPr="00FE5F88">
        <w:rPr>
          <w:rFonts w:ascii="Arial" w:hAnsi="Arial" w:cs="Arial"/>
          <w:sz w:val="22"/>
          <w:szCs w:val="22"/>
        </w:rPr>
        <w:t xml:space="preserve">Family involvement where appropriate </w:t>
      </w:r>
    </w:p>
    <w:p w14:paraId="25810CDF" w14:textId="77777777" w:rsidR="0027625E" w:rsidRPr="00FE5F88" w:rsidRDefault="0027625E" w:rsidP="005C5ACD">
      <w:pPr>
        <w:numPr>
          <w:ilvl w:val="0"/>
          <w:numId w:val="1"/>
        </w:numPr>
        <w:spacing w:line="360" w:lineRule="auto"/>
        <w:rPr>
          <w:rFonts w:ascii="Arial" w:hAnsi="Arial" w:cs="Arial"/>
          <w:sz w:val="22"/>
          <w:szCs w:val="22"/>
        </w:rPr>
      </w:pPr>
      <w:r w:rsidRPr="00FE5F88">
        <w:rPr>
          <w:rFonts w:ascii="Arial" w:hAnsi="Arial" w:cs="Arial"/>
          <w:sz w:val="22"/>
          <w:szCs w:val="22"/>
        </w:rPr>
        <w:t xml:space="preserve">Crisis planning and risk management </w:t>
      </w:r>
    </w:p>
    <w:p w14:paraId="62D79B61"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This demonstrates PCC through personalised care planning and PW through coordinated multidisciplinary input.</w:t>
      </w:r>
    </w:p>
    <w:p w14:paraId="0470C650"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The Care Programme Approach (CPA) strengthens this by ensuring regular reviews and structured communication between services (Department of Health, 2007).</w:t>
      </w:r>
    </w:p>
    <w:p w14:paraId="75749804"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However, high caseloads and workforce shortages often reduce continuity of care, limiting the effectiveness of CMHTs (The King’s Fund, 2020).</w:t>
      </w:r>
    </w:p>
    <w:p w14:paraId="14F8D10F" w14:textId="584F1556" w:rsidR="0027625E" w:rsidRPr="00FE5F88" w:rsidRDefault="0027625E" w:rsidP="005C5ACD">
      <w:pPr>
        <w:spacing w:line="360" w:lineRule="auto"/>
        <w:rPr>
          <w:rFonts w:ascii="Arial" w:hAnsi="Arial" w:cs="Arial"/>
          <w:sz w:val="22"/>
          <w:szCs w:val="22"/>
        </w:rPr>
      </w:pPr>
    </w:p>
    <w:p w14:paraId="2878ECD0" w14:textId="2489051A"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Policy and Legislation</w:t>
      </w:r>
    </w:p>
    <w:p w14:paraId="4221C287"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Several key UK policies and laws support PCC and partnership working in mental health services:</w:t>
      </w:r>
    </w:p>
    <w:p w14:paraId="24307C27" w14:textId="77777777" w:rsidR="0027625E" w:rsidRPr="00FE5F88" w:rsidRDefault="0027625E" w:rsidP="005C5ACD">
      <w:pPr>
        <w:numPr>
          <w:ilvl w:val="0"/>
          <w:numId w:val="2"/>
        </w:numPr>
        <w:spacing w:line="360" w:lineRule="auto"/>
        <w:rPr>
          <w:rFonts w:ascii="Arial" w:hAnsi="Arial" w:cs="Arial"/>
          <w:sz w:val="22"/>
          <w:szCs w:val="22"/>
        </w:rPr>
      </w:pPr>
      <w:r w:rsidRPr="00FE5F88">
        <w:rPr>
          <w:rFonts w:ascii="Arial" w:hAnsi="Arial" w:cs="Arial"/>
          <w:sz w:val="22"/>
          <w:szCs w:val="22"/>
        </w:rPr>
        <w:t xml:space="preserve">Care Act 2014 – promotes wellbeing, prevention, and personalised care (Department of Health and Social Care, 2014). </w:t>
      </w:r>
    </w:p>
    <w:p w14:paraId="7317A61A" w14:textId="77777777" w:rsidR="0027625E" w:rsidRPr="00FE5F88" w:rsidRDefault="0027625E" w:rsidP="005C5ACD">
      <w:pPr>
        <w:numPr>
          <w:ilvl w:val="0"/>
          <w:numId w:val="2"/>
        </w:numPr>
        <w:spacing w:line="360" w:lineRule="auto"/>
        <w:rPr>
          <w:rFonts w:ascii="Arial" w:hAnsi="Arial" w:cs="Arial"/>
          <w:sz w:val="22"/>
          <w:szCs w:val="22"/>
        </w:rPr>
      </w:pPr>
      <w:r w:rsidRPr="00FE5F88">
        <w:rPr>
          <w:rFonts w:ascii="Arial" w:hAnsi="Arial" w:cs="Arial"/>
          <w:sz w:val="22"/>
          <w:szCs w:val="22"/>
        </w:rPr>
        <w:t xml:space="preserve">Mental Health Act 1983 (amended 2007) – governs compulsory treatment and detention (Department of Health, 2007). </w:t>
      </w:r>
    </w:p>
    <w:p w14:paraId="6D4C2DA7" w14:textId="77777777" w:rsidR="0027625E" w:rsidRPr="00FE5F88" w:rsidRDefault="0027625E" w:rsidP="005C5ACD">
      <w:pPr>
        <w:numPr>
          <w:ilvl w:val="0"/>
          <w:numId w:val="2"/>
        </w:numPr>
        <w:spacing w:line="360" w:lineRule="auto"/>
        <w:rPr>
          <w:rFonts w:ascii="Arial" w:hAnsi="Arial" w:cs="Arial"/>
          <w:sz w:val="22"/>
          <w:szCs w:val="22"/>
        </w:rPr>
      </w:pPr>
      <w:r w:rsidRPr="00FE5F88">
        <w:rPr>
          <w:rFonts w:ascii="Arial" w:hAnsi="Arial" w:cs="Arial"/>
          <w:sz w:val="22"/>
          <w:szCs w:val="22"/>
        </w:rPr>
        <w:t xml:space="preserve">Mental Capacity Act 2005 – supports decision-making and best-interest principles (Department of Health, 2005). </w:t>
      </w:r>
    </w:p>
    <w:p w14:paraId="1E804366" w14:textId="77777777" w:rsidR="0027625E" w:rsidRPr="00FE5F88" w:rsidRDefault="0027625E" w:rsidP="005C5ACD">
      <w:pPr>
        <w:numPr>
          <w:ilvl w:val="0"/>
          <w:numId w:val="2"/>
        </w:numPr>
        <w:spacing w:line="360" w:lineRule="auto"/>
        <w:rPr>
          <w:rFonts w:ascii="Arial" w:hAnsi="Arial" w:cs="Arial"/>
          <w:sz w:val="22"/>
          <w:szCs w:val="22"/>
        </w:rPr>
      </w:pPr>
      <w:r w:rsidRPr="00FE5F88">
        <w:rPr>
          <w:rFonts w:ascii="Arial" w:hAnsi="Arial" w:cs="Arial"/>
          <w:sz w:val="22"/>
          <w:szCs w:val="22"/>
        </w:rPr>
        <w:t xml:space="preserve">NHS Long Term Plan (2019) – promotes integrated, community-based mental health care (NHS England, 2019). </w:t>
      </w:r>
    </w:p>
    <w:p w14:paraId="39A670E7" w14:textId="77777777" w:rsidR="0027625E" w:rsidRPr="00FE5F88" w:rsidRDefault="0027625E" w:rsidP="005C5ACD">
      <w:pPr>
        <w:numPr>
          <w:ilvl w:val="0"/>
          <w:numId w:val="2"/>
        </w:numPr>
        <w:spacing w:line="360" w:lineRule="auto"/>
        <w:rPr>
          <w:rFonts w:ascii="Arial" w:hAnsi="Arial" w:cs="Arial"/>
          <w:sz w:val="22"/>
          <w:szCs w:val="22"/>
        </w:rPr>
      </w:pPr>
      <w:r w:rsidRPr="00FE5F88">
        <w:rPr>
          <w:rFonts w:ascii="Arial" w:hAnsi="Arial" w:cs="Arial"/>
          <w:sz w:val="22"/>
          <w:szCs w:val="22"/>
        </w:rPr>
        <w:t xml:space="preserve">NICE Guidelines (2021–2022) – emphasise recovery-focused and person-centred care (NICE, 2021). </w:t>
      </w:r>
    </w:p>
    <w:p w14:paraId="41462762"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These policies aim to improve integration, enhance patient involvement, and ensure safe and effective mental health services.</w:t>
      </w:r>
    </w:p>
    <w:p w14:paraId="3B61AFCC" w14:textId="50D2E425" w:rsidR="0027625E" w:rsidRPr="00FE5F88" w:rsidRDefault="0027625E" w:rsidP="005C5ACD">
      <w:pPr>
        <w:spacing w:line="360" w:lineRule="auto"/>
        <w:rPr>
          <w:rFonts w:ascii="Arial" w:hAnsi="Arial" w:cs="Arial"/>
          <w:sz w:val="22"/>
          <w:szCs w:val="22"/>
        </w:rPr>
      </w:pPr>
    </w:p>
    <w:p w14:paraId="79BD2E97" w14:textId="77777777" w:rsidR="00E53401" w:rsidRDefault="00E53401" w:rsidP="005C5ACD">
      <w:pPr>
        <w:spacing w:line="360" w:lineRule="auto"/>
        <w:rPr>
          <w:rFonts w:ascii="Arial" w:hAnsi="Arial" w:cs="Arial"/>
          <w:sz w:val="22"/>
          <w:szCs w:val="22"/>
        </w:rPr>
      </w:pPr>
    </w:p>
    <w:p w14:paraId="50019340" w14:textId="77777777" w:rsidR="00E53401" w:rsidRDefault="00E53401" w:rsidP="005C5ACD">
      <w:pPr>
        <w:spacing w:line="360" w:lineRule="auto"/>
        <w:rPr>
          <w:rFonts w:ascii="Arial" w:hAnsi="Arial" w:cs="Arial"/>
          <w:sz w:val="22"/>
          <w:szCs w:val="22"/>
        </w:rPr>
      </w:pPr>
    </w:p>
    <w:p w14:paraId="2DA1ECBE" w14:textId="37956F2B"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Recommendations</w:t>
      </w:r>
    </w:p>
    <w:p w14:paraId="38040160"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To improve PCC and partnership working in UK mental health services, the following recommendations are made:</w:t>
      </w:r>
    </w:p>
    <w:p w14:paraId="0CB59D3D" w14:textId="77777777" w:rsidR="0027625E" w:rsidRPr="00FE5F88" w:rsidRDefault="0027625E" w:rsidP="005C5ACD">
      <w:pPr>
        <w:numPr>
          <w:ilvl w:val="0"/>
          <w:numId w:val="3"/>
        </w:numPr>
        <w:spacing w:line="360" w:lineRule="auto"/>
        <w:rPr>
          <w:rFonts w:ascii="Arial" w:hAnsi="Arial" w:cs="Arial"/>
          <w:sz w:val="22"/>
          <w:szCs w:val="22"/>
        </w:rPr>
      </w:pPr>
      <w:r w:rsidRPr="00FE5F88">
        <w:rPr>
          <w:rFonts w:ascii="Arial" w:hAnsi="Arial" w:cs="Arial"/>
          <w:sz w:val="22"/>
          <w:szCs w:val="22"/>
        </w:rPr>
        <w:t xml:space="preserve">Increase funding and staffing to reduce caseload pressures (The King’s Fund, 2020) </w:t>
      </w:r>
    </w:p>
    <w:p w14:paraId="2E5DED13" w14:textId="77777777" w:rsidR="0027625E" w:rsidRPr="00FE5F88" w:rsidRDefault="0027625E" w:rsidP="005C5ACD">
      <w:pPr>
        <w:numPr>
          <w:ilvl w:val="0"/>
          <w:numId w:val="3"/>
        </w:numPr>
        <w:spacing w:line="360" w:lineRule="auto"/>
        <w:rPr>
          <w:rFonts w:ascii="Arial" w:hAnsi="Arial" w:cs="Arial"/>
          <w:sz w:val="22"/>
          <w:szCs w:val="22"/>
        </w:rPr>
      </w:pPr>
      <w:r w:rsidRPr="00FE5F88">
        <w:rPr>
          <w:rFonts w:ascii="Arial" w:hAnsi="Arial" w:cs="Arial"/>
          <w:sz w:val="22"/>
          <w:szCs w:val="22"/>
        </w:rPr>
        <w:t xml:space="preserve">Improve inter-agency communication systems across NHS and social care </w:t>
      </w:r>
    </w:p>
    <w:p w14:paraId="645CC96B" w14:textId="77777777" w:rsidR="0027625E" w:rsidRPr="00FE5F88" w:rsidRDefault="0027625E" w:rsidP="005C5ACD">
      <w:pPr>
        <w:numPr>
          <w:ilvl w:val="0"/>
          <w:numId w:val="3"/>
        </w:numPr>
        <w:spacing w:line="360" w:lineRule="auto"/>
        <w:rPr>
          <w:rFonts w:ascii="Arial" w:hAnsi="Arial" w:cs="Arial"/>
          <w:sz w:val="22"/>
          <w:szCs w:val="22"/>
        </w:rPr>
      </w:pPr>
      <w:r w:rsidRPr="00FE5F88">
        <w:rPr>
          <w:rFonts w:ascii="Arial" w:hAnsi="Arial" w:cs="Arial"/>
          <w:sz w:val="22"/>
          <w:szCs w:val="22"/>
        </w:rPr>
        <w:t xml:space="preserve">Strengthen service user and carer involvement in care planning (Mind, 2023) </w:t>
      </w:r>
    </w:p>
    <w:p w14:paraId="56A7EDB4" w14:textId="77777777" w:rsidR="0027625E" w:rsidRPr="00FE5F88" w:rsidRDefault="0027625E" w:rsidP="005C5ACD">
      <w:pPr>
        <w:numPr>
          <w:ilvl w:val="0"/>
          <w:numId w:val="3"/>
        </w:numPr>
        <w:spacing w:line="360" w:lineRule="auto"/>
        <w:rPr>
          <w:rFonts w:ascii="Arial" w:hAnsi="Arial" w:cs="Arial"/>
          <w:sz w:val="22"/>
          <w:szCs w:val="22"/>
        </w:rPr>
      </w:pPr>
      <w:r w:rsidRPr="00FE5F88">
        <w:rPr>
          <w:rFonts w:ascii="Arial" w:hAnsi="Arial" w:cs="Arial"/>
          <w:sz w:val="22"/>
          <w:szCs w:val="22"/>
        </w:rPr>
        <w:t xml:space="preserve">Expand trauma-informed and recovery-focused training for staff </w:t>
      </w:r>
    </w:p>
    <w:p w14:paraId="0356F872" w14:textId="77777777" w:rsidR="0027625E" w:rsidRPr="00FE5F88" w:rsidRDefault="0027625E" w:rsidP="005C5ACD">
      <w:pPr>
        <w:numPr>
          <w:ilvl w:val="0"/>
          <w:numId w:val="3"/>
        </w:numPr>
        <w:spacing w:line="360" w:lineRule="auto"/>
        <w:rPr>
          <w:rFonts w:ascii="Arial" w:hAnsi="Arial" w:cs="Arial"/>
          <w:sz w:val="22"/>
          <w:szCs w:val="22"/>
        </w:rPr>
      </w:pPr>
      <w:r w:rsidRPr="00FE5F88">
        <w:rPr>
          <w:rFonts w:ascii="Arial" w:hAnsi="Arial" w:cs="Arial"/>
          <w:sz w:val="22"/>
          <w:szCs w:val="22"/>
        </w:rPr>
        <w:t xml:space="preserve">Improve digital integration of health records across services </w:t>
      </w:r>
    </w:p>
    <w:p w14:paraId="3A85F007" w14:textId="77777777" w:rsidR="0027625E" w:rsidRPr="00FE5F88" w:rsidRDefault="0027625E" w:rsidP="005C5ACD">
      <w:pPr>
        <w:numPr>
          <w:ilvl w:val="0"/>
          <w:numId w:val="3"/>
        </w:numPr>
        <w:spacing w:line="360" w:lineRule="auto"/>
        <w:rPr>
          <w:rFonts w:ascii="Arial" w:hAnsi="Arial" w:cs="Arial"/>
          <w:sz w:val="22"/>
          <w:szCs w:val="22"/>
        </w:rPr>
      </w:pPr>
      <w:r w:rsidRPr="00FE5F88">
        <w:rPr>
          <w:rFonts w:ascii="Arial" w:hAnsi="Arial" w:cs="Arial"/>
          <w:sz w:val="22"/>
          <w:szCs w:val="22"/>
        </w:rPr>
        <w:t xml:space="preserve">Increase early intervention services to reduce crisis admissions </w:t>
      </w:r>
    </w:p>
    <w:p w14:paraId="3F560260" w14:textId="77777777" w:rsidR="0027625E" w:rsidRPr="00FE5F88" w:rsidRDefault="0027625E" w:rsidP="005C5ACD">
      <w:pPr>
        <w:spacing w:line="360" w:lineRule="auto"/>
        <w:rPr>
          <w:rFonts w:ascii="Arial" w:hAnsi="Arial" w:cs="Arial"/>
          <w:sz w:val="22"/>
          <w:szCs w:val="22"/>
        </w:rPr>
      </w:pPr>
      <w:r w:rsidRPr="00FE5F88">
        <w:rPr>
          <w:rFonts w:ascii="Arial" w:hAnsi="Arial" w:cs="Arial"/>
          <w:sz w:val="22"/>
          <w:szCs w:val="22"/>
        </w:rPr>
        <w:t>These improvements would enhance recovery outcomes and service user experience.</w:t>
      </w:r>
    </w:p>
    <w:p w14:paraId="61A601CD" w14:textId="42D1CB40" w:rsidR="0027625E" w:rsidRPr="00FE5F88" w:rsidRDefault="0027625E" w:rsidP="005C5ACD">
      <w:pPr>
        <w:spacing w:line="360" w:lineRule="auto"/>
        <w:rPr>
          <w:rFonts w:ascii="Arial" w:hAnsi="Arial" w:cs="Arial"/>
          <w:sz w:val="22"/>
          <w:szCs w:val="22"/>
        </w:rPr>
      </w:pPr>
    </w:p>
    <w:p w14:paraId="14653B97" w14:textId="7AD68B5A" w:rsidR="001F0067" w:rsidRPr="00FE5F88" w:rsidRDefault="001F0067" w:rsidP="005C5ACD">
      <w:pPr>
        <w:spacing w:line="360" w:lineRule="auto"/>
        <w:rPr>
          <w:rFonts w:ascii="Arial" w:hAnsi="Arial" w:cs="Arial"/>
          <w:sz w:val="22"/>
          <w:szCs w:val="22"/>
        </w:rPr>
      </w:pPr>
      <w:r w:rsidRPr="00FE5F88">
        <w:rPr>
          <w:rFonts w:ascii="Arial" w:hAnsi="Arial" w:cs="Arial"/>
          <w:sz w:val="22"/>
          <w:szCs w:val="22"/>
        </w:rPr>
        <w:t>Conclusion</w:t>
      </w:r>
    </w:p>
    <w:p w14:paraId="0AABCCED" w14:textId="77777777" w:rsidR="001F0067" w:rsidRPr="00FE5F88" w:rsidRDefault="001F0067" w:rsidP="005C5ACD">
      <w:pPr>
        <w:spacing w:line="360" w:lineRule="auto"/>
        <w:rPr>
          <w:rFonts w:ascii="Arial" w:hAnsi="Arial" w:cs="Arial"/>
          <w:sz w:val="22"/>
          <w:szCs w:val="22"/>
        </w:rPr>
      </w:pPr>
      <w:r w:rsidRPr="00FE5F88">
        <w:rPr>
          <w:rFonts w:ascii="Arial" w:hAnsi="Arial" w:cs="Arial"/>
          <w:sz w:val="22"/>
          <w:szCs w:val="22"/>
        </w:rPr>
        <w:t>Person-centred care and partnership working are essential principles within UK mental health services. PCC ensures individuals are treated with dignity and actively involved in decisions about their care, while partnership working enables coordinated and holistic support across multiple agencies.</w:t>
      </w:r>
      <w:r w:rsidRPr="00FE5F88">
        <w:rPr>
          <w:rFonts w:ascii="Arial" w:hAnsi="Arial" w:cs="Arial"/>
          <w:sz w:val="22"/>
          <w:szCs w:val="22"/>
        </w:rPr>
        <w:br/>
        <w:t>The recovery model provides a strong theoretical foundation, emphasising empowerment, hope, and personal meaning. However, challenges such as limited resources, workforce pressures, and fragmented services can reduce effectiveness in practice.</w:t>
      </w:r>
      <w:r w:rsidRPr="00FE5F88">
        <w:rPr>
          <w:rFonts w:ascii="Arial" w:hAnsi="Arial" w:cs="Arial"/>
          <w:sz w:val="22"/>
          <w:szCs w:val="22"/>
        </w:rPr>
        <w:br/>
        <w:t>Ethical principles guide decision-making in complex situations where autonomy, safety, and fairness must be balanced. Policy frameworks such as the Care Act 2014 and NHS Long Term Plan reinforce the importance of integrated and person-centred mental health care.</w:t>
      </w:r>
      <w:r w:rsidRPr="00FE5F88">
        <w:rPr>
          <w:rFonts w:ascii="Arial" w:hAnsi="Arial" w:cs="Arial"/>
          <w:sz w:val="22"/>
          <w:szCs w:val="22"/>
        </w:rPr>
        <w:br/>
        <w:t>Overall, strengthening PCC and partnership working is essential for improving recovery outcomes, reducing health inequalities, and delivering high-quality mental health services across the UK.</w:t>
      </w:r>
    </w:p>
    <w:p w14:paraId="7BE154FE" w14:textId="77777777" w:rsidR="001F0067" w:rsidRPr="00FE5F88" w:rsidRDefault="001F0067" w:rsidP="005C5ACD">
      <w:pPr>
        <w:spacing w:line="360" w:lineRule="auto"/>
        <w:rPr>
          <w:rFonts w:ascii="Arial" w:hAnsi="Arial" w:cs="Arial"/>
          <w:sz w:val="22"/>
          <w:szCs w:val="22"/>
        </w:rPr>
      </w:pPr>
      <w:r w:rsidRPr="00FE5F88">
        <w:rPr>
          <w:rFonts w:ascii="Arial" w:hAnsi="Arial" w:cs="Arial"/>
          <w:sz w:val="22"/>
          <w:szCs w:val="22"/>
        </w:rPr>
        <w:t xml:space="preserve">In addition, future improvements in mental health services should focus on strengthening early intervention and preventative approaches to reduce the need for crisis-based care. Early support can significantly improve long-term outcomes by identifying mental health needs before they escalate into severe conditions. Greater investment in community-based </w:t>
      </w:r>
      <w:r w:rsidRPr="00FE5F88">
        <w:rPr>
          <w:rFonts w:ascii="Arial" w:hAnsi="Arial" w:cs="Arial"/>
          <w:sz w:val="22"/>
          <w:szCs w:val="22"/>
        </w:rPr>
        <w:lastRenderedPageBreak/>
        <w:t>services would also reduce pressure on inpatient units and support more sustainable care delivery. Furthermore, improving workforce training in trauma-informed and culturally competent care is essential to ensure that services meet the diverse needs of the UK population.</w:t>
      </w:r>
    </w:p>
    <w:p w14:paraId="0E869D9F" w14:textId="77777777" w:rsidR="001F0067" w:rsidRPr="00FE5F88" w:rsidRDefault="001F0067" w:rsidP="005C5ACD">
      <w:pPr>
        <w:spacing w:line="360" w:lineRule="auto"/>
        <w:rPr>
          <w:rFonts w:ascii="Arial" w:hAnsi="Arial" w:cs="Arial"/>
          <w:sz w:val="22"/>
          <w:szCs w:val="22"/>
        </w:rPr>
      </w:pPr>
      <w:r w:rsidRPr="00FE5F88">
        <w:rPr>
          <w:rFonts w:ascii="Arial" w:hAnsi="Arial" w:cs="Arial"/>
          <w:sz w:val="22"/>
          <w:szCs w:val="22"/>
        </w:rPr>
        <w:t>Digital innovation also has an important role in enhancing access to mental health support, particularly through online therapy platforms, remote monitoring, and improved electronic record sharing between services. These developments can strengthen communication and improve continuity of care across agencies. However, it is essential that digital services are used alongside face-to-face support to ensure inclusivity for individuals who may face barriers to technology.</w:t>
      </w:r>
    </w:p>
    <w:p w14:paraId="5D598E4A" w14:textId="77777777" w:rsidR="001F0067" w:rsidRPr="00FE5F88" w:rsidRDefault="001F0067" w:rsidP="005C5ACD">
      <w:pPr>
        <w:spacing w:line="360" w:lineRule="auto"/>
        <w:rPr>
          <w:rFonts w:ascii="Arial" w:hAnsi="Arial" w:cs="Arial"/>
          <w:sz w:val="22"/>
          <w:szCs w:val="22"/>
        </w:rPr>
      </w:pPr>
      <w:r w:rsidRPr="00FE5F88">
        <w:rPr>
          <w:rFonts w:ascii="Arial" w:hAnsi="Arial" w:cs="Arial"/>
          <w:sz w:val="22"/>
          <w:szCs w:val="22"/>
        </w:rPr>
        <w:t>Overall, continued development of integrated, person-centred, and collaborative mental health services is vital for creating a more effective and equitable system of care.</w:t>
      </w:r>
    </w:p>
    <w:p w14:paraId="393EC57B" w14:textId="77777777" w:rsidR="001F0067" w:rsidRDefault="001F0067" w:rsidP="005C5ACD">
      <w:pPr>
        <w:spacing w:line="360" w:lineRule="auto"/>
        <w:rPr>
          <w:b/>
          <w:bCs/>
        </w:rPr>
      </w:pPr>
    </w:p>
    <w:p w14:paraId="6E869560" w14:textId="7EBDEC6D" w:rsidR="0027625E" w:rsidRPr="0027625E" w:rsidRDefault="0027625E" w:rsidP="005C5ACD">
      <w:pPr>
        <w:spacing w:line="360" w:lineRule="auto"/>
      </w:pPr>
    </w:p>
    <w:p w14:paraId="40E40DBD" w14:textId="24151ACB" w:rsidR="0027625E" w:rsidRPr="0027625E" w:rsidRDefault="0027625E" w:rsidP="005C5ACD">
      <w:pPr>
        <w:spacing w:line="360" w:lineRule="auto"/>
      </w:pPr>
    </w:p>
    <w:p w14:paraId="1DB1D876" w14:textId="77777777" w:rsidR="00947996" w:rsidRDefault="00947996" w:rsidP="005C5ACD">
      <w:pPr>
        <w:spacing w:line="360" w:lineRule="auto"/>
        <w:rPr>
          <w:b/>
          <w:bCs/>
        </w:rPr>
      </w:pPr>
    </w:p>
    <w:p w14:paraId="6297C512" w14:textId="77777777" w:rsidR="00E53401" w:rsidRDefault="0027625E" w:rsidP="005C5ACD">
      <w:pPr>
        <w:spacing w:line="360" w:lineRule="auto"/>
        <w:rPr>
          <w:b/>
          <w:bCs/>
        </w:rPr>
      </w:pPr>
      <w:r w:rsidRPr="0027625E">
        <w:rPr>
          <w:b/>
          <w:bCs/>
        </w:rPr>
        <w:t xml:space="preserve"> </w:t>
      </w:r>
    </w:p>
    <w:p w14:paraId="33319539" w14:textId="77777777" w:rsidR="00E53401" w:rsidRDefault="00E53401" w:rsidP="005C5ACD">
      <w:pPr>
        <w:spacing w:line="360" w:lineRule="auto"/>
        <w:rPr>
          <w:b/>
          <w:bCs/>
        </w:rPr>
      </w:pPr>
    </w:p>
    <w:p w14:paraId="17E48F91" w14:textId="77777777" w:rsidR="00E53401" w:rsidRDefault="00E53401" w:rsidP="005C5ACD">
      <w:pPr>
        <w:spacing w:line="360" w:lineRule="auto"/>
        <w:rPr>
          <w:b/>
          <w:bCs/>
        </w:rPr>
      </w:pPr>
    </w:p>
    <w:p w14:paraId="46290D3C" w14:textId="77777777" w:rsidR="00E53401" w:rsidRDefault="00E53401" w:rsidP="005C5ACD">
      <w:pPr>
        <w:spacing w:line="360" w:lineRule="auto"/>
        <w:rPr>
          <w:b/>
          <w:bCs/>
        </w:rPr>
      </w:pPr>
    </w:p>
    <w:p w14:paraId="4634A182" w14:textId="77777777" w:rsidR="00E53401" w:rsidRDefault="00E53401" w:rsidP="005C5ACD">
      <w:pPr>
        <w:spacing w:line="360" w:lineRule="auto"/>
        <w:rPr>
          <w:b/>
          <w:bCs/>
        </w:rPr>
      </w:pPr>
    </w:p>
    <w:p w14:paraId="5E3C4995" w14:textId="77777777" w:rsidR="00E53401" w:rsidRDefault="00E53401" w:rsidP="005C5ACD">
      <w:pPr>
        <w:spacing w:line="360" w:lineRule="auto"/>
        <w:rPr>
          <w:b/>
          <w:bCs/>
        </w:rPr>
      </w:pPr>
    </w:p>
    <w:p w14:paraId="2AC6ED62" w14:textId="77777777" w:rsidR="00E53401" w:rsidRDefault="00E53401" w:rsidP="005C5ACD">
      <w:pPr>
        <w:spacing w:line="360" w:lineRule="auto"/>
        <w:rPr>
          <w:b/>
          <w:bCs/>
        </w:rPr>
      </w:pPr>
    </w:p>
    <w:p w14:paraId="4BBE12DA" w14:textId="77777777" w:rsidR="00E53401" w:rsidRDefault="00E53401" w:rsidP="005C5ACD">
      <w:pPr>
        <w:spacing w:line="360" w:lineRule="auto"/>
        <w:rPr>
          <w:b/>
          <w:bCs/>
        </w:rPr>
      </w:pPr>
    </w:p>
    <w:p w14:paraId="739CB7CE" w14:textId="77777777" w:rsidR="00E53401" w:rsidRDefault="00E53401" w:rsidP="005C5ACD">
      <w:pPr>
        <w:spacing w:line="360" w:lineRule="auto"/>
        <w:rPr>
          <w:b/>
          <w:bCs/>
        </w:rPr>
      </w:pPr>
    </w:p>
    <w:p w14:paraId="7C36E64B" w14:textId="77777777" w:rsidR="00E53401" w:rsidRDefault="00E53401" w:rsidP="005C5ACD">
      <w:pPr>
        <w:spacing w:line="360" w:lineRule="auto"/>
        <w:rPr>
          <w:b/>
          <w:bCs/>
        </w:rPr>
      </w:pPr>
    </w:p>
    <w:p w14:paraId="35E2A0F1" w14:textId="77777777" w:rsidR="00E53401" w:rsidRDefault="00E53401" w:rsidP="005C5ACD">
      <w:pPr>
        <w:spacing w:line="360" w:lineRule="auto"/>
        <w:rPr>
          <w:b/>
          <w:bCs/>
        </w:rPr>
      </w:pPr>
    </w:p>
    <w:p w14:paraId="3C54EEE5" w14:textId="77777777" w:rsidR="00E53401" w:rsidRDefault="00E53401" w:rsidP="005C5ACD">
      <w:pPr>
        <w:spacing w:line="360" w:lineRule="auto"/>
        <w:rPr>
          <w:b/>
          <w:bCs/>
        </w:rPr>
      </w:pPr>
    </w:p>
    <w:p w14:paraId="1CE10525" w14:textId="77777777" w:rsidR="00E53401" w:rsidRDefault="00E53401" w:rsidP="005C5ACD">
      <w:pPr>
        <w:spacing w:line="360" w:lineRule="auto"/>
        <w:rPr>
          <w:b/>
          <w:bCs/>
        </w:rPr>
      </w:pPr>
    </w:p>
    <w:p w14:paraId="316D78FF" w14:textId="77777777" w:rsidR="00E53401" w:rsidRDefault="00E53401" w:rsidP="005C5ACD">
      <w:pPr>
        <w:spacing w:line="360" w:lineRule="auto"/>
        <w:rPr>
          <w:b/>
          <w:bCs/>
        </w:rPr>
      </w:pPr>
    </w:p>
    <w:p w14:paraId="38E4EA03" w14:textId="77777777" w:rsidR="00E53401" w:rsidRDefault="00E53401" w:rsidP="0027625E">
      <w:pPr>
        <w:rPr>
          <w:b/>
          <w:bCs/>
        </w:rPr>
      </w:pPr>
    </w:p>
    <w:p w14:paraId="28C5696A" w14:textId="77777777" w:rsidR="00E53401" w:rsidRDefault="00E53401" w:rsidP="0027625E">
      <w:pPr>
        <w:rPr>
          <w:b/>
          <w:bCs/>
        </w:rPr>
      </w:pPr>
    </w:p>
    <w:p w14:paraId="618FD513" w14:textId="77777777" w:rsidR="00E53401" w:rsidRDefault="00E53401" w:rsidP="0027625E">
      <w:pPr>
        <w:rPr>
          <w:b/>
          <w:bCs/>
        </w:rPr>
      </w:pPr>
    </w:p>
    <w:p w14:paraId="07EFD159" w14:textId="739977A4" w:rsidR="0027625E" w:rsidRPr="0027625E" w:rsidRDefault="0027625E" w:rsidP="0027625E">
      <w:pPr>
        <w:rPr>
          <w:b/>
          <w:bCs/>
        </w:rPr>
      </w:pPr>
      <w:r w:rsidRPr="0027625E">
        <w:rPr>
          <w:b/>
          <w:bCs/>
        </w:rPr>
        <w:t xml:space="preserve">Reference List </w:t>
      </w:r>
    </w:p>
    <w:p w14:paraId="163EF3F7" w14:textId="1136A5FB" w:rsidR="0027625E" w:rsidRPr="0027625E" w:rsidRDefault="0027625E" w:rsidP="0027625E">
      <w:r w:rsidRPr="0027625E">
        <w:t xml:space="preserve">Barker, P.J. (2017) </w:t>
      </w:r>
      <w:r w:rsidRPr="0027625E">
        <w:rPr>
          <w:i/>
          <w:iCs/>
        </w:rPr>
        <w:t>Psychiatric and mental health nursing: the craft of caring</w:t>
      </w:r>
      <w:r w:rsidRPr="0027625E">
        <w:t xml:space="preserve">. 3rd </w:t>
      </w:r>
      <w:proofErr w:type="spellStart"/>
      <w:r w:rsidRPr="0027625E">
        <w:t>edn</w:t>
      </w:r>
      <w:proofErr w:type="spellEnd"/>
      <w:r w:rsidRPr="0027625E">
        <w:t>. London: Routledge.</w:t>
      </w:r>
      <w:r w:rsidR="00177EA7" w:rsidRPr="00177EA7">
        <w:t xml:space="preserve"> </w:t>
      </w:r>
      <w:r w:rsidR="00177EA7" w:rsidRPr="0027625E">
        <w:t xml:space="preserve">(Accessed: </w:t>
      </w:r>
      <w:r w:rsidR="00177EA7">
        <w:t>1</w:t>
      </w:r>
      <w:r w:rsidR="00177EA7" w:rsidRPr="0027625E">
        <w:t xml:space="preserve"> July 2026).</w:t>
      </w:r>
    </w:p>
    <w:p w14:paraId="0821F9CA" w14:textId="41B72930" w:rsidR="0027625E" w:rsidRPr="0027625E" w:rsidRDefault="0027625E" w:rsidP="0027625E">
      <w:r w:rsidRPr="0027625E">
        <w:t xml:space="preserve">Department of Health (2005) </w:t>
      </w:r>
      <w:r w:rsidRPr="0027625E">
        <w:rPr>
          <w:i/>
          <w:iCs/>
        </w:rPr>
        <w:t>Mental Capacity Act 2005</w:t>
      </w:r>
      <w:r w:rsidRPr="0027625E">
        <w:t>. London: HMSO.</w:t>
      </w:r>
      <w:r w:rsidR="00177EA7" w:rsidRPr="00177EA7">
        <w:t xml:space="preserve"> </w:t>
      </w:r>
      <w:r w:rsidR="00177EA7" w:rsidRPr="0027625E">
        <w:t xml:space="preserve">(Accessed: </w:t>
      </w:r>
      <w:r w:rsidR="00177EA7">
        <w:t>23</w:t>
      </w:r>
      <w:r w:rsidR="00177EA7" w:rsidRPr="0027625E">
        <w:t xml:space="preserve"> Ju</w:t>
      </w:r>
      <w:r w:rsidR="00460A3A">
        <w:t>ne</w:t>
      </w:r>
      <w:r w:rsidR="00177EA7" w:rsidRPr="0027625E">
        <w:t xml:space="preserve"> 2026).</w:t>
      </w:r>
    </w:p>
    <w:p w14:paraId="1A78708F" w14:textId="118F427C" w:rsidR="0027625E" w:rsidRPr="0027625E" w:rsidRDefault="0027625E" w:rsidP="0027625E">
      <w:r w:rsidRPr="0027625E">
        <w:t xml:space="preserve">Department of Health (2007) </w:t>
      </w:r>
      <w:r w:rsidRPr="0027625E">
        <w:rPr>
          <w:i/>
          <w:iCs/>
        </w:rPr>
        <w:t>Mental Health Act 1983 (as amended 2007)</w:t>
      </w:r>
      <w:r w:rsidRPr="0027625E">
        <w:t>. London: HMSO.</w:t>
      </w:r>
      <w:r w:rsidR="00177EA7" w:rsidRPr="00177EA7">
        <w:t xml:space="preserve"> </w:t>
      </w:r>
      <w:r w:rsidR="00177EA7" w:rsidRPr="0027625E">
        <w:t xml:space="preserve">(Accessed: </w:t>
      </w:r>
      <w:r w:rsidR="00460A3A">
        <w:t>25</w:t>
      </w:r>
      <w:r w:rsidR="00177EA7" w:rsidRPr="0027625E">
        <w:t xml:space="preserve"> Ju</w:t>
      </w:r>
      <w:r w:rsidR="00460A3A">
        <w:t>ne</w:t>
      </w:r>
      <w:r w:rsidR="00177EA7" w:rsidRPr="0027625E">
        <w:t xml:space="preserve"> 2026).</w:t>
      </w:r>
    </w:p>
    <w:p w14:paraId="1982DDF1" w14:textId="4449A527" w:rsidR="0027625E" w:rsidRPr="0027625E" w:rsidRDefault="0027625E" w:rsidP="0027625E">
      <w:r w:rsidRPr="0027625E">
        <w:t xml:space="preserve">Department of Health and Social Care (2014) </w:t>
      </w:r>
      <w:r w:rsidRPr="0027625E">
        <w:rPr>
          <w:i/>
          <w:iCs/>
        </w:rPr>
        <w:t>Care Act 2014</w:t>
      </w:r>
      <w:r w:rsidRPr="0027625E">
        <w:t>. London: HMSO.</w:t>
      </w:r>
      <w:r w:rsidR="00177EA7" w:rsidRPr="00177EA7">
        <w:t xml:space="preserve"> </w:t>
      </w:r>
      <w:r w:rsidR="00177EA7" w:rsidRPr="0027625E">
        <w:t>(Accessed: 3</w:t>
      </w:r>
      <w:r w:rsidR="009E0A4E">
        <w:t xml:space="preserve">1 </w:t>
      </w:r>
      <w:r w:rsidR="00177EA7" w:rsidRPr="0027625E">
        <w:t>Ju</w:t>
      </w:r>
      <w:r w:rsidR="00460A3A">
        <w:t>ne</w:t>
      </w:r>
      <w:r w:rsidR="00177EA7" w:rsidRPr="0027625E">
        <w:t>2026).</w:t>
      </w:r>
    </w:p>
    <w:p w14:paraId="4C891EAC" w14:textId="357B77CC" w:rsidR="0027625E" w:rsidRPr="0027625E" w:rsidRDefault="0027625E" w:rsidP="0027625E">
      <w:r w:rsidRPr="0027625E">
        <w:t xml:space="preserve">Le Boutillier, C., Leamy, M., Bird, V.J., Davidson, L., Williams, J. and Slade, M. (2011) ‘What does recovery mean in practice?’, </w:t>
      </w:r>
      <w:r w:rsidRPr="0027625E">
        <w:rPr>
          <w:i/>
          <w:iCs/>
        </w:rPr>
        <w:t>Psychiatric Services</w:t>
      </w:r>
      <w:r w:rsidRPr="0027625E">
        <w:t>, 62(12), pp. 1470–1476.</w:t>
      </w:r>
      <w:r w:rsidR="00177EA7" w:rsidRPr="00177EA7">
        <w:t xml:space="preserve"> </w:t>
      </w:r>
      <w:r w:rsidR="00177EA7" w:rsidRPr="0027625E">
        <w:t>(Accessed: 3 July 2026).</w:t>
      </w:r>
    </w:p>
    <w:p w14:paraId="436A8832" w14:textId="544A2328" w:rsidR="0027625E" w:rsidRPr="0027625E" w:rsidRDefault="0027625E" w:rsidP="0027625E">
      <w:r w:rsidRPr="0027625E">
        <w:t xml:space="preserve">Leamy, M., Bird, V., Le Boutillier, C., Williams, J. and Slade, M. (2011) ‘Conceptual framework for personal recovery in mental health: systematic review and narrative synthesis’, </w:t>
      </w:r>
      <w:r w:rsidRPr="0027625E">
        <w:rPr>
          <w:i/>
          <w:iCs/>
        </w:rPr>
        <w:t>British Journal of Psychiatry</w:t>
      </w:r>
      <w:r w:rsidRPr="0027625E">
        <w:t>, 199(6), pp. 445–452.</w:t>
      </w:r>
      <w:r w:rsidR="00177EA7" w:rsidRPr="00177EA7">
        <w:t xml:space="preserve"> </w:t>
      </w:r>
      <w:r w:rsidR="00177EA7" w:rsidRPr="0027625E">
        <w:t xml:space="preserve">(Accessed: </w:t>
      </w:r>
      <w:r w:rsidR="009E0A4E">
        <w:t xml:space="preserve">5 </w:t>
      </w:r>
      <w:r w:rsidR="00177EA7" w:rsidRPr="0027625E">
        <w:t>July 2026).</w:t>
      </w:r>
    </w:p>
    <w:p w14:paraId="68F7CC97" w14:textId="397986C9" w:rsidR="0027625E" w:rsidRPr="0027625E" w:rsidRDefault="0027625E" w:rsidP="0027625E">
      <w:r w:rsidRPr="0027625E">
        <w:t xml:space="preserve">Mind (2023) </w:t>
      </w:r>
      <w:r w:rsidRPr="0027625E">
        <w:rPr>
          <w:i/>
          <w:iCs/>
        </w:rPr>
        <w:t>Mental health care and support in the UK</w:t>
      </w:r>
      <w:r w:rsidRPr="0027625E">
        <w:t xml:space="preserve">. Available at: </w:t>
      </w:r>
      <w:hyperlink r:id="rId8" w:tgtFrame="_new" w:history="1">
        <w:r w:rsidRPr="0027625E">
          <w:rPr>
            <w:rStyle w:val="Hyperlink"/>
          </w:rPr>
          <w:t>https://www.mind.org.uk</w:t>
        </w:r>
      </w:hyperlink>
      <w:r w:rsidRPr="0027625E">
        <w:t xml:space="preserve"> (Accessed: </w:t>
      </w:r>
      <w:r w:rsidR="009E0A4E">
        <w:t>28</w:t>
      </w:r>
      <w:r w:rsidRPr="0027625E">
        <w:t xml:space="preserve"> Ju</w:t>
      </w:r>
      <w:r w:rsidR="009E0A4E">
        <w:t>ne</w:t>
      </w:r>
      <w:r w:rsidRPr="0027625E">
        <w:t xml:space="preserve"> 2026).</w:t>
      </w:r>
    </w:p>
    <w:p w14:paraId="0570A250" w14:textId="77777777" w:rsidR="0027625E" w:rsidRPr="0027625E" w:rsidRDefault="0027625E" w:rsidP="0027625E">
      <w:r w:rsidRPr="0027625E">
        <w:t xml:space="preserve">National Institute for Health and Care Excellence (NICE) (2021) </w:t>
      </w:r>
      <w:r w:rsidRPr="0027625E">
        <w:rPr>
          <w:i/>
          <w:iCs/>
        </w:rPr>
        <w:t>Mental health and wellbeing guidance</w:t>
      </w:r>
      <w:r w:rsidRPr="0027625E">
        <w:t xml:space="preserve">. Available at: </w:t>
      </w:r>
      <w:hyperlink r:id="rId9" w:tgtFrame="_new" w:history="1">
        <w:r w:rsidRPr="0027625E">
          <w:rPr>
            <w:rStyle w:val="Hyperlink"/>
          </w:rPr>
          <w:t>https://www.nice.org.uk</w:t>
        </w:r>
      </w:hyperlink>
      <w:r w:rsidRPr="0027625E">
        <w:t xml:space="preserve"> (Accessed: 3 July 2026).</w:t>
      </w:r>
    </w:p>
    <w:p w14:paraId="4D0F884A" w14:textId="2FD02E79" w:rsidR="0027625E" w:rsidRPr="0027625E" w:rsidRDefault="0027625E" w:rsidP="0027625E">
      <w:r w:rsidRPr="0027625E">
        <w:t xml:space="preserve">National Institute for Health and Care Excellence (NICE) (2022) </w:t>
      </w:r>
      <w:r w:rsidRPr="0027625E">
        <w:rPr>
          <w:i/>
          <w:iCs/>
        </w:rPr>
        <w:t>Shared decision making</w:t>
      </w:r>
      <w:r w:rsidRPr="0027625E">
        <w:t xml:space="preserve">. Available at: </w:t>
      </w:r>
      <w:hyperlink r:id="rId10" w:tgtFrame="_new" w:history="1">
        <w:r w:rsidRPr="0027625E">
          <w:rPr>
            <w:rStyle w:val="Hyperlink"/>
          </w:rPr>
          <w:t>https://www.nice.org.uk</w:t>
        </w:r>
      </w:hyperlink>
      <w:r w:rsidRPr="0027625E">
        <w:t xml:space="preserve"> (Accessed: </w:t>
      </w:r>
      <w:r w:rsidR="001F1C39">
        <w:t>24</w:t>
      </w:r>
      <w:r w:rsidRPr="0027625E">
        <w:t xml:space="preserve"> Ju</w:t>
      </w:r>
      <w:r w:rsidR="009E0A4E">
        <w:t xml:space="preserve">ne </w:t>
      </w:r>
      <w:r w:rsidRPr="0027625E">
        <w:t>2026).</w:t>
      </w:r>
    </w:p>
    <w:p w14:paraId="67EC65AF" w14:textId="66EDC2F0" w:rsidR="0027625E" w:rsidRPr="0027625E" w:rsidRDefault="0027625E" w:rsidP="0027625E">
      <w:r w:rsidRPr="0027625E">
        <w:t xml:space="preserve">NHS England (2019) </w:t>
      </w:r>
      <w:r w:rsidRPr="0027625E">
        <w:rPr>
          <w:i/>
          <w:iCs/>
        </w:rPr>
        <w:t>The NHS Long Term Plan</w:t>
      </w:r>
      <w:r w:rsidRPr="0027625E">
        <w:t>. London: NHS England.</w:t>
      </w:r>
      <w:r w:rsidR="00177EA7" w:rsidRPr="00177EA7">
        <w:t xml:space="preserve"> </w:t>
      </w:r>
      <w:r w:rsidR="00177EA7" w:rsidRPr="0027625E">
        <w:t>(Accessed: 3 July 2026).</w:t>
      </w:r>
    </w:p>
    <w:p w14:paraId="7305CC81" w14:textId="2418F697" w:rsidR="0027625E" w:rsidRPr="0027625E" w:rsidRDefault="0027625E" w:rsidP="0027625E">
      <w:r w:rsidRPr="0027625E">
        <w:t xml:space="preserve">Repper, J. and Perkins, R. (2013) </w:t>
      </w:r>
      <w:r w:rsidRPr="0027625E">
        <w:rPr>
          <w:i/>
          <w:iCs/>
        </w:rPr>
        <w:t>Social inclusion and recovery in mental health: a guide to practice</w:t>
      </w:r>
      <w:r w:rsidRPr="0027625E">
        <w:t xml:space="preserve">. 2nd </w:t>
      </w:r>
      <w:proofErr w:type="spellStart"/>
      <w:r w:rsidRPr="0027625E">
        <w:t>edn</w:t>
      </w:r>
      <w:proofErr w:type="spellEnd"/>
      <w:r w:rsidRPr="0027625E">
        <w:t xml:space="preserve">. London: </w:t>
      </w:r>
      <w:proofErr w:type="spellStart"/>
      <w:r w:rsidRPr="0027625E">
        <w:t>Baillière</w:t>
      </w:r>
      <w:proofErr w:type="spellEnd"/>
      <w:r w:rsidRPr="0027625E">
        <w:t xml:space="preserve"> Tindall.</w:t>
      </w:r>
      <w:r w:rsidR="00177EA7" w:rsidRPr="00177EA7">
        <w:t xml:space="preserve"> </w:t>
      </w:r>
      <w:r w:rsidR="00177EA7" w:rsidRPr="0027625E">
        <w:t>(Accessed: 3 July 2026).</w:t>
      </w:r>
    </w:p>
    <w:p w14:paraId="40835A36" w14:textId="77777777" w:rsidR="0027625E" w:rsidRPr="0027625E" w:rsidRDefault="0027625E" w:rsidP="0027625E">
      <w:r w:rsidRPr="0027625E">
        <w:lastRenderedPageBreak/>
        <w:t xml:space="preserve">Rethink Mental Illness (2023) </w:t>
      </w:r>
      <w:r w:rsidRPr="0027625E">
        <w:rPr>
          <w:i/>
          <w:iCs/>
        </w:rPr>
        <w:t>Community mental health services explained</w:t>
      </w:r>
      <w:r w:rsidRPr="0027625E">
        <w:t xml:space="preserve">. Available at: </w:t>
      </w:r>
      <w:hyperlink r:id="rId11" w:tgtFrame="_new" w:history="1">
        <w:r w:rsidRPr="0027625E">
          <w:rPr>
            <w:rStyle w:val="Hyperlink"/>
          </w:rPr>
          <w:t>https://www.rethink.org</w:t>
        </w:r>
      </w:hyperlink>
      <w:r w:rsidRPr="0027625E">
        <w:t xml:space="preserve"> (Accessed: 3 July 2026).</w:t>
      </w:r>
    </w:p>
    <w:p w14:paraId="0A28B272" w14:textId="6DD4D96A" w:rsidR="0027625E" w:rsidRPr="0027625E" w:rsidRDefault="0027625E" w:rsidP="0027625E">
      <w:r w:rsidRPr="0027625E">
        <w:t xml:space="preserve">Slade, M. (2009) </w:t>
      </w:r>
      <w:r w:rsidRPr="0027625E">
        <w:rPr>
          <w:i/>
          <w:iCs/>
        </w:rPr>
        <w:t>Personal recovery and mental illness: a guide for mental health professionals</w:t>
      </w:r>
      <w:r w:rsidRPr="0027625E">
        <w:t>. Cambridge: Cambridge University Press.</w:t>
      </w:r>
      <w:r w:rsidR="00177EA7" w:rsidRPr="00177EA7">
        <w:t xml:space="preserve"> </w:t>
      </w:r>
      <w:r w:rsidR="00177EA7" w:rsidRPr="0027625E">
        <w:t xml:space="preserve">(Accessed: </w:t>
      </w:r>
      <w:r w:rsidR="001F1C39">
        <w:t xml:space="preserve">6 </w:t>
      </w:r>
      <w:r w:rsidR="00177EA7" w:rsidRPr="0027625E">
        <w:t>July 2026).</w:t>
      </w:r>
    </w:p>
    <w:p w14:paraId="5652774F" w14:textId="1AF9693A" w:rsidR="0027625E" w:rsidRPr="0027625E" w:rsidRDefault="0027625E" w:rsidP="0027625E">
      <w:r w:rsidRPr="0027625E">
        <w:t xml:space="preserve">Social Care Institute for Excellence (SCIE) (2024) </w:t>
      </w:r>
      <w:r w:rsidRPr="0027625E">
        <w:rPr>
          <w:i/>
          <w:iCs/>
        </w:rPr>
        <w:t>Person-centred care in health and social care</w:t>
      </w:r>
      <w:r w:rsidRPr="0027625E">
        <w:t xml:space="preserve">. Available at: </w:t>
      </w:r>
      <w:hyperlink r:id="rId12" w:tgtFrame="_new" w:history="1">
        <w:r w:rsidRPr="0027625E">
          <w:rPr>
            <w:rStyle w:val="Hyperlink"/>
          </w:rPr>
          <w:t>https://www.scie.org.uk</w:t>
        </w:r>
      </w:hyperlink>
      <w:r w:rsidRPr="0027625E">
        <w:t xml:space="preserve"> (Accessed: </w:t>
      </w:r>
      <w:r w:rsidR="001F1C39">
        <w:t>6</w:t>
      </w:r>
      <w:r w:rsidRPr="0027625E">
        <w:t xml:space="preserve"> July 2026).</w:t>
      </w:r>
    </w:p>
    <w:p w14:paraId="34B7FEDF" w14:textId="77777777" w:rsidR="0027625E" w:rsidRPr="0027625E" w:rsidRDefault="0027625E" w:rsidP="0027625E">
      <w:r w:rsidRPr="0027625E">
        <w:t xml:space="preserve">The King’s Fund (2020) </w:t>
      </w:r>
      <w:r w:rsidRPr="0027625E">
        <w:rPr>
          <w:i/>
          <w:iCs/>
        </w:rPr>
        <w:t>Mental health and the NHS: improving integrated care</w:t>
      </w:r>
      <w:r w:rsidRPr="0027625E">
        <w:t xml:space="preserve">. Available at: </w:t>
      </w:r>
      <w:hyperlink r:id="rId13" w:tgtFrame="_new" w:history="1">
        <w:r w:rsidRPr="0027625E">
          <w:rPr>
            <w:rStyle w:val="Hyperlink"/>
          </w:rPr>
          <w:t>https://www.kingsfund.org.uk</w:t>
        </w:r>
      </w:hyperlink>
      <w:r w:rsidRPr="0027625E">
        <w:t xml:space="preserve"> (Accessed: 3 July 2026).</w:t>
      </w:r>
    </w:p>
    <w:p w14:paraId="11B97D71" w14:textId="77777777" w:rsidR="0027625E" w:rsidRPr="0027625E" w:rsidRDefault="0027625E" w:rsidP="0027625E">
      <w:r w:rsidRPr="0027625E">
        <w:t xml:space="preserve">UK Government (2014) </w:t>
      </w:r>
      <w:r w:rsidRPr="0027625E">
        <w:rPr>
          <w:i/>
          <w:iCs/>
        </w:rPr>
        <w:t>Care Act 2014: statutory guidance</w:t>
      </w:r>
      <w:r w:rsidRPr="0027625E">
        <w:t xml:space="preserve">. Available at: </w:t>
      </w:r>
      <w:hyperlink r:id="rId14" w:tgtFrame="_new" w:history="1">
        <w:r w:rsidRPr="0027625E">
          <w:rPr>
            <w:rStyle w:val="Hyperlink"/>
          </w:rPr>
          <w:t>https://www.gov.uk</w:t>
        </w:r>
      </w:hyperlink>
      <w:r w:rsidRPr="0027625E">
        <w:t xml:space="preserve"> (Accessed: 3 July 2026).</w:t>
      </w:r>
    </w:p>
    <w:p w14:paraId="140E1605" w14:textId="101B7B4F" w:rsidR="0027625E" w:rsidRPr="0027625E" w:rsidRDefault="0027625E" w:rsidP="0027625E">
      <w:r w:rsidRPr="0027625E">
        <w:t xml:space="preserve">World Health Organization (WHO) (2022) </w:t>
      </w:r>
      <w:r w:rsidRPr="0027625E">
        <w:rPr>
          <w:i/>
          <w:iCs/>
        </w:rPr>
        <w:t>World mental health report: transforming mental health for all</w:t>
      </w:r>
      <w:r w:rsidRPr="0027625E">
        <w:t>. Geneva: WHO.</w:t>
      </w:r>
      <w:r w:rsidR="00177EA7" w:rsidRPr="00177EA7">
        <w:t xml:space="preserve"> </w:t>
      </w:r>
      <w:r w:rsidR="00177EA7" w:rsidRPr="0027625E">
        <w:t>(Accessed: 3 July 2026).</w:t>
      </w:r>
    </w:p>
    <w:p w14:paraId="5180C202" w14:textId="77777777" w:rsidR="00CB3A65" w:rsidRDefault="00CB3A65"/>
    <w:sectPr w:rsidR="00CB3A6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908635" w14:textId="77777777" w:rsidR="00F80210" w:rsidRDefault="00F80210" w:rsidP="00AB45FB">
      <w:pPr>
        <w:spacing w:after="0" w:line="240" w:lineRule="auto"/>
      </w:pPr>
      <w:r>
        <w:separator/>
      </w:r>
    </w:p>
  </w:endnote>
  <w:endnote w:type="continuationSeparator" w:id="0">
    <w:p w14:paraId="3BAB427F" w14:textId="77777777" w:rsidR="00F80210" w:rsidRDefault="00F80210" w:rsidP="00AB4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173669"/>
      <w:docPartObj>
        <w:docPartGallery w:val="Page Numbers (Bottom of Page)"/>
        <w:docPartUnique/>
      </w:docPartObj>
    </w:sdtPr>
    <w:sdtEndPr/>
    <w:sdtContent>
      <w:p w14:paraId="45DA7E8B" w14:textId="2EF4DF61" w:rsidR="00AB45FB" w:rsidRDefault="00AB45FB">
        <w:pPr>
          <w:pStyle w:val="Footer"/>
          <w:jc w:val="right"/>
        </w:pPr>
        <w:r>
          <w:fldChar w:fldCharType="begin"/>
        </w:r>
        <w:r>
          <w:instrText>PAGE   \* MERGEFORMAT</w:instrText>
        </w:r>
        <w:r>
          <w:fldChar w:fldCharType="separate"/>
        </w:r>
        <w:r>
          <w:t>2</w:t>
        </w:r>
        <w:r>
          <w:fldChar w:fldCharType="end"/>
        </w:r>
      </w:p>
    </w:sdtContent>
  </w:sdt>
  <w:p w14:paraId="1386BE60" w14:textId="77777777" w:rsidR="00AB45FB" w:rsidRDefault="00AB45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9FF9A7" w14:textId="77777777" w:rsidR="00F80210" w:rsidRDefault="00F80210" w:rsidP="00AB45FB">
      <w:pPr>
        <w:spacing w:after="0" w:line="240" w:lineRule="auto"/>
      </w:pPr>
      <w:r>
        <w:separator/>
      </w:r>
    </w:p>
  </w:footnote>
  <w:footnote w:type="continuationSeparator" w:id="0">
    <w:p w14:paraId="20B7A339" w14:textId="77777777" w:rsidR="00F80210" w:rsidRDefault="00F80210" w:rsidP="00AB45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F1BE3"/>
    <w:multiLevelType w:val="multilevel"/>
    <w:tmpl w:val="2E061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A7101D"/>
    <w:multiLevelType w:val="multilevel"/>
    <w:tmpl w:val="BA70E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78255E"/>
    <w:multiLevelType w:val="multilevel"/>
    <w:tmpl w:val="89F4E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7030326">
    <w:abstractNumId w:val="1"/>
  </w:num>
  <w:num w:numId="2" w16cid:durableId="1976568161">
    <w:abstractNumId w:val="2"/>
  </w:num>
  <w:num w:numId="3" w16cid:durableId="18744211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25E"/>
    <w:rsid w:val="000869EA"/>
    <w:rsid w:val="00177EA7"/>
    <w:rsid w:val="001F0067"/>
    <w:rsid w:val="001F1C39"/>
    <w:rsid w:val="0027625E"/>
    <w:rsid w:val="002E5B57"/>
    <w:rsid w:val="00307E2A"/>
    <w:rsid w:val="00430C72"/>
    <w:rsid w:val="00460A3A"/>
    <w:rsid w:val="00574D65"/>
    <w:rsid w:val="00595676"/>
    <w:rsid w:val="005C5ACD"/>
    <w:rsid w:val="00626DBA"/>
    <w:rsid w:val="007916B1"/>
    <w:rsid w:val="007A0301"/>
    <w:rsid w:val="008378EF"/>
    <w:rsid w:val="0085636F"/>
    <w:rsid w:val="008F0EA6"/>
    <w:rsid w:val="00947996"/>
    <w:rsid w:val="009E0A4E"/>
    <w:rsid w:val="00AB45FB"/>
    <w:rsid w:val="00BA319E"/>
    <w:rsid w:val="00C33E70"/>
    <w:rsid w:val="00CB3A65"/>
    <w:rsid w:val="00CD00DB"/>
    <w:rsid w:val="00CE2F59"/>
    <w:rsid w:val="00D13710"/>
    <w:rsid w:val="00D85A25"/>
    <w:rsid w:val="00E50D1C"/>
    <w:rsid w:val="00E53401"/>
    <w:rsid w:val="00E75CF2"/>
    <w:rsid w:val="00EA7202"/>
    <w:rsid w:val="00F80210"/>
    <w:rsid w:val="00FB0902"/>
    <w:rsid w:val="00FE5F88"/>
    <w:rsid w:val="00FF3D45"/>
    <w:rsid w:val="00FF5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DB5E6"/>
  <w15:chartTrackingRefBased/>
  <w15:docId w15:val="{59409BB9-D661-422E-B0EB-DA0850BD8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2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62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62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2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62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62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2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2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2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2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62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62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2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62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62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2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2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25E"/>
    <w:rPr>
      <w:rFonts w:eastAsiaTheme="majorEastAsia" w:cstheme="majorBidi"/>
      <w:color w:val="272727" w:themeColor="text1" w:themeTint="D8"/>
    </w:rPr>
  </w:style>
  <w:style w:type="paragraph" w:styleId="Title">
    <w:name w:val="Title"/>
    <w:basedOn w:val="Normal"/>
    <w:next w:val="Normal"/>
    <w:link w:val="TitleChar"/>
    <w:uiPriority w:val="10"/>
    <w:qFormat/>
    <w:rsid w:val="002762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2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2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2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25E"/>
    <w:pPr>
      <w:spacing w:before="160"/>
      <w:jc w:val="center"/>
    </w:pPr>
    <w:rPr>
      <w:i/>
      <w:iCs/>
      <w:color w:val="404040" w:themeColor="text1" w:themeTint="BF"/>
    </w:rPr>
  </w:style>
  <w:style w:type="character" w:customStyle="1" w:styleId="QuoteChar">
    <w:name w:val="Quote Char"/>
    <w:basedOn w:val="DefaultParagraphFont"/>
    <w:link w:val="Quote"/>
    <w:uiPriority w:val="29"/>
    <w:rsid w:val="0027625E"/>
    <w:rPr>
      <w:i/>
      <w:iCs/>
      <w:color w:val="404040" w:themeColor="text1" w:themeTint="BF"/>
    </w:rPr>
  </w:style>
  <w:style w:type="paragraph" w:styleId="ListParagraph">
    <w:name w:val="List Paragraph"/>
    <w:basedOn w:val="Normal"/>
    <w:uiPriority w:val="34"/>
    <w:qFormat/>
    <w:rsid w:val="0027625E"/>
    <w:pPr>
      <w:ind w:left="720"/>
      <w:contextualSpacing/>
    </w:pPr>
  </w:style>
  <w:style w:type="character" w:styleId="IntenseEmphasis">
    <w:name w:val="Intense Emphasis"/>
    <w:basedOn w:val="DefaultParagraphFont"/>
    <w:uiPriority w:val="21"/>
    <w:qFormat/>
    <w:rsid w:val="0027625E"/>
    <w:rPr>
      <w:i/>
      <w:iCs/>
      <w:color w:val="0F4761" w:themeColor="accent1" w:themeShade="BF"/>
    </w:rPr>
  </w:style>
  <w:style w:type="paragraph" w:styleId="IntenseQuote">
    <w:name w:val="Intense Quote"/>
    <w:basedOn w:val="Normal"/>
    <w:next w:val="Normal"/>
    <w:link w:val="IntenseQuoteChar"/>
    <w:uiPriority w:val="30"/>
    <w:qFormat/>
    <w:rsid w:val="002762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25E"/>
    <w:rPr>
      <w:i/>
      <w:iCs/>
      <w:color w:val="0F4761" w:themeColor="accent1" w:themeShade="BF"/>
    </w:rPr>
  </w:style>
  <w:style w:type="character" w:styleId="IntenseReference">
    <w:name w:val="Intense Reference"/>
    <w:basedOn w:val="DefaultParagraphFont"/>
    <w:uiPriority w:val="32"/>
    <w:qFormat/>
    <w:rsid w:val="0027625E"/>
    <w:rPr>
      <w:b/>
      <w:bCs/>
      <w:smallCaps/>
      <w:color w:val="0F4761" w:themeColor="accent1" w:themeShade="BF"/>
      <w:spacing w:val="5"/>
    </w:rPr>
  </w:style>
  <w:style w:type="character" w:styleId="Hyperlink">
    <w:name w:val="Hyperlink"/>
    <w:basedOn w:val="DefaultParagraphFont"/>
    <w:uiPriority w:val="99"/>
    <w:unhideWhenUsed/>
    <w:rsid w:val="0027625E"/>
    <w:rPr>
      <w:color w:val="467886" w:themeColor="hyperlink"/>
      <w:u w:val="single"/>
    </w:rPr>
  </w:style>
  <w:style w:type="character" w:styleId="UnresolvedMention">
    <w:name w:val="Unresolved Mention"/>
    <w:basedOn w:val="DefaultParagraphFont"/>
    <w:uiPriority w:val="99"/>
    <w:semiHidden/>
    <w:unhideWhenUsed/>
    <w:rsid w:val="0027625E"/>
    <w:rPr>
      <w:color w:val="605E5C"/>
      <w:shd w:val="clear" w:color="auto" w:fill="E1DFDD"/>
    </w:rPr>
  </w:style>
  <w:style w:type="paragraph" w:styleId="Header">
    <w:name w:val="header"/>
    <w:basedOn w:val="Normal"/>
    <w:link w:val="HeaderChar"/>
    <w:uiPriority w:val="99"/>
    <w:unhideWhenUsed/>
    <w:rsid w:val="00AB4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5FB"/>
  </w:style>
  <w:style w:type="paragraph" w:styleId="Footer">
    <w:name w:val="footer"/>
    <w:basedOn w:val="Normal"/>
    <w:link w:val="FooterChar"/>
    <w:uiPriority w:val="99"/>
    <w:unhideWhenUsed/>
    <w:rsid w:val="00AB4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5FB"/>
  </w:style>
  <w:style w:type="paragraph" w:styleId="TOCHeading">
    <w:name w:val="TOC Heading"/>
    <w:basedOn w:val="Heading1"/>
    <w:next w:val="Normal"/>
    <w:uiPriority w:val="39"/>
    <w:unhideWhenUsed/>
    <w:qFormat/>
    <w:rsid w:val="00EA720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A720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 TargetMode="External"/><Relationship Id="rId13" Type="http://schemas.openxmlformats.org/officeDocument/2006/relationships/hyperlink" Target="https://www.kingsfund.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org.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think.or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nice.org.uk" TargetMode="External"/><Relationship Id="rId4" Type="http://schemas.openxmlformats.org/officeDocument/2006/relationships/settings" Target="settings.xml"/><Relationship Id="rId9" Type="http://schemas.openxmlformats.org/officeDocument/2006/relationships/hyperlink" Target="https://www.nice.org.uk" TargetMode="External"/><Relationship Id="rId14"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4B029D-C2C4-4892-BA74-82EE998927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2809</Words>
  <Characters>16014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ahmar mahmood</dc:creator>
  <cp:keywords/>
  <dc:description/>
  <cp:lastModifiedBy>ahmar mahmood</cp:lastModifiedBy>
  <cp:revision>30</cp:revision>
  <dcterms:created xsi:type="dcterms:W3CDTF">2026-07-03T11:08:00Z</dcterms:created>
  <dcterms:modified xsi:type="dcterms:W3CDTF">2026-07-09T08:18:00Z</dcterms:modified>
</cp:coreProperties>
</file>