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19E59" w14:textId="0DDAAE57" w:rsidR="00B05E5C" w:rsidRDefault="00194E3D">
      <w:r w:rsidRPr="008B4D32">
        <w:rPr>
          <w:rFonts w:cs="Arial"/>
          <w:noProof/>
        </w:rPr>
        <w:drawing>
          <wp:inline distT="0" distB="0" distL="0" distR="0" wp14:anchorId="195EF4CF" wp14:editId="6AE25B53">
            <wp:extent cx="2485577" cy="935355"/>
            <wp:effectExtent l="0" t="0" r="0" b="0"/>
            <wp:docPr id="5" name="Picture 5" descr="C:\Users\samantha.birdsell\AppData\Local\Microsoft\Windows\INetCache\Content.MSO\5FEB1F4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mantha.birdsell\AppData\Local\Microsoft\Windows\INetCache\Content.MSO\5FEB1F47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772" cy="954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F53E3" w14:textId="77777777" w:rsidR="00194E3D" w:rsidRDefault="00194E3D"/>
    <w:p w14:paraId="3245EEA1" w14:textId="77777777" w:rsidR="00194E3D" w:rsidRDefault="00194E3D"/>
    <w:p w14:paraId="1E81AC5D" w14:textId="7EB052A4" w:rsidR="00194E3D" w:rsidRPr="00B9712C" w:rsidRDefault="00194E3D" w:rsidP="00194E3D">
      <w:pPr>
        <w:jc w:val="center"/>
        <w:rPr>
          <w:b/>
          <w:color w:val="0F9ED5" w:themeColor="accent4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B9712C">
        <w:rPr>
          <w:rFonts w:cs="Arial"/>
          <w:b/>
          <w:color w:val="0F9ED5" w:themeColor="accent4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HR Skills Development</w:t>
      </w:r>
    </w:p>
    <w:p w14:paraId="700C2D9B" w14:textId="77777777" w:rsidR="00194E3D" w:rsidRPr="00194E3D" w:rsidRDefault="00194E3D" w:rsidP="00194E3D">
      <w:pPr>
        <w:jc w:val="center"/>
        <w:rPr>
          <w:sz w:val="72"/>
          <w:szCs w:val="72"/>
        </w:rPr>
      </w:pPr>
    </w:p>
    <w:p w14:paraId="16A8A3F0" w14:textId="77777777" w:rsidR="00194E3D" w:rsidRDefault="00194E3D"/>
    <w:p w14:paraId="1D5C2516" w14:textId="77777777" w:rsidR="00194E3D" w:rsidRPr="008B4D32" w:rsidRDefault="00194E3D" w:rsidP="00194E3D">
      <w:pPr>
        <w:spacing w:line="360" w:lineRule="auto"/>
        <w:ind w:firstLine="720"/>
        <w:contextualSpacing/>
        <w:rPr>
          <w:rFonts w:cs="Arial"/>
          <w:b/>
          <w:bCs/>
          <w:color w:val="000000" w:themeColor="text1"/>
          <w:lang w:val="en-US"/>
        </w:rPr>
      </w:pPr>
      <w:r w:rsidRPr="008B4D32">
        <w:rPr>
          <w:rFonts w:cs="Arial"/>
          <w:b/>
          <w:bCs/>
          <w:color w:val="000000" w:themeColor="text1"/>
          <w:lang w:val="en-US"/>
        </w:rPr>
        <w:t>STUDENT NAME: Madalina Nagy</w:t>
      </w:r>
    </w:p>
    <w:p w14:paraId="73078EE3" w14:textId="77777777" w:rsidR="00194E3D" w:rsidRPr="008B4D32" w:rsidRDefault="00194E3D" w:rsidP="00194E3D">
      <w:pPr>
        <w:spacing w:line="360" w:lineRule="auto"/>
        <w:ind w:left="720"/>
        <w:contextualSpacing/>
        <w:rPr>
          <w:rFonts w:cs="Arial"/>
          <w:color w:val="000000" w:themeColor="text1"/>
        </w:rPr>
      </w:pPr>
      <w:r w:rsidRPr="008B4D32">
        <w:rPr>
          <w:rFonts w:cs="Arial"/>
          <w:b/>
          <w:bCs/>
          <w:color w:val="000000" w:themeColor="text1"/>
          <w:lang w:val="en-US"/>
        </w:rPr>
        <w:t>STUDENT NUMBER: 2019619</w:t>
      </w:r>
    </w:p>
    <w:p w14:paraId="040188C3" w14:textId="77777777" w:rsidR="00194E3D" w:rsidRPr="008B4D32" w:rsidRDefault="00194E3D" w:rsidP="00194E3D">
      <w:pPr>
        <w:spacing w:line="360" w:lineRule="auto"/>
        <w:ind w:left="720"/>
        <w:contextualSpacing/>
        <w:rPr>
          <w:rFonts w:cs="Arial"/>
          <w:color w:val="000000" w:themeColor="text1"/>
        </w:rPr>
      </w:pPr>
      <w:r w:rsidRPr="008B4D32">
        <w:rPr>
          <w:rFonts w:cs="Arial"/>
          <w:b/>
          <w:bCs/>
          <w:color w:val="000000" w:themeColor="text1"/>
          <w:lang w:val="en-US"/>
        </w:rPr>
        <w:t xml:space="preserve">MODULE CODE: BMMB7025 </w:t>
      </w:r>
    </w:p>
    <w:p w14:paraId="49E862B4" w14:textId="77777777" w:rsidR="00194E3D" w:rsidRPr="008B4D32" w:rsidRDefault="00194E3D" w:rsidP="00194E3D">
      <w:pPr>
        <w:spacing w:line="360" w:lineRule="auto"/>
        <w:ind w:left="720"/>
        <w:contextualSpacing/>
        <w:rPr>
          <w:rFonts w:cs="Arial"/>
          <w:color w:val="000000" w:themeColor="text1"/>
        </w:rPr>
      </w:pPr>
      <w:r w:rsidRPr="008B4D32">
        <w:rPr>
          <w:rFonts w:cs="Arial"/>
          <w:b/>
          <w:bCs/>
          <w:color w:val="000000" w:themeColor="text1"/>
          <w:lang w:val="en-US"/>
        </w:rPr>
        <w:t xml:space="preserve">MODULE NAME: Managing People in </w:t>
      </w:r>
      <w:proofErr w:type="spellStart"/>
      <w:r w:rsidRPr="008B4D32">
        <w:rPr>
          <w:rFonts w:cs="Arial"/>
          <w:b/>
          <w:bCs/>
          <w:color w:val="000000" w:themeColor="text1"/>
          <w:lang w:val="en-US"/>
        </w:rPr>
        <w:t>Organisations</w:t>
      </w:r>
      <w:proofErr w:type="spellEnd"/>
    </w:p>
    <w:p w14:paraId="731F6044" w14:textId="77777777" w:rsidR="00194E3D" w:rsidRPr="008B4D32" w:rsidRDefault="00194E3D" w:rsidP="00194E3D">
      <w:pPr>
        <w:spacing w:line="360" w:lineRule="auto"/>
        <w:rPr>
          <w:rFonts w:cs="Arial"/>
        </w:rPr>
      </w:pPr>
    </w:p>
    <w:p w14:paraId="54F68203" w14:textId="77777777" w:rsidR="00194E3D" w:rsidRDefault="00194E3D" w:rsidP="00194E3D">
      <w:pPr>
        <w:spacing w:line="360" w:lineRule="auto"/>
        <w:rPr>
          <w:rFonts w:cs="Arial"/>
        </w:rPr>
      </w:pPr>
    </w:p>
    <w:p w14:paraId="0FE69FA9" w14:textId="77777777" w:rsidR="00194E3D" w:rsidRPr="008B4D32" w:rsidRDefault="00194E3D" w:rsidP="00194E3D">
      <w:pPr>
        <w:spacing w:line="360" w:lineRule="auto"/>
        <w:rPr>
          <w:rFonts w:cs="Arial"/>
        </w:rPr>
      </w:pPr>
    </w:p>
    <w:p w14:paraId="1D87D676" w14:textId="77777777" w:rsidR="00194E3D" w:rsidRPr="008B4D32" w:rsidRDefault="00194E3D" w:rsidP="00194E3D">
      <w:pPr>
        <w:spacing w:line="360" w:lineRule="auto"/>
        <w:jc w:val="right"/>
        <w:rPr>
          <w:rFonts w:cs="Arial"/>
          <w:b/>
          <w:bCs/>
        </w:rPr>
      </w:pPr>
      <w:r w:rsidRPr="008B4D32">
        <w:rPr>
          <w:rFonts w:cs="Arial"/>
          <w:b/>
          <w:bCs/>
        </w:rPr>
        <w:t>Lecturer: James Moore</w:t>
      </w:r>
    </w:p>
    <w:p w14:paraId="7F3B2BF4" w14:textId="77777777" w:rsidR="00194E3D" w:rsidRPr="008B4D32" w:rsidRDefault="00194E3D" w:rsidP="00194E3D">
      <w:pPr>
        <w:spacing w:line="360" w:lineRule="auto"/>
        <w:jc w:val="right"/>
        <w:rPr>
          <w:rFonts w:cs="Arial"/>
          <w:b/>
          <w:bCs/>
        </w:rPr>
      </w:pPr>
      <w:r w:rsidRPr="008B4D32">
        <w:rPr>
          <w:rFonts w:cs="Arial"/>
          <w:b/>
          <w:bCs/>
        </w:rPr>
        <w:t>FCIPD, MSc</w:t>
      </w:r>
    </w:p>
    <w:p w14:paraId="1C122D99" w14:textId="77777777" w:rsidR="00194E3D" w:rsidRPr="008B4D32" w:rsidRDefault="00194E3D" w:rsidP="00194E3D">
      <w:pPr>
        <w:spacing w:line="360" w:lineRule="auto"/>
        <w:rPr>
          <w:rFonts w:cs="Arial"/>
        </w:rPr>
      </w:pPr>
    </w:p>
    <w:p w14:paraId="006C0719" w14:textId="77777777" w:rsidR="00194E3D" w:rsidRPr="00286DCD" w:rsidRDefault="00194E3D" w:rsidP="00194E3D">
      <w:pPr>
        <w:spacing w:line="360" w:lineRule="auto"/>
        <w:rPr>
          <w:rFonts w:ascii="Arial" w:hAnsi="Arial" w:cs="Arial"/>
          <w:b/>
          <w:bCs/>
        </w:rPr>
      </w:pPr>
    </w:p>
    <w:p w14:paraId="1C284FEF" w14:textId="20A81750" w:rsidR="00194E3D" w:rsidRDefault="00286DCD">
      <w:pPr>
        <w:rPr>
          <w:rFonts w:ascii="Arial" w:hAnsi="Arial" w:cs="Arial"/>
          <w:b/>
          <w:bCs/>
        </w:rPr>
      </w:pPr>
      <w:r w:rsidRPr="00286DCD">
        <w:rPr>
          <w:rFonts w:ascii="Arial" w:hAnsi="Arial" w:cs="Arial"/>
          <w:b/>
          <w:bCs/>
        </w:rPr>
        <w:t>Presentation link:</w:t>
      </w:r>
      <w:r w:rsidR="00340B0A">
        <w:rPr>
          <w:rFonts w:ascii="Arial" w:hAnsi="Arial" w:cs="Arial"/>
          <w:b/>
          <w:bCs/>
        </w:rPr>
        <w:t xml:space="preserve"> </w:t>
      </w:r>
    </w:p>
    <w:p w14:paraId="03879ACD" w14:textId="6B3F9F02" w:rsidR="00340B0A" w:rsidRDefault="00B9712C">
      <w:pPr>
        <w:rPr>
          <w:rFonts w:ascii="Arial" w:hAnsi="Arial" w:cs="Arial"/>
          <w:b/>
          <w:bCs/>
        </w:rPr>
      </w:pPr>
      <w:hyperlink r:id="rId6" w:history="1">
        <w:r w:rsidR="00340B0A" w:rsidRPr="00605E0F">
          <w:rPr>
            <w:rStyle w:val="Hyperlink"/>
            <w:rFonts w:ascii="Arial" w:hAnsi="Arial" w:cs="Arial"/>
            <w:b/>
            <w:bCs/>
          </w:rPr>
          <w:t>https://uowtsd-my.sharepoint.com/:v:/g/personal/2019619_student_uwtsd_ac_uk/EeBO64qXpN5EsbMpp90YgH4B_X6lfd4PpoHQcDGPxMfPiw?email=j.moore%40uwtsd.ac.uk&amp;e=uVmjzx</w:t>
        </w:r>
      </w:hyperlink>
    </w:p>
    <w:p w14:paraId="0C0F698B" w14:textId="77777777" w:rsidR="00340B0A" w:rsidRPr="00286DCD" w:rsidRDefault="00340B0A">
      <w:pPr>
        <w:rPr>
          <w:rFonts w:ascii="Arial" w:hAnsi="Arial" w:cs="Arial"/>
          <w:b/>
          <w:bCs/>
        </w:rPr>
      </w:pPr>
    </w:p>
    <w:p w14:paraId="4E5FF004" w14:textId="77777777" w:rsidR="00194E3D" w:rsidRDefault="00194E3D"/>
    <w:p w14:paraId="368FFDDB" w14:textId="77777777" w:rsidR="00340B0A" w:rsidRDefault="00340B0A"/>
    <w:p w14:paraId="17E2A94D" w14:textId="77777777" w:rsidR="00194E3D" w:rsidRDefault="00194E3D"/>
    <w:p w14:paraId="3D8766FD" w14:textId="43130AE9" w:rsidR="00194E3D" w:rsidRPr="00194E3D" w:rsidRDefault="00194E3D" w:rsidP="00194E3D">
      <w:pPr>
        <w:ind w:firstLine="720"/>
        <w:rPr>
          <w:rFonts w:ascii="Arial" w:hAnsi="Arial" w:cs="Arial"/>
          <w:b/>
          <w:bCs/>
          <w:sz w:val="28"/>
          <w:szCs w:val="28"/>
        </w:rPr>
      </w:pPr>
      <w:r w:rsidRPr="00194E3D">
        <w:rPr>
          <w:rFonts w:ascii="Arial" w:hAnsi="Arial" w:cs="Arial"/>
          <w:b/>
          <w:bCs/>
          <w:sz w:val="28"/>
          <w:szCs w:val="28"/>
        </w:rPr>
        <w:lastRenderedPageBreak/>
        <w:t>R</w:t>
      </w:r>
      <w:r w:rsidR="00286DCD">
        <w:rPr>
          <w:rFonts w:ascii="Arial" w:hAnsi="Arial" w:cs="Arial"/>
          <w:b/>
          <w:bCs/>
          <w:sz w:val="28"/>
          <w:szCs w:val="28"/>
        </w:rPr>
        <w:t>eferences</w:t>
      </w:r>
    </w:p>
    <w:p w14:paraId="5A098769" w14:textId="64D8410A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Ashton, A.S., 2018. </w:t>
      </w:r>
      <w:proofErr w:type="gramStart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How</w:t>
      </w:r>
      <w:proofErr w:type="gramEnd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 human resources management best practice influence employee satisfaction and job retention in the Thai hotel industry. Journal of Human Resources in Hospitality &amp; Tourism, 17(2), pp.175-199.</w:t>
      </w:r>
    </w:p>
    <w:p w14:paraId="3A9CA255" w14:textId="77777777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Akbar, Y.H. and Tracogna, A., 2018. The sharing economy and the future of the hotel industry: Transaction cost theory and platform economics. International Journal of Hospitality Management, 71, pp.91-101.</w:t>
      </w:r>
    </w:p>
    <w:p w14:paraId="260C72E5" w14:textId="2A61B96D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="Times New Roman" w:hAnsi="Arial" w:cs="Arial"/>
          <w:kern w:val="24"/>
          <w:lang w:val="en-US" w:eastAsia="en-GB"/>
          <w14:ligatures w14:val="none"/>
        </w:rPr>
        <w:t xml:space="preserve">Bakker, A. B. and Demerouti, E. (2007). The job demands-resources model: Review of its current state of knowledge. Journal of Vocational </w:t>
      </w:r>
      <w:r w:rsidR="00340B0A" w:rsidRPr="00194E3D">
        <w:rPr>
          <w:rFonts w:ascii="Arial" w:eastAsia="Times New Roman" w:hAnsi="Arial" w:cs="Arial"/>
          <w:kern w:val="24"/>
          <w:lang w:val="en-US" w:eastAsia="en-GB"/>
          <w14:ligatures w14:val="none"/>
        </w:rPr>
        <w:t>Behavior</w:t>
      </w:r>
      <w:r w:rsidRPr="00194E3D">
        <w:rPr>
          <w:rFonts w:ascii="Arial" w:eastAsia="Times New Roman" w:hAnsi="Arial" w:cs="Arial"/>
          <w:kern w:val="24"/>
          <w:lang w:val="en-US" w:eastAsia="en-GB"/>
          <w14:ligatures w14:val="none"/>
        </w:rPr>
        <w:t xml:space="preserve">, 71(1), 301-330. Available at: </w:t>
      </w:r>
      <w:r w:rsidRPr="00194E3D">
        <w:rPr>
          <w:rFonts w:ascii="Arial" w:eastAsia="Times New Roman" w:hAnsi="Arial" w:cs="Arial"/>
          <w:color w:val="0070C0"/>
          <w:kern w:val="24"/>
          <w:u w:val="single"/>
          <w:lang w:val="en-US" w:eastAsia="en-GB"/>
          <w14:ligatures w14:val="none"/>
        </w:rPr>
        <w:t>http/psycnet.apa.org/record/2007-03960-005</w:t>
      </w:r>
      <w:r w:rsidRPr="00194E3D">
        <w:rPr>
          <w:rFonts w:ascii="Arial" w:eastAsia="Times New Roman" w:hAnsi="Arial" w:cs="Arial"/>
          <w:color w:val="0070C0"/>
          <w:kern w:val="24"/>
          <w:lang w:val="en-US" w:eastAsia="en-GB"/>
          <w14:ligatures w14:val="none"/>
        </w:rPr>
        <w:t xml:space="preserve"> </w:t>
      </w:r>
      <w:r w:rsidRPr="00194E3D">
        <w:rPr>
          <w:rFonts w:ascii="Arial" w:eastAsia="Times New Roman" w:hAnsi="Arial" w:cs="Arial"/>
          <w:kern w:val="24"/>
          <w:lang w:val="en-US" w:eastAsia="en-GB"/>
          <w14:ligatures w14:val="none"/>
        </w:rPr>
        <w:t>(Accessed: April 12, 2024).</w:t>
      </w:r>
    </w:p>
    <w:p w14:paraId="46A070C4" w14:textId="77777777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Barykin, S.Y., Kapustina, I.V., </w:t>
      </w:r>
      <w:proofErr w:type="spellStart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Valebnikova</w:t>
      </w:r>
      <w:proofErr w:type="spellEnd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, O.A., </w:t>
      </w:r>
      <w:proofErr w:type="spellStart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Valebnikova</w:t>
      </w:r>
      <w:proofErr w:type="spellEnd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, N.V., Kalinina, O.V., Sergeev, S.M., </w:t>
      </w:r>
      <w:proofErr w:type="spellStart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Camastral</w:t>
      </w:r>
      <w:proofErr w:type="spellEnd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, M., </w:t>
      </w:r>
      <w:proofErr w:type="spellStart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Putikhin</w:t>
      </w:r>
      <w:proofErr w:type="spellEnd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, Y. and Volkova, L., 2021. Digital technologies for personnel management: Implications for open innovations. </w:t>
      </w:r>
      <w:r w:rsidRPr="00194E3D">
        <w:rPr>
          <w:rFonts w:ascii="Arial" w:eastAsiaTheme="minorEastAsia" w:hAnsi="Arial" w:cs="Arial"/>
          <w:i/>
          <w:iCs/>
          <w:kern w:val="24"/>
          <w:lang w:val="en-US" w:eastAsia="en-GB"/>
          <w14:ligatures w14:val="none"/>
        </w:rPr>
        <w:t>Academy of Strategic Management Journal</w:t>
      </w: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, </w:t>
      </w:r>
      <w:r w:rsidRPr="00194E3D">
        <w:rPr>
          <w:rFonts w:ascii="Arial" w:eastAsiaTheme="minorEastAsia" w:hAnsi="Arial" w:cs="Arial"/>
          <w:i/>
          <w:iCs/>
          <w:kern w:val="24"/>
          <w:lang w:val="en-US" w:eastAsia="en-GB"/>
          <w14:ligatures w14:val="none"/>
        </w:rPr>
        <w:t>20</w:t>
      </w: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, pp.1-14.</w:t>
      </w:r>
    </w:p>
    <w:p w14:paraId="1412E42D" w14:textId="77777777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Cho, W., Choi, S. and Choi, H., 2023. Human resources analytics for public personnel management: Concepts, cases, and caveats. </w:t>
      </w:r>
      <w:r w:rsidRPr="00194E3D">
        <w:rPr>
          <w:rFonts w:ascii="Arial" w:eastAsiaTheme="minorEastAsia" w:hAnsi="Arial" w:cs="Arial"/>
          <w:i/>
          <w:iCs/>
          <w:kern w:val="24"/>
          <w:lang w:val="en-US" w:eastAsia="en-GB"/>
          <w14:ligatures w14:val="none"/>
        </w:rPr>
        <w:t>Administrative Sciences</w:t>
      </w: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, </w:t>
      </w:r>
      <w:r w:rsidRPr="00194E3D">
        <w:rPr>
          <w:rFonts w:ascii="Arial" w:eastAsiaTheme="minorEastAsia" w:hAnsi="Arial" w:cs="Arial"/>
          <w:i/>
          <w:iCs/>
          <w:kern w:val="24"/>
          <w:lang w:val="en-US" w:eastAsia="en-GB"/>
          <w14:ligatures w14:val="none"/>
        </w:rPr>
        <w:t>13</w:t>
      </w: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(2), p.41.</w:t>
      </w:r>
      <w:r w:rsidRPr="00194E3D">
        <w:rPr>
          <w:rFonts w:ascii="Arial" w:eastAsia="Times New Roman" w:hAnsi="Arial" w:cs="Arial"/>
          <w:kern w:val="24"/>
          <w:lang w:val="en-US" w:eastAsia="en-GB"/>
          <w14:ligatures w14:val="none"/>
        </w:rPr>
        <w:t xml:space="preserve"> </w:t>
      </w:r>
    </w:p>
    <w:p w14:paraId="33C84513" w14:textId="77777777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194E3D">
        <w:rPr>
          <w:rFonts w:ascii="Arial" w:eastAsia="Times New Roman" w:hAnsi="Arial" w:cs="Arial"/>
          <w:kern w:val="24"/>
          <w:lang w:val="en-US" w:eastAsia="en-GB"/>
          <w14:ligatures w14:val="none"/>
        </w:rPr>
        <w:t>Cropanzano</w:t>
      </w:r>
      <w:proofErr w:type="spellEnd"/>
      <w:r w:rsidRPr="00194E3D">
        <w:rPr>
          <w:rFonts w:ascii="Arial" w:eastAsia="Times New Roman" w:hAnsi="Arial" w:cs="Arial"/>
          <w:kern w:val="24"/>
          <w:lang w:val="en-US" w:eastAsia="en-GB"/>
          <w14:ligatures w14:val="none"/>
        </w:rPr>
        <w:t xml:space="preserve">, R. and Wright, T. A. (2022). Employee engagement in a changing world: A review and future agenda. </w:t>
      </w:r>
      <w:r w:rsidRPr="00194E3D">
        <w:rPr>
          <w:rFonts w:ascii="Arial" w:eastAsia="Times New Roman" w:hAnsi="Arial" w:cs="Arial"/>
          <w:i/>
          <w:iCs/>
          <w:kern w:val="24"/>
          <w:lang w:val="en-US" w:eastAsia="en-GB"/>
          <w14:ligatures w14:val="none"/>
        </w:rPr>
        <w:t>Journal of Management</w:t>
      </w:r>
      <w:r w:rsidRPr="00194E3D">
        <w:rPr>
          <w:rFonts w:ascii="Arial" w:eastAsia="Times New Roman" w:hAnsi="Arial" w:cs="Arial"/>
          <w:kern w:val="24"/>
          <w:lang w:val="en-US" w:eastAsia="en-GB"/>
          <w14:ligatures w14:val="none"/>
        </w:rPr>
        <w:t xml:space="preserve">, 48(8), 2421-2454. Available at: </w:t>
      </w:r>
      <w:hyperlink r:id="rId7" w:history="1">
        <w:r w:rsidRPr="00194E3D">
          <w:rPr>
            <w:rFonts w:ascii="Arial" w:eastAsia="Times New Roman" w:hAnsi="Arial" w:cs="Arial"/>
            <w:color w:val="0070C0"/>
            <w:kern w:val="24"/>
            <w:u w:val="single"/>
            <w:lang w:val="en-US" w:eastAsia="en-GB"/>
            <w14:ligatures w14:val="none"/>
          </w:rPr>
          <w:t>https://www.researchgate.net/publication/211384078_Work_Engagement_A_Quantitative_Review_and_Test_of_Its_Relations_with_Task_and_Contextual_Performance</w:t>
        </w:r>
      </w:hyperlink>
      <w:r w:rsidRPr="00194E3D">
        <w:rPr>
          <w:rFonts w:ascii="Arial" w:eastAsia="Times New Roman" w:hAnsi="Arial" w:cs="Arial"/>
          <w:kern w:val="24"/>
          <w:lang w:val="en-US" w:eastAsia="en-GB"/>
          <w14:ligatures w14:val="none"/>
        </w:rPr>
        <w:t xml:space="preserve"> (Accessed: April 12, 2024).</w:t>
      </w: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 </w:t>
      </w:r>
    </w:p>
    <w:p w14:paraId="250EC29F" w14:textId="5D49A3B6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Databahn</w:t>
      </w:r>
      <w:proofErr w:type="spellEnd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, 2023.Marriott Org Chart in 2023. [Online</w:t>
      </w:r>
      <w:proofErr w:type="gramStart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][</w:t>
      </w:r>
      <w:proofErr w:type="gramEnd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Accessed Through] </w:t>
      </w:r>
      <w:r w:rsidRPr="00194E3D">
        <w:rPr>
          <w:rFonts w:ascii="Arial" w:eastAsiaTheme="minorEastAsia" w:hAnsi="Arial" w:cs="Arial"/>
          <w:color w:val="0070C0"/>
          <w:kern w:val="24"/>
          <w:u w:val="single"/>
          <w:lang w:val="en-US" w:eastAsia="en-GB"/>
          <w14:ligatures w14:val="none"/>
        </w:rPr>
        <w:t xml:space="preserve">https://www.databahn.com/pages/marriott-org-chart </w:t>
      </w: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[11th April 2024] </w:t>
      </w:r>
    </w:p>
    <w:p w14:paraId="424D03A3" w14:textId="77777777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DeNisi, A. S. and Murphy, B. R. (1986). From expectancy to performance: The influence of feedback frequency and performance variability. Journal of Applied Psychology, 71(3), 546-557. Available at: </w:t>
      </w:r>
      <w:r w:rsidRPr="00194E3D">
        <w:rPr>
          <w:rFonts w:ascii="Arial" w:eastAsiaTheme="minorEastAsia" w:hAnsi="Arial" w:cs="Arial"/>
          <w:color w:val="0070C0"/>
          <w:kern w:val="24"/>
          <w:u w:val="single"/>
          <w:lang w:val="en-US" w:eastAsia="en-GB"/>
          <w14:ligatures w14:val="none"/>
        </w:rPr>
        <w:t xml:space="preserve">http://t.johnsonresearchlab.com/publications/2019ParkJohnsonMoonLee_The%20Interaction%20Effects%20of%20Frequency%20and%20Specificity.pdf </w:t>
      </w:r>
      <w:r w:rsidRPr="00194E3D">
        <w:rPr>
          <w:rFonts w:ascii="Arial" w:eastAsiaTheme="minorEastAsia" w:hAnsi="Arial" w:cs="Arial"/>
          <w:kern w:val="24"/>
          <w:u w:val="single"/>
          <w:lang w:val="en-US" w:eastAsia="en-GB"/>
          <w14:ligatures w14:val="none"/>
        </w:rPr>
        <w:t>(</w:t>
      </w: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Accessed: April 12, 2024</w:t>
      </w:r>
    </w:p>
    <w:p w14:paraId="1F914EB2" w14:textId="4C46899A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Gajjar, T. and </w:t>
      </w:r>
      <w:proofErr w:type="spellStart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Okumus</w:t>
      </w:r>
      <w:proofErr w:type="spellEnd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, F., 2018. Diversity management: what are the leading hospitality and tourism companies </w:t>
      </w:r>
      <w:r w:rsidR="00286DCD"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reporting?</w:t>
      </w: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 Journal of Hospitality Marketing &amp; Management, 27(8), pp.905- 925. </w:t>
      </w:r>
    </w:p>
    <w:p w14:paraId="2484CB46" w14:textId="77777777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Ghani, B., Zada, M., Memon, K.R., Ullah, R., Khattak, A., Han, H., Ariza-Montes, A. and Araya-Castillo, L., 2022. Challenges and strategies for employee retention in the hospitality industry: A review. Sustainability, 14(5), p.2885. </w:t>
      </w:r>
    </w:p>
    <w:p w14:paraId="1576F048" w14:textId="77777777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Griffin, R.W., Phillips, J.M. and Gully, S.M., 2020. </w:t>
      </w:r>
      <w:r w:rsidRPr="00194E3D">
        <w:rPr>
          <w:rFonts w:ascii="Arial" w:eastAsiaTheme="minorEastAsia" w:hAnsi="Arial" w:cs="Arial"/>
          <w:i/>
          <w:iCs/>
          <w:kern w:val="24"/>
          <w:lang w:val="en-US" w:eastAsia="en-GB"/>
          <w14:ligatures w14:val="none"/>
        </w:rPr>
        <w:t>Organizational behavior: Managing people and organizations</w:t>
      </w: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. CENGAGE learning.</w:t>
      </w:r>
    </w:p>
    <w:p w14:paraId="0EECC84F" w14:textId="77777777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Huang, S., van der Veen, R. and Song, Z., 2018. The impact of coping strategies on occupational stress and turnover intentions among hotel employees. Journal of Hospitality Marketing &amp; Management, 27(8), pp.926-945.</w:t>
      </w:r>
    </w:p>
    <w:p w14:paraId="2CCD437C" w14:textId="77777777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Malek, K., Kline, S.F. and DiPietro, R., 2018. The impact of manager training on employee turnover intentions. Journal of Hospitality and Tourism Insights, 1(3), pp.203-219. </w:t>
      </w:r>
    </w:p>
    <w:p w14:paraId="59A2BC25" w14:textId="77777777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Michael, </w:t>
      </w:r>
      <w:proofErr w:type="gramStart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N.</w:t>
      </w:r>
      <w:proofErr w:type="gramEnd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 and Fotiadis, A.K., 2022. Employee turnover: The hotel industry perspective. Journal of Tourism, Heritage &amp; Services Marketing (JTHSM), 8(1), pp.38-47.</w:t>
      </w:r>
    </w:p>
    <w:p w14:paraId="5318B7F3" w14:textId="77777777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 xml:space="preserve">Miller, W.R., Von </w:t>
      </w:r>
      <w:proofErr w:type="spellStart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Gaudecker</w:t>
      </w:r>
      <w:proofErr w:type="spellEnd"/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, J., Tanner, A. and Buelow, J.M., 2020. Epilepsy self-management during a pandemic: experiences of people with epilepsy. </w:t>
      </w:r>
      <w:r w:rsidRPr="00194E3D">
        <w:rPr>
          <w:rFonts w:ascii="Arial" w:eastAsiaTheme="minorEastAsia" w:hAnsi="Arial" w:cs="Arial"/>
          <w:i/>
          <w:iCs/>
          <w:kern w:val="24"/>
          <w:lang w:val="en-US" w:eastAsia="en-GB"/>
          <w14:ligatures w14:val="none"/>
        </w:rPr>
        <w:t>Epilepsy &amp; behavior</w:t>
      </w: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, </w:t>
      </w:r>
      <w:r w:rsidRPr="00194E3D">
        <w:rPr>
          <w:rFonts w:ascii="Arial" w:eastAsiaTheme="minorEastAsia" w:hAnsi="Arial" w:cs="Arial"/>
          <w:i/>
          <w:iCs/>
          <w:kern w:val="24"/>
          <w:lang w:val="en-US" w:eastAsia="en-GB"/>
          <w14:ligatures w14:val="none"/>
        </w:rPr>
        <w:t>111</w:t>
      </w: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, p.107238</w:t>
      </w:r>
    </w:p>
    <w:p w14:paraId="7655BD51" w14:textId="77777777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Theme="minorEastAsia" w:hAnsi="Arial" w:cs="Arial"/>
          <w:kern w:val="24"/>
          <w:lang w:val="en-US" w:eastAsia="en-GB"/>
          <w14:ligatures w14:val="none"/>
        </w:rPr>
        <w:t>Nain, A., 2018. A study on major challenges faced by hotel industry globally. International Journal of Creative Research Thoughts, 6(1), pp.561-571.</w:t>
      </w:r>
    </w:p>
    <w:p w14:paraId="524CB6AC" w14:textId="77777777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="Times New Roman" w:hAnsi="Arial" w:cs="Arial"/>
          <w:kern w:val="24"/>
          <w:lang w:val="en-US" w:eastAsia="en-GB"/>
          <w14:ligatures w14:val="none"/>
        </w:rPr>
        <w:lastRenderedPageBreak/>
        <w:t>Pfeffer, J. (1998). The human equation: Building profits by putting people first. Harvard Business School Press.</w:t>
      </w:r>
    </w:p>
    <w:p w14:paraId="6408D433" w14:textId="77777777" w:rsidR="00194E3D" w:rsidRPr="00194E3D" w:rsidRDefault="00194E3D" w:rsidP="00286DC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="Times New Roman" w:hAnsi="Arial" w:cs="Arial"/>
          <w:kern w:val="24"/>
          <w:lang w:val="en-US" w:eastAsia="en-GB"/>
          <w14:ligatures w14:val="none"/>
        </w:rPr>
        <w:t xml:space="preserve">Schaufeli, W. B. and Bakker, A. B. (2004). Utrecht Work Engagement Scale: Preliminary manual. Available at: </w:t>
      </w:r>
      <w:r w:rsidRPr="00194E3D">
        <w:rPr>
          <w:rFonts w:ascii="Arial" w:eastAsia="Times New Roman" w:hAnsi="Arial" w:cs="Arial"/>
          <w:color w:val="0070C0"/>
          <w:kern w:val="24"/>
          <w:u w:val="single"/>
          <w:lang w:val="en-US" w:eastAsia="en-GB"/>
          <w14:ligatures w14:val="none"/>
        </w:rPr>
        <w:t>https://www.scirp.org/reference/referencespapers?referenceid=1957564</w:t>
      </w:r>
      <w:r w:rsidRPr="00194E3D">
        <w:rPr>
          <w:rFonts w:ascii="Arial" w:eastAsia="Times New Roman" w:hAnsi="Arial" w:cs="Arial"/>
          <w:color w:val="0070C0"/>
          <w:kern w:val="24"/>
          <w:lang w:val="en-US" w:eastAsia="en-GB"/>
          <w14:ligatures w14:val="none"/>
        </w:rPr>
        <w:t xml:space="preserve"> </w:t>
      </w:r>
      <w:r w:rsidRPr="00194E3D">
        <w:rPr>
          <w:rFonts w:ascii="Arial" w:eastAsia="Times New Roman" w:hAnsi="Arial" w:cs="Arial"/>
          <w:kern w:val="24"/>
          <w:lang w:val="en-US" w:eastAsia="en-GB"/>
          <w14:ligatures w14:val="none"/>
        </w:rPr>
        <w:t xml:space="preserve">(Accessed: April 12, 2024). </w:t>
      </w:r>
    </w:p>
    <w:p w14:paraId="41C1A210" w14:textId="77777777" w:rsidR="00194E3D" w:rsidRPr="00194E3D" w:rsidRDefault="00194E3D" w:rsidP="00194E3D">
      <w:pPr>
        <w:numPr>
          <w:ilvl w:val="0"/>
          <w:numId w:val="2"/>
        </w:numPr>
        <w:kinsoku w:val="0"/>
        <w:overflowPunct w:val="0"/>
        <w:spacing w:after="0" w:line="240" w:lineRule="auto"/>
        <w:ind w:left="1080"/>
        <w:contextualSpacing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94E3D">
        <w:rPr>
          <w:rFonts w:ascii="Arial" w:eastAsia="Times New Roman" w:hAnsi="Arial" w:cs="Arial"/>
          <w:kern w:val="24"/>
          <w:lang w:val="en-US" w:eastAsia="en-GB"/>
          <w14:ligatures w14:val="none"/>
        </w:rPr>
        <w:t>Truss, C., Mankin, D. and Kelliher, C. (2012). </w:t>
      </w:r>
      <w:r w:rsidRPr="00194E3D">
        <w:rPr>
          <w:rFonts w:ascii="Arial" w:eastAsia="Times New Roman" w:hAnsi="Arial" w:cs="Arial"/>
          <w:i/>
          <w:iCs/>
          <w:kern w:val="24"/>
          <w:lang w:val="en-US" w:eastAsia="en-GB"/>
          <w14:ligatures w14:val="none"/>
        </w:rPr>
        <w:t>Strategic Human Resource Management</w:t>
      </w:r>
      <w:r w:rsidRPr="00194E3D">
        <w:rPr>
          <w:rFonts w:ascii="Arial" w:eastAsia="Times New Roman" w:hAnsi="Arial" w:cs="Arial"/>
          <w:kern w:val="24"/>
          <w:lang w:val="en-US" w:eastAsia="en-GB"/>
          <w14:ligatures w14:val="none"/>
        </w:rPr>
        <w:t>. [online] </w:t>
      </w:r>
      <w:r w:rsidRPr="00194E3D">
        <w:rPr>
          <w:rFonts w:ascii="Arial" w:eastAsia="Times New Roman" w:hAnsi="Arial" w:cs="Arial"/>
          <w:i/>
          <w:iCs/>
          <w:kern w:val="24"/>
          <w:lang w:val="en-US" w:eastAsia="en-GB"/>
          <w14:ligatures w14:val="none"/>
        </w:rPr>
        <w:t>Google Books</w:t>
      </w:r>
      <w:r w:rsidRPr="00194E3D">
        <w:rPr>
          <w:rFonts w:ascii="Arial" w:eastAsia="Times New Roman" w:hAnsi="Arial" w:cs="Arial"/>
          <w:kern w:val="24"/>
          <w:lang w:val="en-US" w:eastAsia="en-GB"/>
          <w14:ligatures w14:val="none"/>
        </w:rPr>
        <w:t xml:space="preserve">. OUP Oxford. Available at: </w:t>
      </w:r>
      <w:r w:rsidRPr="00194E3D">
        <w:rPr>
          <w:rFonts w:ascii="Arial" w:eastAsia="Times New Roman" w:hAnsi="Arial" w:cs="Arial"/>
          <w:color w:val="0070C0"/>
          <w:kern w:val="24"/>
          <w:u w:val="single"/>
          <w:lang w:val="en-US" w:eastAsia="en-GB"/>
          <w14:ligatures w14:val="none"/>
        </w:rPr>
        <w:t>https://books.google.com/books/about/Strategic_Human_Resource_Management.html?id=pW2cAQAAQBAJ</w:t>
      </w:r>
      <w:r w:rsidRPr="00194E3D">
        <w:rPr>
          <w:rFonts w:ascii="Arial" w:eastAsia="Times New Roman" w:hAnsi="Arial" w:cs="Arial"/>
          <w:color w:val="0070C0"/>
          <w:kern w:val="24"/>
          <w:lang w:val="en-US" w:eastAsia="en-GB"/>
          <w14:ligatures w14:val="none"/>
        </w:rPr>
        <w:t xml:space="preserve"> </w:t>
      </w:r>
      <w:r w:rsidRPr="00194E3D">
        <w:rPr>
          <w:rFonts w:ascii="Arial" w:eastAsia="Times New Roman" w:hAnsi="Arial" w:cs="Arial"/>
          <w:kern w:val="24"/>
          <w:lang w:val="en-US" w:eastAsia="en-GB"/>
          <w14:ligatures w14:val="none"/>
        </w:rPr>
        <w:t>[Accessed 11 Apr. 2024].</w:t>
      </w:r>
    </w:p>
    <w:p w14:paraId="6551C29C" w14:textId="77777777" w:rsidR="00194E3D" w:rsidRPr="00194E3D" w:rsidRDefault="00194E3D" w:rsidP="00194E3D">
      <w:pPr>
        <w:jc w:val="both"/>
        <w:rPr>
          <w:rFonts w:ascii="Arial" w:hAnsi="Arial" w:cs="Arial"/>
        </w:rPr>
      </w:pPr>
    </w:p>
    <w:sectPr w:rsidR="00194E3D" w:rsidRPr="00194E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0D5B7F"/>
    <w:multiLevelType w:val="hybridMultilevel"/>
    <w:tmpl w:val="CAD4C872"/>
    <w:lvl w:ilvl="0" w:tplc="5316F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458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B628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9A2A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E4A1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D4AA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122F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4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26EC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4E5051"/>
    <w:multiLevelType w:val="hybridMultilevel"/>
    <w:tmpl w:val="F724AC36"/>
    <w:lvl w:ilvl="0" w:tplc="0FBAB8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94CA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888A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72FC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3891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0490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787B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403B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7059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8838135">
    <w:abstractNumId w:val="0"/>
  </w:num>
  <w:num w:numId="2" w16cid:durableId="1853836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E3D"/>
    <w:rsid w:val="00194E3D"/>
    <w:rsid w:val="00286DCD"/>
    <w:rsid w:val="00340B0A"/>
    <w:rsid w:val="00B05E5C"/>
    <w:rsid w:val="00B9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F8AFD"/>
  <w15:chartTrackingRefBased/>
  <w15:docId w15:val="{F9779281-A439-4ED4-ABF5-A92EE7D6A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4E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4E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E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E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E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E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E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E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E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4E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4E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E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E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E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E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E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E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E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4E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E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E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4E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4E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4E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4E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4E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E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E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4E3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94E3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0B0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40B0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6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46367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3957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1471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5312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2547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4497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7988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7898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4813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7738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89512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22902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1709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58598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3704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29392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7881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225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277">
          <w:marLeft w:val="36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370019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5689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198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0363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5037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958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49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762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317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6941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0615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28757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7676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5948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99166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6770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5477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1739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6638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56877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035525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7887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80861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30175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90972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4741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5842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6980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4913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3554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6757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8550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6289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099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2002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98717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1694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88661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4021">
          <w:marLeft w:val="3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esearchgate.net/publication/211384078_Work_Engagement_A_Quantitative_Review_and_Test_of_Its_Relations_with_Task_and_Contextual_Performanc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wtsd-my.sharepoint.com/:v:/g/personal/2019619_student_uwtsd_ac_uk/EeBO64qXpN5EsbMpp90YgH4B_X6lfd4PpoHQcDGPxMfPiw?email=j.moore%40uwtsd.ac.uk&amp;e=uVmjzx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Nagy</dc:creator>
  <cp:keywords/>
  <dc:description/>
  <cp:lastModifiedBy>Madalina Nagy</cp:lastModifiedBy>
  <cp:revision>2</cp:revision>
  <dcterms:created xsi:type="dcterms:W3CDTF">2024-04-26T19:25:00Z</dcterms:created>
  <dcterms:modified xsi:type="dcterms:W3CDTF">2024-04-26T19:53:00Z</dcterms:modified>
</cp:coreProperties>
</file>