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A2CC4" w14:textId="77777777" w:rsidR="00156FA5" w:rsidRPr="00B8623F" w:rsidRDefault="00156FA5" w:rsidP="00616474">
      <w:pPr>
        <w:spacing w:line="360" w:lineRule="auto"/>
        <w:jc w:val="center"/>
        <w:rPr>
          <w:lang w:val="en-GB"/>
        </w:rPr>
      </w:pPr>
    </w:p>
    <w:p w14:paraId="5E644680" w14:textId="77777777" w:rsidR="00355342" w:rsidRPr="00B8623F" w:rsidRDefault="00355342" w:rsidP="00616474">
      <w:pPr>
        <w:spacing w:line="360" w:lineRule="auto"/>
        <w:jc w:val="center"/>
        <w:rPr>
          <w:b/>
          <w:bCs/>
          <w:lang w:val="en-GB"/>
        </w:rPr>
      </w:pPr>
      <w:r w:rsidRPr="00B8623F">
        <w:rPr>
          <w:b/>
          <w:bCs/>
          <w:lang w:val="en-GB"/>
        </w:rPr>
        <w:t>University of Wales Trinity Saint David</w:t>
      </w:r>
    </w:p>
    <w:p w14:paraId="47F17A89" w14:textId="77777777" w:rsidR="00355342" w:rsidRPr="00B8623F" w:rsidRDefault="00355342" w:rsidP="00616474">
      <w:pPr>
        <w:spacing w:line="360" w:lineRule="auto"/>
        <w:jc w:val="center"/>
        <w:rPr>
          <w:b/>
          <w:bCs/>
          <w:lang w:val="en-GB"/>
        </w:rPr>
      </w:pPr>
    </w:p>
    <w:p w14:paraId="15F6B20A" w14:textId="77777777" w:rsidR="00355342" w:rsidRPr="00B8623F" w:rsidRDefault="00355342" w:rsidP="00616474">
      <w:pPr>
        <w:spacing w:line="360" w:lineRule="auto"/>
        <w:jc w:val="center"/>
        <w:rPr>
          <w:lang w:val="en-GB"/>
        </w:rPr>
      </w:pPr>
      <w:r w:rsidRPr="00B8623F">
        <w:rPr>
          <w:b/>
          <w:bCs/>
          <w:lang w:val="en-GB"/>
        </w:rPr>
        <w:t xml:space="preserve">Certificate of Higher Education Skills for the Workplace </w:t>
      </w:r>
      <w:r w:rsidRPr="00B8623F">
        <w:rPr>
          <w:b/>
          <w:bCs/>
          <w:lang w:val="en-GB"/>
        </w:rPr>
        <w:br/>
        <w:t>(Health and Social Care)</w:t>
      </w:r>
    </w:p>
    <w:p w14:paraId="3418DC10" w14:textId="77777777" w:rsidR="00355342" w:rsidRPr="00B8623F" w:rsidRDefault="00355342" w:rsidP="00616474">
      <w:pPr>
        <w:spacing w:line="360" w:lineRule="auto"/>
        <w:jc w:val="center"/>
        <w:rPr>
          <w:b/>
          <w:bCs/>
          <w:lang w:val="en-GB"/>
        </w:rPr>
      </w:pPr>
    </w:p>
    <w:p w14:paraId="38BF0EA8" w14:textId="77777777" w:rsidR="00355342" w:rsidRPr="00B8623F" w:rsidRDefault="00355342" w:rsidP="00616474">
      <w:pPr>
        <w:spacing w:line="360" w:lineRule="auto"/>
        <w:jc w:val="center"/>
        <w:rPr>
          <w:b/>
          <w:bCs/>
          <w:lang w:val="en-GB"/>
        </w:rPr>
      </w:pPr>
      <w:r w:rsidRPr="00B8623F">
        <w:rPr>
          <w:b/>
          <w:bCs/>
          <w:lang w:val="en-GB"/>
        </w:rPr>
        <w:t>LCHS4003: Introduction to Health and Social Care</w:t>
      </w:r>
    </w:p>
    <w:p w14:paraId="14A20964" w14:textId="77777777" w:rsidR="00355342" w:rsidRPr="00B8623F" w:rsidRDefault="00355342" w:rsidP="00616474">
      <w:pPr>
        <w:spacing w:line="360" w:lineRule="auto"/>
        <w:jc w:val="center"/>
        <w:rPr>
          <w:b/>
          <w:bCs/>
          <w:lang w:val="en-GB"/>
        </w:rPr>
      </w:pPr>
      <w:r w:rsidRPr="00B8623F">
        <w:rPr>
          <w:b/>
          <w:bCs/>
          <w:lang w:val="en-GB"/>
        </w:rPr>
        <w:t>Component 2: Written Assignment</w:t>
      </w:r>
    </w:p>
    <w:p w14:paraId="274F0A4F" w14:textId="77777777" w:rsidR="00355342" w:rsidRPr="00B8623F" w:rsidRDefault="00355342" w:rsidP="00616474">
      <w:pPr>
        <w:spacing w:line="360" w:lineRule="auto"/>
        <w:jc w:val="center"/>
        <w:rPr>
          <w:b/>
          <w:bCs/>
          <w:lang w:val="en-GB"/>
        </w:rPr>
      </w:pPr>
    </w:p>
    <w:p w14:paraId="1E4B4F65" w14:textId="77777777" w:rsidR="00355342" w:rsidRPr="00B8623F" w:rsidRDefault="00355342" w:rsidP="00616474">
      <w:pPr>
        <w:spacing w:line="360" w:lineRule="auto"/>
        <w:jc w:val="center"/>
        <w:rPr>
          <w:b/>
          <w:bCs/>
          <w:lang w:val="en-GB"/>
        </w:rPr>
      </w:pPr>
      <w:r w:rsidRPr="00B8623F">
        <w:rPr>
          <w:b/>
          <w:bCs/>
          <w:lang w:val="en-GB"/>
        </w:rPr>
        <w:t>Effective Communication, Record Keeping and Collaborative Working in the Care of Mrs Thompson</w:t>
      </w:r>
    </w:p>
    <w:p w14:paraId="4A318F3C" w14:textId="77777777" w:rsidR="00355342" w:rsidRPr="00B8623F" w:rsidRDefault="00355342" w:rsidP="00616474">
      <w:pPr>
        <w:spacing w:line="360" w:lineRule="auto"/>
        <w:jc w:val="center"/>
        <w:rPr>
          <w:b/>
          <w:bCs/>
          <w:lang w:val="en-GB"/>
        </w:rPr>
      </w:pPr>
    </w:p>
    <w:p w14:paraId="6A50DDD1" w14:textId="522E217A" w:rsidR="00355342" w:rsidRPr="00B8623F" w:rsidRDefault="00355342" w:rsidP="00616474">
      <w:pPr>
        <w:spacing w:line="360" w:lineRule="auto"/>
        <w:jc w:val="center"/>
        <w:rPr>
          <w:lang w:val="en-GB"/>
        </w:rPr>
      </w:pPr>
      <w:r w:rsidRPr="00B8623F">
        <w:rPr>
          <w:b/>
          <w:bCs/>
          <w:lang w:val="en-GB"/>
        </w:rPr>
        <w:t>Student Name:</w:t>
      </w:r>
      <w:r w:rsidRPr="00B8623F">
        <w:rPr>
          <w:lang w:val="en-GB"/>
        </w:rPr>
        <w:t xml:space="preserve"> </w:t>
      </w:r>
      <w:r w:rsidR="007A1FF1">
        <w:rPr>
          <w:lang w:val="en-GB"/>
        </w:rPr>
        <w:t>Sheila robalo</w:t>
      </w:r>
    </w:p>
    <w:p w14:paraId="3B5A7FC8" w14:textId="37241046" w:rsidR="00355342" w:rsidRPr="00B8623F" w:rsidRDefault="00355342" w:rsidP="00616474">
      <w:pPr>
        <w:spacing w:line="360" w:lineRule="auto"/>
        <w:jc w:val="center"/>
        <w:rPr>
          <w:lang w:val="en-GB"/>
        </w:rPr>
      </w:pPr>
      <w:r w:rsidRPr="00B8623F">
        <w:rPr>
          <w:lang w:val="en-GB"/>
        </w:rPr>
        <w:br/>
      </w:r>
      <w:r w:rsidRPr="00B8623F">
        <w:rPr>
          <w:b/>
          <w:bCs/>
          <w:lang w:val="en-GB"/>
        </w:rPr>
        <w:t>Student ID:</w:t>
      </w:r>
      <w:r w:rsidR="007A1FF1">
        <w:rPr>
          <w:lang w:val="en-GB"/>
        </w:rPr>
        <w:t xml:space="preserve"> 2525238</w:t>
      </w:r>
    </w:p>
    <w:p w14:paraId="19E4E1DE" w14:textId="7B09D04B" w:rsidR="00355342" w:rsidRDefault="00355342" w:rsidP="00616474">
      <w:pPr>
        <w:spacing w:line="360" w:lineRule="auto"/>
        <w:jc w:val="center"/>
        <w:rPr>
          <w:lang w:val="en-GB"/>
        </w:rPr>
      </w:pPr>
      <w:r w:rsidRPr="00B8623F">
        <w:rPr>
          <w:lang w:val="en-GB"/>
        </w:rPr>
        <w:br/>
      </w:r>
      <w:r w:rsidRPr="00B8623F">
        <w:rPr>
          <w:b/>
          <w:bCs/>
          <w:lang w:val="en-GB"/>
        </w:rPr>
        <w:t>Submission Date:</w:t>
      </w:r>
      <w:r w:rsidRPr="00B8623F">
        <w:rPr>
          <w:lang w:val="en-GB"/>
        </w:rPr>
        <w:t xml:space="preserve"> 24 July 2026</w:t>
      </w:r>
    </w:p>
    <w:p w14:paraId="2597CD8F" w14:textId="1C9F2D8D" w:rsidR="007A1FF1" w:rsidRPr="00C234EF" w:rsidRDefault="00C234EF" w:rsidP="007A1FF1">
      <w:pPr>
        <w:spacing w:line="360" w:lineRule="auto"/>
        <w:jc w:val="center"/>
      </w:pPr>
      <w:r>
        <w:rPr>
          <w:b/>
          <w:bCs/>
        </w:rPr>
        <w:t xml:space="preserve">Lecturer: </w:t>
      </w:r>
      <w:r w:rsidRPr="00C234EF">
        <w:t>Farah Islam</w:t>
      </w:r>
    </w:p>
    <w:p w14:paraId="02174AC2" w14:textId="77777777" w:rsidR="007A1FF1" w:rsidRDefault="007A1FF1" w:rsidP="007A1FF1">
      <w:pPr>
        <w:spacing w:line="360" w:lineRule="auto"/>
        <w:jc w:val="center"/>
        <w:rPr>
          <w:b/>
          <w:bCs/>
        </w:rPr>
      </w:pPr>
    </w:p>
    <w:p w14:paraId="39DA3E0E" w14:textId="77777777" w:rsidR="007A1FF1" w:rsidRDefault="007A1FF1" w:rsidP="007A1FF1">
      <w:pPr>
        <w:spacing w:line="360" w:lineRule="auto"/>
        <w:jc w:val="center"/>
        <w:rPr>
          <w:lang w:val="en-GB"/>
        </w:rPr>
      </w:pPr>
    </w:p>
    <w:p w14:paraId="2F7B1728" w14:textId="77777777" w:rsidR="007A1FF1" w:rsidRDefault="007A1FF1" w:rsidP="007A1FF1">
      <w:pPr>
        <w:spacing w:line="360" w:lineRule="auto"/>
        <w:jc w:val="center"/>
        <w:rPr>
          <w:b/>
          <w:bCs/>
        </w:rPr>
      </w:pPr>
    </w:p>
    <w:p w14:paraId="0D2ADA9E" w14:textId="77777777" w:rsidR="007A1FF1" w:rsidRDefault="007A1FF1" w:rsidP="007A1FF1">
      <w:pPr>
        <w:spacing w:line="360" w:lineRule="auto"/>
        <w:jc w:val="center"/>
        <w:rPr>
          <w:b/>
          <w:bCs/>
        </w:rPr>
      </w:pPr>
    </w:p>
    <w:p w14:paraId="3EF58848" w14:textId="77777777" w:rsidR="007A1FF1" w:rsidRDefault="007A1FF1" w:rsidP="00616474">
      <w:pPr>
        <w:spacing w:line="360" w:lineRule="auto"/>
        <w:jc w:val="center"/>
        <w:rPr>
          <w:lang w:val="en-GB"/>
        </w:rPr>
      </w:pPr>
    </w:p>
    <w:p w14:paraId="1E11AB01" w14:textId="77777777" w:rsidR="007A1FF1" w:rsidRDefault="007A1FF1" w:rsidP="00616474">
      <w:pPr>
        <w:spacing w:line="360" w:lineRule="auto"/>
        <w:jc w:val="center"/>
        <w:rPr>
          <w:lang w:val="en-GB"/>
        </w:rPr>
      </w:pPr>
    </w:p>
    <w:p w14:paraId="16DAF75C" w14:textId="77777777" w:rsidR="007A1FF1" w:rsidRPr="00B8623F" w:rsidRDefault="007A1FF1" w:rsidP="00616474">
      <w:pPr>
        <w:spacing w:line="360" w:lineRule="auto"/>
        <w:jc w:val="center"/>
        <w:rPr>
          <w:lang w:val="en-GB"/>
        </w:rPr>
      </w:pPr>
    </w:p>
    <w:p w14:paraId="7CB9BCB0" w14:textId="77777777" w:rsidR="00355342" w:rsidRPr="00B8623F" w:rsidRDefault="00355342" w:rsidP="00616474">
      <w:pPr>
        <w:spacing w:line="360" w:lineRule="auto"/>
        <w:rPr>
          <w:lang w:val="en-GB"/>
        </w:rPr>
      </w:pPr>
    </w:p>
    <w:p w14:paraId="7C88B13B" w14:textId="77777777" w:rsidR="00355342" w:rsidRPr="00B8623F" w:rsidRDefault="00355342" w:rsidP="00616474">
      <w:pPr>
        <w:spacing w:line="360" w:lineRule="auto"/>
        <w:rPr>
          <w:lang w:val="en-GB"/>
        </w:rPr>
      </w:pPr>
    </w:p>
    <w:p w14:paraId="23042A08" w14:textId="77777777" w:rsidR="00355342" w:rsidRPr="00B8623F" w:rsidRDefault="00355342" w:rsidP="00616474">
      <w:pPr>
        <w:spacing w:line="360" w:lineRule="auto"/>
        <w:rPr>
          <w:lang w:val="en-GB"/>
        </w:rPr>
      </w:pPr>
    </w:p>
    <w:p w14:paraId="71CD49A6" w14:textId="77777777" w:rsidR="00355342" w:rsidRPr="00B8623F" w:rsidRDefault="00355342" w:rsidP="00616474">
      <w:pPr>
        <w:spacing w:line="360" w:lineRule="auto"/>
        <w:rPr>
          <w:lang w:val="en-GB"/>
        </w:rPr>
      </w:pPr>
    </w:p>
    <w:p w14:paraId="6B8F4FDA" w14:textId="77777777" w:rsidR="00355342" w:rsidRPr="00B8623F" w:rsidRDefault="00355342" w:rsidP="00616474">
      <w:pPr>
        <w:spacing w:line="360" w:lineRule="auto"/>
        <w:rPr>
          <w:lang w:val="en-GB"/>
        </w:rPr>
      </w:pPr>
    </w:p>
    <w:p w14:paraId="73F7436C" w14:textId="77777777" w:rsidR="003A1E63" w:rsidRPr="00B8623F" w:rsidRDefault="003A1E63" w:rsidP="00616474">
      <w:pPr>
        <w:spacing w:line="360" w:lineRule="auto"/>
        <w:rPr>
          <w:lang w:val="en-GB"/>
        </w:rPr>
        <w:sectPr w:rsidR="003A1E63" w:rsidRPr="00B8623F" w:rsidSect="00A20C92">
          <w:headerReference w:type="default" r:id="rId6"/>
          <w:pgSz w:w="12240" w:h="15840"/>
          <w:pgMar w:top="1440" w:right="1440" w:bottom="1440" w:left="1440" w:header="720" w:footer="720" w:gutter="0"/>
          <w:cols w:space="720"/>
          <w:titlePg/>
          <w:docGrid w:linePitch="360"/>
        </w:sectPr>
      </w:pPr>
    </w:p>
    <w:sdt>
      <w:sdtPr>
        <w:rPr>
          <w:rFonts w:ascii="Arial" w:eastAsiaTheme="minorHAnsi" w:hAnsi="Arial" w:cs="Arial"/>
          <w:color w:val="auto"/>
          <w:sz w:val="24"/>
          <w:szCs w:val="24"/>
          <w:lang w:val="en-GB"/>
        </w:rPr>
        <w:id w:val="203684033"/>
        <w:docPartObj>
          <w:docPartGallery w:val="Table of Contents"/>
          <w:docPartUnique/>
        </w:docPartObj>
      </w:sdtPr>
      <w:sdtEndPr>
        <w:rPr>
          <w:b/>
          <w:bCs/>
          <w:noProof/>
        </w:rPr>
      </w:sdtEndPr>
      <w:sdtContent>
        <w:p w14:paraId="6FE26F5B" w14:textId="77777777" w:rsidR="003A1E63" w:rsidRPr="00B8623F" w:rsidRDefault="003A1E63" w:rsidP="00616474">
          <w:pPr>
            <w:pStyle w:val="TOCHeading"/>
            <w:spacing w:line="360" w:lineRule="auto"/>
            <w:jc w:val="center"/>
            <w:rPr>
              <w:rFonts w:ascii="Arial" w:hAnsi="Arial" w:cs="Arial"/>
              <w:b/>
              <w:color w:val="auto"/>
              <w:sz w:val="24"/>
              <w:szCs w:val="24"/>
              <w:lang w:val="en-GB"/>
            </w:rPr>
          </w:pPr>
          <w:r w:rsidRPr="00B8623F">
            <w:rPr>
              <w:rFonts w:ascii="Arial" w:hAnsi="Arial" w:cs="Arial"/>
              <w:b/>
              <w:color w:val="auto"/>
              <w:sz w:val="24"/>
              <w:szCs w:val="24"/>
              <w:lang w:val="en-GB"/>
            </w:rPr>
            <w:t>Table of Contents</w:t>
          </w:r>
        </w:p>
        <w:p w14:paraId="5CD6F044" w14:textId="77777777" w:rsidR="003A1E63" w:rsidRPr="00B8623F" w:rsidRDefault="003A1E63" w:rsidP="00616474">
          <w:pPr>
            <w:pStyle w:val="TOC1"/>
            <w:tabs>
              <w:tab w:val="right" w:leader="dot" w:pos="9350"/>
            </w:tabs>
            <w:spacing w:line="360" w:lineRule="auto"/>
            <w:rPr>
              <w:noProof/>
              <w:sz w:val="24"/>
              <w:szCs w:val="24"/>
              <w:lang w:val="en-GB"/>
            </w:rPr>
          </w:pPr>
          <w:r w:rsidRPr="00B8623F">
            <w:rPr>
              <w:sz w:val="24"/>
              <w:szCs w:val="24"/>
              <w:lang w:val="en-GB"/>
            </w:rPr>
            <w:fldChar w:fldCharType="begin"/>
          </w:r>
          <w:r w:rsidRPr="00B8623F">
            <w:rPr>
              <w:sz w:val="24"/>
              <w:szCs w:val="24"/>
              <w:lang w:val="en-GB"/>
            </w:rPr>
            <w:instrText xml:space="preserve"> TOC \o "1-3" \h \z \u </w:instrText>
          </w:r>
          <w:r w:rsidRPr="00B8623F">
            <w:rPr>
              <w:sz w:val="24"/>
              <w:szCs w:val="24"/>
              <w:lang w:val="en-GB"/>
            </w:rPr>
            <w:fldChar w:fldCharType="separate"/>
          </w:r>
          <w:hyperlink w:anchor="_Toc234963992" w:history="1">
            <w:r w:rsidRPr="00B8623F">
              <w:rPr>
                <w:rStyle w:val="Hyperlink"/>
                <w:noProof/>
                <w:color w:val="auto"/>
                <w:sz w:val="24"/>
                <w:szCs w:val="24"/>
                <w:lang w:val="en-GB"/>
              </w:rPr>
              <w:t>Introduction</w:t>
            </w:r>
            <w:r w:rsidRPr="00B8623F">
              <w:rPr>
                <w:noProof/>
                <w:webHidden/>
                <w:sz w:val="24"/>
                <w:szCs w:val="24"/>
                <w:lang w:val="en-GB"/>
              </w:rPr>
              <w:tab/>
            </w:r>
            <w:r w:rsidRPr="00B8623F">
              <w:rPr>
                <w:noProof/>
                <w:webHidden/>
                <w:sz w:val="24"/>
                <w:szCs w:val="24"/>
                <w:lang w:val="en-GB"/>
              </w:rPr>
              <w:fldChar w:fldCharType="begin"/>
            </w:r>
            <w:r w:rsidRPr="00B8623F">
              <w:rPr>
                <w:noProof/>
                <w:webHidden/>
                <w:sz w:val="24"/>
                <w:szCs w:val="24"/>
                <w:lang w:val="en-GB"/>
              </w:rPr>
              <w:instrText xml:space="preserve"> PAGEREF _Toc234963992 \h </w:instrText>
            </w:r>
            <w:r w:rsidRPr="00B8623F">
              <w:rPr>
                <w:noProof/>
                <w:webHidden/>
                <w:sz w:val="24"/>
                <w:szCs w:val="24"/>
                <w:lang w:val="en-GB"/>
              </w:rPr>
            </w:r>
            <w:r w:rsidRPr="00B8623F">
              <w:rPr>
                <w:noProof/>
                <w:webHidden/>
                <w:sz w:val="24"/>
                <w:szCs w:val="24"/>
                <w:lang w:val="en-GB"/>
              </w:rPr>
              <w:fldChar w:fldCharType="separate"/>
            </w:r>
            <w:r w:rsidRPr="00B8623F">
              <w:rPr>
                <w:noProof/>
                <w:webHidden/>
                <w:sz w:val="24"/>
                <w:szCs w:val="24"/>
                <w:lang w:val="en-GB"/>
              </w:rPr>
              <w:t>3</w:t>
            </w:r>
            <w:r w:rsidRPr="00B8623F">
              <w:rPr>
                <w:noProof/>
                <w:webHidden/>
                <w:sz w:val="24"/>
                <w:szCs w:val="24"/>
                <w:lang w:val="en-GB"/>
              </w:rPr>
              <w:fldChar w:fldCharType="end"/>
            </w:r>
          </w:hyperlink>
        </w:p>
        <w:p w14:paraId="3CCC446F" w14:textId="77777777" w:rsidR="003A1E63" w:rsidRPr="00B8623F" w:rsidRDefault="003A1E63" w:rsidP="00616474">
          <w:pPr>
            <w:pStyle w:val="TOC1"/>
            <w:tabs>
              <w:tab w:val="right" w:leader="dot" w:pos="9350"/>
            </w:tabs>
            <w:spacing w:line="360" w:lineRule="auto"/>
            <w:rPr>
              <w:noProof/>
              <w:sz w:val="24"/>
              <w:szCs w:val="24"/>
              <w:lang w:val="en-GB"/>
            </w:rPr>
          </w:pPr>
          <w:hyperlink w:anchor="_Toc234963993" w:history="1">
            <w:r w:rsidRPr="00B8623F">
              <w:rPr>
                <w:rStyle w:val="Hyperlink"/>
                <w:noProof/>
                <w:color w:val="auto"/>
                <w:sz w:val="24"/>
                <w:szCs w:val="24"/>
                <w:lang w:val="en-GB"/>
              </w:rPr>
              <w:t>1. Effective Communication in Mrs Thompson’s Care</w:t>
            </w:r>
            <w:r w:rsidRPr="00B8623F">
              <w:rPr>
                <w:noProof/>
                <w:webHidden/>
                <w:sz w:val="24"/>
                <w:szCs w:val="24"/>
                <w:lang w:val="en-GB"/>
              </w:rPr>
              <w:tab/>
            </w:r>
            <w:r w:rsidRPr="00B8623F">
              <w:rPr>
                <w:noProof/>
                <w:webHidden/>
                <w:sz w:val="24"/>
                <w:szCs w:val="24"/>
                <w:lang w:val="en-GB"/>
              </w:rPr>
              <w:fldChar w:fldCharType="begin"/>
            </w:r>
            <w:r w:rsidRPr="00B8623F">
              <w:rPr>
                <w:noProof/>
                <w:webHidden/>
                <w:sz w:val="24"/>
                <w:szCs w:val="24"/>
                <w:lang w:val="en-GB"/>
              </w:rPr>
              <w:instrText xml:space="preserve"> PAGEREF _Toc234963993 \h </w:instrText>
            </w:r>
            <w:r w:rsidRPr="00B8623F">
              <w:rPr>
                <w:noProof/>
                <w:webHidden/>
                <w:sz w:val="24"/>
                <w:szCs w:val="24"/>
                <w:lang w:val="en-GB"/>
              </w:rPr>
            </w:r>
            <w:r w:rsidRPr="00B8623F">
              <w:rPr>
                <w:noProof/>
                <w:webHidden/>
                <w:sz w:val="24"/>
                <w:szCs w:val="24"/>
                <w:lang w:val="en-GB"/>
              </w:rPr>
              <w:fldChar w:fldCharType="separate"/>
            </w:r>
            <w:r w:rsidRPr="00B8623F">
              <w:rPr>
                <w:noProof/>
                <w:webHidden/>
                <w:sz w:val="24"/>
                <w:szCs w:val="24"/>
                <w:lang w:val="en-GB"/>
              </w:rPr>
              <w:t>3</w:t>
            </w:r>
            <w:r w:rsidRPr="00B8623F">
              <w:rPr>
                <w:noProof/>
                <w:webHidden/>
                <w:sz w:val="24"/>
                <w:szCs w:val="24"/>
                <w:lang w:val="en-GB"/>
              </w:rPr>
              <w:fldChar w:fldCharType="end"/>
            </w:r>
          </w:hyperlink>
        </w:p>
        <w:p w14:paraId="036A271A" w14:textId="77777777" w:rsidR="003A1E63" w:rsidRPr="00B8623F" w:rsidRDefault="003A1E63" w:rsidP="00616474">
          <w:pPr>
            <w:pStyle w:val="TOC1"/>
            <w:tabs>
              <w:tab w:val="right" w:leader="dot" w:pos="9350"/>
            </w:tabs>
            <w:spacing w:line="360" w:lineRule="auto"/>
            <w:rPr>
              <w:noProof/>
              <w:sz w:val="24"/>
              <w:szCs w:val="24"/>
              <w:lang w:val="en-GB"/>
            </w:rPr>
          </w:pPr>
          <w:hyperlink w:anchor="_Toc234963994" w:history="1">
            <w:r w:rsidRPr="00B8623F">
              <w:rPr>
                <w:rStyle w:val="Hyperlink"/>
                <w:noProof/>
                <w:color w:val="auto"/>
                <w:sz w:val="24"/>
                <w:szCs w:val="24"/>
                <w:lang w:val="en-GB"/>
              </w:rPr>
              <w:t>2. Administrative Skills, Record Keeping and Data Protection</w:t>
            </w:r>
            <w:r w:rsidRPr="00B8623F">
              <w:rPr>
                <w:noProof/>
                <w:webHidden/>
                <w:sz w:val="24"/>
                <w:szCs w:val="24"/>
                <w:lang w:val="en-GB"/>
              </w:rPr>
              <w:tab/>
            </w:r>
            <w:r w:rsidRPr="00B8623F">
              <w:rPr>
                <w:noProof/>
                <w:webHidden/>
                <w:sz w:val="24"/>
                <w:szCs w:val="24"/>
                <w:lang w:val="en-GB"/>
              </w:rPr>
              <w:fldChar w:fldCharType="begin"/>
            </w:r>
            <w:r w:rsidRPr="00B8623F">
              <w:rPr>
                <w:noProof/>
                <w:webHidden/>
                <w:sz w:val="24"/>
                <w:szCs w:val="24"/>
                <w:lang w:val="en-GB"/>
              </w:rPr>
              <w:instrText xml:space="preserve"> PAGEREF _Toc234963994 \h </w:instrText>
            </w:r>
            <w:r w:rsidRPr="00B8623F">
              <w:rPr>
                <w:noProof/>
                <w:webHidden/>
                <w:sz w:val="24"/>
                <w:szCs w:val="24"/>
                <w:lang w:val="en-GB"/>
              </w:rPr>
            </w:r>
            <w:r w:rsidRPr="00B8623F">
              <w:rPr>
                <w:noProof/>
                <w:webHidden/>
                <w:sz w:val="24"/>
                <w:szCs w:val="24"/>
                <w:lang w:val="en-GB"/>
              </w:rPr>
              <w:fldChar w:fldCharType="separate"/>
            </w:r>
            <w:r w:rsidRPr="00B8623F">
              <w:rPr>
                <w:noProof/>
                <w:webHidden/>
                <w:sz w:val="24"/>
                <w:szCs w:val="24"/>
                <w:lang w:val="en-GB"/>
              </w:rPr>
              <w:t>4</w:t>
            </w:r>
            <w:r w:rsidRPr="00B8623F">
              <w:rPr>
                <w:noProof/>
                <w:webHidden/>
                <w:sz w:val="24"/>
                <w:szCs w:val="24"/>
                <w:lang w:val="en-GB"/>
              </w:rPr>
              <w:fldChar w:fldCharType="end"/>
            </w:r>
          </w:hyperlink>
        </w:p>
        <w:p w14:paraId="1A6ABC95" w14:textId="77777777" w:rsidR="003A1E63" w:rsidRPr="00B8623F" w:rsidRDefault="003A1E63" w:rsidP="00616474">
          <w:pPr>
            <w:pStyle w:val="TOC1"/>
            <w:tabs>
              <w:tab w:val="right" w:leader="dot" w:pos="9350"/>
            </w:tabs>
            <w:spacing w:line="360" w:lineRule="auto"/>
            <w:rPr>
              <w:noProof/>
              <w:sz w:val="24"/>
              <w:szCs w:val="24"/>
              <w:lang w:val="en-GB"/>
            </w:rPr>
          </w:pPr>
          <w:hyperlink w:anchor="_Toc234963995" w:history="1">
            <w:r w:rsidRPr="00B8623F">
              <w:rPr>
                <w:rStyle w:val="Hyperlink"/>
                <w:noProof/>
                <w:color w:val="auto"/>
                <w:sz w:val="24"/>
                <w:szCs w:val="24"/>
                <w:lang w:val="en-GB"/>
              </w:rPr>
              <w:t>3. Collaborative and Multi-Agency Working</w:t>
            </w:r>
            <w:r w:rsidRPr="00B8623F">
              <w:rPr>
                <w:noProof/>
                <w:webHidden/>
                <w:sz w:val="24"/>
                <w:szCs w:val="24"/>
                <w:lang w:val="en-GB"/>
              </w:rPr>
              <w:tab/>
            </w:r>
            <w:r w:rsidRPr="00B8623F">
              <w:rPr>
                <w:noProof/>
                <w:webHidden/>
                <w:sz w:val="24"/>
                <w:szCs w:val="24"/>
                <w:lang w:val="en-GB"/>
              </w:rPr>
              <w:fldChar w:fldCharType="begin"/>
            </w:r>
            <w:r w:rsidRPr="00B8623F">
              <w:rPr>
                <w:noProof/>
                <w:webHidden/>
                <w:sz w:val="24"/>
                <w:szCs w:val="24"/>
                <w:lang w:val="en-GB"/>
              </w:rPr>
              <w:instrText xml:space="preserve"> PAGEREF _Toc234963995 \h </w:instrText>
            </w:r>
            <w:r w:rsidRPr="00B8623F">
              <w:rPr>
                <w:noProof/>
                <w:webHidden/>
                <w:sz w:val="24"/>
                <w:szCs w:val="24"/>
                <w:lang w:val="en-GB"/>
              </w:rPr>
            </w:r>
            <w:r w:rsidRPr="00B8623F">
              <w:rPr>
                <w:noProof/>
                <w:webHidden/>
                <w:sz w:val="24"/>
                <w:szCs w:val="24"/>
                <w:lang w:val="en-GB"/>
              </w:rPr>
              <w:fldChar w:fldCharType="separate"/>
            </w:r>
            <w:r w:rsidRPr="00B8623F">
              <w:rPr>
                <w:noProof/>
                <w:webHidden/>
                <w:sz w:val="24"/>
                <w:szCs w:val="24"/>
                <w:lang w:val="en-GB"/>
              </w:rPr>
              <w:t>5</w:t>
            </w:r>
            <w:r w:rsidRPr="00B8623F">
              <w:rPr>
                <w:noProof/>
                <w:webHidden/>
                <w:sz w:val="24"/>
                <w:szCs w:val="24"/>
                <w:lang w:val="en-GB"/>
              </w:rPr>
              <w:fldChar w:fldCharType="end"/>
            </w:r>
          </w:hyperlink>
        </w:p>
        <w:p w14:paraId="0BD15315" w14:textId="77777777" w:rsidR="003A1E63" w:rsidRPr="00B8623F" w:rsidRDefault="003A1E63" w:rsidP="00616474">
          <w:pPr>
            <w:pStyle w:val="TOC1"/>
            <w:tabs>
              <w:tab w:val="right" w:leader="dot" w:pos="9350"/>
            </w:tabs>
            <w:spacing w:line="360" w:lineRule="auto"/>
            <w:rPr>
              <w:noProof/>
              <w:sz w:val="24"/>
              <w:szCs w:val="24"/>
              <w:lang w:val="en-GB"/>
            </w:rPr>
          </w:pPr>
          <w:hyperlink w:anchor="_Toc234963996" w:history="1">
            <w:r w:rsidRPr="00B8623F">
              <w:rPr>
                <w:rStyle w:val="Hyperlink"/>
                <w:noProof/>
                <w:color w:val="auto"/>
                <w:sz w:val="24"/>
                <w:szCs w:val="24"/>
                <w:lang w:val="en-GB"/>
              </w:rPr>
              <w:t>Conclusion</w:t>
            </w:r>
            <w:r w:rsidRPr="00B8623F">
              <w:rPr>
                <w:noProof/>
                <w:webHidden/>
                <w:sz w:val="24"/>
                <w:szCs w:val="24"/>
                <w:lang w:val="en-GB"/>
              </w:rPr>
              <w:tab/>
            </w:r>
            <w:r w:rsidRPr="00B8623F">
              <w:rPr>
                <w:noProof/>
                <w:webHidden/>
                <w:sz w:val="24"/>
                <w:szCs w:val="24"/>
                <w:lang w:val="en-GB"/>
              </w:rPr>
              <w:fldChar w:fldCharType="begin"/>
            </w:r>
            <w:r w:rsidRPr="00B8623F">
              <w:rPr>
                <w:noProof/>
                <w:webHidden/>
                <w:sz w:val="24"/>
                <w:szCs w:val="24"/>
                <w:lang w:val="en-GB"/>
              </w:rPr>
              <w:instrText xml:space="preserve"> PAGEREF _Toc234963996 \h </w:instrText>
            </w:r>
            <w:r w:rsidRPr="00B8623F">
              <w:rPr>
                <w:noProof/>
                <w:webHidden/>
                <w:sz w:val="24"/>
                <w:szCs w:val="24"/>
                <w:lang w:val="en-GB"/>
              </w:rPr>
            </w:r>
            <w:r w:rsidRPr="00B8623F">
              <w:rPr>
                <w:noProof/>
                <w:webHidden/>
                <w:sz w:val="24"/>
                <w:szCs w:val="24"/>
                <w:lang w:val="en-GB"/>
              </w:rPr>
              <w:fldChar w:fldCharType="separate"/>
            </w:r>
            <w:r w:rsidRPr="00B8623F">
              <w:rPr>
                <w:noProof/>
                <w:webHidden/>
                <w:sz w:val="24"/>
                <w:szCs w:val="24"/>
                <w:lang w:val="en-GB"/>
              </w:rPr>
              <w:t>5</w:t>
            </w:r>
            <w:r w:rsidRPr="00B8623F">
              <w:rPr>
                <w:noProof/>
                <w:webHidden/>
                <w:sz w:val="24"/>
                <w:szCs w:val="24"/>
                <w:lang w:val="en-GB"/>
              </w:rPr>
              <w:fldChar w:fldCharType="end"/>
            </w:r>
          </w:hyperlink>
        </w:p>
        <w:p w14:paraId="786D13E2" w14:textId="77777777" w:rsidR="003A1E63" w:rsidRPr="00B8623F" w:rsidRDefault="003A1E63" w:rsidP="00616474">
          <w:pPr>
            <w:pStyle w:val="TOC1"/>
            <w:tabs>
              <w:tab w:val="right" w:leader="dot" w:pos="9350"/>
            </w:tabs>
            <w:spacing w:line="360" w:lineRule="auto"/>
            <w:rPr>
              <w:noProof/>
              <w:sz w:val="24"/>
              <w:szCs w:val="24"/>
              <w:lang w:val="en-GB"/>
            </w:rPr>
          </w:pPr>
          <w:hyperlink w:anchor="_Toc234963997" w:history="1">
            <w:r w:rsidRPr="00B8623F">
              <w:rPr>
                <w:rStyle w:val="Hyperlink"/>
                <w:noProof/>
                <w:color w:val="auto"/>
                <w:sz w:val="24"/>
                <w:szCs w:val="24"/>
                <w:lang w:val="en-GB"/>
              </w:rPr>
              <w:t>References</w:t>
            </w:r>
            <w:r w:rsidRPr="00B8623F">
              <w:rPr>
                <w:noProof/>
                <w:webHidden/>
                <w:sz w:val="24"/>
                <w:szCs w:val="24"/>
                <w:lang w:val="en-GB"/>
              </w:rPr>
              <w:tab/>
            </w:r>
            <w:r w:rsidRPr="00B8623F">
              <w:rPr>
                <w:noProof/>
                <w:webHidden/>
                <w:sz w:val="24"/>
                <w:szCs w:val="24"/>
                <w:lang w:val="en-GB"/>
              </w:rPr>
              <w:fldChar w:fldCharType="begin"/>
            </w:r>
            <w:r w:rsidRPr="00B8623F">
              <w:rPr>
                <w:noProof/>
                <w:webHidden/>
                <w:sz w:val="24"/>
                <w:szCs w:val="24"/>
                <w:lang w:val="en-GB"/>
              </w:rPr>
              <w:instrText xml:space="preserve"> PAGEREF _Toc234963997 \h </w:instrText>
            </w:r>
            <w:r w:rsidRPr="00B8623F">
              <w:rPr>
                <w:noProof/>
                <w:webHidden/>
                <w:sz w:val="24"/>
                <w:szCs w:val="24"/>
                <w:lang w:val="en-GB"/>
              </w:rPr>
            </w:r>
            <w:r w:rsidRPr="00B8623F">
              <w:rPr>
                <w:noProof/>
                <w:webHidden/>
                <w:sz w:val="24"/>
                <w:szCs w:val="24"/>
                <w:lang w:val="en-GB"/>
              </w:rPr>
              <w:fldChar w:fldCharType="separate"/>
            </w:r>
            <w:r w:rsidRPr="00B8623F">
              <w:rPr>
                <w:noProof/>
                <w:webHidden/>
                <w:sz w:val="24"/>
                <w:szCs w:val="24"/>
                <w:lang w:val="en-GB"/>
              </w:rPr>
              <w:t>7</w:t>
            </w:r>
            <w:r w:rsidRPr="00B8623F">
              <w:rPr>
                <w:noProof/>
                <w:webHidden/>
                <w:sz w:val="24"/>
                <w:szCs w:val="24"/>
                <w:lang w:val="en-GB"/>
              </w:rPr>
              <w:fldChar w:fldCharType="end"/>
            </w:r>
          </w:hyperlink>
        </w:p>
        <w:p w14:paraId="0BA0BB58" w14:textId="77777777" w:rsidR="003A1E63" w:rsidRPr="00B8623F" w:rsidRDefault="003A1E63" w:rsidP="00616474">
          <w:pPr>
            <w:spacing w:line="360" w:lineRule="auto"/>
            <w:rPr>
              <w:lang w:val="en-GB"/>
            </w:rPr>
          </w:pPr>
          <w:r w:rsidRPr="00B8623F">
            <w:rPr>
              <w:b/>
              <w:bCs/>
              <w:noProof/>
              <w:sz w:val="24"/>
              <w:szCs w:val="24"/>
              <w:lang w:val="en-GB"/>
            </w:rPr>
            <w:fldChar w:fldCharType="end"/>
          </w:r>
        </w:p>
      </w:sdtContent>
    </w:sdt>
    <w:p w14:paraId="303FC45C" w14:textId="77777777" w:rsidR="00355342" w:rsidRPr="00B8623F" w:rsidRDefault="00355342" w:rsidP="00616474">
      <w:pPr>
        <w:spacing w:line="360" w:lineRule="auto"/>
        <w:rPr>
          <w:lang w:val="en-GB"/>
        </w:rPr>
        <w:sectPr w:rsidR="00355342" w:rsidRPr="00B8623F">
          <w:pgSz w:w="12240" w:h="15840"/>
          <w:pgMar w:top="1440" w:right="1440" w:bottom="1440" w:left="1440" w:header="720" w:footer="720" w:gutter="0"/>
          <w:cols w:space="720"/>
          <w:docGrid w:linePitch="360"/>
        </w:sectPr>
      </w:pPr>
    </w:p>
    <w:p w14:paraId="195CC967" w14:textId="77777777" w:rsidR="00355342" w:rsidRPr="00B8623F" w:rsidRDefault="00355342" w:rsidP="00616474">
      <w:pPr>
        <w:pStyle w:val="Heading1"/>
        <w:spacing w:line="360" w:lineRule="auto"/>
        <w:rPr>
          <w:lang w:val="en-GB"/>
        </w:rPr>
      </w:pPr>
      <w:bookmarkStart w:id="0" w:name="_Toc234963992"/>
      <w:r w:rsidRPr="00B8623F">
        <w:rPr>
          <w:lang w:val="en-GB"/>
        </w:rPr>
        <w:lastRenderedPageBreak/>
        <w:t>Introduction</w:t>
      </w:r>
      <w:bookmarkEnd w:id="0"/>
    </w:p>
    <w:p w14:paraId="17A72EF1" w14:textId="77777777" w:rsidR="00355342" w:rsidRPr="00B8623F" w:rsidRDefault="00616474" w:rsidP="00616474">
      <w:pPr>
        <w:spacing w:line="360" w:lineRule="auto"/>
        <w:rPr>
          <w:lang w:val="en-GB"/>
        </w:rPr>
      </w:pPr>
      <w:r w:rsidRPr="00B8623F">
        <w:rPr>
          <w:lang w:val="en-GB"/>
        </w:rPr>
        <w:t xml:space="preserve">Mrs Thompson is an elderly woman of 84 years old with slight dementia who has just come back to sheltered housing following pneumonia treatment. Despite her domiciliary care, which is administered twice a day, she missed two days of medication, became more confused and was eventually found out in the cold weather without appropriate clothing. These incidences imply correlated risks in the medicines management, cognition, self-neglect, communication and continuity after discharge. Safe care is thus reliant on legal, person-centric communication, trustworthy administration and multi-agency practice. This report uses the Equality Act 2010, Mental Capacity Act 2005, Data Protection Act 2018, Care Act 2014 and applicable professional advice to the case of Mrs Thompson. It assesses the way communication needs to be modified, how records and personal data must be handled, and how the GP, community nurse, domiciliary care workers, pharmacist, social worker and sheltered-housing staff ought to interact to safeguard her safety without compromising her dignity, informed choice and remaining independence. </w:t>
      </w:r>
    </w:p>
    <w:p w14:paraId="03C081B6" w14:textId="77777777" w:rsidR="00355342" w:rsidRPr="00B8623F" w:rsidRDefault="00355342" w:rsidP="00616474">
      <w:pPr>
        <w:pStyle w:val="Heading1"/>
        <w:spacing w:line="360" w:lineRule="auto"/>
        <w:rPr>
          <w:lang w:val="en-GB"/>
        </w:rPr>
      </w:pPr>
      <w:bookmarkStart w:id="1" w:name="_Toc234963993"/>
      <w:r w:rsidRPr="00B8623F">
        <w:rPr>
          <w:lang w:val="en-GB"/>
        </w:rPr>
        <w:t>1. Effective Communication in Mrs Thompson’s Care</w:t>
      </w:r>
      <w:bookmarkEnd w:id="1"/>
    </w:p>
    <w:p w14:paraId="0B3CD267" w14:textId="77777777" w:rsidR="009E70D6" w:rsidRPr="00B8623F" w:rsidRDefault="009E70D6" w:rsidP="009E70D6">
      <w:pPr>
        <w:spacing w:line="360" w:lineRule="auto"/>
        <w:rPr>
          <w:lang w:val="en-GB"/>
        </w:rPr>
      </w:pPr>
      <w:r w:rsidRPr="00B8623F">
        <w:rPr>
          <w:lang w:val="en-GB"/>
        </w:rPr>
        <w:t>Mrs Thompson requires an effective communication that can support her safety, given that mild dementia can impair memory, attention, understanding and retention. Dementia should not however be used as a sign of incapacity. According to the Mental Capacity Act 2005, the capacity is presumed unless proven otherwise and all reasonable assistance should be given to a person before it is determined that they cannot make a decision (Great Britain, 2005). Staff can refer to Mrs Thompson by her chosen name, speak in a low tone, reduce distractions, one idea at a time and give time to process the information. Understanding can be ensured without being patronising by simple medication explanations, written or pictorial prompts and teach-back, where she can explain the plan in her own words. According to NICE (2018), it is worth supporting people with dementia to express their opinions by using adapted communication, simplified text and visual aids. Moyle (2023) points out the importance of attracting attention, speaking slowly and giving time to reply.</w:t>
      </w:r>
    </w:p>
    <w:p w14:paraId="37605E22" w14:textId="77777777" w:rsidR="009E70D6" w:rsidRPr="00B8623F" w:rsidRDefault="009E70D6" w:rsidP="009E70D6">
      <w:pPr>
        <w:spacing w:line="360" w:lineRule="auto"/>
        <w:rPr>
          <w:lang w:val="en-GB"/>
        </w:rPr>
      </w:pPr>
      <w:r w:rsidRPr="00B8623F">
        <w:rPr>
          <w:lang w:val="en-GB"/>
        </w:rPr>
        <w:t xml:space="preserve">The Shannon-Weaver model describes communication as a message sent between a sender and a receiver via a channel and the noise may cause distortion of meaning (Shannon and Weaver, 1949). The sender can be a care worker, the message can be related to the time of medication, and the channel can be verbal explanation, a medication record or a visual reminder, in the care of Mrs Thompson. Noise can be in the form of memory problems, exhaustion, anxiety, hearing loss, clinical jargon, distraction or inconsistent guidance. Feedback is thus a necessity. Staff are </w:t>
      </w:r>
      <w:r w:rsidRPr="00B8623F">
        <w:rPr>
          <w:lang w:val="en-GB"/>
        </w:rPr>
        <w:lastRenderedPageBreak/>
        <w:t>supposed to test her verbal response, display, or subsequent medication-taking behaviour as opposed to thinking she knows. The open questions can be used to investigate concerns and preferences and the closed questions can be used to establish facts. The model, though helpful in determining communication failures, is linear and fails to address emotion, relationships or mutual decision-making and must be used with person-centred listening and observing non-verbal communication.</w:t>
      </w:r>
    </w:p>
    <w:p w14:paraId="07081858" w14:textId="77777777" w:rsidR="00355342" w:rsidRPr="00B8623F" w:rsidRDefault="009E70D6" w:rsidP="009E70D6">
      <w:pPr>
        <w:spacing w:line="360" w:lineRule="auto"/>
        <w:rPr>
          <w:lang w:val="en-GB"/>
        </w:rPr>
      </w:pPr>
      <w:r w:rsidRPr="00B8623F">
        <w:rPr>
          <w:lang w:val="en-GB"/>
        </w:rPr>
        <w:t xml:space="preserve">Equality Act 2010 defends people against discrimination on the basis of age and disability and provides reasonable adjustments to situations where the disadvantage can arise (Great Britain, 2010). In the case of Mrs Thompson, this could be longer appointment times, availability of written information, regular carers, reminder technology and advocacy. Family support can be beneficial to the continuity, yet professionals must secure her wishes and ability to give a consent first. The information should not be automatically revealed due to her age or dementia. In cases where she is not in a position to make a decision, family members can take part in a best-interests process, but her opinions should be the primary focus unless a representative is legally authorized to make decisions. Rude communication can hence be minimized to decrease medication errors, promote informed choice and safeguard dignity and autonomy. </w:t>
      </w:r>
      <w:r w:rsidR="00616474" w:rsidRPr="00B8623F">
        <w:rPr>
          <w:lang w:val="en-GB"/>
        </w:rPr>
        <w:t xml:space="preserve"> </w:t>
      </w:r>
      <w:r w:rsidR="00355342" w:rsidRPr="00B8623F">
        <w:rPr>
          <w:lang w:val="en-GB"/>
        </w:rPr>
        <w:t xml:space="preserve"> </w:t>
      </w:r>
    </w:p>
    <w:p w14:paraId="5C9AA136" w14:textId="77777777" w:rsidR="00355342" w:rsidRPr="00B8623F" w:rsidRDefault="00355342" w:rsidP="00616474">
      <w:pPr>
        <w:pStyle w:val="Heading1"/>
        <w:spacing w:line="360" w:lineRule="auto"/>
        <w:rPr>
          <w:lang w:val="en-GB"/>
        </w:rPr>
      </w:pPr>
      <w:bookmarkStart w:id="2" w:name="_Toc234963994"/>
      <w:r w:rsidRPr="00B8623F">
        <w:rPr>
          <w:lang w:val="en-GB"/>
        </w:rPr>
        <w:t>2. Administrative Skills, Record Keeping and Data Protection</w:t>
      </w:r>
      <w:bookmarkEnd w:id="2"/>
    </w:p>
    <w:p w14:paraId="33278C21" w14:textId="77777777" w:rsidR="00355342" w:rsidRPr="00B8623F" w:rsidRDefault="00355342" w:rsidP="00616474">
      <w:pPr>
        <w:spacing w:line="360" w:lineRule="auto"/>
        <w:rPr>
          <w:lang w:val="en-GB"/>
        </w:rPr>
      </w:pPr>
      <w:r w:rsidRPr="00B8623F">
        <w:rPr>
          <w:lang w:val="en-GB"/>
        </w:rPr>
        <w:t xml:space="preserve">Good administration converts care observations into an accountable safety system. The missed medicines, increased confusion, outdoor exposure, actions taken, people notified and medication-review outcome must be documented promptly, factually and chronologically. Records should distinguish observation from interpretation; for example, “found outside at 07:30 wearing night clothes” is more useful than “behaving irresponsibly.” Regulation 17 requires providers to maintain secure, accurate, complete and contemporaneous records of care, decisions and risks (Care Quality Commission, 2025). Relevant documents include the medication administration record, incident report, discharge summary, medicines list, consent record, care plan, risk assessments, safeguarding referral and multidisciplinary notes. </w:t>
      </w:r>
    </w:p>
    <w:p w14:paraId="0F379CF7" w14:textId="77777777" w:rsidR="00355342" w:rsidRPr="00B8623F" w:rsidRDefault="00355342" w:rsidP="00616474">
      <w:pPr>
        <w:spacing w:line="360" w:lineRule="auto"/>
        <w:rPr>
          <w:lang w:val="en-GB"/>
        </w:rPr>
      </w:pPr>
      <w:r w:rsidRPr="00B8623F">
        <w:rPr>
          <w:lang w:val="en-GB"/>
        </w:rPr>
        <w:t xml:space="preserve">Accurate records matter because two omitted days may reflect forgetfulness, unsuitable packaging, adverse effects, inadequate prompting, unclear discharge instructions or cognitive decline. NICE (2017) states that adults receiving social care at home should have their medicines-support needs assessed and that health and social care staff should work together. The medication record should show whether each dose was taken, refused, unavailable or omitted, with the action and escalation. The GP or pharmacist can then reconcile medicines and simplify </w:t>
      </w:r>
      <w:r w:rsidRPr="00B8623F">
        <w:rPr>
          <w:lang w:val="en-GB"/>
        </w:rPr>
        <w:lastRenderedPageBreak/>
        <w:t xml:space="preserve">the regimen, while care managers decide whether twice-daily visits remain sufficient. The outdoor incident should also trigger consideration of self-neglect. Under section 42 of the Care Act 2014, the local authority must make enquiries where an adult with care and support needs may be at risk of abuse or neglect and cannot protect themselves because of those needs (Great Britain, 2014). </w:t>
      </w:r>
    </w:p>
    <w:p w14:paraId="638D7470" w14:textId="77777777" w:rsidR="005752AD" w:rsidRPr="005752AD" w:rsidRDefault="005752AD" w:rsidP="005752AD">
      <w:pPr>
        <w:spacing w:line="360" w:lineRule="auto"/>
        <w:rPr>
          <w:lang w:val="en-GB"/>
        </w:rPr>
      </w:pPr>
      <w:r w:rsidRPr="005752AD">
        <w:rPr>
          <w:lang w:val="en-GB"/>
        </w:rPr>
        <w:t xml:space="preserve">The records that Mrs Thompson has include her health information and should be processed according to the Data Protection Act 2018 and UK GDPR (Great Britain, 2018). The seven principles include fairness and transparency, lawfulness; purpose limitation; minimisation of data; accuracy, storage limitation, integrity and confidentiality and accountability (Information Commissioner’s Office, 2026). The staff is expected to document only pertinent information, fix any inaccuracies and to use secure systems, limit access, avoid discussing and keeping records publicly as per the policy. It must be proportional and legal: the GP is in need of medicine and information about symptoms and the safeguarding team is in need of the information about the risks, but irrelevant data must be excluded. </w:t>
      </w:r>
    </w:p>
    <w:p w14:paraId="44B8DC2E" w14:textId="77777777" w:rsidR="00355342" w:rsidRPr="00B8623F" w:rsidRDefault="005752AD" w:rsidP="005752AD">
      <w:pPr>
        <w:spacing w:line="360" w:lineRule="auto"/>
        <w:rPr>
          <w:lang w:val="en-GB"/>
        </w:rPr>
      </w:pPr>
      <w:r w:rsidRPr="005752AD">
        <w:rPr>
          <w:lang w:val="en-GB"/>
        </w:rPr>
        <w:t>One cannot be sure of confidentiality. The information needed can be provided without consent to avoid severe damage or to meet the safeguarding obligations but the reasons, the recipient, the content and the decision-maker must be documented. Oversharing leads to a loss of privacy; under sharing can put Mrs Thompson at risk of repetitive omission, readmission or hypothermia. Capacity should be determined with reference to the particular decision and time and not based on dementia. The best-interests decisions and family consultation should be recorded. Patterns should then be detected by audit e.g. omissions being repeated or requiring escalation and should be transformed into service improvement as opposed to documentation being seen as bureaucracy. Managers ought to record the corrective measures and ensure that they have minimized the risk identified.</w:t>
      </w:r>
      <w:r w:rsidR="00355342" w:rsidRPr="00B8623F">
        <w:rPr>
          <w:lang w:val="en-GB"/>
        </w:rPr>
        <w:t xml:space="preserve"> </w:t>
      </w:r>
    </w:p>
    <w:p w14:paraId="02E3B558" w14:textId="77777777" w:rsidR="00355342" w:rsidRPr="00B8623F" w:rsidRDefault="00355342" w:rsidP="00616474">
      <w:pPr>
        <w:pStyle w:val="Heading1"/>
        <w:spacing w:line="360" w:lineRule="auto"/>
        <w:rPr>
          <w:lang w:val="en-GB"/>
        </w:rPr>
      </w:pPr>
      <w:bookmarkStart w:id="3" w:name="_Toc234963995"/>
      <w:r w:rsidRPr="00B8623F">
        <w:rPr>
          <w:lang w:val="en-GB"/>
        </w:rPr>
        <w:t>3. Collaborative and Multi-Agency Working</w:t>
      </w:r>
      <w:bookmarkEnd w:id="3"/>
    </w:p>
    <w:p w14:paraId="74B0A245" w14:textId="77777777" w:rsidR="00616474" w:rsidRPr="00B8623F" w:rsidRDefault="00616474" w:rsidP="00616474">
      <w:pPr>
        <w:spacing w:line="360" w:lineRule="auto"/>
        <w:rPr>
          <w:lang w:val="en-GB"/>
        </w:rPr>
      </w:pPr>
      <w:r w:rsidRPr="00B8623F">
        <w:rPr>
          <w:lang w:val="en-GB"/>
        </w:rPr>
        <w:t xml:space="preserve">The needs of Mrs Thompson are inter-organisational and therefore working together is necessary. Confusion should be evaluated by her GP who should exclude infection or delirium and take the lead in the medication review; the pharmacist can reconcile prescriptions, assess adherence help and reduce regimen complexity, the community nurse can monitor recovery, cognition, hydration and clinical risk, the domiciliary carers can provide medicines support within her competence and observe daily changes, and the social worker or safeguarding team can review self-neglect, care hours and environmental safety. Observations may be made by the sheltered-housing staff and </w:t>
      </w:r>
      <w:r w:rsidRPr="00B8623F">
        <w:rPr>
          <w:lang w:val="en-GB"/>
        </w:rPr>
        <w:lastRenderedPageBreak/>
        <w:t xml:space="preserve">family, whereas an occupational therapist might examine the orientation cues, door warnings and cold weather danger. Particularly, NICE guidance suggests that there should be collaboration between care workers, GPs, pharmacists and social workers to assist adults in managing medicines at home (NICE, 2017). </w:t>
      </w:r>
    </w:p>
    <w:p w14:paraId="374E1ED7" w14:textId="77777777" w:rsidR="00616474" w:rsidRPr="00B8623F" w:rsidRDefault="00616474" w:rsidP="00616474">
      <w:pPr>
        <w:spacing w:line="360" w:lineRule="auto"/>
        <w:rPr>
          <w:lang w:val="en-GB"/>
        </w:rPr>
      </w:pPr>
      <w:r w:rsidRPr="00B8623F">
        <w:rPr>
          <w:lang w:val="en-GB"/>
        </w:rPr>
        <w:t xml:space="preserve">To work effectively, there has to be a shared person-centred objective, distributed roles, information is safe, handovers are organized, the care plan is updated and there is a designated coordinator. The multidisciplinary review must concur on the person checking each dose, responding to non-adherence, checking confusion and calling emergency or safeguarding services. Carron et al. (2021) discovered that interprofessional collaboration within primary care typically enhances care processes and patient satisfaction, but there is variation in outcomes based on implementation. It is not enough to refer Mrs Thompson between services but follow up and joint responsibility. </w:t>
      </w:r>
    </w:p>
    <w:p w14:paraId="4B01EC8E" w14:textId="77777777" w:rsidR="00355342" w:rsidRPr="00B8623F" w:rsidRDefault="00616474" w:rsidP="00616474">
      <w:pPr>
        <w:spacing w:line="360" w:lineRule="auto"/>
        <w:rPr>
          <w:lang w:val="en-GB"/>
        </w:rPr>
      </w:pPr>
      <w:r w:rsidRPr="00B8623F">
        <w:rPr>
          <w:lang w:val="en-GB"/>
        </w:rPr>
        <w:t xml:space="preserve">Barriers encompass incongruent records, sluggish discharge data, role ambiguity, staffing strains, confidentiality fear and disagreement over agreeable risk. These can be solved by escalation procedures, pharmaceutical and protection pathways, brief case meetings, written consent and capacity resolutions, and review dates. Mrs Thompson should not be side-lined since risk management is meant to assist and not necessarily deprive independence. A lead professional must ensure that actions are accomplished and report changes. Weekly check-ins (lasting a few minutes) immediately after discharge would allow identifying deterioration early on, and a common contingency plan should outline how to respond to missed medicines, exacerbating confusion or a new outdoor event. Any dispute ought to be sorted out by going back to the evidence, legal obligations and preferences expressed by Mrs Thompson. Teams that work do so effectively by delivering safer medicines support, less outdoor risk, time-sensitive clinical review and continuity, rather than more professional involvement. </w:t>
      </w:r>
    </w:p>
    <w:p w14:paraId="23DCE43F" w14:textId="77777777" w:rsidR="00355342" w:rsidRPr="00B8623F" w:rsidRDefault="00355342" w:rsidP="00616474">
      <w:pPr>
        <w:pStyle w:val="Heading1"/>
        <w:spacing w:line="360" w:lineRule="auto"/>
        <w:rPr>
          <w:lang w:val="en-GB"/>
        </w:rPr>
      </w:pPr>
      <w:bookmarkStart w:id="4" w:name="_Toc234963996"/>
      <w:r w:rsidRPr="00B8623F">
        <w:rPr>
          <w:lang w:val="en-GB"/>
        </w:rPr>
        <w:t>Conclusion</w:t>
      </w:r>
      <w:bookmarkEnd w:id="4"/>
    </w:p>
    <w:p w14:paraId="6C2D0480" w14:textId="77777777" w:rsidR="00355342" w:rsidRPr="00B8623F" w:rsidRDefault="00582BA1" w:rsidP="00616474">
      <w:pPr>
        <w:spacing w:line="360" w:lineRule="auto"/>
        <w:rPr>
          <w:lang w:val="en-GB"/>
        </w:rPr>
      </w:pPr>
      <w:r w:rsidRPr="00582BA1">
        <w:rPr>
          <w:lang w:val="en-GB"/>
        </w:rPr>
        <w:t xml:space="preserve">The occurrence of Mrs Thompson forgetting medication and cold weather shows that the joint determinants of safe care are communication, administration and collaboration. The language should be simple, distractions minimized, visual cues, enough response and feedback time and adequate response, and the Equality Act 2010 demands reasonable adjustments and the Mental Capacity Act 2005 safeguards involvement in decisions. Review, protection, continuity and learning of medication are only possible with the help of precise, up-to-date records, which must be processed legally in accordance with the Data Protection Act 2018 and UK GDPR. The GP, </w:t>
      </w:r>
      <w:r w:rsidRPr="00582BA1">
        <w:rPr>
          <w:lang w:val="en-GB"/>
        </w:rPr>
        <w:lastRenderedPageBreak/>
        <w:t>pharmacist, community nurse, domiciliary carers, social worker and housing staff have shared objectives, defined roles, secure information exchange and follow up. They need to collectively develop a personalised plan to encompass medicines support, clinical monitoring, capacity, self-neglect</w:t>
      </w:r>
      <w:r w:rsidR="00E33B5F">
        <w:rPr>
          <w:lang w:val="en-GB"/>
        </w:rPr>
        <w:t>,</w:t>
      </w:r>
      <w:r w:rsidRPr="00582BA1">
        <w:rPr>
          <w:lang w:val="en-GB"/>
        </w:rPr>
        <w:t xml:space="preserve"> and outdoor safety. Protection and autonomy is the best answer: coordinated care should be offered to Mrs Thompson with minimum harm that can be avoided but age or dementia cannot be used to deny her dignity, choice or autonomy.</w:t>
      </w:r>
      <w:r>
        <w:rPr>
          <w:lang w:val="en-GB"/>
        </w:rPr>
        <w:t xml:space="preserve"> </w:t>
      </w:r>
      <w:r w:rsidR="00616474" w:rsidRPr="00B8623F">
        <w:rPr>
          <w:lang w:val="en-GB"/>
        </w:rPr>
        <w:t xml:space="preserve"> </w:t>
      </w:r>
      <w:r w:rsidR="00355342" w:rsidRPr="00B8623F">
        <w:rPr>
          <w:lang w:val="en-GB"/>
        </w:rPr>
        <w:t xml:space="preserve"> </w:t>
      </w:r>
    </w:p>
    <w:p w14:paraId="16128482" w14:textId="77777777" w:rsidR="00355342" w:rsidRPr="00B8623F" w:rsidRDefault="00355342" w:rsidP="00616474">
      <w:pPr>
        <w:spacing w:line="360" w:lineRule="auto"/>
        <w:rPr>
          <w:lang w:val="en-GB"/>
        </w:rPr>
      </w:pPr>
    </w:p>
    <w:p w14:paraId="5F72392E" w14:textId="77777777" w:rsidR="00355342" w:rsidRPr="00B8623F" w:rsidRDefault="00355342" w:rsidP="00616474">
      <w:pPr>
        <w:spacing w:line="360" w:lineRule="auto"/>
        <w:rPr>
          <w:lang w:val="en-GB"/>
        </w:rPr>
      </w:pPr>
    </w:p>
    <w:p w14:paraId="3C087E44" w14:textId="77777777" w:rsidR="00355342" w:rsidRPr="00B8623F" w:rsidRDefault="00355342" w:rsidP="00616474">
      <w:pPr>
        <w:spacing w:line="360" w:lineRule="auto"/>
        <w:rPr>
          <w:lang w:val="en-GB"/>
        </w:rPr>
      </w:pPr>
    </w:p>
    <w:p w14:paraId="2CE0C767" w14:textId="77777777" w:rsidR="00355342" w:rsidRPr="00B8623F" w:rsidRDefault="00355342" w:rsidP="00616474">
      <w:pPr>
        <w:spacing w:line="360" w:lineRule="auto"/>
        <w:rPr>
          <w:lang w:val="en-GB"/>
        </w:rPr>
      </w:pPr>
    </w:p>
    <w:p w14:paraId="464E85F2" w14:textId="77777777" w:rsidR="00355342" w:rsidRPr="00B8623F" w:rsidRDefault="00355342" w:rsidP="00616474">
      <w:pPr>
        <w:spacing w:line="360" w:lineRule="auto"/>
        <w:rPr>
          <w:lang w:val="en-GB"/>
        </w:rPr>
      </w:pPr>
    </w:p>
    <w:p w14:paraId="4D757259" w14:textId="77777777" w:rsidR="00355342" w:rsidRPr="00B8623F" w:rsidRDefault="00355342" w:rsidP="00616474">
      <w:pPr>
        <w:spacing w:line="360" w:lineRule="auto"/>
        <w:rPr>
          <w:lang w:val="en-GB"/>
        </w:rPr>
        <w:sectPr w:rsidR="00355342" w:rsidRPr="00B8623F">
          <w:pgSz w:w="12240" w:h="15840"/>
          <w:pgMar w:top="1440" w:right="1440" w:bottom="1440" w:left="1440" w:header="720" w:footer="720" w:gutter="0"/>
          <w:cols w:space="720"/>
          <w:docGrid w:linePitch="360"/>
        </w:sectPr>
      </w:pPr>
    </w:p>
    <w:p w14:paraId="2DB0AD94" w14:textId="77777777" w:rsidR="00355342" w:rsidRPr="00B8623F" w:rsidRDefault="00355342" w:rsidP="00616474">
      <w:pPr>
        <w:pStyle w:val="Heading1"/>
        <w:spacing w:line="360" w:lineRule="auto"/>
        <w:rPr>
          <w:lang w:val="en-GB"/>
        </w:rPr>
      </w:pPr>
      <w:bookmarkStart w:id="5" w:name="_Toc234963997"/>
      <w:r w:rsidRPr="00B8623F">
        <w:rPr>
          <w:lang w:val="en-GB"/>
        </w:rPr>
        <w:lastRenderedPageBreak/>
        <w:t>References</w:t>
      </w:r>
      <w:bookmarkEnd w:id="5"/>
      <w:r w:rsidRPr="00B8623F">
        <w:rPr>
          <w:lang w:val="en-GB"/>
        </w:rPr>
        <w:t xml:space="preserve"> </w:t>
      </w:r>
    </w:p>
    <w:p w14:paraId="6DFFDA29" w14:textId="77777777" w:rsidR="00C22FB9" w:rsidRPr="00B8623F" w:rsidRDefault="00C22FB9" w:rsidP="00C22FB9">
      <w:pPr>
        <w:spacing w:line="360" w:lineRule="auto"/>
      </w:pPr>
      <w:r w:rsidRPr="00B8623F">
        <w:rPr>
          <w:i/>
          <w:iCs/>
        </w:rPr>
        <w:t>Care Act 2014</w:t>
      </w:r>
      <w:r w:rsidRPr="00B8623F">
        <w:t>, c. 23. Available at: https://www.legislation.gov.uk/ukpga/2014/23/contents (Accessed: 14 July 2026).</w:t>
      </w:r>
    </w:p>
    <w:p w14:paraId="0B61371B" w14:textId="77777777" w:rsidR="00C22FB9" w:rsidRPr="00B8623F" w:rsidRDefault="00C22FB9" w:rsidP="00C22FB9">
      <w:pPr>
        <w:spacing w:line="360" w:lineRule="auto"/>
      </w:pPr>
      <w:r w:rsidRPr="00B8623F">
        <w:t xml:space="preserve">Care Quality Commission (2025) </w:t>
      </w:r>
      <w:r w:rsidRPr="00B8623F">
        <w:rPr>
          <w:i/>
          <w:iCs/>
        </w:rPr>
        <w:t>Regulation 17: Good governance</w:t>
      </w:r>
      <w:r w:rsidRPr="00B8623F">
        <w:t>. Available at: https://www.cqc.org.uk/guidance-regulation/providers/regulations-service-providers-and-managers/health-social-care-act/regulation-17 (Accessed: 14 July 2026).</w:t>
      </w:r>
    </w:p>
    <w:p w14:paraId="2B8BC2FA" w14:textId="77777777" w:rsidR="00C22FB9" w:rsidRPr="00B8623F" w:rsidRDefault="00C22FB9" w:rsidP="00C22FB9">
      <w:pPr>
        <w:spacing w:line="360" w:lineRule="auto"/>
      </w:pPr>
      <w:r w:rsidRPr="00B8623F">
        <w:t xml:space="preserve">Carron, T., Rawlinson, C., Arditi, C., Cohidon, C., Hong, Q.N., </w:t>
      </w:r>
      <w:proofErr w:type="spellStart"/>
      <w:r w:rsidRPr="00B8623F">
        <w:t>Pluye</w:t>
      </w:r>
      <w:proofErr w:type="spellEnd"/>
      <w:r w:rsidRPr="00B8623F">
        <w:t xml:space="preserve">, P., Gilles, I. and </w:t>
      </w:r>
      <w:proofErr w:type="spellStart"/>
      <w:r w:rsidRPr="00B8623F">
        <w:t>Peytremann</w:t>
      </w:r>
      <w:proofErr w:type="spellEnd"/>
      <w:r w:rsidRPr="00B8623F">
        <w:t>-Bridevaux, I. (</w:t>
      </w:r>
      <w:proofErr w:type="gramStart"/>
      <w:r w:rsidRPr="00B8623F">
        <w:t>2021) ‘</w:t>
      </w:r>
      <w:proofErr w:type="gramEnd"/>
      <w:r w:rsidRPr="00B8623F">
        <w:t xml:space="preserve">An overview of reviews on interprofessional collaboration in primary care: effectiveness’, </w:t>
      </w:r>
      <w:r w:rsidRPr="00B8623F">
        <w:rPr>
          <w:i/>
          <w:iCs/>
        </w:rPr>
        <w:t>International Journal of Integrated Care</w:t>
      </w:r>
      <w:r w:rsidRPr="00B8623F">
        <w:t>, 21, article 31. Available at: https://doi.org/10.5334/ijic.5588.</w:t>
      </w:r>
    </w:p>
    <w:p w14:paraId="2BC3C531" w14:textId="77777777" w:rsidR="00C22FB9" w:rsidRPr="00B8623F" w:rsidRDefault="00C22FB9" w:rsidP="00C22FB9">
      <w:pPr>
        <w:spacing w:line="360" w:lineRule="auto"/>
      </w:pPr>
      <w:r w:rsidRPr="00B8623F">
        <w:rPr>
          <w:i/>
          <w:iCs/>
        </w:rPr>
        <w:t>Data Protection Act 2018</w:t>
      </w:r>
      <w:r w:rsidRPr="00B8623F">
        <w:t>, c. 12. Available at: https://www.legislation.gov.uk/ukpga/2018/12/contents (Accessed: 14 July 2026).</w:t>
      </w:r>
    </w:p>
    <w:p w14:paraId="1070B083" w14:textId="77777777" w:rsidR="00C22FB9" w:rsidRPr="00B8623F" w:rsidRDefault="00C22FB9" w:rsidP="00C22FB9">
      <w:pPr>
        <w:spacing w:line="360" w:lineRule="auto"/>
      </w:pPr>
      <w:r w:rsidRPr="00B8623F">
        <w:rPr>
          <w:i/>
          <w:iCs/>
        </w:rPr>
        <w:t>Equality Act 2010</w:t>
      </w:r>
      <w:r w:rsidRPr="00B8623F">
        <w:t>, c. 15. Available at: https://www.legislation.gov.uk/ukpga/2010/15/contents (Accessed: 14 July 2026).</w:t>
      </w:r>
    </w:p>
    <w:p w14:paraId="4E303E8C" w14:textId="36C4A6E6" w:rsidR="00C22FB9" w:rsidRPr="00B8623F" w:rsidRDefault="00C22FB9" w:rsidP="00C22FB9">
      <w:pPr>
        <w:spacing w:line="360" w:lineRule="auto"/>
      </w:pPr>
      <w:r w:rsidRPr="00B8623F">
        <w:t xml:space="preserve">Information Commissioner’s Office (2026) </w:t>
      </w:r>
      <w:r w:rsidRPr="00B8623F">
        <w:rPr>
          <w:i/>
          <w:iCs/>
        </w:rPr>
        <w:t>A guide to the data protection principles</w:t>
      </w:r>
      <w:r w:rsidRPr="00B8623F">
        <w:t xml:space="preserve">. Available at: https://ico.org.uk/for-organisations/uk-gdpr-guidance-and-resources/data-protection-principles/a-guide-to-the-data-protection-principles/ (Accessed: </w:t>
      </w:r>
      <w:r w:rsidR="001654DF">
        <w:t>21</w:t>
      </w:r>
      <w:r w:rsidRPr="00B8623F">
        <w:t>July 2026).</w:t>
      </w:r>
    </w:p>
    <w:p w14:paraId="2BDC5A1A" w14:textId="632393F2" w:rsidR="00C22FB9" w:rsidRPr="00B8623F" w:rsidRDefault="00C22FB9" w:rsidP="00C22FB9">
      <w:pPr>
        <w:spacing w:line="360" w:lineRule="auto"/>
      </w:pPr>
      <w:r w:rsidRPr="00B8623F">
        <w:rPr>
          <w:i/>
          <w:iCs/>
        </w:rPr>
        <w:t>Mental Capacity Act 2005</w:t>
      </w:r>
      <w:r w:rsidRPr="00B8623F">
        <w:t xml:space="preserve">, c. 9. Available at: https://www.legislation.gov.uk/ukpga/2005/9/contents (Accessed: </w:t>
      </w:r>
      <w:r w:rsidR="001654DF">
        <w:t>21</w:t>
      </w:r>
      <w:r w:rsidRPr="00B8623F">
        <w:t xml:space="preserve"> July 2026).</w:t>
      </w:r>
    </w:p>
    <w:p w14:paraId="3F7957BC" w14:textId="77777777" w:rsidR="00C22FB9" w:rsidRPr="00B8623F" w:rsidRDefault="00C22FB9" w:rsidP="00C22FB9">
      <w:pPr>
        <w:spacing w:line="360" w:lineRule="auto"/>
      </w:pPr>
      <w:r w:rsidRPr="00B8623F">
        <w:t xml:space="preserve">Moyle, W. (2023) ‘Grand challenge of maintaining meaningful communication in dementia care’, </w:t>
      </w:r>
      <w:r w:rsidRPr="00B8623F">
        <w:rPr>
          <w:i/>
          <w:iCs/>
        </w:rPr>
        <w:t>Frontiers in Dementia</w:t>
      </w:r>
      <w:r w:rsidRPr="00B8623F">
        <w:t>, 2, article 1137897. Available at: https://doi.org/10.3389/frdem.2023.1137897.</w:t>
      </w:r>
    </w:p>
    <w:p w14:paraId="2D279B4B" w14:textId="30108054" w:rsidR="00C22FB9" w:rsidRPr="00B8623F" w:rsidRDefault="00C22FB9" w:rsidP="00C22FB9">
      <w:pPr>
        <w:spacing w:line="360" w:lineRule="auto"/>
      </w:pPr>
      <w:r w:rsidRPr="00B8623F">
        <w:t xml:space="preserve">National Institute for Health and Care Excellence [NICE] (2017) </w:t>
      </w:r>
      <w:r w:rsidRPr="00B8623F">
        <w:rPr>
          <w:i/>
          <w:iCs/>
        </w:rPr>
        <w:t>Managing medicines for adults receiving social care in the community</w:t>
      </w:r>
      <w:r w:rsidRPr="00B8623F">
        <w:t xml:space="preserve">. NG67. Available at: https://www.nice.org.uk/guidance/ng67 (Accessed: </w:t>
      </w:r>
      <w:r w:rsidR="001654DF">
        <w:t>21</w:t>
      </w:r>
      <w:r w:rsidRPr="00B8623F">
        <w:t xml:space="preserve"> July 2026).</w:t>
      </w:r>
    </w:p>
    <w:p w14:paraId="637D5779" w14:textId="12CDC7BD" w:rsidR="00C22FB9" w:rsidRPr="00B8623F" w:rsidRDefault="00C22FB9" w:rsidP="00C22FB9">
      <w:pPr>
        <w:spacing w:line="360" w:lineRule="auto"/>
      </w:pPr>
      <w:r w:rsidRPr="00B8623F">
        <w:t xml:space="preserve">National Institute for Health and Care Excellence [NICE] (2018) </w:t>
      </w:r>
      <w:r w:rsidRPr="00B8623F">
        <w:rPr>
          <w:i/>
          <w:iCs/>
        </w:rPr>
        <w:t xml:space="preserve">Dementia: assessment, management and support for people living with dementia and their </w:t>
      </w:r>
      <w:proofErr w:type="spellStart"/>
      <w:r w:rsidRPr="00B8623F">
        <w:rPr>
          <w:i/>
          <w:iCs/>
        </w:rPr>
        <w:t>carers</w:t>
      </w:r>
      <w:proofErr w:type="spellEnd"/>
      <w:r w:rsidRPr="00B8623F">
        <w:t xml:space="preserve">. NG97. Available at: https://www.nice.org.uk/guidance/ng97 (Accessed: </w:t>
      </w:r>
      <w:r w:rsidR="001654DF">
        <w:t>21</w:t>
      </w:r>
      <w:r w:rsidRPr="00B8623F">
        <w:t xml:space="preserve"> July 2026).</w:t>
      </w:r>
    </w:p>
    <w:p w14:paraId="5A91A4E2" w14:textId="77777777" w:rsidR="00C22FB9" w:rsidRPr="00B8623F" w:rsidRDefault="00C22FB9" w:rsidP="00C22FB9">
      <w:pPr>
        <w:spacing w:line="360" w:lineRule="auto"/>
      </w:pPr>
      <w:r w:rsidRPr="00B8623F">
        <w:lastRenderedPageBreak/>
        <w:t xml:space="preserve">Shannon, C.E. and Weaver, W. (1949) </w:t>
      </w:r>
      <w:r w:rsidRPr="00B8623F">
        <w:rPr>
          <w:i/>
          <w:iCs/>
        </w:rPr>
        <w:t>The mathematical theory of communication</w:t>
      </w:r>
      <w:r w:rsidRPr="00B8623F">
        <w:t>. Urbana, IL: University of Illinois Press.</w:t>
      </w:r>
    </w:p>
    <w:p w14:paraId="206F4978" w14:textId="77777777" w:rsidR="00355342" w:rsidRPr="00B8623F" w:rsidRDefault="00355342" w:rsidP="00616474">
      <w:pPr>
        <w:spacing w:line="360" w:lineRule="auto"/>
        <w:rPr>
          <w:lang w:val="en-GB"/>
        </w:rPr>
      </w:pPr>
    </w:p>
    <w:sectPr w:rsidR="00355342" w:rsidRPr="00B8623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67E9A" w14:textId="77777777" w:rsidR="00967329" w:rsidRDefault="00967329" w:rsidP="00A20C92">
      <w:pPr>
        <w:spacing w:after="0" w:line="240" w:lineRule="auto"/>
      </w:pPr>
      <w:r>
        <w:separator/>
      </w:r>
    </w:p>
  </w:endnote>
  <w:endnote w:type="continuationSeparator" w:id="0">
    <w:p w14:paraId="09E4F7B2" w14:textId="77777777" w:rsidR="00967329" w:rsidRDefault="00967329" w:rsidP="00A20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5F50D" w14:textId="77777777" w:rsidR="00967329" w:rsidRDefault="00967329" w:rsidP="00A20C92">
      <w:pPr>
        <w:spacing w:after="0" w:line="240" w:lineRule="auto"/>
      </w:pPr>
      <w:r>
        <w:separator/>
      </w:r>
    </w:p>
  </w:footnote>
  <w:footnote w:type="continuationSeparator" w:id="0">
    <w:p w14:paraId="50FD5F80" w14:textId="77777777" w:rsidR="00967329" w:rsidRDefault="00967329" w:rsidP="00A20C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5665303"/>
      <w:docPartObj>
        <w:docPartGallery w:val="Page Numbers (Top of Page)"/>
        <w:docPartUnique/>
      </w:docPartObj>
    </w:sdtPr>
    <w:sdtEndPr>
      <w:rPr>
        <w:noProof/>
      </w:rPr>
    </w:sdtEndPr>
    <w:sdtContent>
      <w:p w14:paraId="1FD8BA7C" w14:textId="77777777" w:rsidR="00A20C92" w:rsidRDefault="00A20C92">
        <w:pPr>
          <w:pStyle w:val="Header"/>
          <w:jc w:val="right"/>
        </w:pPr>
        <w:r>
          <w:fldChar w:fldCharType="begin"/>
        </w:r>
        <w:r>
          <w:instrText xml:space="preserve"> PAGE   \* MERGEFORMAT </w:instrText>
        </w:r>
        <w:r>
          <w:fldChar w:fldCharType="separate"/>
        </w:r>
        <w:r w:rsidR="00E33B5F">
          <w:rPr>
            <w:noProof/>
          </w:rPr>
          <w:t>9</w:t>
        </w:r>
        <w:r>
          <w:rPr>
            <w:noProof/>
          </w:rPr>
          <w:fldChar w:fldCharType="end"/>
        </w:r>
      </w:p>
    </w:sdtContent>
  </w:sdt>
  <w:p w14:paraId="5876E4B6" w14:textId="77777777" w:rsidR="00A20C92" w:rsidRDefault="00A20C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342"/>
    <w:rsid w:val="00156FA5"/>
    <w:rsid w:val="001654DF"/>
    <w:rsid w:val="001C5470"/>
    <w:rsid w:val="001D64EF"/>
    <w:rsid w:val="00355342"/>
    <w:rsid w:val="003777C9"/>
    <w:rsid w:val="003A1E63"/>
    <w:rsid w:val="005752AD"/>
    <w:rsid w:val="00582BA1"/>
    <w:rsid w:val="00616474"/>
    <w:rsid w:val="007A1FF1"/>
    <w:rsid w:val="00967329"/>
    <w:rsid w:val="009E70D6"/>
    <w:rsid w:val="00A20C92"/>
    <w:rsid w:val="00B8623F"/>
    <w:rsid w:val="00C22FB9"/>
    <w:rsid w:val="00C234EF"/>
    <w:rsid w:val="00CE611C"/>
    <w:rsid w:val="00D000CE"/>
    <w:rsid w:val="00E33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B0A47"/>
  <w15:chartTrackingRefBased/>
  <w15:docId w15:val="{5BCEF62D-5A8C-408D-BDCF-6E4DA783B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342"/>
    <w:pPr>
      <w:jc w:val="both"/>
    </w:pPr>
    <w:rPr>
      <w:rFonts w:ascii="Arial" w:hAnsi="Arial" w:cs="Arial"/>
    </w:rPr>
  </w:style>
  <w:style w:type="paragraph" w:styleId="Heading1">
    <w:name w:val="heading 1"/>
    <w:basedOn w:val="Normal"/>
    <w:next w:val="Normal"/>
    <w:link w:val="Heading1Char"/>
    <w:uiPriority w:val="9"/>
    <w:qFormat/>
    <w:rsid w:val="00355342"/>
    <w:pPr>
      <w:outlineLvl w:val="0"/>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342"/>
    <w:rPr>
      <w:rFonts w:ascii="Arial" w:hAnsi="Arial" w:cs="Arial"/>
      <w:b/>
      <w:bCs/>
    </w:rPr>
  </w:style>
  <w:style w:type="paragraph" w:styleId="TOCHeading">
    <w:name w:val="TOC Heading"/>
    <w:basedOn w:val="Heading1"/>
    <w:next w:val="Normal"/>
    <w:uiPriority w:val="39"/>
    <w:unhideWhenUsed/>
    <w:qFormat/>
    <w:rsid w:val="003A1E63"/>
    <w:pPr>
      <w:keepNext/>
      <w:keepLines/>
      <w:spacing w:before="240" w:after="0"/>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3A1E63"/>
    <w:pPr>
      <w:spacing w:after="100"/>
    </w:pPr>
  </w:style>
  <w:style w:type="character" w:styleId="Hyperlink">
    <w:name w:val="Hyperlink"/>
    <w:basedOn w:val="DefaultParagraphFont"/>
    <w:uiPriority w:val="99"/>
    <w:unhideWhenUsed/>
    <w:rsid w:val="003A1E63"/>
    <w:rPr>
      <w:color w:val="0563C1" w:themeColor="hyperlink"/>
      <w:u w:val="single"/>
    </w:rPr>
  </w:style>
  <w:style w:type="paragraph" w:styleId="Header">
    <w:name w:val="header"/>
    <w:basedOn w:val="Normal"/>
    <w:link w:val="HeaderChar"/>
    <w:uiPriority w:val="99"/>
    <w:unhideWhenUsed/>
    <w:rsid w:val="00A20C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0C92"/>
    <w:rPr>
      <w:rFonts w:ascii="Arial" w:hAnsi="Arial" w:cs="Arial"/>
    </w:rPr>
  </w:style>
  <w:style w:type="paragraph" w:styleId="Footer">
    <w:name w:val="footer"/>
    <w:basedOn w:val="Normal"/>
    <w:link w:val="FooterChar"/>
    <w:uiPriority w:val="99"/>
    <w:unhideWhenUsed/>
    <w:rsid w:val="00A20C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0C92"/>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91209">
      <w:bodyDiv w:val="1"/>
      <w:marLeft w:val="0"/>
      <w:marRight w:val="0"/>
      <w:marTop w:val="0"/>
      <w:marBottom w:val="0"/>
      <w:divBdr>
        <w:top w:val="none" w:sz="0" w:space="0" w:color="auto"/>
        <w:left w:val="none" w:sz="0" w:space="0" w:color="auto"/>
        <w:bottom w:val="none" w:sz="0" w:space="0" w:color="auto"/>
        <w:right w:val="none" w:sz="0" w:space="0" w:color="auto"/>
      </w:divBdr>
    </w:div>
    <w:div w:id="501359631">
      <w:bodyDiv w:val="1"/>
      <w:marLeft w:val="0"/>
      <w:marRight w:val="0"/>
      <w:marTop w:val="0"/>
      <w:marBottom w:val="0"/>
      <w:divBdr>
        <w:top w:val="none" w:sz="0" w:space="0" w:color="auto"/>
        <w:left w:val="none" w:sz="0" w:space="0" w:color="auto"/>
        <w:bottom w:val="none" w:sz="0" w:space="0" w:color="auto"/>
        <w:right w:val="none" w:sz="0" w:space="0" w:color="auto"/>
      </w:divBdr>
    </w:div>
    <w:div w:id="856847265">
      <w:bodyDiv w:val="1"/>
      <w:marLeft w:val="0"/>
      <w:marRight w:val="0"/>
      <w:marTop w:val="0"/>
      <w:marBottom w:val="0"/>
      <w:divBdr>
        <w:top w:val="none" w:sz="0" w:space="0" w:color="auto"/>
        <w:left w:val="none" w:sz="0" w:space="0" w:color="auto"/>
        <w:bottom w:val="none" w:sz="0" w:space="0" w:color="auto"/>
        <w:right w:val="none" w:sz="0" w:space="0" w:color="auto"/>
      </w:divBdr>
    </w:div>
    <w:div w:id="1988166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2206</Words>
  <Characters>12577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1234</dc:creator>
  <cp:keywords/>
  <dc:description/>
  <cp:lastModifiedBy>sheila graa espirito santo</cp:lastModifiedBy>
  <cp:revision>2</cp:revision>
  <dcterms:created xsi:type="dcterms:W3CDTF">2026-07-27T23:28:00Z</dcterms:created>
  <dcterms:modified xsi:type="dcterms:W3CDTF">2026-07-27T23:28:00Z</dcterms:modified>
</cp:coreProperties>
</file>