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3C44286" wp14:paraId="12FD9B17" wp14:textId="6B5AA4B6">
      <w:pPr>
        <w:pStyle w:val="NoSpacing"/>
        <w:spacing w:before="20" w:beforeAutospacing="off" w:after="0" w:afterAutospacing="on" w:line="360" w:lineRule="auto"/>
        <w:rPr>
          <w:rFonts w:ascii="Aptos" w:hAnsi="Aptos" w:eastAsia="Aptos" w:cs="Aptos"/>
          <w:b w:val="0"/>
          <w:bCs w:val="0"/>
          <w:i w:val="0"/>
          <w:iCs w:val="0"/>
          <w:caps w:val="0"/>
          <w:smallCaps w:val="0"/>
          <w:noProof w:val="0"/>
          <w:color w:val="000000" w:themeColor="text1" w:themeTint="FF" w:themeShade="FF"/>
          <w:sz w:val="40"/>
          <w:szCs w:val="40"/>
          <w:lang w:val="en-GB"/>
        </w:rPr>
      </w:pPr>
      <w:r w:rsidRPr="13C44286" w:rsidR="28C39C82">
        <w:rPr>
          <w:rFonts w:ascii="Aptos" w:hAnsi="Aptos" w:eastAsia="Aptos" w:cs="Aptos"/>
          <w:b w:val="1"/>
          <w:bCs w:val="1"/>
          <w:i w:val="0"/>
          <w:iCs w:val="0"/>
          <w:caps w:val="0"/>
          <w:smallCaps w:val="0"/>
          <w:noProof w:val="0"/>
          <w:color w:val="000000" w:themeColor="text1" w:themeTint="FF" w:themeShade="FF"/>
          <w:sz w:val="40"/>
          <w:szCs w:val="40"/>
          <w:lang w:val="en-GB"/>
        </w:rPr>
        <w:t xml:space="preserve">Student Name: </w:t>
      </w:r>
      <w:r w:rsidRPr="13C44286" w:rsidR="28C39C82">
        <w:rPr>
          <w:rFonts w:ascii="Aptos" w:hAnsi="Aptos" w:eastAsia="Aptos" w:cs="Aptos"/>
          <w:b w:val="0"/>
          <w:bCs w:val="0"/>
          <w:i w:val="0"/>
          <w:iCs w:val="0"/>
          <w:caps w:val="0"/>
          <w:smallCaps w:val="0"/>
          <w:noProof w:val="0"/>
          <w:color w:val="000000" w:themeColor="text1" w:themeTint="FF" w:themeShade="FF"/>
          <w:sz w:val="40"/>
          <w:szCs w:val="40"/>
          <w:lang w:val="en-GB"/>
        </w:rPr>
        <w:t>Gloria Margarita Ramos Agramonte</w:t>
      </w:r>
    </w:p>
    <w:p xmlns:wp14="http://schemas.microsoft.com/office/word/2010/wordml" w:rsidP="13C44286" wp14:paraId="602CD950" wp14:textId="683D9352">
      <w:pPr>
        <w:pStyle w:val="NoSpacing"/>
        <w:spacing w:before="20" w:beforeAutospacing="off" w:after="0" w:afterAutospacing="on" w:line="360" w:lineRule="auto"/>
        <w:rPr>
          <w:rFonts w:ascii="Aptos" w:hAnsi="Aptos" w:eastAsia="Aptos" w:cs="Aptos"/>
          <w:b w:val="0"/>
          <w:bCs w:val="0"/>
          <w:i w:val="0"/>
          <w:iCs w:val="0"/>
          <w:caps w:val="0"/>
          <w:smallCaps w:val="0"/>
          <w:noProof w:val="0"/>
          <w:color w:val="000000" w:themeColor="text1" w:themeTint="FF" w:themeShade="FF"/>
          <w:sz w:val="40"/>
          <w:szCs w:val="40"/>
          <w:lang w:val="en-GB"/>
        </w:rPr>
      </w:pPr>
      <w:r w:rsidRPr="13C44286" w:rsidR="28C39C82">
        <w:rPr>
          <w:rFonts w:ascii="Aptos" w:hAnsi="Aptos" w:eastAsia="Aptos" w:cs="Aptos"/>
          <w:b w:val="1"/>
          <w:bCs w:val="1"/>
          <w:i w:val="0"/>
          <w:iCs w:val="0"/>
          <w:caps w:val="0"/>
          <w:smallCaps w:val="0"/>
          <w:noProof w:val="0"/>
          <w:color w:val="000000" w:themeColor="text1" w:themeTint="FF" w:themeShade="FF"/>
          <w:sz w:val="40"/>
          <w:szCs w:val="40"/>
          <w:lang w:val="en-GB"/>
        </w:rPr>
        <w:t>Student Number:</w:t>
      </w:r>
      <w:r w:rsidRPr="13C44286" w:rsidR="28C39C82">
        <w:rPr>
          <w:rFonts w:ascii="Aptos" w:hAnsi="Aptos" w:eastAsia="Aptos" w:cs="Aptos"/>
          <w:b w:val="0"/>
          <w:bCs w:val="0"/>
          <w:i w:val="0"/>
          <w:iCs w:val="0"/>
          <w:caps w:val="0"/>
          <w:smallCaps w:val="0"/>
          <w:noProof w:val="0"/>
          <w:color w:val="000000" w:themeColor="text1" w:themeTint="FF" w:themeShade="FF"/>
          <w:sz w:val="40"/>
          <w:szCs w:val="40"/>
          <w:lang w:val="en-GB"/>
        </w:rPr>
        <w:t xml:space="preserve"> 2426859</w:t>
      </w:r>
    </w:p>
    <w:p xmlns:wp14="http://schemas.microsoft.com/office/word/2010/wordml" w:rsidP="13C44286" wp14:paraId="0E1B837D" wp14:textId="23177FE4">
      <w:pPr>
        <w:pStyle w:val="NoSpacing"/>
        <w:spacing w:before="20" w:beforeAutospacing="off" w:after="0" w:afterAutospacing="on" w:line="360" w:lineRule="auto"/>
        <w:rPr>
          <w:rFonts w:ascii="Aptos" w:hAnsi="Aptos" w:eastAsia="Aptos" w:cs="Aptos"/>
          <w:b w:val="0"/>
          <w:bCs w:val="0"/>
          <w:i w:val="0"/>
          <w:iCs w:val="0"/>
          <w:caps w:val="0"/>
          <w:smallCaps w:val="0"/>
          <w:noProof w:val="0"/>
          <w:color w:val="000000" w:themeColor="text1" w:themeTint="FF" w:themeShade="FF"/>
          <w:sz w:val="40"/>
          <w:szCs w:val="40"/>
          <w:lang w:val="en-GB"/>
        </w:rPr>
      </w:pPr>
      <w:r w:rsidRPr="13C44286" w:rsidR="28C39C82">
        <w:rPr>
          <w:rFonts w:ascii="Aptos" w:hAnsi="Aptos" w:eastAsia="Aptos" w:cs="Aptos"/>
          <w:b w:val="1"/>
          <w:bCs w:val="1"/>
          <w:i w:val="0"/>
          <w:iCs w:val="0"/>
          <w:caps w:val="0"/>
          <w:smallCaps w:val="0"/>
          <w:noProof w:val="0"/>
          <w:color w:val="000000" w:themeColor="text1" w:themeTint="FF" w:themeShade="FF"/>
          <w:sz w:val="40"/>
          <w:szCs w:val="40"/>
          <w:lang w:val="en-GB"/>
        </w:rPr>
        <w:t>Module Title:</w:t>
      </w:r>
      <w:r w:rsidRPr="13C44286" w:rsidR="28C39C82">
        <w:rPr>
          <w:rFonts w:ascii="Aptos" w:hAnsi="Aptos" w:eastAsia="Aptos" w:cs="Aptos"/>
          <w:b w:val="0"/>
          <w:bCs w:val="0"/>
          <w:i w:val="0"/>
          <w:iCs w:val="0"/>
          <w:caps w:val="0"/>
          <w:smallCaps w:val="0"/>
          <w:noProof w:val="0"/>
          <w:color w:val="000000" w:themeColor="text1" w:themeTint="FF" w:themeShade="FF"/>
          <w:sz w:val="40"/>
          <w:szCs w:val="40"/>
          <w:lang w:val="en-GB"/>
        </w:rPr>
        <w:t xml:space="preserve"> Principles of Health and Social Care Practice</w:t>
      </w:r>
    </w:p>
    <w:p xmlns:wp14="http://schemas.microsoft.com/office/word/2010/wordml" w:rsidP="13C44286" wp14:paraId="6E743CBE" wp14:textId="78E934C3">
      <w:pPr>
        <w:pStyle w:val="NoSpacing"/>
        <w:spacing w:before="20" w:beforeAutospacing="off" w:after="0" w:afterAutospacing="on" w:line="360" w:lineRule="auto"/>
        <w:rPr>
          <w:rFonts w:ascii="Arial" w:hAnsi="Arial" w:eastAsia="Arial" w:cs="Arial"/>
          <w:noProof w:val="0"/>
          <w:sz w:val="40"/>
          <w:szCs w:val="40"/>
          <w:lang w:val="en-GB"/>
        </w:rPr>
      </w:pPr>
      <w:r w:rsidRPr="13C44286" w:rsidR="1483DF20">
        <w:rPr>
          <w:rFonts w:ascii="Arial" w:hAnsi="Arial" w:eastAsia="Arial" w:cs="Arial"/>
          <w:b w:val="1"/>
          <w:bCs w:val="1"/>
          <w:i w:val="0"/>
          <w:iCs w:val="0"/>
          <w:caps w:val="0"/>
          <w:smallCaps w:val="0"/>
          <w:noProof w:val="0"/>
          <w:color w:val="000000" w:themeColor="text1" w:themeTint="FF" w:themeShade="FF"/>
          <w:sz w:val="40"/>
          <w:szCs w:val="40"/>
          <w:lang w:val="en-GB"/>
        </w:rPr>
        <w:t xml:space="preserve">Lecture Name: </w:t>
      </w:r>
      <w:r w:rsidRPr="13C44286" w:rsidR="7A1B32D0">
        <w:rPr>
          <w:rFonts w:ascii="Source Sans Pro" w:hAnsi="Source Sans Pro" w:eastAsia="Source Sans Pro" w:cs="Source Sans Pro"/>
          <w:b w:val="0"/>
          <w:bCs w:val="0"/>
          <w:i w:val="0"/>
          <w:iCs w:val="0"/>
          <w:caps w:val="0"/>
          <w:smallCaps w:val="0"/>
          <w:noProof w:val="0"/>
          <w:color w:val="242130"/>
          <w:sz w:val="40"/>
          <w:szCs w:val="40"/>
          <w:lang w:val="en-GB"/>
        </w:rPr>
        <w:t>Tsiwani</w:t>
      </w:r>
      <w:r w:rsidRPr="13C44286" w:rsidR="7A1B32D0">
        <w:rPr>
          <w:rFonts w:ascii="Source Sans Pro" w:hAnsi="Source Sans Pro" w:eastAsia="Source Sans Pro" w:cs="Source Sans Pro"/>
          <w:b w:val="0"/>
          <w:bCs w:val="0"/>
          <w:i w:val="0"/>
          <w:iCs w:val="0"/>
          <w:caps w:val="0"/>
          <w:smallCaps w:val="0"/>
          <w:noProof w:val="0"/>
          <w:color w:val="242130"/>
          <w:sz w:val="40"/>
          <w:szCs w:val="40"/>
          <w:lang w:val="en-GB"/>
        </w:rPr>
        <w:t xml:space="preserve"> Khumalo</w:t>
      </w:r>
    </w:p>
    <w:p xmlns:wp14="http://schemas.microsoft.com/office/word/2010/wordml" w:rsidP="13C44286" wp14:paraId="4569568D" wp14:textId="5990FCF5">
      <w:pPr>
        <w:pStyle w:val="NoSpacing"/>
        <w:spacing w:before="20" w:beforeAutospacing="off" w:after="0" w:afterAutospacing="on" w:line="360" w:lineRule="auto"/>
        <w:rPr>
          <w:rFonts w:ascii="Aptos" w:hAnsi="Aptos" w:eastAsia="Aptos" w:cs="Aptos"/>
          <w:b w:val="0"/>
          <w:bCs w:val="0"/>
          <w:i w:val="0"/>
          <w:iCs w:val="0"/>
          <w:caps w:val="0"/>
          <w:smallCaps w:val="0"/>
          <w:noProof w:val="0"/>
          <w:color w:val="000000" w:themeColor="text1" w:themeTint="FF" w:themeShade="FF"/>
          <w:sz w:val="40"/>
          <w:szCs w:val="40"/>
          <w:lang w:val="en-GB"/>
        </w:rPr>
      </w:pPr>
      <w:r w:rsidRPr="13C44286" w:rsidR="28C39C82">
        <w:rPr>
          <w:rFonts w:ascii="Aptos" w:hAnsi="Aptos" w:eastAsia="Aptos" w:cs="Aptos"/>
          <w:b w:val="1"/>
          <w:bCs w:val="1"/>
          <w:i w:val="0"/>
          <w:iCs w:val="0"/>
          <w:caps w:val="0"/>
          <w:smallCaps w:val="0"/>
          <w:noProof w:val="0"/>
          <w:color w:val="000000" w:themeColor="text1" w:themeTint="FF" w:themeShade="FF"/>
          <w:sz w:val="40"/>
          <w:szCs w:val="40"/>
          <w:lang w:val="en-GB"/>
        </w:rPr>
        <w:t>Module Code:</w:t>
      </w:r>
      <w:r w:rsidRPr="13C44286" w:rsidR="28C39C82">
        <w:rPr>
          <w:rFonts w:ascii="Aptos" w:hAnsi="Aptos" w:eastAsia="Aptos" w:cs="Aptos"/>
          <w:b w:val="0"/>
          <w:bCs w:val="0"/>
          <w:i w:val="0"/>
          <w:iCs w:val="0"/>
          <w:caps w:val="0"/>
          <w:smallCaps w:val="0"/>
          <w:noProof w:val="0"/>
          <w:color w:val="000000" w:themeColor="text1" w:themeTint="FF" w:themeShade="FF"/>
          <w:sz w:val="40"/>
          <w:szCs w:val="40"/>
          <w:lang w:val="en-GB"/>
        </w:rPr>
        <w:t xml:space="preserve"> BMHP5016</w:t>
      </w:r>
    </w:p>
    <w:p xmlns:wp14="http://schemas.microsoft.com/office/word/2010/wordml" w:rsidP="13C44286" wp14:paraId="5BD5B6F8" wp14:textId="731B29B2">
      <w:pPr>
        <w:pStyle w:val="NoSpacing"/>
        <w:spacing w:before="20" w:beforeAutospacing="off" w:after="0" w:afterAutospacing="on" w:line="360" w:lineRule="auto"/>
        <w:rPr>
          <w:rFonts w:ascii="Aptos" w:hAnsi="Aptos" w:eastAsia="Aptos" w:cs="Aptos"/>
          <w:b w:val="0"/>
          <w:bCs w:val="0"/>
          <w:i w:val="0"/>
          <w:iCs w:val="0"/>
          <w:caps w:val="0"/>
          <w:smallCaps w:val="0"/>
          <w:noProof w:val="0"/>
          <w:color w:val="000000" w:themeColor="text1" w:themeTint="FF" w:themeShade="FF"/>
          <w:sz w:val="40"/>
          <w:szCs w:val="40"/>
          <w:lang w:val="en-GB"/>
        </w:rPr>
      </w:pPr>
      <w:r w:rsidRPr="13C44286" w:rsidR="28C39C82">
        <w:rPr>
          <w:rFonts w:ascii="Aptos" w:hAnsi="Aptos" w:eastAsia="Aptos" w:cs="Aptos"/>
          <w:b w:val="1"/>
          <w:bCs w:val="1"/>
          <w:i w:val="0"/>
          <w:iCs w:val="0"/>
          <w:caps w:val="0"/>
          <w:smallCaps w:val="0"/>
          <w:noProof w:val="0"/>
          <w:color w:val="000000" w:themeColor="text1" w:themeTint="FF" w:themeShade="FF"/>
          <w:sz w:val="40"/>
          <w:szCs w:val="40"/>
          <w:lang w:val="en-GB"/>
        </w:rPr>
        <w:t xml:space="preserve">Assignment: </w:t>
      </w:r>
      <w:r w:rsidRPr="13C44286" w:rsidR="28C39C82">
        <w:rPr>
          <w:rFonts w:ascii="Aptos" w:hAnsi="Aptos" w:eastAsia="Aptos" w:cs="Aptos"/>
          <w:b w:val="0"/>
          <w:bCs w:val="0"/>
          <w:i w:val="0"/>
          <w:iCs w:val="0"/>
          <w:caps w:val="0"/>
          <w:smallCaps w:val="0"/>
          <w:noProof w:val="0"/>
          <w:color w:val="000000" w:themeColor="text1" w:themeTint="FF" w:themeShade="FF"/>
          <w:sz w:val="40"/>
          <w:szCs w:val="40"/>
          <w:lang w:val="en-GB"/>
        </w:rPr>
        <w:t>Component</w:t>
      </w:r>
      <w:r w:rsidRPr="13C44286" w:rsidR="28C39C82">
        <w:rPr>
          <w:rFonts w:ascii="Aptos" w:hAnsi="Aptos" w:eastAsia="Aptos" w:cs="Aptos"/>
          <w:b w:val="0"/>
          <w:bCs w:val="0"/>
          <w:i w:val="0"/>
          <w:iCs w:val="0"/>
          <w:caps w:val="0"/>
          <w:smallCaps w:val="0"/>
          <w:noProof w:val="0"/>
          <w:color w:val="000000" w:themeColor="text1" w:themeTint="FF" w:themeShade="FF"/>
          <w:sz w:val="40"/>
          <w:szCs w:val="40"/>
          <w:lang w:val="en-GB"/>
        </w:rPr>
        <w:t xml:space="preserve"> 1 Reflective Report</w:t>
      </w:r>
    </w:p>
    <w:p xmlns:wp14="http://schemas.microsoft.com/office/word/2010/wordml" w:rsidP="13C44286" wp14:paraId="78347E72" wp14:textId="70E2B742">
      <w:pPr>
        <w:pStyle w:val="NoSpacing"/>
        <w:spacing w:before="20" w:beforeAutospacing="off" w:after="0" w:afterAutospacing="on" w:line="360" w:lineRule="auto"/>
        <w:rPr>
          <w:rFonts w:ascii="Aptos" w:hAnsi="Aptos" w:eastAsia="Aptos" w:cs="Aptos"/>
          <w:b w:val="0"/>
          <w:bCs w:val="0"/>
          <w:i w:val="0"/>
          <w:iCs w:val="0"/>
          <w:caps w:val="0"/>
          <w:smallCaps w:val="0"/>
          <w:noProof w:val="0"/>
          <w:color w:val="000000" w:themeColor="text1" w:themeTint="FF" w:themeShade="FF"/>
          <w:sz w:val="40"/>
          <w:szCs w:val="40"/>
          <w:lang w:val="en-GB"/>
        </w:rPr>
      </w:pPr>
      <w:r w:rsidRPr="13C44286" w:rsidR="28C39C82">
        <w:rPr>
          <w:rFonts w:ascii="Aptos" w:hAnsi="Aptos" w:eastAsia="Aptos" w:cs="Aptos"/>
          <w:b w:val="1"/>
          <w:bCs w:val="1"/>
          <w:i w:val="0"/>
          <w:iCs w:val="0"/>
          <w:caps w:val="0"/>
          <w:smallCaps w:val="0"/>
          <w:noProof w:val="0"/>
          <w:color w:val="000000" w:themeColor="text1" w:themeTint="FF" w:themeShade="FF"/>
          <w:sz w:val="40"/>
          <w:szCs w:val="40"/>
          <w:lang w:val="en-GB"/>
        </w:rPr>
        <w:t>Word Count:</w:t>
      </w:r>
      <w:r w:rsidRPr="13C44286" w:rsidR="28C39C82">
        <w:rPr>
          <w:rFonts w:ascii="Aptos" w:hAnsi="Aptos" w:eastAsia="Aptos" w:cs="Aptos"/>
          <w:b w:val="0"/>
          <w:bCs w:val="0"/>
          <w:i w:val="0"/>
          <w:iCs w:val="0"/>
          <w:caps w:val="0"/>
          <w:smallCaps w:val="0"/>
          <w:noProof w:val="0"/>
          <w:color w:val="000000" w:themeColor="text1" w:themeTint="FF" w:themeShade="FF"/>
          <w:sz w:val="40"/>
          <w:szCs w:val="40"/>
          <w:lang w:val="en-GB"/>
        </w:rPr>
        <w:t xml:space="preserve"> Approx. 2,000 words</w:t>
      </w:r>
    </w:p>
    <w:p xmlns:wp14="http://schemas.microsoft.com/office/word/2010/wordml" w:rsidP="13C44286" wp14:paraId="5E5787A5" wp14:textId="56B3A583">
      <w:pPr>
        <w:rPr>
          <w:sz w:val="48"/>
          <w:szCs w:val="48"/>
        </w:rPr>
      </w:pPr>
    </w:p>
    <w:p w:rsidR="13C44286" w:rsidRDefault="13C44286" w14:paraId="7870234F" w14:textId="14B55DA7"/>
    <w:p w:rsidR="13C44286" w:rsidRDefault="13C44286" w14:paraId="4C258F37" w14:textId="3C98E641"/>
    <w:p w:rsidR="13C44286" w:rsidRDefault="13C44286" w14:paraId="06E5FB6D" w14:textId="69685E39"/>
    <w:p w:rsidR="13C44286" w:rsidRDefault="13C44286" w14:paraId="2AAECEEF" w14:textId="0197CEFB"/>
    <w:p w:rsidR="13C44286" w:rsidRDefault="13C44286" w14:paraId="399626A2" w14:textId="40D21055"/>
    <w:p w:rsidR="13C44286" w:rsidRDefault="13C44286" w14:paraId="6D6CF651" w14:textId="67EB1B9C"/>
    <w:p w:rsidR="13C44286" w:rsidRDefault="13C44286" w14:paraId="5A61906D" w14:textId="3712F9B6"/>
    <w:p w:rsidR="13C44286" w:rsidRDefault="13C44286" w14:paraId="1EA138CF" w14:textId="5A961914"/>
    <w:p w:rsidR="13C44286" w:rsidP="13C44286" w:rsidRDefault="13C44286" w14:paraId="27EE2810" w14:textId="3942B670">
      <w:pPr>
        <w:pStyle w:val="NoSpacing"/>
        <w:spacing w:before="20" w:beforeAutospacing="off" w:after="0" w:afterAutospacing="on" w:line="360" w:lineRule="auto"/>
        <w:rPr>
          <w:rFonts w:ascii="Aptos" w:hAnsi="Aptos" w:eastAsia="Aptos" w:cs="Aptos"/>
          <w:b w:val="1"/>
          <w:bCs w:val="1"/>
          <w:i w:val="0"/>
          <w:iCs w:val="0"/>
          <w:caps w:val="0"/>
          <w:smallCaps w:val="0"/>
          <w:noProof w:val="0"/>
          <w:color w:val="000000" w:themeColor="text1" w:themeTint="FF" w:themeShade="FF"/>
          <w:sz w:val="24"/>
          <w:szCs w:val="24"/>
          <w:lang w:val="en-GB"/>
        </w:rPr>
      </w:pPr>
    </w:p>
    <w:p w:rsidR="13C44286" w:rsidP="13C44286" w:rsidRDefault="13C44286" w14:paraId="6EB4DC62" w14:textId="7EB5A865">
      <w:pPr>
        <w:pStyle w:val="NoSpacing"/>
        <w:spacing w:before="20" w:beforeAutospacing="off" w:after="0" w:afterAutospacing="on" w:line="360" w:lineRule="auto"/>
        <w:rPr>
          <w:rFonts w:ascii="Aptos" w:hAnsi="Aptos" w:eastAsia="Aptos" w:cs="Aptos"/>
          <w:b w:val="1"/>
          <w:bCs w:val="1"/>
          <w:i w:val="0"/>
          <w:iCs w:val="0"/>
          <w:caps w:val="0"/>
          <w:smallCaps w:val="0"/>
          <w:noProof w:val="0"/>
          <w:color w:val="000000" w:themeColor="text1" w:themeTint="FF" w:themeShade="FF"/>
          <w:sz w:val="24"/>
          <w:szCs w:val="24"/>
          <w:lang w:val="en-GB"/>
        </w:rPr>
      </w:pPr>
    </w:p>
    <w:p w:rsidR="2B4D6270" w:rsidP="2B4D6270" w:rsidRDefault="2B4D6270" w14:paraId="1CE458F8" w14:textId="64FA4165">
      <w:pPr>
        <w:pStyle w:val="NoSpacing"/>
        <w:spacing w:before="20" w:beforeAutospacing="off"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2B4D6270" w:rsidP="2B4D6270" w:rsidRDefault="2B4D6270" w14:paraId="50215768" w14:textId="72585869">
      <w:pPr>
        <w:pStyle w:val="NoSpacing"/>
        <w:spacing w:before="20" w:beforeAutospacing="off"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2B4D6270" w:rsidP="2B4D6270" w:rsidRDefault="2B4D6270" w14:paraId="613A0722" w14:textId="2EA6C3F6">
      <w:pPr>
        <w:pStyle w:val="NoSpacing"/>
        <w:spacing w:before="20" w:beforeAutospacing="off"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2B4D6270" w:rsidP="2B4D6270" w:rsidRDefault="2B4D6270" w14:paraId="68D1182D" w14:textId="51C7E419">
      <w:pPr>
        <w:pStyle w:val="NoSpacing"/>
        <w:spacing w:before="20" w:beforeAutospacing="off"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2B4D6270" w:rsidP="2B4D6270" w:rsidRDefault="2B4D6270" w14:paraId="6C175549" w14:textId="3A2CF863">
      <w:pPr>
        <w:pStyle w:val="NoSpacing"/>
        <w:spacing w:before="20" w:beforeAutospacing="off"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2B4D6270" w:rsidP="2B4D6270" w:rsidRDefault="2B4D6270" w14:paraId="60603EEA" w14:textId="43393BDC">
      <w:pPr>
        <w:pStyle w:val="NoSpacing"/>
        <w:spacing w:before="20" w:beforeAutospacing="off"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233253B9" w:rsidP="13C44286" w:rsidRDefault="233253B9" w14:paraId="7ADDD1D0" w14:textId="1CE5FDD4">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233253B9">
        <w:rPr>
          <w:rFonts w:ascii="Arial" w:hAnsi="Arial" w:eastAsia="Arial" w:cs="Arial"/>
          <w:b w:val="1"/>
          <w:bCs w:val="1"/>
          <w:i w:val="0"/>
          <w:iCs w:val="0"/>
          <w:caps w:val="0"/>
          <w:smallCaps w:val="0"/>
          <w:noProof w:val="0"/>
          <w:color w:val="000000" w:themeColor="text1" w:themeTint="FF" w:themeShade="FF"/>
          <w:sz w:val="22"/>
          <w:szCs w:val="22"/>
          <w:lang w:val="en-GB"/>
        </w:rPr>
        <w:t>Table of Contents</w:t>
      </w:r>
    </w:p>
    <w:p w:rsidR="0625B288" w:rsidP="13C44286" w:rsidRDefault="0625B288" w14:paraId="76823401" w14:textId="430BB82B">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Introduction ……………………………………………………………… 1</w:t>
      </w:r>
      <w:r w:rsidRPr="13C44286" w:rsidR="67E1839F">
        <w:rPr>
          <w:rFonts w:ascii="Arial" w:hAnsi="Arial" w:eastAsia="Arial" w:cs="Arial"/>
          <w:b w:val="1"/>
          <w:bCs w:val="1"/>
          <w:i w:val="0"/>
          <w:iCs w:val="0"/>
          <w:caps w:val="0"/>
          <w:smallCaps w:val="0"/>
          <w:noProof w:val="0"/>
          <w:color w:val="000000" w:themeColor="text1" w:themeTint="FF" w:themeShade="FF"/>
          <w:sz w:val="22"/>
          <w:szCs w:val="22"/>
          <w:lang w:val="en-GB"/>
        </w:rPr>
        <w:t>-2</w:t>
      </w:r>
    </w:p>
    <w:p w:rsidR="0625B288" w:rsidP="13C44286" w:rsidRDefault="0625B288" w14:paraId="379F73B7" w14:textId="22F73909">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Main Body ……………………………………………………………</w:t>
      </w:r>
      <w:r w:rsidRPr="13C44286" w:rsidR="668A8972">
        <w:rPr>
          <w:rFonts w:ascii="Arial" w:hAnsi="Arial" w:eastAsia="Arial" w:cs="Arial"/>
          <w:b w:val="1"/>
          <w:bCs w:val="1"/>
          <w:i w:val="0"/>
          <w:iCs w:val="0"/>
          <w:caps w:val="0"/>
          <w:smallCaps w:val="0"/>
          <w:noProof w:val="0"/>
          <w:color w:val="000000" w:themeColor="text1" w:themeTint="FF" w:themeShade="FF"/>
          <w:sz w:val="22"/>
          <w:szCs w:val="22"/>
          <w:lang w:val="en-GB"/>
        </w:rPr>
        <w:t>….</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2</w:t>
      </w:r>
    </w:p>
    <w:p w:rsidR="0625B288" w:rsidP="13C44286" w:rsidRDefault="0625B288" w14:paraId="13A745E2" w14:textId="5CE34342">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Communication in Health and Social Care ……………</w:t>
      </w:r>
      <w:r w:rsidRPr="13C44286" w:rsidR="5F385B24">
        <w:rPr>
          <w:rFonts w:ascii="Arial" w:hAnsi="Arial" w:eastAsia="Arial" w:cs="Arial"/>
          <w:b w:val="1"/>
          <w:bCs w:val="1"/>
          <w:i w:val="0"/>
          <w:iCs w:val="0"/>
          <w:caps w:val="0"/>
          <w:smallCaps w:val="0"/>
          <w:noProof w:val="0"/>
          <w:color w:val="000000" w:themeColor="text1" w:themeTint="FF" w:themeShade="FF"/>
          <w:sz w:val="22"/>
          <w:szCs w:val="22"/>
          <w:lang w:val="en-GB"/>
        </w:rPr>
        <w:t>….</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2–3</w:t>
      </w:r>
    </w:p>
    <w:p w:rsidR="0625B288" w:rsidP="13C44286" w:rsidRDefault="0625B288" w14:paraId="32481EB5" w14:textId="690BB1CC">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Maslow’s Hierarchy of Needs (1943) ………………………… 3–5</w:t>
      </w:r>
    </w:p>
    <w:p w:rsidR="0625B288" w:rsidP="13C44286" w:rsidRDefault="0625B288" w14:paraId="7D9379F2" w14:textId="27C40B27">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Partnership Working …………………………………………</w:t>
      </w:r>
      <w:r w:rsidRPr="13C44286" w:rsidR="5F916370">
        <w:rPr>
          <w:rFonts w:ascii="Arial" w:hAnsi="Arial" w:eastAsia="Arial" w:cs="Arial"/>
          <w:b w:val="1"/>
          <w:bCs w:val="1"/>
          <w:i w:val="0"/>
          <w:iCs w:val="0"/>
          <w:caps w:val="0"/>
          <w:smallCaps w:val="0"/>
          <w:noProof w:val="0"/>
          <w:color w:val="000000" w:themeColor="text1" w:themeTint="FF" w:themeShade="FF"/>
          <w:sz w:val="22"/>
          <w:szCs w:val="22"/>
          <w:lang w:val="en-GB"/>
        </w:rPr>
        <w:t>….</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5–8</w:t>
      </w:r>
    </w:p>
    <w:p w:rsidR="0625B288" w:rsidP="13C44286" w:rsidRDefault="0625B288" w14:paraId="1EB33206" w14:textId="6A866B1A">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Record Keeping and Data Protection ………………………… 8–10</w:t>
      </w:r>
    </w:p>
    <w:p w:rsidR="0625B288" w:rsidP="13C44286" w:rsidRDefault="0625B288" w14:paraId="0A146031" w14:textId="3D75A257">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Continuing Professional Development (CPD) …………</w:t>
      </w:r>
      <w:r w:rsidRPr="13C44286" w:rsidR="01F4F041">
        <w:rPr>
          <w:rFonts w:ascii="Arial" w:hAnsi="Arial" w:eastAsia="Arial" w:cs="Arial"/>
          <w:b w:val="1"/>
          <w:bCs w:val="1"/>
          <w:i w:val="0"/>
          <w:iCs w:val="0"/>
          <w:caps w:val="0"/>
          <w:smallCaps w:val="0"/>
          <w:noProof w:val="0"/>
          <w:color w:val="000000" w:themeColor="text1" w:themeTint="FF" w:themeShade="FF"/>
          <w:sz w:val="22"/>
          <w:szCs w:val="22"/>
          <w:lang w:val="en-GB"/>
        </w:rPr>
        <w:t>…...</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10–11</w:t>
      </w:r>
    </w:p>
    <w:p w:rsidR="0625B288" w:rsidP="13C44286" w:rsidRDefault="0625B288" w14:paraId="63F8DCFB" w14:textId="4DC9238C">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Conclusion ………………………………………………………………. 11</w:t>
      </w:r>
    </w:p>
    <w:p w:rsidR="0625B288" w:rsidP="13C44286" w:rsidRDefault="0625B288" w14:paraId="57BCB894" w14:textId="2D84A24C">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Reference List ………………………………………………………</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12</w:t>
      </w:r>
    </w:p>
    <w:p w:rsidR="5727DDDA" w:rsidP="13C44286" w:rsidRDefault="5727DDDA" w14:paraId="0AEBD905" w14:textId="3F7F8A6A">
      <w:pPr>
        <w:spacing w:before="240" w:beforeAutospacing="off" w:after="240" w:afterAutospacing="off" w:line="360" w:lineRule="auto"/>
        <w:rPr>
          <w:rFonts w:ascii="Arial" w:hAnsi="Arial" w:eastAsia="Arial" w:cs="Arial"/>
          <w:noProof w:val="0"/>
          <w:sz w:val="22"/>
          <w:szCs w:val="22"/>
          <w:lang w:val="en-GB"/>
        </w:rPr>
      </w:pPr>
      <w:r w:rsidRPr="13C44286" w:rsidR="5727DDDA">
        <w:rPr>
          <w:rFonts w:ascii="Arial" w:hAnsi="Arial" w:eastAsia="Arial" w:cs="Arial"/>
          <w:noProof w:val="0"/>
          <w:sz w:val="22"/>
          <w:szCs w:val="22"/>
          <w:lang w:val="en-GB"/>
        </w:rPr>
        <w:t xml:space="preserve"> </w:t>
      </w:r>
    </w:p>
    <w:p w:rsidR="13C44286" w:rsidP="13C44286" w:rsidRDefault="13C44286" w14:paraId="67E4DE83" w14:textId="3A41A819">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0E51A291" w14:textId="7B591FA9">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45D1F7BC" w14:textId="6FE3342D">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1597C222" w14:textId="4F14906B">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62E89511" w14:textId="34E75294">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10220514" w14:textId="2F9D90A4">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6FDF45B5" w14:textId="5AF62862">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77854D9F" w14:textId="63CC1737">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3C4C4970" w14:textId="40DAC009">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6FE126D7" w14:textId="650ADBD9">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25E10029" w14:textId="6F36D73C">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6393DE69" w14:textId="4221C141">
      <w:pPr>
        <w:spacing w:before="240" w:beforeAutospacing="off" w:after="240" w:afterAutospacing="off" w:line="360" w:lineRule="auto"/>
        <w:rPr>
          <w:rFonts w:ascii="Arial" w:hAnsi="Arial" w:eastAsia="Arial" w:cs="Arial"/>
          <w:noProof w:val="0"/>
          <w:sz w:val="22"/>
          <w:szCs w:val="22"/>
          <w:lang w:val="en-GB"/>
        </w:rPr>
      </w:pPr>
    </w:p>
    <w:p w:rsidR="2B4D6270" w:rsidP="2B4D6270" w:rsidRDefault="2B4D6270" w14:paraId="1E764AEA" w14:textId="14480DB9">
      <w:pPr>
        <w:spacing w:before="240" w:beforeAutospacing="off" w:after="240" w:afterAutospacing="off" w:line="360" w:lineRule="auto"/>
        <w:rPr>
          <w:rFonts w:ascii="Arial" w:hAnsi="Arial" w:eastAsia="Arial" w:cs="Arial"/>
          <w:noProof w:val="0"/>
          <w:sz w:val="22"/>
          <w:szCs w:val="22"/>
          <w:lang w:val="en-GB"/>
        </w:rPr>
      </w:pPr>
    </w:p>
    <w:p w:rsidR="5727DDDA" w:rsidP="13C44286" w:rsidRDefault="5727DDDA" w14:paraId="3B2BE951" w14:textId="61F5F0F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5727DDDA">
        <w:rPr>
          <w:rFonts w:ascii="Arial" w:hAnsi="Arial" w:eastAsia="Arial" w:cs="Arial"/>
          <w:noProof w:val="0"/>
          <w:sz w:val="22"/>
          <w:szCs w:val="22"/>
          <w:lang w:val="en-GB"/>
        </w:rPr>
        <w:t xml:space="preserve">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Introduction</w:t>
      </w:r>
    </w:p>
    <w:p w:rsidR="7B97E253" w:rsidP="13C44286" w:rsidRDefault="7B97E253" w14:paraId="37C940B7" w14:textId="2FE75111">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Health and social care practice in the United Kingdom is guided by key principles that ensure care is safe,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effective</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and responsive to individual needs (Department of Health and Social Care, 2014). In understanding, these principles are not only theoretical concepts but form the foundation of everyday professional practice</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B97E253" w:rsidP="13C44286" w:rsidRDefault="7B97E253" w14:paraId="200DD679" w14:textId="12CB4EB1">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This report focuses on three essential principles: person-centred care, partnership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working</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and ethical practice, which underpin professional standards and current legislation. The aim of this report is to critically explore the importance of these principles, examine how they are applied in real-life settings and reflect on my own professional development. Task 1 discusses academic definitions, their significance in practice and the challenges of implementation, supported by relevant theory and policy such as the Care Act 2014 and ethical frameworks (Banks, 2021). Task 2 applies these principles to a case study involving an elderly patient with complex health needs,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demonstrating</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how person-centred care, partnership working and ethical practice are implemented in a UK care setting. Task 3 uses Gibbs’ Reflective Cycle to support reflective practice and future development</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Introduction </w:t>
      </w:r>
    </w:p>
    <w:p w:rsidR="13C44286" w:rsidP="13C44286" w:rsidRDefault="13C44286" w14:paraId="6512C985" w14:textId="341FAB9A">
      <w:pPr>
        <w:spacing w:before="20" w:beforeAutospacing="off" w:after="0" w:afterAutospacing="on" w:line="360" w:lineRule="auto"/>
        <w:rPr>
          <w:rFonts w:ascii="Arial" w:hAnsi="Arial" w:eastAsia="Arial" w:cs="Arial"/>
          <w:b w:val="0"/>
          <w:bCs w:val="0"/>
          <w:i w:val="0"/>
          <w:iCs w:val="0"/>
          <w:caps w:val="0"/>
          <w:smallCaps w:val="0"/>
          <w:noProof w:val="0"/>
          <w:color w:val="FF0000"/>
          <w:sz w:val="22"/>
          <w:szCs w:val="22"/>
          <w:lang w:val="en-GB"/>
        </w:rPr>
      </w:pPr>
    </w:p>
    <w:p w:rsidR="7B97E253" w:rsidP="13C44286" w:rsidRDefault="7B97E253" w14:paraId="1A9190D8" w14:textId="34055102">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7B97E253">
        <w:rPr>
          <w:rFonts w:ascii="Arial" w:hAnsi="Arial" w:eastAsia="Arial" w:cs="Arial"/>
          <w:b w:val="1"/>
          <w:bCs w:val="1"/>
          <w:i w:val="0"/>
          <w:iCs w:val="0"/>
          <w:caps w:val="0"/>
          <w:smallCaps w:val="0"/>
          <w:noProof w:val="0"/>
          <w:color w:val="000000" w:themeColor="text1" w:themeTint="FF" w:themeShade="FF"/>
          <w:sz w:val="22"/>
          <w:szCs w:val="22"/>
          <w:lang w:val="en-GB"/>
        </w:rPr>
        <w:t xml:space="preserve"> Task 1: Reflection on the Importance of Principles of Health and Social Care</w:t>
      </w:r>
    </w:p>
    <w:p w:rsidR="7B97E253" w:rsidP="13C44286" w:rsidRDefault="7B97E253" w14:paraId="43C5D0CB" w14:textId="7B950DC3">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7B97E253">
        <w:rPr>
          <w:rFonts w:ascii="Arial" w:hAnsi="Arial" w:eastAsia="Arial" w:cs="Arial"/>
          <w:b w:val="1"/>
          <w:bCs w:val="1"/>
          <w:i w:val="0"/>
          <w:iCs w:val="0"/>
          <w:caps w:val="0"/>
          <w:smallCaps w:val="0"/>
          <w:noProof w:val="0"/>
          <w:color w:val="000000" w:themeColor="text1" w:themeTint="FF" w:themeShade="FF"/>
          <w:sz w:val="22"/>
          <w:szCs w:val="22"/>
          <w:lang w:val="en-GB"/>
        </w:rPr>
        <w:t>Person-centred care (PCC</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is a fundamental principle in health and social care, emphasising that individuals should be actively involved in decisions about their care. NICE (2021) defines person-centred care as care that respects and responds to a person’s needs,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preferences</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and values. Similarly, McCormack and McCance (2017) describe PCC as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a holistic approach</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built upon therapeutic relationships,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dignity</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and shared decision-making. While both definitions prioritise individual involvement, McCormack and McCance extend the concept by highlighting the importance of meaningful emotional connections,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demonstrating</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that person-centred care goes beyond providing choice to fostering trust and respect within professional relationships. </w:t>
      </w:r>
    </w:p>
    <w:p w:rsidR="7B97E253" w:rsidP="13C44286" w:rsidRDefault="7B97E253" w14:paraId="5B534B9A" w14:textId="6ABB44D9">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Legislation strongly reinforces this principle. The Care Act 2014 places a statutory duty on professionals to promote wellbeing,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independence</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and dignity (Department of Health and Social Care, 2014).</w:t>
      </w:r>
    </w:p>
    <w:p w:rsidR="2395C68B" w:rsidP="13C44286" w:rsidRDefault="2395C68B" w14:paraId="7B27A60A" w14:textId="526ACC38">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The benefits of person-centred care (PCC) include improved service user satisfaction, stronger trust in professionals and better health outcomes. When individuals are involved in decision-making, they are more likely to engage with treatment and adhere to care plans (NICE, 2021). PCC also promotes dignity and emotional wellbeing by recognising the whole person rather than focusing only on medical needs (McCormack and McCance, 2017).</w:t>
      </w:r>
    </w:p>
    <w:p w:rsidR="2395C68B" w:rsidP="13C44286" w:rsidRDefault="2395C68B" w14:paraId="408BF397" w14:textId="2ADF7CD4">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a key challenge is time constraints in busy care settings, which can limit opportunities for meaningful communication and personalised support (Beresford et al., 2016).</w:t>
      </w:r>
    </w:p>
    <w:p w:rsidR="2395C68B" w:rsidP="13C44286" w:rsidRDefault="2395C68B" w14:paraId="7A748F0E" w14:textId="34AC72F5">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Maslow’s Hierarchy of Needs (Maslow, 1943) provides a theoretical foundation by suggesting that individuals must have physiological and safety needs met before progressing to psychological needs such as belonging and esteem. In practice, this means ensuring nutrition, comfort,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safety</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emotional reassurance before addressing higher-level goals. Therefore, Maslow’s framework reinforces holistic,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structured</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compassionate approaches to care planning (Maslow, 1943).</w:t>
      </w:r>
    </w:p>
    <w:p w:rsidR="2395C68B" w:rsidP="13C44286" w:rsidRDefault="2395C68B" w14:paraId="71458118" w14:textId="4AA443FA">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1"/>
          <w:bCs w:val="1"/>
          <w:i w:val="0"/>
          <w:iCs w:val="0"/>
          <w:caps w:val="0"/>
          <w:smallCaps w:val="0"/>
          <w:noProof w:val="0"/>
          <w:color w:val="000000" w:themeColor="text1" w:themeTint="FF" w:themeShade="FF"/>
          <w:sz w:val="22"/>
          <w:szCs w:val="22"/>
          <w:lang w:val="en-GB"/>
        </w:rPr>
        <w:t>Partnership working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is another essential principle within health and social care. Glasby and Dickinson (2014) define partnership working as coordinated action between agencies to reduce fragmentation and improve outcomes. In contrast, the Royal College of Nursing (RCN, 2020) focuses more on frontline collaboration and shared responsibility among multidisciplinary teams. While Glasby and Dickinson (2014)</w:t>
      </w:r>
      <w:r w:rsidRPr="13C44286" w:rsidR="2395C68B">
        <w:rPr>
          <w:rFonts w:ascii="Arial" w:hAnsi="Arial" w:eastAsia="Arial" w:cs="Arial"/>
          <w:b w:val="0"/>
          <w:bCs w:val="0"/>
          <w:i w:val="0"/>
          <w:iCs w:val="0"/>
          <w:caps w:val="0"/>
          <w:smallCaps w:val="0"/>
          <w:noProof w:val="0"/>
          <w:color w:val="FF0000"/>
          <w:sz w:val="22"/>
          <w:szCs w:val="22"/>
          <w:lang w:val="en-GB"/>
        </w:rPr>
        <w:t xml:space="preserv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emphasise organisational integration, the RCN stresses communication between professionals. Both perspectives highlight collaboration as central to safe and effective care.</w:t>
      </w:r>
    </w:p>
    <w:p w:rsidR="2395C68B" w:rsidP="13C44286" w:rsidRDefault="2395C68B" w14:paraId="670F279D" w14:textId="5BC12F13">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Partnership working enhances continuity, reduces duplication of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services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supports individuals with complex needs. However, barriers such as professional boundaries, organisational differences and data protection concerns may limit effective communication (Beresford et al., 2016). </w:t>
      </w:r>
    </w:p>
    <w:p w:rsidR="2395C68B" w:rsidP="13C44286" w:rsidRDefault="2395C68B" w14:paraId="5F4F8C20" w14:textId="42841B3A">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Bronfenbrenner’s Ecological Systems Theory provides a theoretical explanation for the necessity of partnership approaches, as it emphasises that individuals are influenced by interconnected systems including family,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professionals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wider societal structures (Bronfenbrenner, 1979). This reinforces the need for collaborative and coordinated support.</w:t>
      </w:r>
    </w:p>
    <w:p w:rsidR="2395C68B" w:rsidP="13C44286" w:rsidRDefault="2395C68B" w14:paraId="6965E156" w14:textId="62AC2C21">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The Health and Care Act 2022 formally recognise the importance of integrated practice through the development of Integrated Care Systems (ICS) (Department of Health and Social Care, 2022).</w:t>
      </w:r>
    </w:p>
    <w:p w:rsidR="13C44286" w:rsidP="13C44286" w:rsidRDefault="13C44286" w14:paraId="05DF6ACC" w14:textId="5521E885">
      <w:pPr>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395C68B" w:rsidP="13C44286" w:rsidRDefault="2395C68B" w14:paraId="35451690" w14:textId="2BA2468E">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395C68B" w:rsidP="13C44286" w:rsidRDefault="2395C68B" w14:paraId="4DEEF3EC" w14:textId="2E815B0E">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1"/>
          <w:bCs w:val="1"/>
          <w:i w:val="0"/>
          <w:iCs w:val="0"/>
          <w:caps w:val="0"/>
          <w:smallCaps w:val="0"/>
          <w:noProof w:val="0"/>
          <w:color w:val="000000" w:themeColor="text1" w:themeTint="FF" w:themeShade="FF"/>
          <w:sz w:val="22"/>
          <w:szCs w:val="22"/>
          <w:lang w:val="en-GB"/>
        </w:rPr>
        <w:t>Ethical practice</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underpins safe professional decision-making. Beauchamp and Childress (2019) outline four key principles: autonomy, beneficence, non-</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maleficence</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justice. In comparison, the Health and Care Professions Council (HCPC, 2016) translates these ethical principles into professional standards, requiring practitioners to act in service users’ best interests while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confidentiality and integrity. Ethical challenges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arise when balancing autonomy with safeguarding responsibilities. </w:t>
      </w:r>
    </w:p>
    <w:p w:rsidR="2395C68B" w:rsidP="13C44286" w:rsidRDefault="2395C68B" w14:paraId="45C67027" w14:textId="291A7982">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The Mental Capacity Act 2005 provides a legal framework for decision-making when individuals lack capacity, ensuring that actions are taken in their best interests while respecting rights wherever possible. </w:t>
      </w:r>
    </w:p>
    <w:p w:rsidR="2395C68B" w:rsidP="13C44286" w:rsidRDefault="2395C68B" w14:paraId="03B1BFD3" w14:textId="0D396F7B">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Overall, person-centred care, partnership working and ethical practice are interconnected principles that ensure safe,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compassionate</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legally compliant service delivery. Integrating legislation, theory and professional standards is essential for high-quality health and social care practice</w:t>
      </w:r>
    </w:p>
    <w:p w:rsidR="2395C68B" w:rsidP="13C44286" w:rsidRDefault="2395C68B" w14:paraId="19CD6A34" w14:textId="2554EA67">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1"/>
          <w:bCs w:val="1"/>
          <w:i w:val="0"/>
          <w:iCs w:val="0"/>
          <w:caps w:val="0"/>
          <w:smallCaps w:val="0"/>
          <w:noProof w:val="0"/>
          <w:color w:val="000000" w:themeColor="text1" w:themeTint="FF" w:themeShade="FF"/>
          <w:sz w:val="22"/>
          <w:szCs w:val="22"/>
          <w:lang w:val="en-GB"/>
        </w:rPr>
        <w:t xml:space="preserve">Task 2: Practical Example in Practice Case Study </w:t>
      </w:r>
    </w:p>
    <w:p w:rsidR="2395C68B" w:rsidP="13C44286" w:rsidRDefault="2395C68B" w14:paraId="700BA8EE" w14:textId="6B63E475">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Mrs C is a widow living alone with advanced Chronic Obstructive Pulmonary Disease (COPD) and metastatic lung cancer affecting her bones and liver. Her condition is progressive and life-limiting, with recent hospital admissions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indicating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clinical deterioration. This case clearly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the practical application of person-centred care, partnership working and ethical practice within UK community and palliative care services, guided by national legislation and professional standards.</w:t>
      </w:r>
    </w:p>
    <w:p w:rsidR="2395C68B" w:rsidP="13C44286" w:rsidRDefault="2395C68B" w14:paraId="208FCB4A" w14:textId="3CDA2CC5">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1"/>
          <w:bCs w:val="1"/>
          <w:i w:val="0"/>
          <w:iCs w:val="0"/>
          <w:caps w:val="0"/>
          <w:smallCaps w:val="0"/>
          <w:noProof w:val="0"/>
          <w:color w:val="000000" w:themeColor="text1" w:themeTint="FF" w:themeShade="FF"/>
          <w:sz w:val="22"/>
          <w:szCs w:val="22"/>
          <w:lang w:val="en-GB"/>
        </w:rPr>
        <w:t xml:space="preserve"> Person-centred care (PCC)</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is the foundation of Mrs C’s support. NICE (2021) emphasises that individuals receiving end-of-life care must be involved in decisions about their treatment and supported to express their preferences. In practice, this means engaging in shared decision-making conversations about symptom management, prognosis, and preferred place of care (NICE, 2021). The Care Act 2014 statutory guidance also highlights the promotion of wellbeing, including dignity, physical and emotional health, and control over daily life (Department of Health and Social Care, 2022).</w:t>
      </w:r>
    </w:p>
    <w:p w:rsidR="2395C68B" w:rsidP="13C44286" w:rsidRDefault="2395C68B" w14:paraId="26C34A6B" w14:textId="40849633">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For Mrs C, this requires holistic assessment—not only addressing breathlessness, fatigue and cancer-related pain but also recognising the emotional impact of bereavement and social isolation. NICE (2021) recommends proactive advance care planning, enabling individuals to communicate their wishes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resuscitation decisions and escalation of care. Research from NHS England (2023) further supports personalised care models,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stating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that shared care planning improves patient satisfaction and reduces avoidable hospital admissions. Therefore, adopting PCC in Mrs C’s case enhances both quality of life and healthcare efficiency.</w:t>
      </w:r>
    </w:p>
    <w:p w:rsidR="2395C68B" w:rsidP="13C44286" w:rsidRDefault="2395C68B" w14:paraId="43EF8FFB" w14:textId="7216B2EA">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1"/>
          <w:bCs w:val="1"/>
          <w:i w:val="0"/>
          <w:iCs w:val="0"/>
          <w:caps w:val="0"/>
          <w:smallCaps w:val="0"/>
          <w:noProof w:val="0"/>
          <w:color w:val="000000" w:themeColor="text1" w:themeTint="FF" w:themeShade="FF"/>
          <w:sz w:val="22"/>
          <w:szCs w:val="22"/>
          <w:lang w:val="en-GB"/>
        </w:rPr>
        <w:t xml:space="preserve"> Partnership working (PW)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is essential given the complexity of her physical and psychosocial needs. The Health and Care Act 2022 promote Integrated Care Systems (ICSs) to improve collaboration between NHS services, local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authorities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voluntary sector partners (Department of Health and Social Care, 2022). Effective multidisciplinary teamwork involving GPs, oncology consultants, respiratory specialists, district nurses, palliative care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teams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social workers ensures coordinated symptom management and crisis prevention.</w:t>
      </w:r>
    </w:p>
    <w:p w:rsidR="2395C68B" w:rsidP="13C44286" w:rsidRDefault="2395C68B" w14:paraId="4EB61370" w14:textId="586E6291">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NHS England (2023) highlights that integrated working improves communication pathways and strengthens continuity of care in complex, long-term conditions. In Mrs C’s case, regular multidisciplinary team (MDT) meetings allow professionals to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anticipate</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deterioration, review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medication</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adjust support needs. Family engagement, with Mrs C’s consent, is equally important, as partnership working extends beyond professionals to include informal carers (NICE, 2021). However, barriers such as delayed communication and fragmented documentation can occur. These challenges can be addressed through shared electronic health records and clear role allocation within the MDT, consistent with integrated care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(Department of Health and Social Care, 2022).</w:t>
      </w:r>
    </w:p>
    <w:p w:rsidR="2395C68B" w:rsidP="13C44286" w:rsidRDefault="2395C68B" w14:paraId="2C13A8E1" w14:textId="4D788AA4">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1"/>
          <w:bCs w:val="1"/>
          <w:i w:val="0"/>
          <w:iCs w:val="0"/>
          <w:caps w:val="0"/>
          <w:smallCaps w:val="0"/>
          <w:noProof w:val="0"/>
          <w:color w:val="000000" w:themeColor="text1" w:themeTint="FF" w:themeShade="FF"/>
          <w:sz w:val="22"/>
          <w:szCs w:val="22"/>
          <w:lang w:val="en-GB"/>
        </w:rPr>
        <w:t>Ethical practice</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underpins safe decision-making in life-limiting illness. The Mental Capacity Act 2005, reinforced by its updated Code of Practice guidance (2022), requires professionals to presume capacity unless proven otherwise and to support individuals in decision-making. If Mrs C’s condition deteriorates and she temporarily lacks capacity, decisions must follow best-interest principles and reflect her previously expressed wishes. This ensures respect for autonomy while safeguarding wellbeing.</w:t>
      </w:r>
    </w:p>
    <w:p w:rsidR="2395C68B" w:rsidP="13C44286" w:rsidRDefault="2395C68B" w14:paraId="335FA685" w14:textId="700B70DF">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Furthermore, professional standards require practitioners to communicate openly and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maintain</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confidentiality and dignity (HCPC, 2024). Ethical care also involves balancing beneficence and non-maleficence, particularly when discussing prognosis or withdrawing aggressive treatment. NICE (2021) stresses the importance of honest but compassionate communication in end-of-life discussions to prevent emotional harm. Overall, the integration of person-centred care, partnership working and ethical frameworks supported by current UK legislation, NICE guidance and professional standards enhances continuity,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autonomy</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compassionate care delivery. In Mrs C’s case, applying these principles reduces fragmentation, respects her individual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values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promotes coordinated, holistic palliative support aligned with modern health and social care policy.</w:t>
      </w:r>
    </w:p>
    <w:p w:rsidR="2395C68B" w:rsidP="13C44286" w:rsidRDefault="2395C68B" w14:paraId="4059BFE8" w14:textId="0ACC338A">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1"/>
          <w:bCs w:val="1"/>
          <w:i w:val="0"/>
          <w:iCs w:val="0"/>
          <w:caps w:val="0"/>
          <w:smallCaps w:val="0"/>
          <w:noProof w:val="0"/>
          <w:color w:val="000000" w:themeColor="text1" w:themeTint="FF" w:themeShade="FF"/>
          <w:sz w:val="22"/>
          <w:szCs w:val="22"/>
          <w:lang w:val="en-GB"/>
        </w:rPr>
        <w:t>Task 3: Self-Reflection on Health and Social Care</w:t>
      </w:r>
    </w:p>
    <w:p w:rsidR="2395C68B" w:rsidP="13C44286" w:rsidRDefault="2395C68B" w14:paraId="2251F2BD" w14:textId="12A65C14">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(Gibbs’ Reflective Cycle developed in 1988)</w:t>
      </w:r>
    </w:p>
    <w:p w:rsidR="2395C68B" w:rsidP="13C44286" w:rsidRDefault="2395C68B" w14:paraId="45FF1533" w14:textId="45C8881F">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Reflective practice is essential in health and social care as it supports continuous learning,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accountability</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professional development. Gibbs’ Reflective Cycle (1988) provides a structured framework that enables practitioners to critically examine experiences through description, feelings, evaluation,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analysis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conclusion. This reflection explores my experience of supporting an elderly patient living with dementia in a UK care setting, applying person-centred care, partnership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working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ethical practice within current legislative and professional frameworks.</w:t>
      </w:r>
    </w:p>
    <w:p w:rsidR="2395C68B" w:rsidP="13C44286" w:rsidRDefault="2395C68B" w14:paraId="5FEE28E6" w14:textId="1005D6CC">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Description </w:t>
      </w:r>
    </w:p>
    <w:p w:rsidR="2395C68B" w:rsidP="13C44286" w:rsidRDefault="2395C68B" w14:paraId="3C6F4C84" w14:textId="5E751106">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During my placement, I supported an elderly patient diagnosed with moderate dementia who experienced memory loss,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anxiety</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disorientation, especially when routines changed (NHS, 2023). Dementia affects cognition, emotional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regulation</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independence, increasing reliance on structured support.</w:t>
      </w:r>
    </w:p>
    <w:p w:rsidR="2395C68B" w:rsidP="13C44286" w:rsidRDefault="2395C68B" w14:paraId="5F8B1834" w14:textId="7ECD5B7D">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The patient followed an individualised care plan focused on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routine, promoting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dignity</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reducing distress. My responsibilities included assisting with personal care, supporting mobility, encouraging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nutrition</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communicating calmly and respectfully. Safeguarding procedures and confidentiality were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maintained</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in accordance with</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professional standards.</w:t>
      </w:r>
    </w:p>
    <w:p w:rsidR="2395C68B" w:rsidP="13C44286" w:rsidRDefault="2395C68B" w14:paraId="04F617C7" w14:textId="54E798F5">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Care was delivered collaboratively by healthcare assistants, nurses, the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GP</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family members, reflecting person-centred principles outlined in NICE (2021) guidance. This multidisciplinary approach aligns with the integrated care framework reinforced in the Health and Care Act 2022 (Department of Health and Social Care, 2022). Ethical decision-making was informed by the Mental Capacity Act 2005, particularly when the patient’s capacity fluctuated.</w:t>
      </w:r>
    </w:p>
    <w:p w:rsidR="2395C68B" w:rsidP="13C44286" w:rsidRDefault="2395C68B" w14:paraId="1D9D0D86" w14:textId="39BCA665">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Feelings</w:t>
      </w:r>
    </w:p>
    <w:p w:rsidR="2395C68B" w:rsidP="13C44286" w:rsidRDefault="2395C68B" w14:paraId="2516BEF0" w14:textId="505B8D46">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Initially, I felt nervous and lacked confidence communicating with a patient experiencing cognitive decline. As a Spanish-speaking student studying in the UK, I sometimes feel uncertain using professional terminology in multidisciplinary discussions. I was concerned about increasing confusion or misunderstanding the patient’s needs. However,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observing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the patient’s distress strengthened my empathy and awareness of the importance of reassurance and dignity in care. Statutory guidance under the Care Act 2014 emphasises promoting wellbeing and respect (Department of Health and Social Care, 2022). This reinforced my understanding that compassionate communication is a professional and ethical responsibility. As I gained experience, my confidence improved.</w:t>
      </w:r>
    </w:p>
    <w:p w:rsidR="2395C68B" w:rsidP="13C44286" w:rsidRDefault="2395C68B" w14:paraId="2A103E59" w14:textId="5C00FB08">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Evaluation</w:t>
      </w:r>
    </w:p>
    <w:p w:rsidR="2395C68B" w:rsidP="13C44286" w:rsidRDefault="2395C68B" w14:paraId="34991049" w14:textId="23B986C5">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A key strength of my practice was applying person-centred communication strategies, including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eye contact, using simple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language</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following familiar routines. NICE (2021) highlights that consistency and familiarity reduce anxiety in people living with dementia. I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observed</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that adherence to the care plan positively influenced the patient’s emotional stability. I also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maintained</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confidentiality and safeguarding responsibilities in line with HCPC (2023) professional standards. However, partnership working presented challenges when communication between professionals and family members lacked clarity. Additionally, fluctuating capacity required careful adherence to the Mental Capacity Act 2005. Although I followed guidance from senior staff, I recognised the need to enhance my confidence in applying legal frameworks independently.</w:t>
      </w:r>
    </w:p>
    <w:p w:rsidR="2395C68B" w:rsidP="13C44286" w:rsidRDefault="2395C68B" w14:paraId="61AE2FE0" w14:textId="41BEDA5C">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Analysis  </w:t>
      </w:r>
    </w:p>
    <w:p w:rsidR="2395C68B" w:rsidP="13C44286" w:rsidRDefault="2395C68B" w14:paraId="557E869C" w14:textId="4E2381E3">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This experience confirmed that legislation and theory underpin safe practice. Person-centred care emphasises preserving dignity and recognising the individual beyond their diagnosis (NICE, 2021). Observing reduced anxiety when care aligned with the patient’s preferences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demonstrated</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the effectiveness of this approach. The Mental Capacity Act 2005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establishes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principles of presuming capacity and acting in best interests where capacity is impaired. Applying this legislation required balancing autonomy with safeguarding responsibilities. Ethical practice involves critical judgement and accountability, not only procedural compliance.</w:t>
      </w:r>
    </w:p>
    <w:p w:rsidR="2395C68B" w:rsidP="2B4D6270" w:rsidRDefault="2395C68B" w14:paraId="6128653F" w14:textId="20348FF1">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B4D6270" w:rsidR="62B2780C">
        <w:rPr>
          <w:rFonts w:ascii="Arial" w:hAnsi="Arial" w:eastAsia="Arial" w:cs="Arial"/>
          <w:b w:val="0"/>
          <w:bCs w:val="0"/>
          <w:i w:val="0"/>
          <w:iCs w:val="0"/>
          <w:caps w:val="0"/>
          <w:smallCaps w:val="0"/>
          <w:noProof w:val="0"/>
          <w:color w:val="000000" w:themeColor="text1" w:themeTint="FF" w:themeShade="FF"/>
          <w:sz w:val="22"/>
          <w:szCs w:val="22"/>
          <w:lang w:val="en-GB"/>
        </w:rPr>
        <w:t xml:space="preserve"> Partnership working reflects the integrated care principles </w:t>
      </w:r>
      <w:r w:rsidRPr="2B4D6270" w:rsidR="62B2780C">
        <w:rPr>
          <w:rFonts w:ascii="Arial" w:hAnsi="Arial" w:eastAsia="Arial" w:cs="Arial"/>
          <w:b w:val="0"/>
          <w:bCs w:val="0"/>
          <w:i w:val="0"/>
          <w:iCs w:val="0"/>
          <w:caps w:val="0"/>
          <w:smallCaps w:val="0"/>
          <w:noProof w:val="0"/>
          <w:color w:val="000000" w:themeColor="text1" w:themeTint="FF" w:themeShade="FF"/>
          <w:sz w:val="22"/>
          <w:szCs w:val="22"/>
          <w:lang w:val="en-GB"/>
        </w:rPr>
        <w:t>established</w:t>
      </w:r>
      <w:r w:rsidRPr="2B4D6270" w:rsidR="62B2780C">
        <w:rPr>
          <w:rFonts w:ascii="Arial" w:hAnsi="Arial" w:eastAsia="Arial" w:cs="Arial"/>
          <w:b w:val="0"/>
          <w:bCs w:val="0"/>
          <w:i w:val="0"/>
          <w:iCs w:val="0"/>
          <w:caps w:val="0"/>
          <w:smallCaps w:val="0"/>
          <w:noProof w:val="0"/>
          <w:color w:val="000000" w:themeColor="text1" w:themeTint="FF" w:themeShade="FF"/>
          <w:sz w:val="22"/>
          <w:szCs w:val="22"/>
          <w:lang w:val="en-GB"/>
        </w:rPr>
        <w:t xml:space="preserve"> in the Health and Care Act 2022 (Department of Health and Social Care, 2022). Effective multidisciplinary communication supports coordinated care and minimises risk. This experience highlighted the importance of developing confident professional communication skills to contribute effectively within teams.</w:t>
      </w:r>
    </w:p>
    <w:p w:rsidR="2395C68B" w:rsidP="2B4D6270" w:rsidRDefault="2395C68B" w14:paraId="06CD95D7" w14:textId="56D2721A">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395C68B" w:rsidP="2B4D6270" w:rsidRDefault="2395C68B" w14:paraId="4B75BA27" w14:textId="743EF35A">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395C68B" w:rsidP="2B4D6270" w:rsidRDefault="2395C68B" w14:paraId="14FDEAD9" w14:textId="46976209">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B4D6270" w:rsidR="62B2780C">
        <w:rPr>
          <w:rFonts w:ascii="Arial" w:hAnsi="Arial" w:eastAsia="Arial" w:cs="Arial"/>
          <w:b w:val="0"/>
          <w:bCs w:val="0"/>
          <w:i w:val="0"/>
          <w:iCs w:val="0"/>
          <w:caps w:val="0"/>
          <w:smallCaps w:val="0"/>
          <w:noProof w:val="0"/>
          <w:color w:val="000000" w:themeColor="text1" w:themeTint="FF" w:themeShade="FF"/>
          <w:sz w:val="22"/>
          <w:szCs w:val="22"/>
          <w:lang w:val="en-GB"/>
        </w:rPr>
        <w:t xml:space="preserve"> Action Plan</w:t>
      </w:r>
    </w:p>
    <w:p w:rsidR="2B4D6270" w:rsidP="2B4D6270" w:rsidRDefault="2B4D6270" w14:paraId="7F8F4CD0" w14:textId="11738A9E">
      <w:pPr>
        <w:pStyle w:val="NoSpacing"/>
        <w:spacing w:before="20" w:beforeAutospacing="off"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800"/>
        <w:gridCol w:w="1800"/>
        <w:gridCol w:w="1800"/>
        <w:gridCol w:w="3705"/>
      </w:tblGrid>
      <w:tr w:rsidR="13C44286" w:rsidTr="13C44286" w14:paraId="5B1CC599">
        <w:trPr>
          <w:trHeight w:val="300"/>
        </w:trPr>
        <w:tc>
          <w:tcPr>
            <w:tcW w:w="1800" w:type="dxa"/>
            <w:tcMar>
              <w:left w:w="105" w:type="dxa"/>
              <w:right w:w="105" w:type="dxa"/>
            </w:tcMar>
            <w:vAlign w:val="top"/>
          </w:tcPr>
          <w:p w:rsidR="13C44286" w:rsidP="13C44286" w:rsidRDefault="13C44286" w14:paraId="398F9C08" w14:textId="083F1549">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Development Need</w:t>
            </w:r>
          </w:p>
        </w:tc>
        <w:tc>
          <w:tcPr>
            <w:tcW w:w="1800" w:type="dxa"/>
            <w:tcMar>
              <w:left w:w="105" w:type="dxa"/>
              <w:right w:w="105" w:type="dxa"/>
            </w:tcMar>
            <w:vAlign w:val="top"/>
          </w:tcPr>
          <w:p w:rsidR="13C44286" w:rsidP="13C44286" w:rsidRDefault="13C44286" w14:paraId="1B8DCFB3" w14:textId="1340EA39">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Action Required</w:t>
            </w:r>
          </w:p>
          <w:p w:rsidR="13C44286" w:rsidP="13C44286" w:rsidRDefault="13C44286" w14:paraId="622A1B40" w14:textId="091F8B64">
            <w:pPr>
              <w:spacing w:before="20" w:beforeAutospacing="off" w:after="0" w:afterAutospacing="on" w:line="360" w:lineRule="auto"/>
              <w:rPr>
                <w:rFonts w:ascii="Arial" w:hAnsi="Arial" w:eastAsia="Arial" w:cs="Arial"/>
                <w:b w:val="0"/>
                <w:bCs w:val="0"/>
                <w:i w:val="0"/>
                <w:iCs w:val="0"/>
                <w:sz w:val="22"/>
                <w:szCs w:val="22"/>
              </w:rPr>
            </w:pPr>
          </w:p>
        </w:tc>
        <w:tc>
          <w:tcPr>
            <w:tcW w:w="1800" w:type="dxa"/>
            <w:tcMar>
              <w:left w:w="105" w:type="dxa"/>
              <w:right w:w="105" w:type="dxa"/>
            </w:tcMar>
            <w:vAlign w:val="top"/>
          </w:tcPr>
          <w:p w:rsidR="13C44286" w:rsidP="13C44286" w:rsidRDefault="13C44286" w14:paraId="0B3FF452" w14:textId="53D2674A">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Timeframe</w:t>
            </w:r>
          </w:p>
          <w:p w:rsidR="13C44286" w:rsidP="13C44286" w:rsidRDefault="13C44286" w14:paraId="61C3E190" w14:textId="0EB02B24">
            <w:pPr>
              <w:spacing w:before="20" w:beforeAutospacing="off" w:after="0" w:afterAutospacing="on" w:line="360" w:lineRule="auto"/>
              <w:rPr>
                <w:rFonts w:ascii="Arial" w:hAnsi="Arial" w:eastAsia="Arial" w:cs="Arial"/>
                <w:b w:val="0"/>
                <w:bCs w:val="0"/>
                <w:i w:val="0"/>
                <w:iCs w:val="0"/>
                <w:sz w:val="22"/>
                <w:szCs w:val="22"/>
              </w:rPr>
            </w:pPr>
          </w:p>
        </w:tc>
        <w:tc>
          <w:tcPr>
            <w:tcW w:w="3705" w:type="dxa"/>
            <w:tcMar>
              <w:left w:w="105" w:type="dxa"/>
              <w:right w:w="105" w:type="dxa"/>
            </w:tcMar>
            <w:vAlign w:val="top"/>
          </w:tcPr>
          <w:p w:rsidR="13C44286" w:rsidP="13C44286" w:rsidRDefault="13C44286" w14:paraId="0CD1249C" w14:textId="5F047EA8">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Evidence of Achievement</w:t>
            </w:r>
          </w:p>
        </w:tc>
      </w:tr>
      <w:tr w:rsidR="13C44286" w:rsidTr="13C44286" w14:paraId="570CFD4E">
        <w:trPr>
          <w:trHeight w:val="300"/>
        </w:trPr>
        <w:tc>
          <w:tcPr>
            <w:tcW w:w="1800" w:type="dxa"/>
            <w:tcMar>
              <w:left w:w="105" w:type="dxa"/>
              <w:right w:w="105" w:type="dxa"/>
            </w:tcMar>
            <w:vAlign w:val="top"/>
          </w:tcPr>
          <w:p w:rsidR="13C44286" w:rsidP="13C44286" w:rsidRDefault="13C44286" w14:paraId="6DCFCE28" w14:textId="31A503D2">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Improve knowledge of dementia care</w:t>
            </w:r>
          </w:p>
        </w:tc>
        <w:tc>
          <w:tcPr>
            <w:tcW w:w="1800" w:type="dxa"/>
            <w:tcMar>
              <w:left w:w="105" w:type="dxa"/>
              <w:right w:w="105" w:type="dxa"/>
            </w:tcMar>
            <w:vAlign w:val="top"/>
          </w:tcPr>
          <w:p w:rsidR="13C44286" w:rsidP="13C44286" w:rsidRDefault="13C44286" w14:paraId="17137404" w14:textId="01E29827">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Attend CPD training on dementia and person-centred approaches</w:t>
            </w:r>
          </w:p>
        </w:tc>
        <w:tc>
          <w:tcPr>
            <w:tcW w:w="1800" w:type="dxa"/>
            <w:tcMar>
              <w:left w:w="105" w:type="dxa"/>
              <w:right w:w="105" w:type="dxa"/>
            </w:tcMar>
            <w:vAlign w:val="top"/>
          </w:tcPr>
          <w:p w:rsidR="13C44286" w:rsidP="13C44286" w:rsidRDefault="13C44286" w14:paraId="020076FA" w14:textId="74AD9816">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Within 6 months</w:t>
            </w:r>
          </w:p>
        </w:tc>
        <w:tc>
          <w:tcPr>
            <w:tcW w:w="3705" w:type="dxa"/>
            <w:tcMar>
              <w:left w:w="105" w:type="dxa"/>
              <w:right w:w="105" w:type="dxa"/>
            </w:tcMar>
            <w:vAlign w:val="top"/>
          </w:tcPr>
          <w:p w:rsidR="13C44286" w:rsidP="13C44286" w:rsidRDefault="13C44286" w14:paraId="22B969AD" w14:textId="1553C78D">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CPD certificate</w:t>
            </w:r>
          </w:p>
        </w:tc>
      </w:tr>
      <w:tr w:rsidR="13C44286" w:rsidTr="13C44286" w14:paraId="652F8009">
        <w:trPr>
          <w:trHeight w:val="300"/>
        </w:trPr>
        <w:tc>
          <w:tcPr>
            <w:tcW w:w="1800" w:type="dxa"/>
            <w:tcMar>
              <w:left w:w="105" w:type="dxa"/>
              <w:right w:w="105" w:type="dxa"/>
            </w:tcMar>
            <w:vAlign w:val="top"/>
          </w:tcPr>
          <w:p w:rsidR="13C44286" w:rsidP="13C44286" w:rsidRDefault="13C44286" w14:paraId="6F91C66E" w14:textId="366A3165">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Develop confidence in MDT communication</w:t>
            </w:r>
          </w:p>
        </w:tc>
        <w:tc>
          <w:tcPr>
            <w:tcW w:w="1800" w:type="dxa"/>
            <w:tcMar>
              <w:left w:w="105" w:type="dxa"/>
              <w:right w:w="105" w:type="dxa"/>
            </w:tcMar>
            <w:vAlign w:val="top"/>
          </w:tcPr>
          <w:p w:rsidR="13C44286" w:rsidP="13C44286" w:rsidRDefault="13C44286" w14:paraId="1D54A10A" w14:textId="060EB118">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Observe and actively contribute to multidisciplinary meetings</w:t>
            </w:r>
          </w:p>
        </w:tc>
        <w:tc>
          <w:tcPr>
            <w:tcW w:w="1800" w:type="dxa"/>
            <w:tcMar>
              <w:left w:w="105" w:type="dxa"/>
              <w:right w:w="105" w:type="dxa"/>
            </w:tcMar>
            <w:vAlign w:val="top"/>
          </w:tcPr>
          <w:p w:rsidR="13C44286" w:rsidP="13C44286" w:rsidRDefault="13C44286" w14:paraId="6CBA6449" w14:textId="48845113">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Ongoing placement</w:t>
            </w:r>
          </w:p>
        </w:tc>
        <w:tc>
          <w:tcPr>
            <w:tcW w:w="3705" w:type="dxa"/>
            <w:tcMar>
              <w:left w:w="105" w:type="dxa"/>
              <w:right w:w="105" w:type="dxa"/>
            </w:tcMar>
            <w:vAlign w:val="top"/>
          </w:tcPr>
          <w:p w:rsidR="13C44286" w:rsidP="13C44286" w:rsidRDefault="13C44286" w14:paraId="5F9E59F2" w14:textId="1010071B">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Supervisor feedback</w:t>
            </w:r>
          </w:p>
        </w:tc>
      </w:tr>
      <w:tr w:rsidR="13C44286" w:rsidTr="13C44286" w14:paraId="4A990877">
        <w:trPr>
          <w:trHeight w:val="300"/>
        </w:trPr>
        <w:tc>
          <w:tcPr>
            <w:tcW w:w="1800" w:type="dxa"/>
            <w:tcMar>
              <w:left w:w="105" w:type="dxa"/>
              <w:right w:w="105" w:type="dxa"/>
            </w:tcMar>
            <w:vAlign w:val="top"/>
          </w:tcPr>
          <w:p w:rsidR="13C44286" w:rsidP="13C44286" w:rsidRDefault="13C44286" w14:paraId="7F66329F" w14:textId="51631F41">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Strengthen understanding of Mental Capacity Act 2005</w:t>
            </w:r>
          </w:p>
        </w:tc>
        <w:tc>
          <w:tcPr>
            <w:tcW w:w="1800" w:type="dxa"/>
            <w:tcMar>
              <w:left w:w="105" w:type="dxa"/>
              <w:right w:w="105" w:type="dxa"/>
            </w:tcMar>
            <w:vAlign w:val="top"/>
          </w:tcPr>
          <w:p w:rsidR="13C44286" w:rsidP="13C44286" w:rsidRDefault="13C44286" w14:paraId="1C9A4C4A" w14:textId="5A6E0B91">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Complete e-learning module and review case law examples</w:t>
            </w:r>
          </w:p>
        </w:tc>
        <w:tc>
          <w:tcPr>
            <w:tcW w:w="1800" w:type="dxa"/>
            <w:tcMar>
              <w:left w:w="105" w:type="dxa"/>
              <w:right w:w="105" w:type="dxa"/>
            </w:tcMar>
            <w:vAlign w:val="top"/>
          </w:tcPr>
          <w:p w:rsidR="13C44286" w:rsidP="13C44286" w:rsidRDefault="13C44286" w14:paraId="744943DB" w14:textId="4CB3228B">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3 months</w:t>
            </w:r>
          </w:p>
        </w:tc>
        <w:tc>
          <w:tcPr>
            <w:tcW w:w="3705" w:type="dxa"/>
            <w:tcMar>
              <w:left w:w="105" w:type="dxa"/>
              <w:right w:w="105" w:type="dxa"/>
            </w:tcMar>
            <w:vAlign w:val="top"/>
          </w:tcPr>
          <w:p w:rsidR="13C44286" w:rsidP="13C44286" w:rsidRDefault="13C44286" w14:paraId="1F3EF946" w14:textId="321ACC96">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Reflection log entry</w:t>
            </w:r>
          </w:p>
        </w:tc>
      </w:tr>
      <w:tr w:rsidR="13C44286" w:rsidTr="13C44286" w14:paraId="5FAE17F3">
        <w:trPr>
          <w:trHeight w:val="765"/>
        </w:trPr>
        <w:tc>
          <w:tcPr>
            <w:tcW w:w="1800" w:type="dxa"/>
            <w:tcMar>
              <w:left w:w="105" w:type="dxa"/>
              <w:right w:w="105" w:type="dxa"/>
            </w:tcMar>
            <w:vAlign w:val="top"/>
          </w:tcPr>
          <w:p w:rsidR="13C44286" w:rsidP="13C44286" w:rsidRDefault="13C44286" w14:paraId="0AC1A1CC" w14:textId="0DECFF95">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Enhance professional terminology</w:t>
            </w:r>
          </w:p>
        </w:tc>
        <w:tc>
          <w:tcPr>
            <w:tcW w:w="1800" w:type="dxa"/>
            <w:tcMar>
              <w:left w:w="105" w:type="dxa"/>
              <w:right w:w="105" w:type="dxa"/>
            </w:tcMar>
            <w:vAlign w:val="top"/>
          </w:tcPr>
          <w:p w:rsidR="13C44286" w:rsidP="13C44286" w:rsidRDefault="13C44286" w14:paraId="66A9A1FD" w14:textId="226AED93">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Practice reflective writing and seek academic feedback</w:t>
            </w:r>
          </w:p>
        </w:tc>
        <w:tc>
          <w:tcPr>
            <w:tcW w:w="1800" w:type="dxa"/>
            <w:tcMar>
              <w:left w:w="105" w:type="dxa"/>
              <w:right w:w="105" w:type="dxa"/>
            </w:tcMar>
            <w:vAlign w:val="top"/>
          </w:tcPr>
          <w:p w:rsidR="13C44286" w:rsidP="13C44286" w:rsidRDefault="13C44286" w14:paraId="248D946A" w14:textId="2A379B98">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Ongoing</w:t>
            </w:r>
          </w:p>
        </w:tc>
        <w:tc>
          <w:tcPr>
            <w:tcW w:w="3705" w:type="dxa"/>
            <w:tcMar>
              <w:left w:w="105" w:type="dxa"/>
              <w:right w:w="105" w:type="dxa"/>
            </w:tcMar>
            <w:vAlign w:val="top"/>
          </w:tcPr>
          <w:p w:rsidR="13C44286" w:rsidP="13C44286" w:rsidRDefault="13C44286" w14:paraId="6999DC52" w14:textId="476263DC">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Improved assignment grades</w:t>
            </w:r>
          </w:p>
        </w:tc>
      </w:tr>
    </w:tbl>
    <w:p w:rsidR="13C44286" w:rsidP="13C44286" w:rsidRDefault="13C44286" w14:paraId="6E6B4DB4" w14:textId="20DC827E">
      <w:pPr>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395C68B" w:rsidP="13C44286" w:rsidRDefault="2395C68B" w14:paraId="68093096" w14:textId="48FB1DD1">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To improve my practice, I plan to undertake CPD in dementia care,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observe</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multidisciplinary meetings, and continue developing my professional communication skills. These actions will support my growth as a health and social care practitioner and enhance the quality of care I provide and making sure that action plan will be fallow.</w:t>
      </w:r>
    </w:p>
    <w:p w:rsidR="13C44286" w:rsidP="13C44286" w:rsidRDefault="13C44286" w14:paraId="50282BC4" w14:textId="13B6E95D">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395C68B" w:rsidP="13C44286" w:rsidRDefault="2395C68B" w14:paraId="767623C6" w14:textId="04CDF729">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B4D6270" w:rsidR="62B2780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395C68B" w:rsidP="2B4D6270" w:rsidRDefault="2395C68B" w14:paraId="6511CB01" w14:textId="01542590">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395C68B" w:rsidP="2B4D6270" w:rsidRDefault="2395C68B" w14:paraId="69A9FAA9" w14:textId="737E1588">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395C68B" w:rsidP="2B4D6270" w:rsidRDefault="2395C68B" w14:paraId="3898EDC2" w14:textId="42DDE313">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B4D6270" w:rsidR="62B2780C">
        <w:rPr>
          <w:rFonts w:ascii="Arial" w:hAnsi="Arial" w:eastAsia="Arial" w:cs="Arial"/>
          <w:b w:val="0"/>
          <w:bCs w:val="0"/>
          <w:i w:val="0"/>
          <w:iCs w:val="0"/>
          <w:caps w:val="0"/>
          <w:smallCaps w:val="0"/>
          <w:noProof w:val="0"/>
          <w:color w:val="000000" w:themeColor="text1" w:themeTint="FF" w:themeShade="FF"/>
          <w:sz w:val="22"/>
          <w:szCs w:val="22"/>
          <w:lang w:val="en-GB"/>
        </w:rPr>
        <w:t xml:space="preserve">Conclusion </w:t>
      </w:r>
    </w:p>
    <w:p w:rsidR="2395C68B" w:rsidP="13C44286" w:rsidRDefault="2395C68B" w14:paraId="22028AB1" w14:textId="35B41B1F">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This report has critically examined the importance of person-centred care, partnership working, and ethical practice in health and social care. Through engagement with academic literature, theory, and legislation, the report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how these principles support quality care and professional development. The dementia case study illustrated their practical application, while self-reflection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strengths and areas for improvement. Overall, understanding and applying these principles is essential for delivering safe, effective, and compassionate care in line with UK policy and professional standards. Through this reflection, I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strengths in empathy, patience, and person-centred values. However, I also recognised the need to improve confidence in multidisciplinary communication and ethical decision-making. Supporting a patient with dementia highlighted the importance of balancing safety, dignity, and autonomy within protectional practice (Department of Health and Social Care,2014).</w:t>
      </w:r>
    </w:p>
    <w:p w:rsidR="13C44286" w:rsidP="13C44286" w:rsidRDefault="13C44286" w14:paraId="55F93CCE" w14:textId="5FDB148D">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75B9C9AC" w14:textId="7C3392E5">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654CF5F8" w14:textId="5B478335">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7BFEF1D9" w14:textId="1B464A82">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5E1BBB8A" w14:textId="6FC2211C">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49810512" w14:textId="0C35EC66">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1536C17F" w14:textId="6BC313CA">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2005F765" w14:textId="79DCB447">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08D619D6" w14:textId="19ADE754">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4C77BAA1" w14:textId="5D258A40">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1C5453D5" w14:textId="34E75F9A">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7DE18952" w14:textId="1A77A9AA">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4CC63C2C" w14:textId="0A671BBE">
      <w:pPr>
        <w:pStyle w:val="NoSpacing"/>
        <w:bidi w:val="0"/>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2B4D6270" w:rsidP="2B4D6270" w:rsidRDefault="2B4D6270" w14:paraId="672B0BC5" w14:textId="1BCFDBA7">
      <w:pPr>
        <w:pStyle w:val="NoSpacing"/>
        <w:bidi w:val="0"/>
        <w:spacing w:before="20" w:beforeAutospacing="off"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2B4D6270" w:rsidP="2B4D6270" w:rsidRDefault="2B4D6270" w14:paraId="6E939F44" w14:textId="22E94C45">
      <w:pPr>
        <w:pStyle w:val="NoSpacing"/>
        <w:bidi w:val="0"/>
        <w:spacing w:before="20" w:beforeAutospacing="off"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2B4D6270" w:rsidP="2B4D6270" w:rsidRDefault="2B4D6270" w14:paraId="7B0949C2" w14:textId="666E7CCD">
      <w:pPr>
        <w:pStyle w:val="NoSpacing"/>
        <w:bidi w:val="0"/>
        <w:spacing w:before="20" w:beforeAutospacing="off"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2B4D6270" w:rsidP="2B4D6270" w:rsidRDefault="2B4D6270" w14:paraId="0AC9B8D4" w14:textId="5F4C3058">
      <w:pPr>
        <w:pStyle w:val="NoSpacing"/>
        <w:bidi w:val="0"/>
        <w:spacing w:before="20" w:beforeAutospacing="off"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2B4D6270" w:rsidP="2B4D6270" w:rsidRDefault="2B4D6270" w14:paraId="30659C42" w14:textId="7FAA28DB">
      <w:pPr>
        <w:pStyle w:val="NoSpacing"/>
        <w:bidi w:val="0"/>
        <w:spacing w:before="20" w:beforeAutospacing="off"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2B4D6270" w:rsidP="2B4D6270" w:rsidRDefault="2B4D6270" w14:paraId="5A76B1D8" w14:textId="79593A7B">
      <w:pPr>
        <w:pStyle w:val="NoSpacing"/>
        <w:bidi w:val="0"/>
        <w:spacing w:before="20" w:beforeAutospacing="off"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3B5F70C" w:rsidP="13C44286" w:rsidRDefault="13B5F70C" w14:paraId="04874B6E" w14:textId="19ED1E91">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13B5F70C">
        <w:rPr>
          <w:rFonts w:ascii="Arial" w:hAnsi="Arial" w:eastAsia="Arial" w:cs="Arial"/>
          <w:b w:val="1"/>
          <w:bCs w:val="1"/>
          <w:i w:val="0"/>
          <w:iCs w:val="0"/>
          <w:caps w:val="0"/>
          <w:smallCaps w:val="0"/>
          <w:noProof w:val="0"/>
          <w:color w:val="000000" w:themeColor="text1" w:themeTint="FF" w:themeShade="FF"/>
          <w:sz w:val="22"/>
          <w:szCs w:val="22"/>
          <w:lang w:val="en-GB"/>
        </w:rPr>
        <w:t xml:space="preserve">Reference List; </w:t>
      </w:r>
    </w:p>
    <w:p w:rsidR="13B5F70C" w:rsidP="13C44286" w:rsidRDefault="13B5F70C" w14:paraId="276A372D" w14:textId="36D9BD45">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xml:space="preserve">Banks, S. (2021) Ethics and values in social work. 5th </w:t>
      </w: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edn</w:t>
      </w: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Bloomsbury Publishing.</w:t>
      </w:r>
    </w:p>
    <w:p w:rsidR="2B4D6270" w:rsidP="2B4D6270" w:rsidRDefault="2B4D6270" w14:paraId="74714951" w14:textId="60305320">
      <w:pPr>
        <w:pStyle w:val="NoSpacing"/>
        <w:bidi w:val="0"/>
        <w:spacing w:before="20" w:beforeAutospacing="off"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B5F70C" w:rsidP="13C44286" w:rsidRDefault="13B5F70C" w14:paraId="25AAB30B" w14:textId="71FA4BED">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xml:space="preserve">Beauchamp, T.L. and Childress, J.F. (2019) Principles of biomedical ethics. 8th </w:t>
      </w: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edn</w:t>
      </w: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Oxford University Press.</w:t>
      </w:r>
    </w:p>
    <w:p w:rsidR="2B4D6270" w:rsidP="2B4D6270" w:rsidRDefault="2B4D6270" w14:paraId="0CA89B24" w14:textId="1302F35B">
      <w:pPr>
        <w:pStyle w:val="NoSpacing"/>
        <w:bidi w:val="0"/>
        <w:spacing w:before="20" w:beforeAutospacing="off"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B5F70C" w:rsidP="13C44286" w:rsidRDefault="13B5F70C" w14:paraId="2ACC4259" w14:textId="0C7E3EFF">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xml:space="preserve"> Beresford, P., Croft, S. and Adshead, L. (2016) ‘“We </w:t>
      </w: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don’t</w:t>
      </w: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xml:space="preserve"> see her as a social worker”: A service user case study of the importance of the social worker’s relationship and humanity’, British Journal of Social Work, 46(4), pp. 1014–1034.</w:t>
      </w:r>
    </w:p>
    <w:p w:rsidR="2B4D6270" w:rsidP="2B4D6270" w:rsidRDefault="2B4D6270" w14:paraId="448FC65B" w14:textId="0E75E6D3">
      <w:pPr>
        <w:pStyle w:val="NoSpacing"/>
        <w:bidi w:val="0"/>
        <w:spacing w:before="20" w:beforeAutospacing="off"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B5F70C" w:rsidP="13C44286" w:rsidRDefault="13B5F70C" w14:paraId="25BC6D87" w14:textId="57F355D5">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xml:space="preserve"> Bronfenbrenner, U. (1979) The ecology of human development: Experiments by nature and design. Harvard University Press.</w:t>
      </w:r>
    </w:p>
    <w:p w:rsidR="2B4D6270" w:rsidP="2B4D6270" w:rsidRDefault="2B4D6270" w14:paraId="6127B576" w14:textId="0DE2112F">
      <w:pPr>
        <w:pStyle w:val="NoSpacing"/>
        <w:bidi w:val="0"/>
        <w:spacing w:before="20" w:beforeAutospacing="off"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B5F70C" w:rsidP="13C44286" w:rsidRDefault="13B5F70C" w14:paraId="021879B0" w14:textId="1700AD8A">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xml:space="preserve"> Department of Health and Social Care (2014) Care Act 2014. Available at: </w:t>
      </w:r>
      <w:hyperlink r:id="Rcd09a22185784c2b">
        <w:r w:rsidRPr="2B4D6270" w:rsidR="26BFE73D">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https://www.legislation.gov.uk/ukpga/2014/23/contents</w:t>
        </w:r>
      </w:hyperlink>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February 2026).</w:t>
      </w:r>
    </w:p>
    <w:p w:rsidR="2B4D6270" w:rsidP="2B4D6270" w:rsidRDefault="2B4D6270" w14:paraId="01A0FD29" w14:textId="28189735">
      <w:pPr>
        <w:pStyle w:val="NoSpacing"/>
        <w:bidi w:val="0"/>
        <w:spacing w:before="20" w:beforeAutospacing="off"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B5F70C" w:rsidP="13C44286" w:rsidRDefault="13B5F70C" w14:paraId="02227AE6" w14:textId="1156CA37">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xml:space="preserve"> Department of Health and Social Care (2022) Health and Care Act 2022. Available at: </w:t>
      </w:r>
      <w:hyperlink r:id="Rdbcceac63ac040b7">
        <w:r w:rsidRPr="2B4D6270" w:rsidR="26BFE73D">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https://www.legislation.gov.uk/ukpga/2022/31/contents</w:t>
        </w:r>
      </w:hyperlink>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February 2026).</w:t>
      </w:r>
    </w:p>
    <w:p w:rsidR="2B4D6270" w:rsidP="2B4D6270" w:rsidRDefault="2B4D6270" w14:paraId="4815192C" w14:textId="23007B1C">
      <w:pPr>
        <w:pStyle w:val="NoSpacing"/>
        <w:bidi w:val="0"/>
        <w:spacing w:before="20" w:beforeAutospacing="off"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B5F70C" w:rsidP="13C44286" w:rsidRDefault="13B5F70C" w14:paraId="162BAABC" w14:textId="24C6B201">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xml:space="preserve"> Glasby, J. and Dickinson, H. (2014) Partnership working in health and social care: What is integrated care and how can we deliver it? 2nd </w:t>
      </w: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edn</w:t>
      </w: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Policy Press.</w:t>
      </w:r>
    </w:p>
    <w:p w:rsidR="2B4D6270" w:rsidP="2B4D6270" w:rsidRDefault="2B4D6270" w14:paraId="11A9037F" w14:textId="51C75CFA">
      <w:pPr>
        <w:pStyle w:val="NoSpacing"/>
        <w:bidi w:val="0"/>
        <w:spacing w:before="20" w:beforeAutospacing="off"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B5F70C" w:rsidP="13C44286" w:rsidRDefault="13B5F70C" w14:paraId="4025BDB9" w14:textId="6EA5428F">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xml:space="preserve"> Health and Care Professions Council (2016) Standards of conduct, </w:t>
      </w: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performance</w:t>
      </w: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xml:space="preserve"> and ethics. Available at: </w:t>
      </w:r>
      <w:hyperlink r:id="Rf15d8e289e304f38">
        <w:r w:rsidRPr="2B4D6270" w:rsidR="26BFE73D">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https://www.hcpc-uk.org/standards/</w:t>
        </w:r>
      </w:hyperlink>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February 2026).</w:t>
      </w:r>
    </w:p>
    <w:p w:rsidR="2B4D6270" w:rsidP="2B4D6270" w:rsidRDefault="2B4D6270" w14:paraId="7A7DA816" w14:textId="7E3576DF">
      <w:pPr>
        <w:pStyle w:val="NoSpacing"/>
        <w:bidi w:val="0"/>
        <w:spacing w:before="20" w:beforeAutospacing="off"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B5F70C" w:rsidP="13C44286" w:rsidRDefault="13B5F70C" w14:paraId="22C86343" w14:textId="48BBD36E">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xml:space="preserve"> Health and Care Professions Council (2024) Standards of conduct, </w:t>
      </w: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performance</w:t>
      </w:r>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xml:space="preserve"> and ethics. Available at: </w:t>
      </w:r>
      <w:hyperlink r:id="R30e41c5e0f224ddf">
        <w:r w:rsidRPr="2B4D6270" w:rsidR="26BFE73D">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https://www.hcpc-uk.org/standards/</w:t>
        </w:r>
      </w:hyperlink>
      <w:r w:rsidRPr="2B4D6270" w:rsidR="26BFE73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February 2026).</w:t>
      </w:r>
    </w:p>
    <w:p w:rsidR="2B4D6270" w:rsidP="2B4D6270" w:rsidRDefault="2B4D6270" w14:paraId="175CBE9D" w14:textId="7C7129DA">
      <w:pPr>
        <w:pStyle w:val="NoSpacing"/>
        <w:bidi w:val="0"/>
        <w:spacing w:before="20" w:beforeAutospacing="off"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B5F70C" w:rsidP="13C44286" w:rsidRDefault="13B5F70C" w14:paraId="38F7941D" w14:textId="512A0D26">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 Maslow, A.H. (1943) ‘A theory of human motivation’, Psychological Review, 50(4), pp. 370–396.</w:t>
      </w:r>
    </w:p>
    <w:p w:rsidR="13C44286" w:rsidP="13C44286" w:rsidRDefault="13C44286" w14:paraId="73EF2ADE" w14:textId="3C35E93C">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35F73703" w14:textId="089D0CEC">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4552C942" w14:textId="06123381">
      <w:pPr>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66e0f0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15f9e3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BDE7CD"/>
    <w:rsid w:val="01448B11"/>
    <w:rsid w:val="01F4F041"/>
    <w:rsid w:val="045B0C91"/>
    <w:rsid w:val="0625B288"/>
    <w:rsid w:val="08BF4298"/>
    <w:rsid w:val="0975B0F1"/>
    <w:rsid w:val="09E70435"/>
    <w:rsid w:val="0BBDE7CD"/>
    <w:rsid w:val="0CC3A6D4"/>
    <w:rsid w:val="0EFA5166"/>
    <w:rsid w:val="125BABA4"/>
    <w:rsid w:val="133365FF"/>
    <w:rsid w:val="13B5F70C"/>
    <w:rsid w:val="13C44286"/>
    <w:rsid w:val="1483DF20"/>
    <w:rsid w:val="1617C1B5"/>
    <w:rsid w:val="17A631D8"/>
    <w:rsid w:val="18778677"/>
    <w:rsid w:val="191F5C95"/>
    <w:rsid w:val="233253B9"/>
    <w:rsid w:val="233611BA"/>
    <w:rsid w:val="237C3C16"/>
    <w:rsid w:val="2395C68B"/>
    <w:rsid w:val="24D05885"/>
    <w:rsid w:val="25EC37E2"/>
    <w:rsid w:val="26BFE73D"/>
    <w:rsid w:val="28C39C82"/>
    <w:rsid w:val="2B4D6270"/>
    <w:rsid w:val="2CF21299"/>
    <w:rsid w:val="2E42AEB4"/>
    <w:rsid w:val="30B2C940"/>
    <w:rsid w:val="32DA1DC9"/>
    <w:rsid w:val="33B6D18B"/>
    <w:rsid w:val="33FF9D60"/>
    <w:rsid w:val="34F98270"/>
    <w:rsid w:val="34F98270"/>
    <w:rsid w:val="3704772A"/>
    <w:rsid w:val="389367B5"/>
    <w:rsid w:val="392C82CA"/>
    <w:rsid w:val="3DDE4516"/>
    <w:rsid w:val="3DEFABCF"/>
    <w:rsid w:val="4182CF21"/>
    <w:rsid w:val="431C28CC"/>
    <w:rsid w:val="4B93EC72"/>
    <w:rsid w:val="4BBE07EA"/>
    <w:rsid w:val="4CC89321"/>
    <w:rsid w:val="4DCD4A67"/>
    <w:rsid w:val="4DCD4A67"/>
    <w:rsid w:val="4FE4E422"/>
    <w:rsid w:val="5134AE8E"/>
    <w:rsid w:val="5642D1F9"/>
    <w:rsid w:val="5642D1F9"/>
    <w:rsid w:val="56436BA5"/>
    <w:rsid w:val="5727DDDA"/>
    <w:rsid w:val="59A01682"/>
    <w:rsid w:val="5A1B0BA5"/>
    <w:rsid w:val="5AF579A3"/>
    <w:rsid w:val="5E4C8AA7"/>
    <w:rsid w:val="5F385B24"/>
    <w:rsid w:val="5F916370"/>
    <w:rsid w:val="60E2D3D6"/>
    <w:rsid w:val="62B2780C"/>
    <w:rsid w:val="668A8972"/>
    <w:rsid w:val="67E1839F"/>
    <w:rsid w:val="67E66AD6"/>
    <w:rsid w:val="6BDBB625"/>
    <w:rsid w:val="6BF23186"/>
    <w:rsid w:val="7123E548"/>
    <w:rsid w:val="73D1F58C"/>
    <w:rsid w:val="779D8DFD"/>
    <w:rsid w:val="793FC558"/>
    <w:rsid w:val="7A1B32D0"/>
    <w:rsid w:val="7B469766"/>
    <w:rsid w:val="7B97E253"/>
    <w:rsid w:val="7CE201BF"/>
    <w:rsid w:val="7DCFBD9F"/>
    <w:rsid w:val="7ECCA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C6559"/>
  <w15:chartTrackingRefBased/>
  <w15:docId w15:val="{600DD091-CF21-45E5-B4E5-4594C1B4F3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uiPriority w:val="1"/>
    <w:name w:val="No Spacing"/>
    <w:qFormat/>
    <w:rsid w:val="13C44286"/>
    <w:pPr>
      <w:spacing w:after="0"/>
    </w:pPr>
  </w:style>
  <w:style w:type="character" w:styleId="Hyperlink">
    <w:uiPriority w:val="99"/>
    <w:name w:val="Hyperlink"/>
    <w:basedOn w:val="DefaultParagraphFont"/>
    <w:unhideWhenUsed/>
    <w:rsid w:val="13C44286"/>
    <w:rPr>
      <w:color w:val="467886"/>
      <w:u w:val="single"/>
    </w:rPr>
  </w:style>
  <w:style w:type="paragraph" w:styleId="ListParagraph">
    <w:uiPriority w:val="34"/>
    <w:name w:val="List Paragraph"/>
    <w:basedOn w:val="Normal"/>
    <w:qFormat/>
    <w:rsid w:val="13C44286"/>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10ec52213e34020" /><Relationship Type="http://schemas.openxmlformats.org/officeDocument/2006/relationships/hyperlink" Target="https://www.legislation.gov.uk/ukpga/2014/23/contents" TargetMode="External" Id="Rcd09a22185784c2b" /><Relationship Type="http://schemas.openxmlformats.org/officeDocument/2006/relationships/hyperlink" Target="https://www.legislation.gov.uk/ukpga/2022/31/contents" TargetMode="External" Id="Rdbcceac63ac040b7" /><Relationship Type="http://schemas.openxmlformats.org/officeDocument/2006/relationships/hyperlink" Target="https://www.hcpc-uk.org/standards/" TargetMode="External" Id="Rf15d8e289e304f38" /><Relationship Type="http://schemas.openxmlformats.org/officeDocument/2006/relationships/hyperlink" Target="https://www.hcpc-uk.org/standards/" TargetMode="External" Id="R30e41c5e0f224dd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Gloria Margarita Ramos Agramonte (2426859)</dc:creator>
  <keywords/>
  <dc:description/>
  <lastModifiedBy>Gloria Margarita Ramos Agramonte (2426859)</lastModifiedBy>
  <revision>3</revision>
  <dcterms:created xsi:type="dcterms:W3CDTF">2026-02-21T15:48:42.2049850Z</dcterms:created>
  <dcterms:modified xsi:type="dcterms:W3CDTF">2026-03-01T08:31:50.7630665Z</dcterms:modified>
</coreProperties>
</file>