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4BD2" w:rsidRDefault="00674BD2" w:rsidP="00983B40">
      <w:pPr>
        <w:spacing w:line="480" w:lineRule="auto"/>
        <w:jc w:val="center"/>
        <w:rPr>
          <w:rFonts w:ascii="Times New Roman" w:hAnsi="Times New Roman" w:cs="Times New Roman"/>
          <w:b/>
          <w:sz w:val="24"/>
          <w:szCs w:val="24"/>
        </w:rPr>
      </w:pPr>
    </w:p>
    <w:p w:rsidR="00674BD2" w:rsidRDefault="00674BD2" w:rsidP="00983B40">
      <w:pPr>
        <w:spacing w:line="480" w:lineRule="auto"/>
        <w:jc w:val="center"/>
        <w:rPr>
          <w:rFonts w:ascii="Times New Roman" w:hAnsi="Times New Roman" w:cs="Times New Roman"/>
          <w:b/>
          <w:sz w:val="24"/>
          <w:szCs w:val="24"/>
        </w:rPr>
      </w:pPr>
    </w:p>
    <w:p w:rsidR="00674BD2" w:rsidRDefault="00674BD2" w:rsidP="00674BD2">
      <w:r>
        <w:rPr>
          <w:noProof/>
        </w:rPr>
        <w:drawing>
          <wp:inline distT="0" distB="0" distL="0" distR="0" wp14:anchorId="2A63F842" wp14:editId="5837CCF9">
            <wp:extent cx="2882902" cy="1447796"/>
            <wp:effectExtent l="0" t="0" r="0" b="4"/>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882902" cy="1447796"/>
                    </a:xfrm>
                    <a:prstGeom prst="rect">
                      <a:avLst/>
                    </a:prstGeom>
                    <a:noFill/>
                    <a:ln>
                      <a:noFill/>
                      <a:prstDash/>
                    </a:ln>
                  </pic:spPr>
                </pic:pic>
              </a:graphicData>
            </a:graphic>
          </wp:inline>
        </w:drawing>
      </w:r>
    </w:p>
    <w:p w:rsidR="00674BD2" w:rsidRDefault="00674BD2" w:rsidP="00674BD2">
      <w:pPr>
        <w:spacing w:line="480" w:lineRule="auto"/>
        <w:jc w:val="center"/>
        <w:rPr>
          <w:rFonts w:ascii="Times New Roman" w:hAnsi="Times New Roman" w:cs="Times New Roman"/>
          <w:b/>
          <w:sz w:val="24"/>
          <w:szCs w:val="24"/>
        </w:rPr>
      </w:pPr>
    </w:p>
    <w:p w:rsidR="00674BD2" w:rsidRDefault="00674BD2" w:rsidP="00674BD2">
      <w:pPr>
        <w:spacing w:line="480" w:lineRule="auto"/>
        <w:jc w:val="center"/>
        <w:rPr>
          <w:rFonts w:ascii="Times New Roman" w:hAnsi="Times New Roman" w:cs="Times New Roman"/>
          <w:b/>
          <w:sz w:val="24"/>
          <w:szCs w:val="24"/>
        </w:rPr>
      </w:pPr>
      <w:r w:rsidRPr="00CF1A38">
        <w:rPr>
          <w:rFonts w:ascii="Times New Roman" w:hAnsi="Times New Roman" w:cs="Times New Roman"/>
          <w:b/>
          <w:sz w:val="24"/>
          <w:szCs w:val="24"/>
        </w:rPr>
        <w:t xml:space="preserve">EFFECTIVE EMPLOYEE ENGAGEMENT STRATEGY IN THE </w:t>
      </w:r>
      <w:r w:rsidRPr="00CF1A38">
        <w:rPr>
          <w:rFonts w:ascii="Times New Roman" w:hAnsi="Times New Roman" w:cs="Times New Roman"/>
          <w:b/>
          <w:sz w:val="24"/>
          <w:szCs w:val="24"/>
          <w:lang w:val="en-US"/>
        </w:rPr>
        <w:t xml:space="preserve">BANKING </w:t>
      </w:r>
      <w:r w:rsidRPr="00CF1A38">
        <w:rPr>
          <w:rFonts w:ascii="Times New Roman" w:hAnsi="Times New Roman" w:cs="Times New Roman"/>
          <w:b/>
          <w:sz w:val="24"/>
          <w:szCs w:val="24"/>
        </w:rPr>
        <w:t>INDUSTRY</w:t>
      </w:r>
    </w:p>
    <w:p w:rsidR="00674BD2" w:rsidRDefault="00674BD2" w:rsidP="00674BD2">
      <w:pPr>
        <w:spacing w:line="360" w:lineRule="auto"/>
        <w:jc w:val="both"/>
      </w:pPr>
    </w:p>
    <w:p w:rsidR="00674BD2" w:rsidRDefault="00674BD2" w:rsidP="00674BD2">
      <w:pPr>
        <w:spacing w:line="360" w:lineRule="auto"/>
        <w:jc w:val="both"/>
        <w:rPr>
          <w:b/>
          <w:bCs/>
          <w:sz w:val="32"/>
          <w:szCs w:val="32"/>
        </w:rPr>
      </w:pPr>
    </w:p>
    <w:p w:rsidR="00674BD2" w:rsidRDefault="00674BD2" w:rsidP="00674BD2">
      <w:pPr>
        <w:spacing w:line="360" w:lineRule="auto"/>
        <w:jc w:val="both"/>
        <w:rPr>
          <w:rFonts w:ascii="Arial" w:hAnsi="Arial" w:cs="Arial"/>
          <w:sz w:val="24"/>
          <w:szCs w:val="24"/>
        </w:rPr>
      </w:pPr>
      <w:r>
        <w:rPr>
          <w:rFonts w:ascii="Arial" w:hAnsi="Arial" w:cs="Arial"/>
          <w:sz w:val="24"/>
          <w:szCs w:val="24"/>
        </w:rPr>
        <w:t>Name: Isaac Hammond</w:t>
      </w:r>
    </w:p>
    <w:p w:rsidR="00674BD2" w:rsidRDefault="00674BD2" w:rsidP="00674BD2">
      <w:pPr>
        <w:spacing w:line="360" w:lineRule="auto"/>
        <w:jc w:val="both"/>
      </w:pPr>
      <w:r>
        <w:rPr>
          <w:rFonts w:ascii="Arial" w:hAnsi="Arial" w:cs="Arial"/>
          <w:sz w:val="24"/>
          <w:szCs w:val="24"/>
        </w:rPr>
        <w:t>Student ID:</w:t>
      </w:r>
      <w:r>
        <w:rPr>
          <w:rFonts w:ascii="Source Sans Pro" w:hAnsi="Source Sans Pro"/>
          <w:color w:val="242130"/>
          <w:sz w:val="21"/>
          <w:szCs w:val="21"/>
          <w:shd w:val="clear" w:color="auto" w:fill="FFFFFF"/>
        </w:rPr>
        <w:t xml:space="preserve"> </w:t>
      </w:r>
      <w:r>
        <w:rPr>
          <w:rFonts w:ascii="Arial" w:hAnsi="Arial" w:cs="Arial"/>
          <w:color w:val="242130"/>
          <w:sz w:val="24"/>
          <w:szCs w:val="24"/>
          <w:shd w:val="clear" w:color="auto" w:fill="FFFFFF"/>
        </w:rPr>
        <w:t>2246334</w:t>
      </w:r>
    </w:p>
    <w:p w:rsidR="00674BD2" w:rsidRDefault="00674BD2" w:rsidP="00674BD2">
      <w:pPr>
        <w:spacing w:line="360" w:lineRule="auto"/>
        <w:jc w:val="both"/>
        <w:rPr>
          <w:rFonts w:ascii="Arial" w:hAnsi="Arial" w:cs="Arial"/>
          <w:sz w:val="24"/>
          <w:szCs w:val="24"/>
        </w:rPr>
      </w:pPr>
      <w:r>
        <w:rPr>
          <w:rFonts w:ascii="Arial" w:hAnsi="Arial" w:cs="Arial"/>
          <w:sz w:val="24"/>
          <w:szCs w:val="24"/>
        </w:rPr>
        <w:t xml:space="preserve">Module: </w:t>
      </w:r>
      <w:r>
        <w:rPr>
          <w:rFonts w:ascii="Arial" w:hAnsi="Arial" w:cs="Arial"/>
          <w:sz w:val="24"/>
          <w:szCs w:val="24"/>
        </w:rPr>
        <w:t xml:space="preserve">Human Resources Management </w:t>
      </w:r>
    </w:p>
    <w:p w:rsidR="00674BD2" w:rsidRPr="00674BD2" w:rsidRDefault="00674BD2" w:rsidP="00674BD2">
      <w:pPr>
        <w:pStyle w:val="breadcrumb-item"/>
        <w:rPr>
          <w:rFonts w:ascii="Segoe UI" w:hAnsi="Segoe UI" w:cs="Segoe UI"/>
          <w:color w:val="373A3C"/>
          <w:sz w:val="23"/>
          <w:szCs w:val="23"/>
        </w:rPr>
      </w:pPr>
      <w:r>
        <w:rPr>
          <w:rFonts w:ascii="Arial" w:hAnsi="Arial" w:cs="Arial"/>
        </w:rPr>
        <w:t xml:space="preserve">Module Code: </w:t>
      </w:r>
      <w:hyperlink r:id="rId9" w:tooltip="Human Resource Management (LCMB7000)" w:history="1">
        <w:r w:rsidRPr="00674BD2">
          <w:rPr>
            <w:rStyle w:val="Hyperlink"/>
            <w:rFonts w:ascii="Segoe UI" w:hAnsi="Segoe UI" w:cs="Segoe UI"/>
            <w:color w:val="212529"/>
            <w:sz w:val="23"/>
            <w:szCs w:val="23"/>
            <w:u w:val="none"/>
          </w:rPr>
          <w:t>LCMB7000</w:t>
        </w:r>
      </w:hyperlink>
    </w:p>
    <w:p w:rsidR="00674BD2" w:rsidRDefault="00674BD2" w:rsidP="00674BD2">
      <w:pPr>
        <w:spacing w:line="360" w:lineRule="auto"/>
        <w:jc w:val="both"/>
        <w:rPr>
          <w:rFonts w:ascii="Arial" w:hAnsi="Arial" w:cs="Arial"/>
          <w:sz w:val="24"/>
          <w:szCs w:val="24"/>
        </w:rPr>
      </w:pPr>
      <w:r>
        <w:rPr>
          <w:rFonts w:ascii="Arial" w:hAnsi="Arial" w:cs="Arial"/>
          <w:sz w:val="24"/>
          <w:szCs w:val="24"/>
        </w:rPr>
        <w:t xml:space="preserve">Lecturer: </w:t>
      </w:r>
      <w:r w:rsidRPr="00674BD2">
        <w:rPr>
          <w:rFonts w:ascii="Arial" w:hAnsi="Arial" w:cs="Arial"/>
          <w:color w:val="424242"/>
          <w:sz w:val="24"/>
          <w:szCs w:val="42"/>
          <w:shd w:val="clear" w:color="auto" w:fill="FFFFFF"/>
        </w:rPr>
        <w:t xml:space="preserve">Gladius David </w:t>
      </w:r>
      <w:proofErr w:type="spellStart"/>
      <w:r w:rsidRPr="00674BD2">
        <w:rPr>
          <w:rFonts w:ascii="Arial" w:hAnsi="Arial" w:cs="Arial"/>
          <w:color w:val="424242"/>
          <w:sz w:val="24"/>
          <w:szCs w:val="42"/>
          <w:shd w:val="clear" w:color="auto" w:fill="FFFFFF"/>
        </w:rPr>
        <w:t>Kulothungan</w:t>
      </w:r>
      <w:proofErr w:type="spellEnd"/>
    </w:p>
    <w:p w:rsidR="00674BD2" w:rsidRDefault="00674BD2" w:rsidP="00674BD2">
      <w:pPr>
        <w:spacing w:line="360" w:lineRule="auto"/>
        <w:jc w:val="both"/>
        <w:rPr>
          <w:rFonts w:ascii="Arial" w:hAnsi="Arial" w:cs="Arial"/>
          <w:sz w:val="24"/>
          <w:szCs w:val="24"/>
        </w:rPr>
      </w:pPr>
    </w:p>
    <w:p w:rsidR="00674BD2" w:rsidRDefault="00674BD2" w:rsidP="00674BD2">
      <w:pPr>
        <w:spacing w:line="360" w:lineRule="auto"/>
        <w:jc w:val="both"/>
        <w:rPr>
          <w:rFonts w:ascii="Arial" w:hAnsi="Arial" w:cs="Arial"/>
          <w:sz w:val="24"/>
          <w:szCs w:val="24"/>
        </w:rPr>
      </w:pPr>
    </w:p>
    <w:p w:rsidR="00674BD2" w:rsidRDefault="00674BD2" w:rsidP="00674BD2">
      <w:pPr>
        <w:spacing w:line="360" w:lineRule="auto"/>
        <w:jc w:val="both"/>
        <w:rPr>
          <w:rFonts w:ascii="Arial" w:hAnsi="Arial" w:cs="Arial"/>
          <w:sz w:val="24"/>
          <w:szCs w:val="24"/>
        </w:rPr>
      </w:pPr>
    </w:p>
    <w:p w:rsidR="00674BD2" w:rsidRDefault="00674BD2" w:rsidP="00674BD2">
      <w:pPr>
        <w:spacing w:line="360" w:lineRule="auto"/>
        <w:jc w:val="both"/>
        <w:rPr>
          <w:rFonts w:ascii="Arial" w:hAnsi="Arial" w:cs="Arial"/>
          <w:sz w:val="24"/>
          <w:szCs w:val="24"/>
        </w:rPr>
      </w:pPr>
    </w:p>
    <w:p w:rsidR="00674BD2" w:rsidRDefault="00674BD2" w:rsidP="00674BD2">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Submitted on:</w:t>
      </w:r>
      <w:r>
        <w:rPr>
          <w:rFonts w:ascii="Arial" w:hAnsi="Arial" w:cs="Arial"/>
          <w:sz w:val="24"/>
          <w:szCs w:val="24"/>
        </w:rPr>
        <w:t xml:space="preserve"> 18 August 2023</w:t>
      </w:r>
    </w:p>
    <w:p w:rsidR="00AB37A9" w:rsidRDefault="00AB37A9" w:rsidP="00674BD2">
      <w:pPr>
        <w:spacing w:line="480" w:lineRule="auto"/>
        <w:rPr>
          <w:rFonts w:ascii="Times New Roman" w:hAnsi="Times New Roman" w:cs="Times New Roman"/>
          <w:b/>
          <w:sz w:val="24"/>
          <w:szCs w:val="24"/>
        </w:rPr>
      </w:pPr>
      <w:bookmarkStart w:id="0" w:name="_GoBack"/>
      <w:bookmarkEnd w:id="0"/>
    </w:p>
    <w:sdt>
      <w:sdtPr>
        <w:rPr>
          <w:rFonts w:ascii="Times New Roman" w:eastAsiaTheme="minorHAnsi" w:hAnsi="Times New Roman" w:cs="Times New Roman"/>
          <w:color w:val="000000" w:themeColor="text1"/>
          <w:sz w:val="24"/>
          <w:szCs w:val="24"/>
          <w:lang w:val="en-GB"/>
        </w:rPr>
        <w:id w:val="337430103"/>
        <w:docPartObj>
          <w:docPartGallery w:val="Table of Contents"/>
          <w:docPartUnique/>
        </w:docPartObj>
      </w:sdtPr>
      <w:sdtEndPr>
        <w:rPr>
          <w:bCs/>
          <w:noProof/>
        </w:rPr>
      </w:sdtEndPr>
      <w:sdtContent>
        <w:p w:rsidR="00AB37A9" w:rsidRPr="00044FFA" w:rsidRDefault="00AB37A9" w:rsidP="00AB37A9">
          <w:pPr>
            <w:pStyle w:val="TOCHeading"/>
            <w:spacing w:line="480" w:lineRule="auto"/>
            <w:jc w:val="center"/>
            <w:rPr>
              <w:rFonts w:ascii="Times New Roman" w:hAnsi="Times New Roman" w:cs="Times New Roman"/>
              <w:b/>
              <w:color w:val="000000" w:themeColor="text1"/>
              <w:sz w:val="24"/>
              <w:szCs w:val="24"/>
            </w:rPr>
          </w:pPr>
          <w:r w:rsidRPr="00044FFA">
            <w:rPr>
              <w:rFonts w:ascii="Times New Roman" w:hAnsi="Times New Roman" w:cs="Times New Roman"/>
              <w:b/>
              <w:color w:val="000000" w:themeColor="text1"/>
              <w:sz w:val="24"/>
              <w:szCs w:val="24"/>
            </w:rPr>
            <w:t>Contents</w:t>
          </w:r>
        </w:p>
        <w:p w:rsidR="00044FFA" w:rsidRPr="00044FFA" w:rsidRDefault="00AB37A9">
          <w:pPr>
            <w:pStyle w:val="TOC1"/>
            <w:tabs>
              <w:tab w:val="right" w:leader="dot" w:pos="9016"/>
            </w:tabs>
            <w:rPr>
              <w:rFonts w:ascii="Times New Roman" w:eastAsiaTheme="minorEastAsia" w:hAnsi="Times New Roman" w:cs="Times New Roman"/>
              <w:noProof/>
              <w:sz w:val="24"/>
              <w:szCs w:val="24"/>
              <w:lang w:eastAsia="en-GB"/>
            </w:rPr>
          </w:pPr>
          <w:r w:rsidRPr="00044FFA">
            <w:rPr>
              <w:rFonts w:ascii="Times New Roman" w:hAnsi="Times New Roman" w:cs="Times New Roman"/>
              <w:color w:val="000000" w:themeColor="text1"/>
              <w:sz w:val="24"/>
              <w:szCs w:val="24"/>
            </w:rPr>
            <w:fldChar w:fldCharType="begin"/>
          </w:r>
          <w:r w:rsidRPr="00044FFA">
            <w:rPr>
              <w:rFonts w:ascii="Times New Roman" w:hAnsi="Times New Roman" w:cs="Times New Roman"/>
              <w:color w:val="000000" w:themeColor="text1"/>
              <w:sz w:val="24"/>
              <w:szCs w:val="24"/>
            </w:rPr>
            <w:instrText xml:space="preserve"> TOC \o "1-3" \h \z \u </w:instrText>
          </w:r>
          <w:r w:rsidRPr="00044FFA">
            <w:rPr>
              <w:rFonts w:ascii="Times New Roman" w:hAnsi="Times New Roman" w:cs="Times New Roman"/>
              <w:color w:val="000000" w:themeColor="text1"/>
              <w:sz w:val="24"/>
              <w:szCs w:val="24"/>
            </w:rPr>
            <w:fldChar w:fldCharType="separate"/>
          </w:r>
          <w:hyperlink w:anchor="_Toc142290300" w:history="1">
            <w:r w:rsidR="00044FFA" w:rsidRPr="00044FFA">
              <w:rPr>
                <w:rStyle w:val="Hyperlink"/>
                <w:rFonts w:ascii="Times New Roman" w:hAnsi="Times New Roman" w:cs="Times New Roman"/>
                <w:noProof/>
                <w:sz w:val="24"/>
                <w:szCs w:val="24"/>
              </w:rPr>
              <w:t>1. Introduction</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_Toc142290300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3</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1"/>
            <w:tabs>
              <w:tab w:val="right" w:leader="dot" w:pos="9016"/>
            </w:tabs>
            <w:rPr>
              <w:rFonts w:ascii="Times New Roman" w:eastAsiaTheme="minorEastAsia" w:hAnsi="Times New Roman" w:cs="Times New Roman"/>
              <w:noProof/>
              <w:sz w:val="24"/>
              <w:szCs w:val="24"/>
              <w:lang w:eastAsia="en-GB"/>
            </w:rPr>
          </w:pPr>
          <w:hyperlink w:anchor="_Toc142290301" w:history="1">
            <w:r w:rsidR="00044FFA" w:rsidRPr="00044FFA">
              <w:rPr>
                <w:rStyle w:val="Hyperlink"/>
                <w:rFonts w:ascii="Times New Roman" w:hAnsi="Times New Roman" w:cs="Times New Roman"/>
                <w:noProof/>
                <w:sz w:val="24"/>
                <w:szCs w:val="24"/>
              </w:rPr>
              <w:t>2. Key Concepts and Theories of Employee Engagement</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_Toc142290301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3</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1"/>
            <w:tabs>
              <w:tab w:val="right" w:leader="dot" w:pos="9016"/>
            </w:tabs>
            <w:rPr>
              <w:rFonts w:ascii="Times New Roman" w:eastAsiaTheme="minorEastAsia" w:hAnsi="Times New Roman" w:cs="Times New Roman"/>
              <w:noProof/>
              <w:sz w:val="24"/>
              <w:szCs w:val="24"/>
              <w:lang w:eastAsia="en-GB"/>
            </w:rPr>
          </w:pPr>
          <w:hyperlink w:anchor="_Toc142290302" w:history="1">
            <w:r w:rsidR="00044FFA" w:rsidRPr="00044FFA">
              <w:rPr>
                <w:rStyle w:val="Hyperlink"/>
                <w:rFonts w:ascii="Times New Roman" w:hAnsi="Times New Roman" w:cs="Times New Roman"/>
                <w:noProof/>
                <w:sz w:val="24"/>
                <w:szCs w:val="24"/>
              </w:rPr>
              <w:t>3. Strategies for an Effective Employee Engagement in the Banking Industry</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_Toc142290302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4</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2"/>
            <w:tabs>
              <w:tab w:val="right" w:leader="dot" w:pos="9016"/>
            </w:tabs>
            <w:rPr>
              <w:rFonts w:ascii="Times New Roman" w:eastAsiaTheme="minorEastAsia" w:hAnsi="Times New Roman" w:cs="Times New Roman"/>
              <w:noProof/>
              <w:sz w:val="24"/>
              <w:szCs w:val="24"/>
              <w:lang w:eastAsia="en-GB"/>
            </w:rPr>
          </w:pPr>
          <w:hyperlink w:anchor="_Toc142290303" w:history="1">
            <w:r w:rsidR="00044FFA" w:rsidRPr="00044FFA">
              <w:rPr>
                <w:rStyle w:val="Hyperlink"/>
                <w:rFonts w:ascii="Times New Roman" w:hAnsi="Times New Roman" w:cs="Times New Roman"/>
                <w:noProof/>
                <w:sz w:val="24"/>
                <w:szCs w:val="24"/>
              </w:rPr>
              <w:t>3.1 Leadership Development Program</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_Toc142290303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4</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04" w:history="1">
            <w:r w:rsidR="00044FFA" w:rsidRPr="00044FFA">
              <w:rPr>
                <w:rStyle w:val="Hyperlink"/>
                <w:rFonts w:ascii="Times New Roman" w:hAnsi="Times New Roman" w:cs="Times New Roman"/>
                <w:bCs/>
                <w:noProof/>
                <w:sz w:val="24"/>
                <w:szCs w:val="24"/>
              </w:rPr>
              <w:t>2.1.1 Leadership Drive-Engagement</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_Toc142290304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4</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05" w:history="1">
            <w:r w:rsidR="00044FFA" w:rsidRPr="00044FFA">
              <w:rPr>
                <w:rStyle w:val="Hyperlink"/>
                <w:rFonts w:ascii="Times New Roman" w:hAnsi="Times New Roman" w:cs="Times New Roman"/>
                <w:bCs/>
                <w:noProof/>
                <w:sz w:val="24"/>
                <w:szCs w:val="24"/>
              </w:rPr>
              <w:t>2.1.2 Development Opportunity Engagement</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_Toc142290305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5</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06" w:history="1">
            <w:r w:rsidR="00044FFA" w:rsidRPr="00044FFA">
              <w:rPr>
                <w:rStyle w:val="Hyperlink"/>
                <w:rFonts w:ascii="Times New Roman" w:hAnsi="Times New Roman" w:cs="Times New Roman"/>
                <w:bCs/>
                <w:noProof/>
                <w:sz w:val="24"/>
                <w:szCs w:val="24"/>
              </w:rPr>
              <w:t>2.1.3 Skill Enhancement and Confidence</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_Toc142290306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5</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07" w:history="1">
            <w:r w:rsidR="00044FFA" w:rsidRPr="00044FFA">
              <w:rPr>
                <w:rStyle w:val="Hyperlink"/>
                <w:rFonts w:ascii="Times New Roman" w:hAnsi="Times New Roman" w:cs="Times New Roman"/>
                <w:bCs/>
                <w:noProof/>
                <w:sz w:val="24"/>
                <w:szCs w:val="24"/>
              </w:rPr>
              <w:t>2.1.4 Career Progression and Retention</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_Toc142290307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5</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08" w:history="1">
            <w:r w:rsidR="00044FFA" w:rsidRPr="00044FFA">
              <w:rPr>
                <w:rStyle w:val="Hyperlink"/>
                <w:rFonts w:ascii="Times New Roman" w:hAnsi="Times New Roman" w:cs="Times New Roman"/>
                <w:bCs/>
                <w:noProof/>
                <w:sz w:val="24"/>
                <w:szCs w:val="24"/>
              </w:rPr>
              <w:t>2.1.5 Team Dynamics Enhancement</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_Toc142290308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6</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2"/>
            <w:tabs>
              <w:tab w:val="right" w:leader="dot" w:pos="9016"/>
            </w:tabs>
            <w:rPr>
              <w:rFonts w:ascii="Times New Roman" w:eastAsiaTheme="minorEastAsia" w:hAnsi="Times New Roman" w:cs="Times New Roman"/>
              <w:noProof/>
              <w:sz w:val="24"/>
              <w:szCs w:val="24"/>
              <w:lang w:eastAsia="en-GB"/>
            </w:rPr>
          </w:pPr>
          <w:hyperlink w:anchor="_Toc142290309" w:history="1">
            <w:r w:rsidR="00044FFA" w:rsidRPr="00044FFA">
              <w:rPr>
                <w:rStyle w:val="Hyperlink"/>
                <w:rFonts w:ascii="Times New Roman" w:hAnsi="Times New Roman" w:cs="Times New Roman"/>
                <w:noProof/>
                <w:sz w:val="24"/>
                <w:szCs w:val="24"/>
              </w:rPr>
              <w:t xml:space="preserve">2.2 </w:t>
            </w:r>
            <w:r w:rsidR="00044FFA" w:rsidRPr="00044FFA">
              <w:rPr>
                <w:rStyle w:val="Hyperlink"/>
                <w:rFonts w:ascii="Times New Roman" w:hAnsi="Times New Roman" w:cs="Times New Roman"/>
                <w:bCs/>
                <w:noProof/>
                <w:sz w:val="24"/>
                <w:szCs w:val="24"/>
              </w:rPr>
              <w:t>Promote Diversity, Equity, and Inclusion (DEI) in the Banking Industry: A Comprehensive Engagement Strategy</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_Toc142290309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6</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10" w:history="1">
            <w:r w:rsidR="00044FFA" w:rsidRPr="00044FFA">
              <w:rPr>
                <w:rStyle w:val="Hyperlink"/>
                <w:rFonts w:ascii="Times New Roman" w:hAnsi="Times New Roman" w:cs="Times New Roman"/>
                <w:bCs/>
                <w:noProof/>
                <w:sz w:val="24"/>
                <w:szCs w:val="24"/>
              </w:rPr>
              <w:t>2.2.1 Inclusive Culture: Elevating Engagement Through Acceptance</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_Toc142290310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6</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11" w:history="1">
            <w:r w:rsidR="00044FFA" w:rsidRPr="00044FFA">
              <w:rPr>
                <w:rStyle w:val="Hyperlink"/>
                <w:rFonts w:ascii="Times New Roman" w:hAnsi="Times New Roman" w:cs="Times New Roman"/>
                <w:bCs/>
                <w:noProof/>
                <w:sz w:val="24"/>
                <w:szCs w:val="24"/>
              </w:rPr>
              <w:t>2.2.2 Employee Voice and Inputs: Empowerment Through Participation</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_Toc142290311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7</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12" w:history="1">
            <w:r w:rsidR="00044FFA" w:rsidRPr="00044FFA">
              <w:rPr>
                <w:rStyle w:val="Hyperlink"/>
                <w:rFonts w:ascii="Times New Roman" w:hAnsi="Times New Roman" w:cs="Times New Roman"/>
                <w:bCs/>
                <w:noProof/>
                <w:sz w:val="24"/>
                <w:szCs w:val="24"/>
              </w:rPr>
              <w:t>2.2.3 Employee Resource Groups: Fostering Community and Engagement</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_Toc142290312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7</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13" w:history="1">
            <w:r w:rsidR="00044FFA" w:rsidRPr="00044FFA">
              <w:rPr>
                <w:rStyle w:val="Hyperlink"/>
                <w:rFonts w:ascii="Times New Roman" w:hAnsi="Times New Roman" w:cs="Times New Roman"/>
                <w:bCs/>
                <w:noProof/>
                <w:sz w:val="24"/>
                <w:szCs w:val="24"/>
              </w:rPr>
              <w:t>2.2.4 Diversity in Leadership: A Vision of Equitable Representation</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_Toc142290313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7</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3"/>
            <w:tabs>
              <w:tab w:val="right" w:leader="dot" w:pos="9016"/>
            </w:tabs>
            <w:rPr>
              <w:rFonts w:ascii="Times New Roman" w:hAnsi="Times New Roman" w:cs="Times New Roman"/>
              <w:noProof/>
              <w:sz w:val="24"/>
              <w:szCs w:val="24"/>
            </w:rPr>
          </w:pPr>
          <w:hyperlink w:anchor="_Toc142290314" w:history="1">
            <w:r w:rsidR="00044FFA" w:rsidRPr="00044FFA">
              <w:rPr>
                <w:rStyle w:val="Hyperlink"/>
                <w:rFonts w:ascii="Times New Roman" w:hAnsi="Times New Roman" w:cs="Times New Roman"/>
                <w:bCs/>
                <w:noProof/>
                <w:sz w:val="24"/>
                <w:szCs w:val="24"/>
              </w:rPr>
              <w:t>2.2.5 Training and Development: Cultivating Awareness and Sensitivity</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_Toc142290314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8</w:t>
            </w:r>
            <w:r w:rsidR="00044FFA" w:rsidRPr="00044FFA">
              <w:rPr>
                <w:rFonts w:ascii="Times New Roman" w:hAnsi="Times New Roman" w:cs="Times New Roman"/>
                <w:noProof/>
                <w:webHidden/>
                <w:sz w:val="24"/>
                <w:szCs w:val="24"/>
              </w:rPr>
              <w:fldChar w:fldCharType="end"/>
            </w:r>
          </w:hyperlink>
        </w:p>
        <w:p w:rsidR="00044FFA" w:rsidRPr="00044FFA" w:rsidRDefault="00F76F03">
          <w:pPr>
            <w:pStyle w:val="TOC1"/>
            <w:tabs>
              <w:tab w:val="right" w:leader="dot" w:pos="9016"/>
            </w:tabs>
            <w:rPr>
              <w:rFonts w:ascii="Times New Roman" w:eastAsiaTheme="minorEastAsia" w:hAnsi="Times New Roman" w:cs="Times New Roman"/>
              <w:noProof/>
              <w:sz w:val="24"/>
              <w:szCs w:val="24"/>
              <w:lang w:eastAsia="en-GB"/>
            </w:rPr>
          </w:pPr>
          <w:hyperlink w:anchor="_Toc142290315" w:history="1">
            <w:r w:rsidR="00044FFA" w:rsidRPr="00044FFA">
              <w:rPr>
                <w:rStyle w:val="Hyperlink"/>
                <w:rFonts w:ascii="Times New Roman" w:hAnsi="Times New Roman" w:cs="Times New Roman"/>
                <w:noProof/>
                <w:sz w:val="24"/>
                <w:szCs w:val="24"/>
              </w:rPr>
              <w:t>Reference</w:t>
            </w:r>
            <w:r w:rsidR="00044FFA" w:rsidRPr="00044FFA">
              <w:rPr>
                <w:rFonts w:ascii="Times New Roman" w:hAnsi="Times New Roman" w:cs="Times New Roman"/>
                <w:noProof/>
                <w:webHidden/>
                <w:sz w:val="24"/>
                <w:szCs w:val="24"/>
              </w:rPr>
              <w:tab/>
            </w:r>
            <w:r w:rsidR="00044FFA" w:rsidRPr="00044FFA">
              <w:rPr>
                <w:rFonts w:ascii="Times New Roman" w:hAnsi="Times New Roman" w:cs="Times New Roman"/>
                <w:noProof/>
                <w:webHidden/>
                <w:sz w:val="24"/>
                <w:szCs w:val="24"/>
              </w:rPr>
              <w:fldChar w:fldCharType="begin"/>
            </w:r>
            <w:r w:rsidR="00044FFA" w:rsidRPr="00044FFA">
              <w:rPr>
                <w:rFonts w:ascii="Times New Roman" w:hAnsi="Times New Roman" w:cs="Times New Roman"/>
                <w:noProof/>
                <w:webHidden/>
                <w:sz w:val="24"/>
                <w:szCs w:val="24"/>
              </w:rPr>
              <w:instrText xml:space="preserve"> PAGEREF _Toc142290315 \h </w:instrText>
            </w:r>
            <w:r w:rsidR="00044FFA" w:rsidRPr="00044FFA">
              <w:rPr>
                <w:rFonts w:ascii="Times New Roman" w:hAnsi="Times New Roman" w:cs="Times New Roman"/>
                <w:noProof/>
                <w:webHidden/>
                <w:sz w:val="24"/>
                <w:szCs w:val="24"/>
              </w:rPr>
            </w:r>
            <w:r w:rsidR="00044FFA" w:rsidRPr="00044FFA">
              <w:rPr>
                <w:rFonts w:ascii="Times New Roman" w:hAnsi="Times New Roman" w:cs="Times New Roman"/>
                <w:noProof/>
                <w:webHidden/>
                <w:sz w:val="24"/>
                <w:szCs w:val="24"/>
              </w:rPr>
              <w:fldChar w:fldCharType="separate"/>
            </w:r>
            <w:r w:rsidR="00CE4BE5">
              <w:rPr>
                <w:rFonts w:ascii="Times New Roman" w:hAnsi="Times New Roman" w:cs="Times New Roman"/>
                <w:noProof/>
                <w:webHidden/>
                <w:sz w:val="24"/>
                <w:szCs w:val="24"/>
              </w:rPr>
              <w:t>8</w:t>
            </w:r>
            <w:r w:rsidR="00044FFA" w:rsidRPr="00044FFA">
              <w:rPr>
                <w:rFonts w:ascii="Times New Roman" w:hAnsi="Times New Roman" w:cs="Times New Roman"/>
                <w:noProof/>
                <w:webHidden/>
                <w:sz w:val="24"/>
                <w:szCs w:val="24"/>
              </w:rPr>
              <w:fldChar w:fldCharType="end"/>
            </w:r>
          </w:hyperlink>
        </w:p>
        <w:p w:rsidR="00AB37A9" w:rsidRPr="00AB37A9" w:rsidRDefault="00AB37A9" w:rsidP="00AB37A9">
          <w:pPr>
            <w:spacing w:line="480" w:lineRule="auto"/>
            <w:rPr>
              <w:rFonts w:ascii="Times New Roman" w:hAnsi="Times New Roman" w:cs="Times New Roman"/>
              <w:sz w:val="24"/>
              <w:szCs w:val="24"/>
            </w:rPr>
          </w:pPr>
          <w:r w:rsidRPr="00044FFA">
            <w:rPr>
              <w:rFonts w:ascii="Times New Roman" w:hAnsi="Times New Roman" w:cs="Times New Roman"/>
              <w:bCs/>
              <w:noProof/>
              <w:color w:val="000000" w:themeColor="text1"/>
              <w:sz w:val="24"/>
              <w:szCs w:val="24"/>
            </w:rPr>
            <w:fldChar w:fldCharType="end"/>
          </w:r>
        </w:p>
      </w:sdtContent>
    </w:sdt>
    <w:p w:rsidR="00AB37A9" w:rsidRDefault="00AB37A9" w:rsidP="00AB37A9">
      <w:pPr>
        <w:spacing w:line="480" w:lineRule="auto"/>
        <w:jc w:val="both"/>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EC15CB" w:rsidRPr="00CF1A38" w:rsidRDefault="00EC15CB" w:rsidP="00983B40">
      <w:pPr>
        <w:spacing w:line="480" w:lineRule="auto"/>
        <w:jc w:val="center"/>
        <w:rPr>
          <w:rFonts w:ascii="Times New Roman" w:hAnsi="Times New Roman" w:cs="Times New Roman"/>
          <w:b/>
          <w:sz w:val="24"/>
          <w:szCs w:val="24"/>
        </w:rPr>
      </w:pPr>
    </w:p>
    <w:p w:rsidR="001807EC" w:rsidRPr="00AB37A9" w:rsidRDefault="001807EC" w:rsidP="00AB37A9">
      <w:pPr>
        <w:pStyle w:val="Heading1"/>
        <w:spacing w:line="480" w:lineRule="auto"/>
        <w:rPr>
          <w:rFonts w:ascii="Times New Roman" w:hAnsi="Times New Roman" w:cs="Times New Roman"/>
          <w:b/>
          <w:color w:val="000000" w:themeColor="text1"/>
          <w:sz w:val="24"/>
          <w:szCs w:val="24"/>
        </w:rPr>
      </w:pPr>
      <w:bookmarkStart w:id="1" w:name="_Toc142290300"/>
      <w:r w:rsidRPr="00AB37A9">
        <w:rPr>
          <w:rFonts w:ascii="Times New Roman" w:hAnsi="Times New Roman" w:cs="Times New Roman"/>
          <w:b/>
          <w:color w:val="000000" w:themeColor="text1"/>
          <w:sz w:val="24"/>
          <w:szCs w:val="24"/>
        </w:rPr>
        <w:lastRenderedPageBreak/>
        <w:t>1. Introduction</w:t>
      </w:r>
      <w:bookmarkEnd w:id="1"/>
    </w:p>
    <w:p w:rsidR="00EC15CB" w:rsidRDefault="00EC15CB" w:rsidP="00AB37A9">
      <w:pPr>
        <w:spacing w:line="480" w:lineRule="auto"/>
        <w:jc w:val="both"/>
        <w:rPr>
          <w:rFonts w:ascii="Times New Roman" w:hAnsi="Times New Roman" w:cs="Times New Roman"/>
          <w:color w:val="000000" w:themeColor="text1"/>
          <w:sz w:val="24"/>
          <w:szCs w:val="24"/>
        </w:rPr>
      </w:pPr>
      <w:r w:rsidRPr="00EC15CB">
        <w:rPr>
          <w:rFonts w:ascii="Times New Roman" w:hAnsi="Times New Roman" w:cs="Times New Roman"/>
          <w:color w:val="000000" w:themeColor="text1"/>
          <w:sz w:val="24"/>
          <w:szCs w:val="24"/>
        </w:rPr>
        <w:t>Employee engagement is crucial to success and strategic goals in today's corporate world. Employee engagement extends beyond job satisfaction to include an emotional commitment to work, peers, and the organisation. Engaged workers are motivated, productive, and brand champions, improving productivity, customer happiness, and staff attrition (</w:t>
      </w:r>
      <w:proofErr w:type="spellStart"/>
      <w:r w:rsidRPr="00EC15CB">
        <w:rPr>
          <w:rFonts w:ascii="Times New Roman" w:hAnsi="Times New Roman" w:cs="Times New Roman"/>
          <w:color w:val="000000" w:themeColor="text1"/>
          <w:sz w:val="24"/>
          <w:szCs w:val="24"/>
        </w:rPr>
        <w:t>Valamis</w:t>
      </w:r>
      <w:proofErr w:type="spellEnd"/>
      <w:r w:rsidRPr="00EC15CB">
        <w:rPr>
          <w:rFonts w:ascii="Times New Roman" w:hAnsi="Times New Roman" w:cs="Times New Roman"/>
          <w:color w:val="000000" w:themeColor="text1"/>
          <w:sz w:val="24"/>
          <w:szCs w:val="24"/>
        </w:rPr>
        <w:t>, 2020).</w:t>
      </w:r>
    </w:p>
    <w:p w:rsidR="002406F0"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At its core, effective employee engagement strategy revolves around fostering a positive work environment that empowers employees to excel in their roles and align their goals w</w:t>
      </w:r>
      <w:r w:rsidR="006F43FB" w:rsidRPr="00AB37A9">
        <w:rPr>
          <w:rFonts w:ascii="Times New Roman" w:hAnsi="Times New Roman" w:cs="Times New Roman"/>
          <w:color w:val="000000" w:themeColor="text1"/>
          <w:sz w:val="24"/>
          <w:szCs w:val="24"/>
        </w:rPr>
        <w:t>ith that of the organization (businessleadershiptoday.com, 2022)</w:t>
      </w:r>
      <w:r w:rsidRPr="00AB37A9">
        <w:rPr>
          <w:rFonts w:ascii="Times New Roman" w:hAnsi="Times New Roman" w:cs="Times New Roman"/>
          <w:color w:val="000000" w:themeColor="text1"/>
          <w:sz w:val="24"/>
          <w:szCs w:val="24"/>
        </w:rPr>
        <w:t>. A comprehensive understanding of the concepts and theories related to employee engagement provides organizations with the knowledge and tools to implement strategies that resonate with their workforce and lead to sustainable success.</w:t>
      </w:r>
    </w:p>
    <w:p w:rsidR="002406F0" w:rsidRPr="00AB37A9" w:rsidRDefault="002406F0" w:rsidP="00AB37A9">
      <w:pPr>
        <w:pStyle w:val="Heading1"/>
        <w:spacing w:line="480" w:lineRule="auto"/>
        <w:rPr>
          <w:rFonts w:ascii="Times New Roman" w:hAnsi="Times New Roman" w:cs="Times New Roman"/>
          <w:b/>
          <w:color w:val="000000" w:themeColor="text1"/>
          <w:sz w:val="24"/>
          <w:szCs w:val="24"/>
        </w:rPr>
      </w:pPr>
      <w:bookmarkStart w:id="2" w:name="_Toc142290301"/>
      <w:r w:rsidRPr="00AB37A9">
        <w:rPr>
          <w:rFonts w:ascii="Times New Roman" w:hAnsi="Times New Roman" w:cs="Times New Roman"/>
          <w:b/>
          <w:color w:val="000000" w:themeColor="text1"/>
          <w:sz w:val="24"/>
          <w:szCs w:val="24"/>
        </w:rPr>
        <w:t>2. Key Concepts and Theories of Employee Engagement</w:t>
      </w:r>
      <w:bookmarkEnd w:id="2"/>
    </w:p>
    <w:p w:rsidR="00CF1A38" w:rsidRPr="00AB37A9" w:rsidRDefault="00EC15CB" w:rsidP="00F35869">
      <w:pPr>
        <w:spacing w:line="480" w:lineRule="auto"/>
        <w:jc w:val="both"/>
        <w:rPr>
          <w:rFonts w:ascii="Times New Roman" w:hAnsi="Times New Roman" w:cs="Times New Roman"/>
          <w:color w:val="000000" w:themeColor="text1"/>
          <w:sz w:val="24"/>
          <w:szCs w:val="24"/>
        </w:rPr>
      </w:pPr>
      <w:r w:rsidRPr="00EC15CB">
        <w:rPr>
          <w:rFonts w:ascii="Times New Roman" w:hAnsi="Times New Roman" w:cs="Times New Roman"/>
          <w:color w:val="000000" w:themeColor="text1"/>
          <w:sz w:val="24"/>
          <w:szCs w:val="24"/>
        </w:rPr>
        <w:t>Several foundational concepts and theories have contributed to the growing body of knowledg</w:t>
      </w:r>
      <w:r>
        <w:rPr>
          <w:rFonts w:ascii="Times New Roman" w:hAnsi="Times New Roman" w:cs="Times New Roman"/>
          <w:color w:val="000000" w:themeColor="text1"/>
          <w:sz w:val="24"/>
          <w:szCs w:val="24"/>
        </w:rPr>
        <w:t>e regarding employee engagement</w:t>
      </w:r>
      <w:r w:rsidRPr="00EC15CB">
        <w:rPr>
          <w:rFonts w:ascii="Times New Roman" w:hAnsi="Times New Roman" w:cs="Times New Roman"/>
          <w:color w:val="000000" w:themeColor="text1"/>
          <w:sz w:val="24"/>
          <w:szCs w:val="24"/>
        </w:rPr>
        <w:t>. The Zinger Model underscores the importance of addressing fundamental employee needs, such as well-being and meaningful work, which, when fulfilled, foster engagement (</w:t>
      </w:r>
      <w:proofErr w:type="spellStart"/>
      <w:r w:rsidRPr="00EC15CB">
        <w:rPr>
          <w:rFonts w:ascii="Times New Roman" w:hAnsi="Times New Roman" w:cs="Times New Roman"/>
          <w:color w:val="000000" w:themeColor="text1"/>
          <w:sz w:val="24"/>
          <w:szCs w:val="24"/>
        </w:rPr>
        <w:t>Nasution</w:t>
      </w:r>
      <w:proofErr w:type="spellEnd"/>
      <w:r w:rsidRPr="00EC15CB">
        <w:rPr>
          <w:rFonts w:ascii="Times New Roman" w:hAnsi="Times New Roman" w:cs="Times New Roman"/>
          <w:color w:val="000000" w:themeColor="text1"/>
          <w:sz w:val="24"/>
          <w:szCs w:val="24"/>
        </w:rPr>
        <w:t xml:space="preserve"> &amp; </w:t>
      </w:r>
      <w:proofErr w:type="spellStart"/>
      <w:r w:rsidRPr="00EC15CB">
        <w:rPr>
          <w:rFonts w:ascii="Times New Roman" w:hAnsi="Times New Roman" w:cs="Times New Roman"/>
          <w:color w:val="000000" w:themeColor="text1"/>
          <w:sz w:val="24"/>
          <w:szCs w:val="24"/>
        </w:rPr>
        <w:t>Absah</w:t>
      </w:r>
      <w:proofErr w:type="spellEnd"/>
      <w:r w:rsidRPr="00EC15CB">
        <w:rPr>
          <w:rFonts w:ascii="Times New Roman" w:hAnsi="Times New Roman" w:cs="Times New Roman"/>
          <w:color w:val="000000" w:themeColor="text1"/>
          <w:sz w:val="24"/>
          <w:szCs w:val="24"/>
        </w:rPr>
        <w:t>, 2019). Deloitte's "irresistible" workplace model emphasizes hands-on management and growth opportunities as drivers of engagement, attracting top talent and fostering loyalty (Ali et al., 2019). AON Hewitt's data-driven approach emphasizes aligning organizational culture with employee needs through comprehensive analysis and feedback integration (</w:t>
      </w:r>
      <w:proofErr w:type="spellStart"/>
      <w:r w:rsidRPr="00EC15CB">
        <w:rPr>
          <w:rFonts w:ascii="Times New Roman" w:hAnsi="Times New Roman" w:cs="Times New Roman"/>
          <w:color w:val="000000" w:themeColor="text1"/>
          <w:sz w:val="24"/>
          <w:szCs w:val="24"/>
        </w:rPr>
        <w:t>Bedarkar</w:t>
      </w:r>
      <w:proofErr w:type="spellEnd"/>
      <w:r w:rsidRPr="00EC15CB">
        <w:rPr>
          <w:rFonts w:ascii="Times New Roman" w:hAnsi="Times New Roman" w:cs="Times New Roman"/>
          <w:color w:val="000000" w:themeColor="text1"/>
          <w:sz w:val="24"/>
          <w:szCs w:val="24"/>
        </w:rPr>
        <w:t xml:space="preserve"> &amp; </w:t>
      </w:r>
      <w:proofErr w:type="spellStart"/>
      <w:r w:rsidRPr="00EC15CB">
        <w:rPr>
          <w:rFonts w:ascii="Times New Roman" w:hAnsi="Times New Roman" w:cs="Times New Roman"/>
          <w:color w:val="000000" w:themeColor="text1"/>
          <w:sz w:val="24"/>
          <w:szCs w:val="24"/>
        </w:rPr>
        <w:t>Pandita</w:t>
      </w:r>
      <w:proofErr w:type="spellEnd"/>
      <w:r w:rsidRPr="00EC15CB">
        <w:rPr>
          <w:rFonts w:ascii="Times New Roman" w:hAnsi="Times New Roman" w:cs="Times New Roman"/>
          <w:color w:val="000000" w:themeColor="text1"/>
          <w:sz w:val="24"/>
          <w:szCs w:val="24"/>
        </w:rPr>
        <w:t>, 2014). In a rapidly evolving work landscape, strategies for work-life balance, comm</w:t>
      </w:r>
      <w:r>
        <w:rPr>
          <w:rFonts w:ascii="Times New Roman" w:hAnsi="Times New Roman" w:cs="Times New Roman"/>
          <w:color w:val="000000" w:themeColor="text1"/>
          <w:sz w:val="24"/>
          <w:szCs w:val="24"/>
        </w:rPr>
        <w:t xml:space="preserve">unication, and transparency have become </w:t>
      </w:r>
      <w:r w:rsidRPr="00EC15CB">
        <w:rPr>
          <w:rFonts w:ascii="Times New Roman" w:hAnsi="Times New Roman" w:cs="Times New Roman"/>
          <w:color w:val="000000" w:themeColor="text1"/>
          <w:sz w:val="24"/>
          <w:szCs w:val="24"/>
        </w:rPr>
        <w:t>essential for maintaining engagement, particularly with remote workers (</w:t>
      </w:r>
      <w:proofErr w:type="spellStart"/>
      <w:r w:rsidRPr="00EC15CB">
        <w:rPr>
          <w:rFonts w:ascii="Times New Roman" w:hAnsi="Times New Roman" w:cs="Times New Roman"/>
          <w:color w:val="000000" w:themeColor="text1"/>
          <w:sz w:val="24"/>
          <w:szCs w:val="24"/>
        </w:rPr>
        <w:t>Valamis</w:t>
      </w:r>
      <w:proofErr w:type="spellEnd"/>
      <w:r w:rsidRPr="00EC15CB">
        <w:rPr>
          <w:rFonts w:ascii="Times New Roman" w:hAnsi="Times New Roman" w:cs="Times New Roman"/>
          <w:color w:val="000000" w:themeColor="text1"/>
          <w:sz w:val="24"/>
          <w:szCs w:val="24"/>
        </w:rPr>
        <w:t>, 2020; Robinson, 2022). Long-term commitment to engagement, cantered on trust-building and employee well-being, underscores the vitality of sustained strategies (bus</w:t>
      </w:r>
      <w:r>
        <w:rPr>
          <w:rFonts w:ascii="Times New Roman" w:hAnsi="Times New Roman" w:cs="Times New Roman"/>
          <w:color w:val="000000" w:themeColor="text1"/>
          <w:sz w:val="24"/>
          <w:szCs w:val="24"/>
        </w:rPr>
        <w:t>inessleadershiptoday.com, 2022)</w:t>
      </w:r>
      <w:r w:rsidR="003B29D4" w:rsidRPr="00AB37A9">
        <w:rPr>
          <w:rFonts w:ascii="Times New Roman" w:hAnsi="Times New Roman" w:cs="Times New Roman"/>
          <w:color w:val="000000" w:themeColor="text1"/>
          <w:sz w:val="24"/>
          <w:szCs w:val="24"/>
        </w:rPr>
        <w:t>.</w:t>
      </w:r>
    </w:p>
    <w:p w:rsidR="0019754A" w:rsidRPr="00AB37A9" w:rsidRDefault="00EC15CB" w:rsidP="00AB37A9">
      <w:pPr>
        <w:pStyle w:val="Heading1"/>
        <w:spacing w:line="480" w:lineRule="auto"/>
        <w:rPr>
          <w:rFonts w:ascii="Times New Roman" w:hAnsi="Times New Roman" w:cs="Times New Roman"/>
          <w:b/>
          <w:color w:val="000000" w:themeColor="text1"/>
          <w:sz w:val="24"/>
          <w:szCs w:val="24"/>
        </w:rPr>
      </w:pPr>
      <w:bookmarkStart w:id="3" w:name="_Toc142290302"/>
      <w:r>
        <w:rPr>
          <w:rFonts w:ascii="Times New Roman" w:hAnsi="Times New Roman" w:cs="Times New Roman"/>
          <w:b/>
          <w:color w:val="000000" w:themeColor="text1"/>
          <w:sz w:val="24"/>
          <w:szCs w:val="24"/>
        </w:rPr>
        <w:lastRenderedPageBreak/>
        <w:t>3</w:t>
      </w:r>
      <w:r w:rsidR="00453512" w:rsidRPr="00AB37A9">
        <w:rPr>
          <w:rFonts w:ascii="Times New Roman" w:hAnsi="Times New Roman" w:cs="Times New Roman"/>
          <w:b/>
          <w:color w:val="000000" w:themeColor="text1"/>
          <w:sz w:val="24"/>
          <w:szCs w:val="24"/>
        </w:rPr>
        <w:t xml:space="preserve">. </w:t>
      </w:r>
      <w:r w:rsidR="0019754A" w:rsidRPr="00AB37A9">
        <w:rPr>
          <w:rFonts w:ascii="Times New Roman" w:hAnsi="Times New Roman" w:cs="Times New Roman"/>
          <w:b/>
          <w:color w:val="000000" w:themeColor="text1"/>
          <w:sz w:val="24"/>
          <w:szCs w:val="24"/>
        </w:rPr>
        <w:t>Strategies for an Effective Employee Engagement in the Banking Industry</w:t>
      </w:r>
      <w:bookmarkEnd w:id="3"/>
    </w:p>
    <w:p w:rsidR="00453512" w:rsidRPr="00AB37A9" w:rsidRDefault="0019754A"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Employee engagement is a critical factor that profoundly impacts the success and performance of organizations, especially in the dynamic banking industry. It goes beyond mere job satisfaction and represents the emotional commitment and dedication that employees have towards their work and</w:t>
      </w:r>
      <w:r w:rsidR="0063191F" w:rsidRPr="00AB37A9">
        <w:rPr>
          <w:rFonts w:ascii="Times New Roman" w:hAnsi="Times New Roman" w:cs="Times New Roman"/>
          <w:color w:val="000000" w:themeColor="text1"/>
          <w:sz w:val="24"/>
          <w:szCs w:val="24"/>
        </w:rPr>
        <w:t xml:space="preserve"> the organization as a whole</w:t>
      </w:r>
      <w:r w:rsidR="00044FFA">
        <w:rPr>
          <w:rFonts w:ascii="Times New Roman" w:hAnsi="Times New Roman" w:cs="Times New Roman"/>
          <w:color w:val="000000" w:themeColor="text1"/>
          <w:sz w:val="24"/>
          <w:szCs w:val="24"/>
        </w:rPr>
        <w:t xml:space="preserve"> (</w:t>
      </w:r>
      <w:r w:rsidR="00044FFA">
        <w:rPr>
          <w:rFonts w:ascii="Times New Roman" w:hAnsi="Times New Roman" w:cs="Times New Roman"/>
          <w:sz w:val="24"/>
          <w:szCs w:val="24"/>
        </w:rPr>
        <w:t>‌Post, 2023)</w:t>
      </w:r>
      <w:r w:rsidR="0063191F" w:rsidRPr="00AB37A9">
        <w:rPr>
          <w:rFonts w:ascii="Times New Roman" w:hAnsi="Times New Roman" w:cs="Times New Roman"/>
          <w:color w:val="000000" w:themeColor="text1"/>
          <w:sz w:val="24"/>
          <w:szCs w:val="24"/>
        </w:rPr>
        <w:t>.</w:t>
      </w:r>
      <w:r w:rsidRPr="00AB37A9">
        <w:rPr>
          <w:rFonts w:ascii="Times New Roman" w:hAnsi="Times New Roman" w:cs="Times New Roman"/>
          <w:color w:val="000000" w:themeColor="text1"/>
          <w:sz w:val="24"/>
          <w:szCs w:val="24"/>
        </w:rPr>
        <w:t xml:space="preserve"> Engaged employees are more productive, committed, and actively contribute</w:t>
      </w:r>
      <w:r w:rsidR="0063191F" w:rsidRPr="00AB37A9">
        <w:rPr>
          <w:rFonts w:ascii="Times New Roman" w:hAnsi="Times New Roman" w:cs="Times New Roman"/>
          <w:color w:val="000000" w:themeColor="text1"/>
          <w:sz w:val="24"/>
          <w:szCs w:val="24"/>
        </w:rPr>
        <w:t xml:space="preserve"> to achieving business goals (Srivastava, 2022)</w:t>
      </w:r>
      <w:r w:rsidRPr="00AB37A9">
        <w:rPr>
          <w:rFonts w:ascii="Times New Roman" w:hAnsi="Times New Roman" w:cs="Times New Roman"/>
          <w:color w:val="000000" w:themeColor="text1"/>
          <w:sz w:val="24"/>
          <w:szCs w:val="24"/>
        </w:rPr>
        <w:t>. However, ensuring employee engagement in the banking industry is a challenge that requires strategic planning and implementation of effective strategies tailored to the unique needs of the sector.</w:t>
      </w:r>
    </w:p>
    <w:p w:rsidR="00453512" w:rsidRPr="00AB37A9" w:rsidRDefault="00EC15CB" w:rsidP="00AB37A9">
      <w:pPr>
        <w:pStyle w:val="Heading2"/>
        <w:spacing w:line="480" w:lineRule="auto"/>
        <w:rPr>
          <w:rFonts w:ascii="Times New Roman" w:hAnsi="Times New Roman" w:cs="Times New Roman"/>
          <w:b/>
          <w:color w:val="000000" w:themeColor="text1"/>
          <w:sz w:val="24"/>
          <w:szCs w:val="24"/>
        </w:rPr>
      </w:pPr>
      <w:bookmarkStart w:id="4" w:name="_Toc142290303"/>
      <w:r>
        <w:rPr>
          <w:rFonts w:ascii="Times New Roman" w:hAnsi="Times New Roman" w:cs="Times New Roman"/>
          <w:b/>
          <w:color w:val="000000" w:themeColor="text1"/>
          <w:sz w:val="24"/>
          <w:szCs w:val="24"/>
        </w:rPr>
        <w:t>3</w:t>
      </w:r>
      <w:r w:rsidR="00F35869">
        <w:rPr>
          <w:rFonts w:ascii="Times New Roman" w:hAnsi="Times New Roman" w:cs="Times New Roman"/>
          <w:b/>
          <w:color w:val="000000" w:themeColor="text1"/>
          <w:sz w:val="24"/>
          <w:szCs w:val="24"/>
        </w:rPr>
        <w:t>.1</w:t>
      </w:r>
      <w:r w:rsidR="00453512" w:rsidRPr="00AB37A9">
        <w:rPr>
          <w:rFonts w:ascii="Times New Roman" w:hAnsi="Times New Roman" w:cs="Times New Roman"/>
          <w:b/>
          <w:color w:val="000000" w:themeColor="text1"/>
          <w:sz w:val="24"/>
          <w:szCs w:val="24"/>
        </w:rPr>
        <w:t xml:space="preserve"> </w:t>
      </w:r>
      <w:r w:rsidR="00F35869">
        <w:rPr>
          <w:rFonts w:ascii="Times New Roman" w:hAnsi="Times New Roman" w:cs="Times New Roman"/>
          <w:b/>
          <w:color w:val="000000" w:themeColor="text1"/>
          <w:sz w:val="24"/>
          <w:szCs w:val="24"/>
        </w:rPr>
        <w:t>Leadership Development Program</w:t>
      </w:r>
      <w:bookmarkEnd w:id="4"/>
      <w:r w:rsidR="00F35869">
        <w:rPr>
          <w:rFonts w:ascii="Times New Roman" w:hAnsi="Times New Roman" w:cs="Times New Roman"/>
          <w:b/>
          <w:color w:val="000000" w:themeColor="text1"/>
          <w:sz w:val="24"/>
          <w:szCs w:val="24"/>
        </w:rPr>
        <w:t xml:space="preserve"> </w:t>
      </w:r>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A strategically designed Leadership Development Program (LDP) stands as a cornerstone in cultivating a highly engaged workforce within the dynamic realm of the banking industry. This section delves into a comprehensive analysis, highlighting the intricacies of engaging employees through five distinct facets of an LDP tailored for the banking sector.</w:t>
      </w:r>
    </w:p>
    <w:p w:rsidR="00D112A7" w:rsidRPr="00D112A7" w:rsidRDefault="00D112A7" w:rsidP="00EC15CB">
      <w:pPr>
        <w:pStyle w:val="Heading3"/>
        <w:spacing w:line="480" w:lineRule="auto"/>
        <w:rPr>
          <w:rFonts w:ascii="Times New Roman" w:hAnsi="Times New Roman" w:cs="Times New Roman"/>
          <w:color w:val="000000" w:themeColor="text1"/>
        </w:rPr>
      </w:pPr>
      <w:bookmarkStart w:id="5" w:name="_Toc142290304"/>
      <w:r>
        <w:rPr>
          <w:rFonts w:ascii="Times New Roman" w:hAnsi="Times New Roman" w:cs="Times New Roman"/>
          <w:b/>
          <w:bCs/>
          <w:color w:val="000000" w:themeColor="text1"/>
        </w:rPr>
        <w:t>2.</w:t>
      </w:r>
      <w:r w:rsidRPr="00D112A7">
        <w:rPr>
          <w:rFonts w:ascii="Times New Roman" w:hAnsi="Times New Roman" w:cs="Times New Roman"/>
          <w:b/>
          <w:bCs/>
          <w:color w:val="000000" w:themeColor="text1"/>
        </w:rPr>
        <w:t>1.</w:t>
      </w:r>
      <w:r>
        <w:rPr>
          <w:rFonts w:ascii="Times New Roman" w:hAnsi="Times New Roman" w:cs="Times New Roman"/>
          <w:b/>
          <w:bCs/>
          <w:color w:val="000000" w:themeColor="text1"/>
        </w:rPr>
        <w:t>1</w:t>
      </w:r>
      <w:r w:rsidRPr="00D112A7">
        <w:rPr>
          <w:rFonts w:ascii="Times New Roman" w:hAnsi="Times New Roman" w:cs="Times New Roman"/>
          <w:b/>
          <w:bCs/>
          <w:color w:val="000000" w:themeColor="text1"/>
        </w:rPr>
        <w:t xml:space="preserve"> Leadership Drive-Engagement</w:t>
      </w:r>
      <w:bookmarkEnd w:id="5"/>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 xml:space="preserve">At the heart of effective leadership lies the ability to ignite engagement among employees. Leaders in the banking industry should epitomize a compelling vision, one that resonates with the organization's overarching goals and the aspirations of its workforce. This vision, when seamlessly integrated into the LDP, </w:t>
      </w:r>
      <w:proofErr w:type="spellStart"/>
      <w:r w:rsidRPr="00D112A7">
        <w:rPr>
          <w:rFonts w:ascii="Times New Roman" w:hAnsi="Times New Roman" w:cs="Times New Roman"/>
          <w:color w:val="000000" w:themeColor="text1"/>
          <w:sz w:val="24"/>
          <w:szCs w:val="24"/>
        </w:rPr>
        <w:t>instills</w:t>
      </w:r>
      <w:proofErr w:type="spellEnd"/>
      <w:r w:rsidRPr="00D112A7">
        <w:rPr>
          <w:rFonts w:ascii="Times New Roman" w:hAnsi="Times New Roman" w:cs="Times New Roman"/>
          <w:color w:val="000000" w:themeColor="text1"/>
          <w:sz w:val="24"/>
          <w:szCs w:val="24"/>
        </w:rPr>
        <w:t xml:space="preserve"> a profound sense of purpose among employees. By demonstrating commitment towards organizational growth, leaders fortify a shared commitment, bolstering emotional ties that extend beyond mere job roles (</w:t>
      </w:r>
      <w:proofErr w:type="spellStart"/>
      <w:r w:rsidRPr="00D112A7">
        <w:rPr>
          <w:rFonts w:ascii="Times New Roman" w:hAnsi="Times New Roman" w:cs="Times New Roman"/>
          <w:color w:val="000000" w:themeColor="text1"/>
          <w:sz w:val="24"/>
          <w:szCs w:val="24"/>
        </w:rPr>
        <w:t>Nasution</w:t>
      </w:r>
      <w:proofErr w:type="spellEnd"/>
      <w:r w:rsidRPr="00D112A7">
        <w:rPr>
          <w:rFonts w:ascii="Times New Roman" w:hAnsi="Times New Roman" w:cs="Times New Roman"/>
          <w:color w:val="000000" w:themeColor="text1"/>
          <w:sz w:val="24"/>
          <w:szCs w:val="24"/>
        </w:rPr>
        <w:t xml:space="preserve"> &amp; </w:t>
      </w:r>
      <w:proofErr w:type="spellStart"/>
      <w:r w:rsidRPr="00D112A7">
        <w:rPr>
          <w:rFonts w:ascii="Times New Roman" w:hAnsi="Times New Roman" w:cs="Times New Roman"/>
          <w:color w:val="000000" w:themeColor="text1"/>
          <w:sz w:val="24"/>
          <w:szCs w:val="24"/>
        </w:rPr>
        <w:t>Absah</w:t>
      </w:r>
      <w:proofErr w:type="spellEnd"/>
      <w:r w:rsidRPr="00D112A7">
        <w:rPr>
          <w:rFonts w:ascii="Times New Roman" w:hAnsi="Times New Roman" w:cs="Times New Roman"/>
          <w:color w:val="000000" w:themeColor="text1"/>
          <w:sz w:val="24"/>
          <w:szCs w:val="24"/>
        </w:rPr>
        <w:t>, 2019).</w:t>
      </w:r>
    </w:p>
    <w:p w:rsidR="00D112A7" w:rsidRPr="00D112A7" w:rsidRDefault="00D112A7" w:rsidP="00EC15CB">
      <w:pPr>
        <w:pStyle w:val="Heading3"/>
        <w:spacing w:line="480" w:lineRule="auto"/>
        <w:rPr>
          <w:rFonts w:ascii="Times New Roman" w:hAnsi="Times New Roman" w:cs="Times New Roman"/>
          <w:color w:val="000000" w:themeColor="text1"/>
        </w:rPr>
      </w:pPr>
      <w:bookmarkStart w:id="6" w:name="_Toc142290305"/>
      <w:r w:rsidRPr="00D112A7">
        <w:rPr>
          <w:rFonts w:ascii="Times New Roman" w:hAnsi="Times New Roman" w:cs="Times New Roman"/>
          <w:b/>
          <w:bCs/>
          <w:color w:val="000000" w:themeColor="text1"/>
        </w:rPr>
        <w:lastRenderedPageBreak/>
        <w:t>2.</w:t>
      </w:r>
      <w:r>
        <w:rPr>
          <w:rFonts w:ascii="Times New Roman" w:hAnsi="Times New Roman" w:cs="Times New Roman"/>
          <w:b/>
          <w:bCs/>
          <w:color w:val="000000" w:themeColor="text1"/>
        </w:rPr>
        <w:t>1.2</w:t>
      </w:r>
      <w:r w:rsidRPr="00D112A7">
        <w:rPr>
          <w:rFonts w:ascii="Times New Roman" w:hAnsi="Times New Roman" w:cs="Times New Roman"/>
          <w:b/>
          <w:bCs/>
          <w:color w:val="000000" w:themeColor="text1"/>
        </w:rPr>
        <w:t xml:space="preserve"> Development Opportunity Engagement</w:t>
      </w:r>
      <w:bookmarkEnd w:id="6"/>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The banking sector thrives on knowledge, and offering employees cross-functional learning opportunities nurtures a robust sense of engagement. Through a multifaceted LDP, employees are provided avenues to broaden their skill sets and gain holistic insights into the industry's complexities. These opportunities not only enrich their knowledge but also invigorate their roles with fresh perspectives. Employees, empowered with versatile competencies, exhibit heightened enthusiasm and dedication, translating into enhanced engagement (BRAVO! Employee Experience Management, 2021).</w:t>
      </w:r>
    </w:p>
    <w:p w:rsidR="00D112A7" w:rsidRPr="00D112A7" w:rsidRDefault="00D112A7" w:rsidP="00EC15CB">
      <w:pPr>
        <w:pStyle w:val="Heading3"/>
        <w:spacing w:line="480" w:lineRule="auto"/>
        <w:rPr>
          <w:rFonts w:ascii="Times New Roman" w:hAnsi="Times New Roman" w:cs="Times New Roman"/>
          <w:color w:val="000000" w:themeColor="text1"/>
        </w:rPr>
      </w:pPr>
      <w:bookmarkStart w:id="7" w:name="_Toc142290306"/>
      <w:r>
        <w:rPr>
          <w:rFonts w:ascii="Times New Roman" w:hAnsi="Times New Roman" w:cs="Times New Roman"/>
          <w:b/>
          <w:bCs/>
          <w:color w:val="000000" w:themeColor="text1"/>
        </w:rPr>
        <w:t>2.1.3</w:t>
      </w:r>
      <w:r w:rsidRPr="00D112A7">
        <w:rPr>
          <w:rFonts w:ascii="Times New Roman" w:hAnsi="Times New Roman" w:cs="Times New Roman"/>
          <w:b/>
          <w:bCs/>
          <w:color w:val="000000" w:themeColor="text1"/>
        </w:rPr>
        <w:t xml:space="preserve"> Skill Enhancement and Confidence</w:t>
      </w:r>
      <w:bookmarkEnd w:id="7"/>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A pivotal facet of an LDP within the banking industry revolves around skill enhancement and the cultivation of confidence. By structuring training initiatives tailored to the sector's demands, employees are equipped with the tools necessary to navigate the intricacies of the industry. This proficiency breeds confidence, as employees perceive themselves as adept contributors to the organization's success. Bolstered by this newfound self-assurance, they exhibit higher levels of engagement, motivated to apply their enhanced skills to drive positive outcomes (Stacey, 2023).</w:t>
      </w:r>
    </w:p>
    <w:p w:rsidR="00D112A7" w:rsidRPr="00D112A7" w:rsidRDefault="00D112A7" w:rsidP="00EC15CB">
      <w:pPr>
        <w:pStyle w:val="Heading3"/>
        <w:spacing w:line="480" w:lineRule="auto"/>
        <w:rPr>
          <w:rFonts w:ascii="Times New Roman" w:hAnsi="Times New Roman" w:cs="Times New Roman"/>
          <w:color w:val="000000" w:themeColor="text1"/>
        </w:rPr>
      </w:pPr>
      <w:bookmarkStart w:id="8" w:name="_Toc142290307"/>
      <w:r>
        <w:rPr>
          <w:rFonts w:ascii="Times New Roman" w:hAnsi="Times New Roman" w:cs="Times New Roman"/>
          <w:b/>
          <w:bCs/>
          <w:color w:val="000000" w:themeColor="text1"/>
        </w:rPr>
        <w:t>2.1.4</w:t>
      </w:r>
      <w:r w:rsidRPr="00D112A7">
        <w:rPr>
          <w:rFonts w:ascii="Times New Roman" w:hAnsi="Times New Roman" w:cs="Times New Roman"/>
          <w:b/>
          <w:bCs/>
          <w:color w:val="000000" w:themeColor="text1"/>
        </w:rPr>
        <w:t xml:space="preserve"> Career Progression and Retention</w:t>
      </w:r>
      <w:bookmarkEnd w:id="8"/>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Career advancement is the backbone of sustained engagement within the banking sector. The LDP plays a pivotal role in fostering an environment where career progression isn't just a prospect, but a tangible reality. By showcasing a clear trajectory for advancement, the program quells uncertainties and fuels a desire to invest deeply in one's work. Employees who see a path forward within the organization are naturally inclined to remain committed, serving as valuable assets in the bank's long-term growth (Stacey, 2023).</w:t>
      </w:r>
    </w:p>
    <w:p w:rsidR="00D112A7" w:rsidRPr="00D112A7" w:rsidRDefault="00D112A7" w:rsidP="00EC15CB">
      <w:pPr>
        <w:pStyle w:val="Heading3"/>
        <w:spacing w:line="480" w:lineRule="auto"/>
        <w:rPr>
          <w:rFonts w:ascii="Times New Roman" w:hAnsi="Times New Roman" w:cs="Times New Roman"/>
          <w:color w:val="000000" w:themeColor="text1"/>
        </w:rPr>
      </w:pPr>
      <w:bookmarkStart w:id="9" w:name="_Toc142290308"/>
      <w:r>
        <w:rPr>
          <w:rFonts w:ascii="Times New Roman" w:hAnsi="Times New Roman" w:cs="Times New Roman"/>
          <w:b/>
          <w:bCs/>
          <w:color w:val="000000" w:themeColor="text1"/>
        </w:rPr>
        <w:lastRenderedPageBreak/>
        <w:t>2.1.5</w:t>
      </w:r>
      <w:r w:rsidRPr="00D112A7">
        <w:rPr>
          <w:rFonts w:ascii="Times New Roman" w:hAnsi="Times New Roman" w:cs="Times New Roman"/>
          <w:b/>
          <w:bCs/>
          <w:color w:val="000000" w:themeColor="text1"/>
        </w:rPr>
        <w:t xml:space="preserve"> Team Dynamics Enhancement</w:t>
      </w:r>
      <w:bookmarkEnd w:id="9"/>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The complex fabric of the banking sector demands seamless teamwork and collaborative synergy. A well-crafted LDP recognizes the significance of teamwork dynamics, promoting cohesion and interdependence. Through team-building workshops and collaborative projects, employees become attuned to the value of collective effort. Consequently, the shared sense of achievement and unity amplifies their engagement levels. Leadership within the LDP plays a pivotal role in nurturing a culture where diverse skills harmonize to accomplish mutual goals (Srivastava, 2022).</w:t>
      </w:r>
    </w:p>
    <w:p w:rsidR="0019754A" w:rsidRPr="00AB37A9" w:rsidRDefault="0019754A" w:rsidP="00AB37A9">
      <w:pPr>
        <w:spacing w:line="480" w:lineRule="auto"/>
        <w:jc w:val="both"/>
        <w:rPr>
          <w:rFonts w:ascii="Times New Roman" w:hAnsi="Times New Roman" w:cs="Times New Roman"/>
          <w:color w:val="000000" w:themeColor="text1"/>
          <w:sz w:val="24"/>
          <w:szCs w:val="24"/>
        </w:rPr>
      </w:pPr>
    </w:p>
    <w:p w:rsidR="00D112A7" w:rsidRPr="00D112A7" w:rsidRDefault="00F35869" w:rsidP="00D112A7">
      <w:pPr>
        <w:pStyle w:val="Heading2"/>
        <w:spacing w:line="480" w:lineRule="auto"/>
        <w:rPr>
          <w:rFonts w:ascii="Times New Roman" w:hAnsi="Times New Roman" w:cs="Times New Roman"/>
          <w:color w:val="000000" w:themeColor="text1"/>
          <w:sz w:val="24"/>
          <w:szCs w:val="24"/>
        </w:rPr>
      </w:pPr>
      <w:bookmarkStart w:id="10" w:name="_Toc142290309"/>
      <w:r w:rsidRPr="00D112A7">
        <w:rPr>
          <w:rFonts w:ascii="Times New Roman" w:hAnsi="Times New Roman" w:cs="Times New Roman"/>
          <w:b/>
          <w:color w:val="000000" w:themeColor="text1"/>
          <w:sz w:val="24"/>
          <w:szCs w:val="24"/>
        </w:rPr>
        <w:t>2.2</w:t>
      </w:r>
      <w:r w:rsidR="00D112A7">
        <w:rPr>
          <w:rFonts w:ascii="Times New Roman" w:hAnsi="Times New Roman" w:cs="Times New Roman"/>
          <w:b/>
          <w:color w:val="000000" w:themeColor="text1"/>
          <w:sz w:val="24"/>
          <w:szCs w:val="24"/>
        </w:rPr>
        <w:t xml:space="preserve"> </w:t>
      </w:r>
      <w:r w:rsidR="00D112A7" w:rsidRPr="00D112A7">
        <w:rPr>
          <w:rFonts w:ascii="Times New Roman" w:hAnsi="Times New Roman" w:cs="Times New Roman"/>
          <w:b/>
          <w:bCs/>
          <w:color w:val="000000" w:themeColor="text1"/>
          <w:sz w:val="24"/>
          <w:szCs w:val="24"/>
        </w:rPr>
        <w:t>Promote Diversity, Equity, and Inclusion (DEI) in the Banking Industry: A Comprehensive Engagement Strategy</w:t>
      </w:r>
      <w:bookmarkEnd w:id="10"/>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Promoting Diversity, Equity, and Inclusion (DEI) within the banking industry unveils a powerful avenue for enhancing employee engagement, fostering a work environment that is not only inclusive but also resonates with the diverse aspirations and perspectives of its workforce. This section meticulously examines the nuances of this engagement strategy by delving into five distinctive facets, all integral to cultivating an engaged and harmonious banking workforce.</w:t>
      </w:r>
    </w:p>
    <w:p w:rsidR="00D112A7" w:rsidRPr="00D112A7" w:rsidRDefault="00D112A7" w:rsidP="00EC15CB">
      <w:pPr>
        <w:pStyle w:val="Heading3"/>
        <w:spacing w:line="480" w:lineRule="auto"/>
        <w:rPr>
          <w:rFonts w:ascii="Times New Roman" w:hAnsi="Times New Roman" w:cs="Times New Roman"/>
          <w:color w:val="000000" w:themeColor="text1"/>
        </w:rPr>
      </w:pPr>
      <w:bookmarkStart w:id="11" w:name="_Toc142290310"/>
      <w:r w:rsidRPr="00D112A7">
        <w:rPr>
          <w:rFonts w:ascii="Times New Roman" w:hAnsi="Times New Roman" w:cs="Times New Roman"/>
          <w:b/>
          <w:bCs/>
          <w:color w:val="000000" w:themeColor="text1"/>
        </w:rPr>
        <w:t>2.2.1 Inclusive Culture: Elevating Engagement Through Acceptance</w:t>
      </w:r>
      <w:bookmarkEnd w:id="11"/>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fundamental</w:t>
      </w:r>
      <w:r w:rsidRPr="00D112A7">
        <w:rPr>
          <w:rFonts w:ascii="Times New Roman" w:hAnsi="Times New Roman" w:cs="Times New Roman"/>
          <w:color w:val="000000" w:themeColor="text1"/>
          <w:sz w:val="24"/>
          <w:szCs w:val="24"/>
        </w:rPr>
        <w:t xml:space="preserve"> of a successful DEI strategy is the cultivation of an inclusive culture that embraces individuals from diverse backgrounds, perspectives, and experiences. Within the banking industry, fostering an inclusive culture involves creating an environment where employees feel not only valued but also recognized for their unique contributions (Stacey, 2023). This is beyond lip service; it involves active integration of diverse voices into decision-making processes, thereby rendering employees as active participants in shaping the </w:t>
      </w:r>
      <w:r w:rsidRPr="00D112A7">
        <w:rPr>
          <w:rFonts w:ascii="Times New Roman" w:hAnsi="Times New Roman" w:cs="Times New Roman"/>
          <w:color w:val="000000" w:themeColor="text1"/>
          <w:sz w:val="24"/>
          <w:szCs w:val="24"/>
        </w:rPr>
        <w:lastRenderedPageBreak/>
        <w:t>organization's trajectory. When employees sense that their opinions are not just considered but instrumental, they forge a profound connection with the organization, resulting in enhanced engagement and loyalty.</w:t>
      </w:r>
    </w:p>
    <w:p w:rsidR="00D112A7" w:rsidRPr="00D112A7" w:rsidRDefault="00D112A7" w:rsidP="00EC15CB">
      <w:pPr>
        <w:pStyle w:val="Heading3"/>
        <w:spacing w:line="480" w:lineRule="auto"/>
        <w:rPr>
          <w:rFonts w:ascii="Times New Roman" w:hAnsi="Times New Roman" w:cs="Times New Roman"/>
          <w:color w:val="000000" w:themeColor="text1"/>
        </w:rPr>
      </w:pPr>
      <w:bookmarkStart w:id="12" w:name="_Toc142290311"/>
      <w:r w:rsidRPr="00D112A7">
        <w:rPr>
          <w:rFonts w:ascii="Times New Roman" w:hAnsi="Times New Roman" w:cs="Times New Roman"/>
          <w:b/>
          <w:bCs/>
          <w:color w:val="000000" w:themeColor="text1"/>
        </w:rPr>
        <w:t>2.2.2 Employee Voice and Inputs: Empowerment Through Participation</w:t>
      </w:r>
      <w:bookmarkEnd w:id="12"/>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 xml:space="preserve">Empowerment hinges on the recognition that every employee's voice matters. A robust DEI strategy within the banking sector </w:t>
      </w:r>
      <w:r w:rsidR="00E53B2E">
        <w:rPr>
          <w:rFonts w:ascii="Times New Roman" w:hAnsi="Times New Roman" w:cs="Times New Roman"/>
          <w:color w:val="000000" w:themeColor="text1"/>
          <w:sz w:val="24"/>
          <w:szCs w:val="24"/>
        </w:rPr>
        <w:t xml:space="preserve">should involve </w:t>
      </w:r>
      <w:r w:rsidRPr="00D112A7">
        <w:rPr>
          <w:rFonts w:ascii="Times New Roman" w:hAnsi="Times New Roman" w:cs="Times New Roman"/>
          <w:color w:val="000000" w:themeColor="text1"/>
          <w:sz w:val="24"/>
          <w:szCs w:val="24"/>
        </w:rPr>
        <w:t>facilitating avenues for employees to contribute their ideas, insights, and feedback. By integrating mechanisms for open communication and soliciting employee inputs, organizations send a powerful message that they value their workforce's perspectives (Srivastava, 2022). This approach transcends hierarchical barriers and champions a culture of transparency, where employees feel a sense of ownership and involvement in shaping the bank's direction. Such a participatory ethos creates a sense of camaraderie, enriching employee engagement.</w:t>
      </w:r>
    </w:p>
    <w:p w:rsidR="00D112A7" w:rsidRPr="00D112A7" w:rsidRDefault="00D112A7" w:rsidP="00EC15CB">
      <w:pPr>
        <w:pStyle w:val="Heading3"/>
        <w:spacing w:line="480" w:lineRule="auto"/>
        <w:rPr>
          <w:rFonts w:ascii="Times New Roman" w:hAnsi="Times New Roman" w:cs="Times New Roman"/>
          <w:color w:val="000000" w:themeColor="text1"/>
        </w:rPr>
      </w:pPr>
      <w:bookmarkStart w:id="13" w:name="_Toc142290312"/>
      <w:r w:rsidRPr="00D112A7">
        <w:rPr>
          <w:rFonts w:ascii="Times New Roman" w:hAnsi="Times New Roman" w:cs="Times New Roman"/>
          <w:b/>
          <w:bCs/>
          <w:color w:val="000000" w:themeColor="text1"/>
        </w:rPr>
        <w:t>2.2.3 Employee Resource Groups: Fostering Community and Engagement</w:t>
      </w:r>
      <w:bookmarkEnd w:id="13"/>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 xml:space="preserve">Employee Resource Groups (ERGs) stand as potent platforms for bolstering engagement within the banking sector. These groups, composed of employees sharing common characteristics or experiences, provide a sense of belonging and community (BRAVO! Employee Experience Management, 2021). ERGs offer a space where employees can connect, support one another, and advocate for inclusivity. These groups channel the energy of employees' shared identities into initiatives that align with the organization's DEI goals. </w:t>
      </w:r>
      <w:proofErr w:type="gramStart"/>
      <w:r w:rsidRPr="00D112A7">
        <w:rPr>
          <w:rFonts w:ascii="Times New Roman" w:hAnsi="Times New Roman" w:cs="Times New Roman"/>
          <w:color w:val="000000" w:themeColor="text1"/>
          <w:sz w:val="24"/>
          <w:szCs w:val="24"/>
        </w:rPr>
        <w:t>This nurtures</w:t>
      </w:r>
      <w:proofErr w:type="gramEnd"/>
      <w:r w:rsidRPr="00D112A7">
        <w:rPr>
          <w:rFonts w:ascii="Times New Roman" w:hAnsi="Times New Roman" w:cs="Times New Roman"/>
          <w:color w:val="000000" w:themeColor="text1"/>
          <w:sz w:val="24"/>
          <w:szCs w:val="24"/>
        </w:rPr>
        <w:t xml:space="preserve"> a sense of belonging, where employees feel that their unique attributes are both acknowledged and celebrated, elevating their engagement.</w:t>
      </w:r>
    </w:p>
    <w:p w:rsidR="00D112A7" w:rsidRPr="00D112A7" w:rsidRDefault="00D112A7" w:rsidP="00EC15CB">
      <w:pPr>
        <w:pStyle w:val="Heading3"/>
        <w:spacing w:line="480" w:lineRule="auto"/>
        <w:rPr>
          <w:rFonts w:ascii="Times New Roman" w:hAnsi="Times New Roman" w:cs="Times New Roman"/>
          <w:color w:val="000000" w:themeColor="text1"/>
        </w:rPr>
      </w:pPr>
      <w:bookmarkStart w:id="14" w:name="_Toc142290313"/>
      <w:r w:rsidRPr="00D112A7">
        <w:rPr>
          <w:rFonts w:ascii="Times New Roman" w:hAnsi="Times New Roman" w:cs="Times New Roman"/>
          <w:b/>
          <w:bCs/>
          <w:color w:val="000000" w:themeColor="text1"/>
        </w:rPr>
        <w:t>2.2.4 Diversity in Leadership: A Vision of Equitable Representation</w:t>
      </w:r>
      <w:bookmarkEnd w:id="14"/>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 xml:space="preserve">Effective DEI strategies within the banking sector extend to the echelons of leadership. Fostering diversity in leadership entails appointing leaders who reflect the array of </w:t>
      </w:r>
      <w:r w:rsidRPr="00D112A7">
        <w:rPr>
          <w:rFonts w:ascii="Times New Roman" w:hAnsi="Times New Roman" w:cs="Times New Roman"/>
          <w:color w:val="000000" w:themeColor="text1"/>
          <w:sz w:val="24"/>
          <w:szCs w:val="24"/>
        </w:rPr>
        <w:lastRenderedPageBreak/>
        <w:t>backgrounds and perspectives present within the workforce (Helman, 2023). A leadership team that is culturally diverse is not only a symbolic gesture but one that translates into tangible benefits. Diverse leaders inspire by example, amplifying the belief that upward mobility is attainable for all. This results in a workforce that is both motivated and committed, driven by the conviction that their contributions will be recognized, irrespective of their background.</w:t>
      </w:r>
    </w:p>
    <w:p w:rsidR="00D112A7" w:rsidRPr="00D112A7" w:rsidRDefault="00D112A7" w:rsidP="00EC15CB">
      <w:pPr>
        <w:pStyle w:val="Heading3"/>
        <w:spacing w:line="480" w:lineRule="auto"/>
        <w:rPr>
          <w:rFonts w:ascii="Times New Roman" w:hAnsi="Times New Roman" w:cs="Times New Roman"/>
          <w:color w:val="000000" w:themeColor="text1"/>
        </w:rPr>
      </w:pPr>
      <w:bookmarkStart w:id="15" w:name="_Toc142290314"/>
      <w:r w:rsidRPr="00D112A7">
        <w:rPr>
          <w:rFonts w:ascii="Times New Roman" w:hAnsi="Times New Roman" w:cs="Times New Roman"/>
          <w:b/>
          <w:bCs/>
          <w:color w:val="000000" w:themeColor="text1"/>
        </w:rPr>
        <w:t>2.2.5 Training and Development: Cultivating Awareness and Sensitivity</w:t>
      </w:r>
      <w:bookmarkEnd w:id="15"/>
    </w:p>
    <w:p w:rsidR="00D112A7" w:rsidRPr="00D112A7" w:rsidRDefault="00D112A7" w:rsidP="00D112A7">
      <w:pPr>
        <w:spacing w:line="480" w:lineRule="auto"/>
        <w:jc w:val="both"/>
        <w:rPr>
          <w:rFonts w:ascii="Times New Roman" w:hAnsi="Times New Roman" w:cs="Times New Roman"/>
          <w:color w:val="000000" w:themeColor="text1"/>
          <w:sz w:val="24"/>
          <w:szCs w:val="24"/>
        </w:rPr>
      </w:pPr>
      <w:r w:rsidRPr="00D112A7">
        <w:rPr>
          <w:rFonts w:ascii="Times New Roman" w:hAnsi="Times New Roman" w:cs="Times New Roman"/>
          <w:color w:val="000000" w:themeColor="text1"/>
          <w:sz w:val="24"/>
          <w:szCs w:val="24"/>
        </w:rPr>
        <w:t>A pivotal pillar in the DEI strategy within the banking sector is investing in training and development initiatives that nurture awareness and cultural sensitivity. By providing avenues for employees to understand and appreciate different perspectives, organizations actively pave the way for a harmonious work environment (Ali et al., 2019). These initiatives, whether in the form of workshops, webinars, or interactive sessions, empower employees with tools to navigate cultural intricacies, fostering an atmosphere of mutual respect. When employees feel equipped to engage across cultural boundaries, their confidence surges, bolstering their engagement within the organization.</w:t>
      </w:r>
    </w:p>
    <w:p w:rsidR="00453512" w:rsidRPr="00AB37A9" w:rsidRDefault="00453512" w:rsidP="00AB37A9">
      <w:pPr>
        <w:spacing w:line="480" w:lineRule="auto"/>
        <w:jc w:val="both"/>
        <w:rPr>
          <w:rFonts w:ascii="Times New Roman" w:hAnsi="Times New Roman" w:cs="Times New Roman"/>
          <w:color w:val="000000" w:themeColor="text1"/>
          <w:sz w:val="24"/>
          <w:szCs w:val="24"/>
        </w:rPr>
      </w:pPr>
    </w:p>
    <w:p w:rsidR="00453512" w:rsidRPr="00AB37A9" w:rsidRDefault="00453512" w:rsidP="00AB37A9">
      <w:pPr>
        <w:spacing w:line="480" w:lineRule="auto"/>
        <w:rPr>
          <w:rFonts w:ascii="Times New Roman" w:hAnsi="Times New Roman" w:cs="Times New Roman"/>
          <w:color w:val="000000" w:themeColor="text1"/>
          <w:sz w:val="24"/>
          <w:szCs w:val="24"/>
        </w:rPr>
      </w:pPr>
    </w:p>
    <w:p w:rsidR="00445CF3" w:rsidRDefault="00445CF3">
      <w:pPr>
        <w:rPr>
          <w:rFonts w:ascii="Times New Roman" w:eastAsiaTheme="majorEastAsia" w:hAnsi="Times New Roman" w:cs="Times New Roman"/>
          <w:b/>
          <w:color w:val="000000" w:themeColor="text1"/>
          <w:sz w:val="24"/>
          <w:szCs w:val="24"/>
        </w:rPr>
      </w:pPr>
      <w:bookmarkStart w:id="16" w:name="_Toc142290315"/>
      <w:r>
        <w:rPr>
          <w:rFonts w:ascii="Times New Roman" w:hAnsi="Times New Roman" w:cs="Times New Roman"/>
          <w:b/>
          <w:color w:val="000000" w:themeColor="text1"/>
          <w:sz w:val="24"/>
          <w:szCs w:val="24"/>
        </w:rPr>
        <w:br w:type="page"/>
      </w:r>
    </w:p>
    <w:p w:rsidR="003B29D4" w:rsidRPr="00AB37A9" w:rsidRDefault="003B29D4" w:rsidP="00AB37A9">
      <w:pPr>
        <w:pStyle w:val="Heading1"/>
        <w:spacing w:line="480" w:lineRule="auto"/>
        <w:rPr>
          <w:rFonts w:ascii="Times New Roman" w:hAnsi="Times New Roman" w:cs="Times New Roman"/>
          <w:b/>
          <w:color w:val="000000" w:themeColor="text1"/>
          <w:sz w:val="24"/>
          <w:szCs w:val="24"/>
        </w:rPr>
      </w:pPr>
      <w:r w:rsidRPr="00AB37A9">
        <w:rPr>
          <w:rFonts w:ascii="Times New Roman" w:hAnsi="Times New Roman" w:cs="Times New Roman"/>
          <w:b/>
          <w:color w:val="000000" w:themeColor="text1"/>
          <w:sz w:val="24"/>
          <w:szCs w:val="24"/>
        </w:rPr>
        <w:lastRenderedPageBreak/>
        <w:t>Reference</w:t>
      </w:r>
      <w:bookmarkEnd w:id="16"/>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 xml:space="preserve">Ali, Z., Bashir, M., and </w:t>
      </w:r>
      <w:proofErr w:type="spellStart"/>
      <w:r w:rsidRPr="00AB37A9">
        <w:rPr>
          <w:rFonts w:ascii="Times New Roman" w:hAnsi="Times New Roman" w:cs="Times New Roman"/>
          <w:sz w:val="24"/>
          <w:szCs w:val="24"/>
        </w:rPr>
        <w:t>Mehreen</w:t>
      </w:r>
      <w:proofErr w:type="spellEnd"/>
      <w:r w:rsidRPr="00AB37A9">
        <w:rPr>
          <w:rFonts w:ascii="Times New Roman" w:hAnsi="Times New Roman" w:cs="Times New Roman"/>
          <w:sz w:val="24"/>
          <w:szCs w:val="24"/>
        </w:rPr>
        <w:t>, A. (2019). Managing organizational effectiveness through talent management and career development: The mediating role of employee engagement. </w:t>
      </w:r>
      <w:r w:rsidRPr="00AB37A9">
        <w:rPr>
          <w:rFonts w:ascii="Times New Roman" w:hAnsi="Times New Roman" w:cs="Times New Roman"/>
          <w:i/>
          <w:iCs/>
          <w:sz w:val="24"/>
          <w:szCs w:val="24"/>
        </w:rPr>
        <w:t>Journal of Management Sciences</w:t>
      </w:r>
      <w:r w:rsidRPr="00AB37A9">
        <w:rPr>
          <w:rFonts w:ascii="Times New Roman" w:hAnsi="Times New Roman" w:cs="Times New Roman"/>
          <w:sz w:val="24"/>
          <w:szCs w:val="24"/>
        </w:rPr>
        <w:t>, </w:t>
      </w:r>
      <w:r w:rsidRPr="00AB37A9">
        <w:rPr>
          <w:rFonts w:ascii="Times New Roman" w:hAnsi="Times New Roman" w:cs="Times New Roman"/>
          <w:i/>
          <w:iCs/>
          <w:sz w:val="24"/>
          <w:szCs w:val="24"/>
        </w:rPr>
        <w:t>6</w:t>
      </w:r>
      <w:r w:rsidRPr="00AB37A9">
        <w:rPr>
          <w:rFonts w:ascii="Times New Roman" w:hAnsi="Times New Roman" w:cs="Times New Roman"/>
          <w:sz w:val="24"/>
          <w:szCs w:val="24"/>
        </w:rPr>
        <w:t xml:space="preserve">(1), </w:t>
      </w:r>
      <w:r>
        <w:rPr>
          <w:rFonts w:ascii="Times New Roman" w:hAnsi="Times New Roman" w:cs="Times New Roman"/>
          <w:sz w:val="24"/>
          <w:szCs w:val="24"/>
        </w:rPr>
        <w:t xml:space="preserve">pp. </w:t>
      </w:r>
      <w:r w:rsidRPr="00AB37A9">
        <w:rPr>
          <w:rFonts w:ascii="Times New Roman" w:hAnsi="Times New Roman" w:cs="Times New Roman"/>
          <w:sz w:val="24"/>
          <w:szCs w:val="24"/>
        </w:rPr>
        <w:t>62-78.</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proofErr w:type="spellStart"/>
      <w:r w:rsidRPr="00AB37A9">
        <w:rPr>
          <w:rFonts w:ascii="Times New Roman" w:hAnsi="Times New Roman" w:cs="Times New Roman"/>
          <w:sz w:val="24"/>
          <w:szCs w:val="24"/>
        </w:rPr>
        <w:t>Bedarkar</w:t>
      </w:r>
      <w:proofErr w:type="spellEnd"/>
      <w:r w:rsidRPr="00AB37A9">
        <w:rPr>
          <w:rFonts w:ascii="Times New Roman" w:hAnsi="Times New Roman" w:cs="Times New Roman"/>
          <w:sz w:val="24"/>
          <w:szCs w:val="24"/>
        </w:rPr>
        <w:t xml:space="preserve">, M., and </w:t>
      </w:r>
      <w:proofErr w:type="spellStart"/>
      <w:r w:rsidRPr="00AB37A9">
        <w:rPr>
          <w:rFonts w:ascii="Times New Roman" w:hAnsi="Times New Roman" w:cs="Times New Roman"/>
          <w:sz w:val="24"/>
          <w:szCs w:val="24"/>
        </w:rPr>
        <w:t>Pandita</w:t>
      </w:r>
      <w:proofErr w:type="spellEnd"/>
      <w:r w:rsidRPr="00AB37A9">
        <w:rPr>
          <w:rFonts w:ascii="Times New Roman" w:hAnsi="Times New Roman" w:cs="Times New Roman"/>
          <w:sz w:val="24"/>
          <w:szCs w:val="24"/>
        </w:rPr>
        <w:t>, D. (2014). A study on the drivers of employee engagement impacting employee performance. </w:t>
      </w:r>
      <w:r w:rsidRPr="00AB37A9">
        <w:rPr>
          <w:rFonts w:ascii="Times New Roman" w:hAnsi="Times New Roman" w:cs="Times New Roman"/>
          <w:i/>
          <w:iCs/>
          <w:sz w:val="24"/>
          <w:szCs w:val="24"/>
        </w:rPr>
        <w:t xml:space="preserve">Procedia-Social and </w:t>
      </w:r>
      <w:proofErr w:type="spellStart"/>
      <w:r w:rsidRPr="00AB37A9">
        <w:rPr>
          <w:rFonts w:ascii="Times New Roman" w:hAnsi="Times New Roman" w:cs="Times New Roman"/>
          <w:i/>
          <w:iCs/>
          <w:sz w:val="24"/>
          <w:szCs w:val="24"/>
        </w:rPr>
        <w:t>Behavioral</w:t>
      </w:r>
      <w:proofErr w:type="spellEnd"/>
      <w:r w:rsidRPr="00AB37A9">
        <w:rPr>
          <w:rFonts w:ascii="Times New Roman" w:hAnsi="Times New Roman" w:cs="Times New Roman"/>
          <w:i/>
          <w:iCs/>
          <w:sz w:val="24"/>
          <w:szCs w:val="24"/>
        </w:rPr>
        <w:t xml:space="preserve"> Sciences</w:t>
      </w:r>
      <w:r w:rsidRPr="00AB37A9">
        <w:rPr>
          <w:rFonts w:ascii="Times New Roman" w:hAnsi="Times New Roman" w:cs="Times New Roman"/>
          <w:sz w:val="24"/>
          <w:szCs w:val="24"/>
        </w:rPr>
        <w:t>, </w:t>
      </w:r>
      <w:r w:rsidRPr="00AB37A9">
        <w:rPr>
          <w:rFonts w:ascii="Times New Roman" w:hAnsi="Times New Roman" w:cs="Times New Roman"/>
          <w:i/>
          <w:iCs/>
          <w:sz w:val="24"/>
          <w:szCs w:val="24"/>
        </w:rPr>
        <w:t>133</w:t>
      </w:r>
      <w:r w:rsidRPr="00AB37A9">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AB37A9">
        <w:rPr>
          <w:rFonts w:ascii="Times New Roman" w:hAnsi="Times New Roman" w:cs="Times New Roman"/>
          <w:sz w:val="24"/>
          <w:szCs w:val="24"/>
        </w:rPr>
        <w:t>106-115.</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‌BRAVO! Employee Experience Management. (2021). </w:t>
      </w:r>
      <w:r w:rsidRPr="00AB37A9">
        <w:rPr>
          <w:rFonts w:ascii="Times New Roman" w:hAnsi="Times New Roman" w:cs="Times New Roman"/>
          <w:i/>
          <w:iCs/>
          <w:sz w:val="24"/>
          <w:szCs w:val="24"/>
        </w:rPr>
        <w:t xml:space="preserve">The Future </w:t>
      </w:r>
      <w:proofErr w:type="gramStart"/>
      <w:r w:rsidRPr="00AB37A9">
        <w:rPr>
          <w:rFonts w:ascii="Times New Roman" w:hAnsi="Times New Roman" w:cs="Times New Roman"/>
          <w:i/>
          <w:iCs/>
          <w:sz w:val="24"/>
          <w:szCs w:val="24"/>
        </w:rPr>
        <w:t>Of</w:t>
      </w:r>
      <w:proofErr w:type="gramEnd"/>
      <w:r w:rsidRPr="00AB37A9">
        <w:rPr>
          <w:rFonts w:ascii="Times New Roman" w:hAnsi="Times New Roman" w:cs="Times New Roman"/>
          <w:i/>
          <w:iCs/>
          <w:sz w:val="24"/>
          <w:szCs w:val="24"/>
        </w:rPr>
        <w:t xml:space="preserve"> Employee Engagement In The Banking Industry | BRAVO</w:t>
      </w:r>
      <w:r w:rsidRPr="00AB37A9">
        <w:rPr>
          <w:rFonts w:ascii="Times New Roman" w:hAnsi="Times New Roman" w:cs="Times New Roman"/>
          <w:sz w:val="24"/>
          <w:szCs w:val="24"/>
        </w:rPr>
        <w:t xml:space="preserve">. [online] Available at: </w:t>
      </w:r>
      <w:hyperlink r:id="rId10" w:history="1">
        <w:r w:rsidRPr="00AB37A9">
          <w:rPr>
            <w:rStyle w:val="Hyperlink"/>
            <w:rFonts w:ascii="Times New Roman" w:hAnsi="Times New Roman" w:cs="Times New Roman"/>
            <w:sz w:val="24"/>
            <w:szCs w:val="24"/>
          </w:rPr>
          <w:t>https://getbravo.io/the-future-of-employee-engagement-in-the-banking-industry/</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‌businessleadershiptoday.com. (2022). </w:t>
      </w:r>
      <w:r w:rsidRPr="00AB37A9">
        <w:rPr>
          <w:rFonts w:ascii="Times New Roman" w:hAnsi="Times New Roman" w:cs="Times New Roman"/>
          <w:i/>
          <w:iCs/>
          <w:sz w:val="24"/>
          <w:szCs w:val="24"/>
        </w:rPr>
        <w:t>18 Best Employee Engagement Strategies for 2023 (And Beyond) - Business Leadership Today</w:t>
      </w:r>
      <w:r w:rsidRPr="00AB37A9">
        <w:rPr>
          <w:rFonts w:ascii="Times New Roman" w:hAnsi="Times New Roman" w:cs="Times New Roman"/>
          <w:sz w:val="24"/>
          <w:szCs w:val="24"/>
        </w:rPr>
        <w:t xml:space="preserve">. [online] Available at: </w:t>
      </w:r>
      <w:hyperlink r:id="rId11" w:history="1">
        <w:r w:rsidRPr="00AB37A9">
          <w:rPr>
            <w:rStyle w:val="Hyperlink"/>
            <w:rFonts w:ascii="Times New Roman" w:hAnsi="Times New Roman" w:cs="Times New Roman"/>
            <w:sz w:val="24"/>
            <w:szCs w:val="24"/>
          </w:rPr>
          <w:t>https://businessleadershiptoday.com/employee-engagement-strategies</w:t>
        </w:r>
      </w:hyperlink>
      <w:r w:rsidRPr="00AB37A9">
        <w:rPr>
          <w:rFonts w:ascii="Times New Roman" w:hAnsi="Times New Roman" w:cs="Times New Roman"/>
          <w:sz w:val="24"/>
          <w:szCs w:val="24"/>
        </w:rPr>
        <w:t xml:space="preserve">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‌Helman, H. (2023). </w:t>
      </w:r>
      <w:r w:rsidRPr="00AB37A9">
        <w:rPr>
          <w:rFonts w:ascii="Times New Roman" w:hAnsi="Times New Roman" w:cs="Times New Roman"/>
          <w:i/>
          <w:iCs/>
          <w:sz w:val="24"/>
          <w:szCs w:val="24"/>
        </w:rPr>
        <w:t>30 Employee Engagement Best Practices to Follow in 2023</w:t>
      </w:r>
      <w:r w:rsidRPr="00AB37A9">
        <w:rPr>
          <w:rFonts w:ascii="Times New Roman" w:hAnsi="Times New Roman" w:cs="Times New Roman"/>
          <w:sz w:val="24"/>
          <w:szCs w:val="24"/>
        </w:rPr>
        <w:t xml:space="preserve">. [online] Available at: </w:t>
      </w:r>
      <w:hyperlink r:id="rId12" w:history="1">
        <w:r w:rsidRPr="00AB37A9">
          <w:rPr>
            <w:rStyle w:val="Hyperlink"/>
            <w:rFonts w:ascii="Times New Roman" w:hAnsi="Times New Roman" w:cs="Times New Roman"/>
            <w:sz w:val="24"/>
            <w:szCs w:val="24"/>
          </w:rPr>
          <w:t>https://www.lumapps.com/employee-engagement/employee-engagement-best-practices/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proofErr w:type="spellStart"/>
      <w:r w:rsidRPr="00AB37A9">
        <w:rPr>
          <w:rFonts w:ascii="Times New Roman" w:hAnsi="Times New Roman" w:cs="Times New Roman"/>
          <w:sz w:val="24"/>
          <w:szCs w:val="24"/>
        </w:rPr>
        <w:t>Nasution</w:t>
      </w:r>
      <w:proofErr w:type="spellEnd"/>
      <w:r w:rsidRPr="00AB37A9">
        <w:rPr>
          <w:rFonts w:ascii="Times New Roman" w:hAnsi="Times New Roman" w:cs="Times New Roman"/>
          <w:sz w:val="24"/>
          <w:szCs w:val="24"/>
        </w:rPr>
        <w:t xml:space="preserve">, H., and </w:t>
      </w:r>
      <w:proofErr w:type="spellStart"/>
      <w:r w:rsidRPr="00AB37A9">
        <w:rPr>
          <w:rFonts w:ascii="Times New Roman" w:hAnsi="Times New Roman" w:cs="Times New Roman"/>
          <w:sz w:val="24"/>
          <w:szCs w:val="24"/>
        </w:rPr>
        <w:t>Absah</w:t>
      </w:r>
      <w:proofErr w:type="spellEnd"/>
      <w:r w:rsidRPr="00AB37A9">
        <w:rPr>
          <w:rFonts w:ascii="Times New Roman" w:hAnsi="Times New Roman" w:cs="Times New Roman"/>
          <w:sz w:val="24"/>
          <w:szCs w:val="24"/>
        </w:rPr>
        <w:t>, Y. (2019). Effective Employee Engagement Using SWOT Analysis. In </w:t>
      </w:r>
      <w:r w:rsidRPr="00AB37A9">
        <w:rPr>
          <w:rFonts w:ascii="Times New Roman" w:hAnsi="Times New Roman" w:cs="Times New Roman"/>
          <w:i/>
          <w:iCs/>
          <w:sz w:val="24"/>
          <w:szCs w:val="24"/>
        </w:rPr>
        <w:t>2019 International Conference on Organizational Innovation (ICOI 2019)</w:t>
      </w:r>
      <w:r w:rsidRPr="00AB37A9">
        <w:rPr>
          <w:rFonts w:ascii="Times New Roman" w:hAnsi="Times New Roman" w:cs="Times New Roman"/>
          <w:sz w:val="24"/>
          <w:szCs w:val="24"/>
        </w:rPr>
        <w:t> (pp. 336-340). Atlantis Press.</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‌Post, G. (2023). </w:t>
      </w:r>
      <w:r w:rsidRPr="00AB37A9">
        <w:rPr>
          <w:rFonts w:ascii="Times New Roman" w:hAnsi="Times New Roman" w:cs="Times New Roman"/>
          <w:i/>
          <w:iCs/>
          <w:sz w:val="24"/>
          <w:szCs w:val="24"/>
        </w:rPr>
        <w:t xml:space="preserve">5 Employee Engagement Statistics </w:t>
      </w:r>
      <w:proofErr w:type="gramStart"/>
      <w:r w:rsidRPr="00AB37A9">
        <w:rPr>
          <w:rFonts w:ascii="Times New Roman" w:hAnsi="Times New Roman" w:cs="Times New Roman"/>
          <w:i/>
          <w:iCs/>
          <w:sz w:val="24"/>
          <w:szCs w:val="24"/>
        </w:rPr>
        <w:t>To</w:t>
      </w:r>
      <w:proofErr w:type="gramEnd"/>
      <w:r w:rsidRPr="00AB37A9">
        <w:rPr>
          <w:rFonts w:ascii="Times New Roman" w:hAnsi="Times New Roman" w:cs="Times New Roman"/>
          <w:i/>
          <w:iCs/>
          <w:sz w:val="24"/>
          <w:szCs w:val="24"/>
        </w:rPr>
        <w:t xml:space="preserve"> Be Aware of in 2023</w:t>
      </w:r>
      <w:r w:rsidRPr="00AB37A9">
        <w:rPr>
          <w:rFonts w:ascii="Times New Roman" w:hAnsi="Times New Roman" w:cs="Times New Roman"/>
          <w:sz w:val="24"/>
          <w:szCs w:val="24"/>
        </w:rPr>
        <w:t xml:space="preserve">. [online] </w:t>
      </w:r>
      <w:proofErr w:type="spellStart"/>
      <w:r w:rsidRPr="00AB37A9">
        <w:rPr>
          <w:rFonts w:ascii="Times New Roman" w:hAnsi="Times New Roman" w:cs="Times New Roman"/>
          <w:sz w:val="24"/>
          <w:szCs w:val="24"/>
        </w:rPr>
        <w:t>Engagedly</w:t>
      </w:r>
      <w:proofErr w:type="spellEnd"/>
      <w:r w:rsidRPr="00AB37A9">
        <w:rPr>
          <w:rFonts w:ascii="Times New Roman" w:hAnsi="Times New Roman" w:cs="Times New Roman"/>
          <w:sz w:val="24"/>
          <w:szCs w:val="24"/>
        </w:rPr>
        <w:t xml:space="preserve">. Available at: </w:t>
      </w:r>
      <w:hyperlink r:id="rId13" w:anchor=":~:text=Employee%20engagement%20is%20important%20in%202023%20because%20it%20directly%20impacts" w:history="1">
        <w:r w:rsidRPr="00AB37A9">
          <w:rPr>
            <w:rStyle w:val="Hyperlink"/>
            <w:rFonts w:ascii="Times New Roman" w:hAnsi="Times New Roman" w:cs="Times New Roman"/>
            <w:sz w:val="24"/>
            <w:szCs w:val="24"/>
          </w:rPr>
          <w:t>https://engagedly.com/5-employee-engagement-statistics-you-should-be-aware-of-in-2023/#:~:text=Employee%20engagement%20is%20important%20in%202023%20because%20it%20directly%20impacts</w:t>
        </w:r>
      </w:hyperlink>
      <w:r w:rsidRPr="00AB37A9">
        <w:rPr>
          <w:rFonts w:ascii="Times New Roman" w:hAnsi="Times New Roman" w:cs="Times New Roman"/>
          <w:sz w:val="24"/>
          <w:szCs w:val="24"/>
        </w:rPr>
        <w:t xml:space="preserve">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‌Robinson, A. (2022). </w:t>
      </w:r>
      <w:r w:rsidRPr="00AB37A9">
        <w:rPr>
          <w:rFonts w:ascii="Times New Roman" w:hAnsi="Times New Roman" w:cs="Times New Roman"/>
          <w:i/>
          <w:iCs/>
          <w:sz w:val="24"/>
          <w:szCs w:val="24"/>
        </w:rPr>
        <w:t>Employee Engagement Strategies: #1 Guide in 2022</w:t>
      </w:r>
      <w:r w:rsidRPr="00AB37A9">
        <w:rPr>
          <w:rFonts w:ascii="Times New Roman" w:hAnsi="Times New Roman" w:cs="Times New Roman"/>
          <w:sz w:val="24"/>
          <w:szCs w:val="24"/>
        </w:rPr>
        <w:t xml:space="preserve">. [online] teambuilding.com. Available at: </w:t>
      </w:r>
      <w:hyperlink r:id="rId14" w:history="1">
        <w:r w:rsidRPr="00AB37A9">
          <w:rPr>
            <w:rStyle w:val="Hyperlink"/>
            <w:rFonts w:ascii="Times New Roman" w:hAnsi="Times New Roman" w:cs="Times New Roman"/>
            <w:sz w:val="24"/>
            <w:szCs w:val="24"/>
          </w:rPr>
          <w:t>https://teambuilding.com/blog/employee-engagement-strategies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lastRenderedPageBreak/>
        <w:t>‌Srivastava, S. (2022). </w:t>
      </w:r>
      <w:r w:rsidRPr="00AB37A9">
        <w:rPr>
          <w:rFonts w:ascii="Times New Roman" w:hAnsi="Times New Roman" w:cs="Times New Roman"/>
          <w:i/>
          <w:iCs/>
          <w:sz w:val="24"/>
          <w:szCs w:val="24"/>
        </w:rPr>
        <w:t>Top 23 Employee Engagement Ideas for the Banking Sector in 2023</w:t>
      </w:r>
      <w:r w:rsidRPr="00AB37A9">
        <w:rPr>
          <w:rFonts w:ascii="Times New Roman" w:hAnsi="Times New Roman" w:cs="Times New Roman"/>
          <w:sz w:val="24"/>
          <w:szCs w:val="24"/>
        </w:rPr>
        <w:t xml:space="preserve">. [online] blog.darwinbox.com. Available at: </w:t>
      </w:r>
      <w:hyperlink r:id="rId15" w:history="1">
        <w:r w:rsidRPr="00AB37A9">
          <w:rPr>
            <w:rStyle w:val="Hyperlink"/>
            <w:rFonts w:ascii="Times New Roman" w:hAnsi="Times New Roman" w:cs="Times New Roman"/>
            <w:sz w:val="24"/>
            <w:szCs w:val="24"/>
          </w:rPr>
          <w:t>https://blog.darwinbox.com/employee-engagement-in-banking</w:t>
        </w:r>
      </w:hyperlink>
      <w:r w:rsidRPr="00AB37A9">
        <w:rPr>
          <w:rFonts w:ascii="Times New Roman" w:hAnsi="Times New Roman" w:cs="Times New Roman"/>
          <w:sz w:val="24"/>
          <w:szCs w:val="24"/>
        </w:rPr>
        <w:t xml:space="preserve">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Stacey, K. (2023). </w:t>
      </w:r>
      <w:r w:rsidRPr="00AB37A9">
        <w:rPr>
          <w:rFonts w:ascii="Times New Roman" w:hAnsi="Times New Roman" w:cs="Times New Roman"/>
          <w:i/>
          <w:iCs/>
          <w:sz w:val="24"/>
          <w:szCs w:val="24"/>
        </w:rPr>
        <w:t>10 Employee Engagement Strategies That Actually Work in 2023</w:t>
      </w:r>
      <w:r w:rsidRPr="00AB37A9">
        <w:rPr>
          <w:rFonts w:ascii="Times New Roman" w:hAnsi="Times New Roman" w:cs="Times New Roman"/>
          <w:sz w:val="24"/>
          <w:szCs w:val="24"/>
        </w:rPr>
        <w:t xml:space="preserve">. [online] </w:t>
      </w:r>
      <w:proofErr w:type="spellStart"/>
      <w:r w:rsidRPr="00AB37A9">
        <w:rPr>
          <w:rFonts w:ascii="Times New Roman" w:hAnsi="Times New Roman" w:cs="Times New Roman"/>
          <w:sz w:val="24"/>
          <w:szCs w:val="24"/>
        </w:rPr>
        <w:t>Connecteam</w:t>
      </w:r>
      <w:proofErr w:type="spellEnd"/>
      <w:r w:rsidRPr="00AB37A9">
        <w:rPr>
          <w:rFonts w:ascii="Times New Roman" w:hAnsi="Times New Roman" w:cs="Times New Roman"/>
          <w:sz w:val="24"/>
          <w:szCs w:val="24"/>
        </w:rPr>
        <w:t xml:space="preserve">. Available at: </w:t>
      </w:r>
      <w:hyperlink r:id="rId16" w:history="1">
        <w:r w:rsidRPr="00AB37A9">
          <w:rPr>
            <w:rStyle w:val="Hyperlink"/>
            <w:rFonts w:ascii="Times New Roman" w:hAnsi="Times New Roman" w:cs="Times New Roman"/>
            <w:sz w:val="24"/>
            <w:szCs w:val="24"/>
          </w:rPr>
          <w:t>https://connecteam.com/e-employee-engagement-strategies/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proofErr w:type="spellStart"/>
      <w:r w:rsidRPr="00AB37A9">
        <w:rPr>
          <w:rFonts w:ascii="Times New Roman" w:hAnsi="Times New Roman" w:cs="Times New Roman"/>
          <w:sz w:val="24"/>
          <w:szCs w:val="24"/>
        </w:rPr>
        <w:t>Valamis</w:t>
      </w:r>
      <w:proofErr w:type="spellEnd"/>
      <w:r w:rsidRPr="00AB37A9">
        <w:rPr>
          <w:rFonts w:ascii="Times New Roman" w:hAnsi="Times New Roman" w:cs="Times New Roman"/>
          <w:sz w:val="24"/>
          <w:szCs w:val="24"/>
        </w:rPr>
        <w:t xml:space="preserve"> (2020). </w:t>
      </w:r>
      <w:r w:rsidRPr="00AB37A9">
        <w:rPr>
          <w:rFonts w:ascii="Times New Roman" w:hAnsi="Times New Roman" w:cs="Times New Roman"/>
          <w:i/>
          <w:iCs/>
          <w:sz w:val="24"/>
          <w:szCs w:val="24"/>
        </w:rPr>
        <w:t>What is Employee Engagement? Strategies, Best Practices &amp; Ideas</w:t>
      </w:r>
      <w:r w:rsidRPr="00AB37A9">
        <w:rPr>
          <w:rFonts w:ascii="Times New Roman" w:hAnsi="Times New Roman" w:cs="Times New Roman"/>
          <w:sz w:val="24"/>
          <w:szCs w:val="24"/>
        </w:rPr>
        <w:t xml:space="preserve">. [online] Available at: </w:t>
      </w:r>
      <w:hyperlink r:id="rId17" w:history="1">
        <w:r w:rsidRPr="00AB37A9">
          <w:rPr>
            <w:rStyle w:val="Hyperlink"/>
            <w:rFonts w:ascii="Times New Roman" w:hAnsi="Times New Roman" w:cs="Times New Roman"/>
            <w:sz w:val="24"/>
            <w:szCs w:val="24"/>
          </w:rPr>
          <w:t>https://www.valamis.com/hub/employee-engagement</w:t>
        </w:r>
      </w:hyperlink>
      <w:r w:rsidRPr="00AB37A9">
        <w:rPr>
          <w:rFonts w:ascii="Times New Roman" w:hAnsi="Times New Roman" w:cs="Times New Roman"/>
          <w:sz w:val="24"/>
          <w:szCs w:val="24"/>
        </w:rPr>
        <w:t xml:space="preserve"> Accessed 2 Aug. 2023].</w:t>
      </w:r>
    </w:p>
    <w:p w:rsidR="00AB37A9" w:rsidRPr="006F43FB" w:rsidRDefault="00AB37A9" w:rsidP="0063191F">
      <w:pPr>
        <w:rPr>
          <w:rFonts w:ascii="Times New Roman" w:hAnsi="Times New Roman" w:cs="Times New Roman"/>
          <w:sz w:val="24"/>
          <w:szCs w:val="24"/>
        </w:rPr>
      </w:pPr>
    </w:p>
    <w:p w:rsidR="0063191F" w:rsidRDefault="0063191F" w:rsidP="0063191F"/>
    <w:p w:rsidR="0063191F" w:rsidRPr="0063191F" w:rsidRDefault="0063191F" w:rsidP="0063191F"/>
    <w:p w:rsidR="0063191F" w:rsidRPr="0063191F" w:rsidRDefault="0063191F" w:rsidP="0063191F">
      <w:pPr>
        <w:rPr>
          <w:rFonts w:ascii="Times New Roman" w:hAnsi="Times New Roman" w:cs="Times New Roman"/>
          <w:sz w:val="24"/>
          <w:szCs w:val="24"/>
        </w:rPr>
      </w:pPr>
      <w:r w:rsidRPr="0063191F">
        <w:rPr>
          <w:rFonts w:ascii="Times New Roman" w:hAnsi="Times New Roman" w:cs="Times New Roman"/>
          <w:sz w:val="24"/>
          <w:szCs w:val="24"/>
        </w:rPr>
        <w:t>‌</w:t>
      </w:r>
    </w:p>
    <w:p w:rsidR="00671386" w:rsidRPr="00671386" w:rsidRDefault="00671386" w:rsidP="00671386">
      <w:pPr>
        <w:rPr>
          <w:rFonts w:ascii="Times New Roman" w:hAnsi="Times New Roman" w:cs="Times New Roman"/>
          <w:sz w:val="24"/>
          <w:szCs w:val="24"/>
        </w:rPr>
      </w:pPr>
    </w:p>
    <w:p w:rsidR="003B29D4" w:rsidRPr="006F43FB" w:rsidRDefault="003B29D4">
      <w:pPr>
        <w:rPr>
          <w:rFonts w:ascii="Times New Roman" w:hAnsi="Times New Roman" w:cs="Times New Roman"/>
          <w:sz w:val="24"/>
          <w:szCs w:val="24"/>
        </w:rPr>
      </w:pPr>
    </w:p>
    <w:sectPr w:rsidR="003B29D4" w:rsidRPr="006F43F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6F03" w:rsidRDefault="00F76F03" w:rsidP="00453512">
      <w:pPr>
        <w:spacing w:after="0" w:line="240" w:lineRule="auto"/>
      </w:pPr>
      <w:r>
        <w:separator/>
      </w:r>
    </w:p>
  </w:endnote>
  <w:endnote w:type="continuationSeparator" w:id="0">
    <w:p w:rsidR="00F76F03" w:rsidRDefault="00F76F03" w:rsidP="00453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6F03" w:rsidRDefault="00F76F03" w:rsidP="00453512">
      <w:pPr>
        <w:spacing w:after="0" w:line="240" w:lineRule="auto"/>
      </w:pPr>
      <w:r>
        <w:separator/>
      </w:r>
    </w:p>
  </w:footnote>
  <w:footnote w:type="continuationSeparator" w:id="0">
    <w:p w:rsidR="00F76F03" w:rsidRDefault="00F76F03" w:rsidP="00453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166E0"/>
    <w:multiLevelType w:val="multilevel"/>
    <w:tmpl w:val="E4F06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D31833"/>
    <w:multiLevelType w:val="multilevel"/>
    <w:tmpl w:val="3B300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350961"/>
    <w:multiLevelType w:val="multilevel"/>
    <w:tmpl w:val="E74C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FA1242"/>
    <w:multiLevelType w:val="multilevel"/>
    <w:tmpl w:val="2824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21051"/>
    <w:multiLevelType w:val="multilevel"/>
    <w:tmpl w:val="40CE6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7EC"/>
    <w:rsid w:val="00044FFA"/>
    <w:rsid w:val="0006186B"/>
    <w:rsid w:val="000B753B"/>
    <w:rsid w:val="001807EC"/>
    <w:rsid w:val="0019754A"/>
    <w:rsid w:val="002406F0"/>
    <w:rsid w:val="002D1EE7"/>
    <w:rsid w:val="002F2DCC"/>
    <w:rsid w:val="003B29D4"/>
    <w:rsid w:val="00445CF3"/>
    <w:rsid w:val="00453512"/>
    <w:rsid w:val="004B4984"/>
    <w:rsid w:val="005C73CD"/>
    <w:rsid w:val="0063191F"/>
    <w:rsid w:val="00671386"/>
    <w:rsid w:val="00674BD2"/>
    <w:rsid w:val="006F43FB"/>
    <w:rsid w:val="008B0B6F"/>
    <w:rsid w:val="008B5CA6"/>
    <w:rsid w:val="0091687A"/>
    <w:rsid w:val="00983B40"/>
    <w:rsid w:val="009C4ED1"/>
    <w:rsid w:val="00AB37A9"/>
    <w:rsid w:val="00BC1AED"/>
    <w:rsid w:val="00BE3BC3"/>
    <w:rsid w:val="00C941EB"/>
    <w:rsid w:val="00CE4BE5"/>
    <w:rsid w:val="00CF1A38"/>
    <w:rsid w:val="00CF1EF5"/>
    <w:rsid w:val="00D030D6"/>
    <w:rsid w:val="00D112A7"/>
    <w:rsid w:val="00D35E4F"/>
    <w:rsid w:val="00D90D93"/>
    <w:rsid w:val="00DD4024"/>
    <w:rsid w:val="00E53B2E"/>
    <w:rsid w:val="00E70877"/>
    <w:rsid w:val="00EC15CB"/>
    <w:rsid w:val="00EF431C"/>
    <w:rsid w:val="00F35869"/>
    <w:rsid w:val="00F76F03"/>
    <w:rsid w:val="00FD7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C22BB"/>
  <w15:chartTrackingRefBased/>
  <w15:docId w15:val="{9ABB8B24-F4FB-449E-BDE3-52AE841A9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7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37A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C15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29D4"/>
    <w:rPr>
      <w:rFonts w:ascii="Times New Roman" w:hAnsi="Times New Roman" w:cs="Times New Roman"/>
      <w:sz w:val="24"/>
      <w:szCs w:val="24"/>
    </w:rPr>
  </w:style>
  <w:style w:type="character" w:styleId="Hyperlink">
    <w:name w:val="Hyperlink"/>
    <w:basedOn w:val="DefaultParagraphFont"/>
    <w:uiPriority w:val="99"/>
    <w:unhideWhenUsed/>
    <w:rsid w:val="006F43FB"/>
    <w:rPr>
      <w:color w:val="0563C1" w:themeColor="hyperlink"/>
      <w:u w:val="single"/>
    </w:rPr>
  </w:style>
  <w:style w:type="paragraph" w:styleId="Header">
    <w:name w:val="header"/>
    <w:basedOn w:val="Normal"/>
    <w:link w:val="HeaderChar"/>
    <w:uiPriority w:val="99"/>
    <w:unhideWhenUsed/>
    <w:rsid w:val="00453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512"/>
  </w:style>
  <w:style w:type="paragraph" w:styleId="Footer">
    <w:name w:val="footer"/>
    <w:basedOn w:val="Normal"/>
    <w:link w:val="FooterChar"/>
    <w:uiPriority w:val="99"/>
    <w:unhideWhenUsed/>
    <w:rsid w:val="00453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512"/>
  </w:style>
  <w:style w:type="character" w:customStyle="1" w:styleId="Heading1Char">
    <w:name w:val="Heading 1 Char"/>
    <w:basedOn w:val="DefaultParagraphFont"/>
    <w:link w:val="Heading1"/>
    <w:uiPriority w:val="9"/>
    <w:rsid w:val="00AB37A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B37A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B37A9"/>
    <w:pPr>
      <w:outlineLvl w:val="9"/>
    </w:pPr>
    <w:rPr>
      <w:lang w:val="en-US"/>
    </w:rPr>
  </w:style>
  <w:style w:type="paragraph" w:styleId="TOC1">
    <w:name w:val="toc 1"/>
    <w:basedOn w:val="Normal"/>
    <w:next w:val="Normal"/>
    <w:autoRedefine/>
    <w:uiPriority w:val="39"/>
    <w:unhideWhenUsed/>
    <w:rsid w:val="00AB37A9"/>
    <w:pPr>
      <w:spacing w:after="100"/>
    </w:pPr>
  </w:style>
  <w:style w:type="paragraph" w:styleId="TOC2">
    <w:name w:val="toc 2"/>
    <w:basedOn w:val="Normal"/>
    <w:next w:val="Normal"/>
    <w:autoRedefine/>
    <w:uiPriority w:val="39"/>
    <w:unhideWhenUsed/>
    <w:rsid w:val="00AB37A9"/>
    <w:pPr>
      <w:spacing w:after="100"/>
      <w:ind w:left="220"/>
    </w:pPr>
  </w:style>
  <w:style w:type="character" w:customStyle="1" w:styleId="Heading3Char">
    <w:name w:val="Heading 3 Char"/>
    <w:basedOn w:val="DefaultParagraphFont"/>
    <w:link w:val="Heading3"/>
    <w:uiPriority w:val="9"/>
    <w:semiHidden/>
    <w:rsid w:val="00EC15C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44FFA"/>
    <w:pPr>
      <w:spacing w:after="100"/>
      <w:ind w:left="440"/>
    </w:pPr>
  </w:style>
  <w:style w:type="paragraph" w:customStyle="1" w:styleId="breadcrumb-item">
    <w:name w:val="breadcrumb-item"/>
    <w:basedOn w:val="Normal"/>
    <w:rsid w:val="00674B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406027">
      <w:bodyDiv w:val="1"/>
      <w:marLeft w:val="0"/>
      <w:marRight w:val="0"/>
      <w:marTop w:val="0"/>
      <w:marBottom w:val="0"/>
      <w:divBdr>
        <w:top w:val="none" w:sz="0" w:space="0" w:color="auto"/>
        <w:left w:val="none" w:sz="0" w:space="0" w:color="auto"/>
        <w:bottom w:val="none" w:sz="0" w:space="0" w:color="auto"/>
        <w:right w:val="none" w:sz="0" w:space="0" w:color="auto"/>
      </w:divBdr>
    </w:div>
    <w:div w:id="359012212">
      <w:bodyDiv w:val="1"/>
      <w:marLeft w:val="0"/>
      <w:marRight w:val="0"/>
      <w:marTop w:val="0"/>
      <w:marBottom w:val="0"/>
      <w:divBdr>
        <w:top w:val="none" w:sz="0" w:space="0" w:color="auto"/>
        <w:left w:val="none" w:sz="0" w:space="0" w:color="auto"/>
        <w:bottom w:val="none" w:sz="0" w:space="0" w:color="auto"/>
        <w:right w:val="none" w:sz="0" w:space="0" w:color="auto"/>
      </w:divBdr>
    </w:div>
    <w:div w:id="476533243">
      <w:bodyDiv w:val="1"/>
      <w:marLeft w:val="0"/>
      <w:marRight w:val="0"/>
      <w:marTop w:val="0"/>
      <w:marBottom w:val="0"/>
      <w:divBdr>
        <w:top w:val="none" w:sz="0" w:space="0" w:color="auto"/>
        <w:left w:val="none" w:sz="0" w:space="0" w:color="auto"/>
        <w:bottom w:val="none" w:sz="0" w:space="0" w:color="auto"/>
        <w:right w:val="none" w:sz="0" w:space="0" w:color="auto"/>
      </w:divBdr>
    </w:div>
    <w:div w:id="631594025">
      <w:bodyDiv w:val="1"/>
      <w:marLeft w:val="0"/>
      <w:marRight w:val="0"/>
      <w:marTop w:val="0"/>
      <w:marBottom w:val="0"/>
      <w:divBdr>
        <w:top w:val="none" w:sz="0" w:space="0" w:color="auto"/>
        <w:left w:val="none" w:sz="0" w:space="0" w:color="auto"/>
        <w:bottom w:val="none" w:sz="0" w:space="0" w:color="auto"/>
        <w:right w:val="none" w:sz="0" w:space="0" w:color="auto"/>
      </w:divBdr>
    </w:div>
    <w:div w:id="760877113">
      <w:bodyDiv w:val="1"/>
      <w:marLeft w:val="0"/>
      <w:marRight w:val="0"/>
      <w:marTop w:val="0"/>
      <w:marBottom w:val="0"/>
      <w:divBdr>
        <w:top w:val="none" w:sz="0" w:space="0" w:color="auto"/>
        <w:left w:val="none" w:sz="0" w:space="0" w:color="auto"/>
        <w:bottom w:val="none" w:sz="0" w:space="0" w:color="auto"/>
        <w:right w:val="none" w:sz="0" w:space="0" w:color="auto"/>
      </w:divBdr>
    </w:div>
    <w:div w:id="856773349">
      <w:bodyDiv w:val="1"/>
      <w:marLeft w:val="0"/>
      <w:marRight w:val="0"/>
      <w:marTop w:val="0"/>
      <w:marBottom w:val="0"/>
      <w:divBdr>
        <w:top w:val="none" w:sz="0" w:space="0" w:color="auto"/>
        <w:left w:val="none" w:sz="0" w:space="0" w:color="auto"/>
        <w:bottom w:val="none" w:sz="0" w:space="0" w:color="auto"/>
        <w:right w:val="none" w:sz="0" w:space="0" w:color="auto"/>
      </w:divBdr>
    </w:div>
    <w:div w:id="930089019">
      <w:bodyDiv w:val="1"/>
      <w:marLeft w:val="0"/>
      <w:marRight w:val="0"/>
      <w:marTop w:val="0"/>
      <w:marBottom w:val="0"/>
      <w:divBdr>
        <w:top w:val="none" w:sz="0" w:space="0" w:color="auto"/>
        <w:left w:val="none" w:sz="0" w:space="0" w:color="auto"/>
        <w:bottom w:val="none" w:sz="0" w:space="0" w:color="auto"/>
        <w:right w:val="none" w:sz="0" w:space="0" w:color="auto"/>
      </w:divBdr>
    </w:div>
    <w:div w:id="1132402233">
      <w:bodyDiv w:val="1"/>
      <w:marLeft w:val="0"/>
      <w:marRight w:val="0"/>
      <w:marTop w:val="0"/>
      <w:marBottom w:val="0"/>
      <w:divBdr>
        <w:top w:val="none" w:sz="0" w:space="0" w:color="auto"/>
        <w:left w:val="none" w:sz="0" w:space="0" w:color="auto"/>
        <w:bottom w:val="none" w:sz="0" w:space="0" w:color="auto"/>
        <w:right w:val="none" w:sz="0" w:space="0" w:color="auto"/>
      </w:divBdr>
    </w:div>
    <w:div w:id="1227379185">
      <w:bodyDiv w:val="1"/>
      <w:marLeft w:val="0"/>
      <w:marRight w:val="0"/>
      <w:marTop w:val="0"/>
      <w:marBottom w:val="0"/>
      <w:divBdr>
        <w:top w:val="none" w:sz="0" w:space="0" w:color="auto"/>
        <w:left w:val="none" w:sz="0" w:space="0" w:color="auto"/>
        <w:bottom w:val="none" w:sz="0" w:space="0" w:color="auto"/>
        <w:right w:val="none" w:sz="0" w:space="0" w:color="auto"/>
      </w:divBdr>
    </w:div>
    <w:div w:id="1231159996">
      <w:bodyDiv w:val="1"/>
      <w:marLeft w:val="0"/>
      <w:marRight w:val="0"/>
      <w:marTop w:val="0"/>
      <w:marBottom w:val="0"/>
      <w:divBdr>
        <w:top w:val="none" w:sz="0" w:space="0" w:color="auto"/>
        <w:left w:val="none" w:sz="0" w:space="0" w:color="auto"/>
        <w:bottom w:val="none" w:sz="0" w:space="0" w:color="auto"/>
        <w:right w:val="none" w:sz="0" w:space="0" w:color="auto"/>
      </w:divBdr>
    </w:div>
    <w:div w:id="1259102028">
      <w:bodyDiv w:val="1"/>
      <w:marLeft w:val="0"/>
      <w:marRight w:val="0"/>
      <w:marTop w:val="0"/>
      <w:marBottom w:val="0"/>
      <w:divBdr>
        <w:top w:val="none" w:sz="0" w:space="0" w:color="auto"/>
        <w:left w:val="none" w:sz="0" w:space="0" w:color="auto"/>
        <w:bottom w:val="none" w:sz="0" w:space="0" w:color="auto"/>
        <w:right w:val="none" w:sz="0" w:space="0" w:color="auto"/>
      </w:divBdr>
    </w:div>
    <w:div w:id="1317952640">
      <w:bodyDiv w:val="1"/>
      <w:marLeft w:val="0"/>
      <w:marRight w:val="0"/>
      <w:marTop w:val="0"/>
      <w:marBottom w:val="0"/>
      <w:divBdr>
        <w:top w:val="none" w:sz="0" w:space="0" w:color="auto"/>
        <w:left w:val="none" w:sz="0" w:space="0" w:color="auto"/>
        <w:bottom w:val="none" w:sz="0" w:space="0" w:color="auto"/>
        <w:right w:val="none" w:sz="0" w:space="0" w:color="auto"/>
      </w:divBdr>
    </w:div>
    <w:div w:id="1439763272">
      <w:bodyDiv w:val="1"/>
      <w:marLeft w:val="0"/>
      <w:marRight w:val="0"/>
      <w:marTop w:val="0"/>
      <w:marBottom w:val="0"/>
      <w:divBdr>
        <w:top w:val="none" w:sz="0" w:space="0" w:color="auto"/>
        <w:left w:val="none" w:sz="0" w:space="0" w:color="auto"/>
        <w:bottom w:val="none" w:sz="0" w:space="0" w:color="auto"/>
        <w:right w:val="none" w:sz="0" w:space="0" w:color="auto"/>
      </w:divBdr>
    </w:div>
    <w:div w:id="1552960087">
      <w:bodyDiv w:val="1"/>
      <w:marLeft w:val="0"/>
      <w:marRight w:val="0"/>
      <w:marTop w:val="0"/>
      <w:marBottom w:val="0"/>
      <w:divBdr>
        <w:top w:val="none" w:sz="0" w:space="0" w:color="auto"/>
        <w:left w:val="none" w:sz="0" w:space="0" w:color="auto"/>
        <w:bottom w:val="none" w:sz="0" w:space="0" w:color="auto"/>
        <w:right w:val="none" w:sz="0" w:space="0" w:color="auto"/>
      </w:divBdr>
    </w:div>
    <w:div w:id="1636905140">
      <w:bodyDiv w:val="1"/>
      <w:marLeft w:val="0"/>
      <w:marRight w:val="0"/>
      <w:marTop w:val="0"/>
      <w:marBottom w:val="0"/>
      <w:divBdr>
        <w:top w:val="none" w:sz="0" w:space="0" w:color="auto"/>
        <w:left w:val="none" w:sz="0" w:space="0" w:color="auto"/>
        <w:bottom w:val="none" w:sz="0" w:space="0" w:color="auto"/>
        <w:right w:val="none" w:sz="0" w:space="0" w:color="auto"/>
      </w:divBdr>
    </w:div>
    <w:div w:id="1778864259">
      <w:bodyDiv w:val="1"/>
      <w:marLeft w:val="0"/>
      <w:marRight w:val="0"/>
      <w:marTop w:val="0"/>
      <w:marBottom w:val="0"/>
      <w:divBdr>
        <w:top w:val="none" w:sz="0" w:space="0" w:color="auto"/>
        <w:left w:val="none" w:sz="0" w:space="0" w:color="auto"/>
        <w:bottom w:val="none" w:sz="0" w:space="0" w:color="auto"/>
        <w:right w:val="none" w:sz="0" w:space="0" w:color="auto"/>
      </w:divBdr>
    </w:div>
    <w:div w:id="1825272109">
      <w:bodyDiv w:val="1"/>
      <w:marLeft w:val="0"/>
      <w:marRight w:val="0"/>
      <w:marTop w:val="0"/>
      <w:marBottom w:val="0"/>
      <w:divBdr>
        <w:top w:val="none" w:sz="0" w:space="0" w:color="auto"/>
        <w:left w:val="none" w:sz="0" w:space="0" w:color="auto"/>
        <w:bottom w:val="none" w:sz="0" w:space="0" w:color="auto"/>
        <w:right w:val="none" w:sz="0" w:space="0" w:color="auto"/>
      </w:divBdr>
    </w:div>
    <w:div w:id="1908756920">
      <w:bodyDiv w:val="1"/>
      <w:marLeft w:val="0"/>
      <w:marRight w:val="0"/>
      <w:marTop w:val="0"/>
      <w:marBottom w:val="0"/>
      <w:divBdr>
        <w:top w:val="none" w:sz="0" w:space="0" w:color="auto"/>
        <w:left w:val="none" w:sz="0" w:space="0" w:color="auto"/>
        <w:bottom w:val="none" w:sz="0" w:space="0" w:color="auto"/>
        <w:right w:val="none" w:sz="0" w:space="0" w:color="auto"/>
      </w:divBdr>
    </w:div>
    <w:div w:id="190972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gagedly.com/5-employee-engagement-statistics-you-should-be-aware-of-in-202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mapps.com/employee-engagement/employee-engagement-best-practices/" TargetMode="External"/><Relationship Id="rId17" Type="http://schemas.openxmlformats.org/officeDocument/2006/relationships/hyperlink" Target="https://www.valamis.com/hub/employee-engagement" TargetMode="External"/><Relationship Id="rId2" Type="http://schemas.openxmlformats.org/officeDocument/2006/relationships/numbering" Target="numbering.xml"/><Relationship Id="rId16" Type="http://schemas.openxmlformats.org/officeDocument/2006/relationships/hyperlink" Target="https://connecteam.com/e-employee-engagement-strate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leadershiptoday.com/employee-engagement-strategies" TargetMode="External"/><Relationship Id="rId5" Type="http://schemas.openxmlformats.org/officeDocument/2006/relationships/webSettings" Target="webSettings.xml"/><Relationship Id="rId15" Type="http://schemas.openxmlformats.org/officeDocument/2006/relationships/hyperlink" Target="https://blog.darwinbox.com/employee-engagement-in-banking" TargetMode="External"/><Relationship Id="rId10" Type="http://schemas.openxmlformats.org/officeDocument/2006/relationships/hyperlink" Target="https://getbravo.io/the-future-of-employee-engagement-in-the-banking-industr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oodle.uwtsd.ac.uk/course/view.php?id=3855" TargetMode="External"/><Relationship Id="rId14" Type="http://schemas.openxmlformats.org/officeDocument/2006/relationships/hyperlink" Target="https://teambuilding.com/blog/employee-engagem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B415C-B56A-488A-91BC-2C3F7ECFF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2364</Words>
  <Characters>13479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Hammond</dc:creator>
  <cp:keywords/>
  <dc:description/>
  <cp:lastModifiedBy>Isaac Hammond</cp:lastModifiedBy>
  <cp:revision>2</cp:revision>
  <dcterms:created xsi:type="dcterms:W3CDTF">2023-08-16T18:36:00Z</dcterms:created>
  <dcterms:modified xsi:type="dcterms:W3CDTF">2023-08-16T18:36:00Z</dcterms:modified>
</cp:coreProperties>
</file>