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18F9" w:rsidRDefault="00450833">
      <w:r>
        <w:t>Student Name: Nikola Sugarova</w:t>
      </w:r>
    </w:p>
    <w:p w14:paraId="00000002" w14:textId="77777777" w:rsidR="00F318F9" w:rsidRDefault="00450833">
      <w:r>
        <w:t>Student ID: 2219936</w:t>
      </w:r>
    </w:p>
    <w:p w14:paraId="00000003" w14:textId="77777777" w:rsidR="00F318F9" w:rsidRDefault="00450833">
      <w:r>
        <w:t>UWTSD</w:t>
      </w:r>
    </w:p>
    <w:p w14:paraId="00000004" w14:textId="77777777" w:rsidR="00F318F9" w:rsidRDefault="00F318F9"/>
    <w:p w14:paraId="00000005" w14:textId="77777777" w:rsidR="00F318F9" w:rsidRDefault="00F318F9"/>
    <w:p w14:paraId="00000006" w14:textId="77777777" w:rsidR="00F318F9" w:rsidRDefault="00F318F9"/>
    <w:p w14:paraId="00000007" w14:textId="77777777" w:rsidR="00F318F9" w:rsidRDefault="00F318F9"/>
    <w:p w14:paraId="00000008" w14:textId="77777777" w:rsidR="00F318F9" w:rsidRDefault="00450833">
      <w:pPr>
        <w:spacing w:before="300" w:after="240" w:line="288" w:lineRule="auto"/>
        <w:jc w:val="center"/>
      </w:pPr>
      <w:r>
        <w:rPr>
          <w:rFonts w:ascii="Times New Roman" w:eastAsia="Times New Roman" w:hAnsi="Times New Roman" w:cs="Times New Roman"/>
          <w:b/>
          <w:bCs/>
          <w:sz w:val="32"/>
          <w:szCs w:val="32"/>
        </w:rPr>
        <w:t>A Critical Review of E. P. Sanders’s Concept of “Common Judaism” in Judaism: Practice and Belief, 63 BCE–66 CE</w:t>
      </w:r>
    </w:p>
    <w:p w14:paraId="00000009" w14:textId="77777777" w:rsidR="00F318F9" w:rsidRDefault="00F318F9"/>
    <w:p w14:paraId="0000000A" w14:textId="77777777" w:rsidR="00F318F9" w:rsidRDefault="00F318F9"/>
    <w:p w14:paraId="0000000B" w14:textId="77777777" w:rsidR="00F318F9" w:rsidRDefault="00F318F9"/>
    <w:p w14:paraId="0000000C" w14:textId="77777777" w:rsidR="00F318F9" w:rsidRDefault="00F318F9"/>
    <w:p w14:paraId="0000000D" w14:textId="77777777" w:rsidR="00F318F9" w:rsidRDefault="00450833">
      <w:pPr>
        <w:pStyle w:val="Heading3"/>
        <w:keepNext w:val="0"/>
        <w:keepLines w:val="0"/>
        <w:spacing w:before="280"/>
        <w:rPr>
          <w:b/>
          <w:bCs/>
          <w:color w:val="000000"/>
          <w:sz w:val="26"/>
          <w:szCs w:val="26"/>
        </w:rPr>
      </w:pPr>
      <w:bookmarkStart w:id="0" w:name="_gu66d5b7p5xe" w:colFirst="0" w:colLast="0"/>
      <w:bookmarkEnd w:id="0"/>
      <w:r>
        <w:rPr>
          <w:b/>
          <w:bCs/>
          <w:color w:val="000000"/>
          <w:sz w:val="26"/>
          <w:szCs w:val="26"/>
        </w:rPr>
        <w:t>1. Introduction</w:t>
      </w:r>
    </w:p>
    <w:p w14:paraId="0000000E" w14:textId="77777777" w:rsidR="00F318F9" w:rsidRDefault="00450833">
      <w:pPr>
        <w:spacing w:before="240" w:after="240"/>
      </w:pPr>
      <w:r>
        <w:t>E. P. Sanders is often seen as an important scholar in the study of Second Temple Judaism and early Christianity. Since Paul and Palestinian Judaism in 1977, his work has challenged older ideas, especially the view that Judaism was mainly focused on strict law and rules (Sanders, 1977). In Judaism: Practice and Belief, 63 BCE–66 CE, he introduces the idea of “Common Judaism” (Sanders, 1992). He suggests that even though there were different groups like the Pharisees, Sadducees, Essenes, and the Qumran commu</w:t>
      </w:r>
      <w:r>
        <w:t>nity, most Jews still shared a recognisable set of beliefs and practices. These were mainly centred on the Temple, the Torah, and their relationship with God.</w:t>
      </w:r>
    </w:p>
    <w:p w14:paraId="0000000F" w14:textId="77777777" w:rsidR="00F318F9" w:rsidRDefault="00450833">
      <w:pPr>
        <w:spacing w:before="240" w:after="240"/>
      </w:pPr>
      <w:r>
        <w:t>This essay will look at his argument and consider how convincing it is. Overall, his ideas seem helpful in correcting earlier misunderstandings, although there may be some limits, especially when looking at sources like the Dead Sea Scrolls and Josephus (Vermes, 1995; Josephus, Antiquities).</w:t>
      </w:r>
    </w:p>
    <w:p w14:paraId="00000010" w14:textId="77777777" w:rsidR="00F318F9" w:rsidRDefault="00F318F9">
      <w:pPr>
        <w:spacing w:before="240" w:after="240"/>
      </w:pPr>
    </w:p>
    <w:p w14:paraId="00000011" w14:textId="77777777" w:rsidR="00F318F9" w:rsidRDefault="00450833">
      <w:pPr>
        <w:pStyle w:val="Heading3"/>
        <w:keepNext w:val="0"/>
        <w:keepLines w:val="0"/>
        <w:spacing w:before="280"/>
        <w:rPr>
          <w:b/>
          <w:bCs/>
          <w:color w:val="000000"/>
          <w:sz w:val="26"/>
          <w:szCs w:val="26"/>
        </w:rPr>
      </w:pPr>
      <w:bookmarkStart w:id="1" w:name="_ojhexnoz27lc" w:colFirst="0" w:colLast="0"/>
      <w:bookmarkEnd w:id="1"/>
      <w:r>
        <w:rPr>
          <w:b/>
          <w:bCs/>
          <w:color w:val="000000"/>
          <w:sz w:val="26"/>
          <w:szCs w:val="26"/>
        </w:rPr>
        <w:t>2. Summary of the Article</w:t>
      </w:r>
    </w:p>
    <w:p w14:paraId="00000012" w14:textId="77777777" w:rsidR="00F318F9" w:rsidRDefault="00450833">
      <w:pPr>
        <w:spacing w:before="240" w:after="240"/>
      </w:pPr>
      <w:r>
        <w:t>Sanders describes “Common Judaism” as the religion of ordinary people rather than just specific groups (Sanders, 1992). Instead of focusing on what makes each group different, he looks at what most Jews were doing in everyday life. According to him, there was a shared core, including belief in one God, commitment to the Torah, a sense of being chosen, and involvement with the Temple.</w:t>
      </w:r>
    </w:p>
    <w:p w14:paraId="00000013" w14:textId="77777777" w:rsidR="00F318F9" w:rsidRDefault="00450833">
      <w:pPr>
        <w:spacing w:before="240" w:after="240"/>
      </w:pPr>
      <w:r>
        <w:t>He explains this in three main ways. First, the Temple in Jerusalem was central. It had religious, social, and economic importance. Many Jews paid the Temple tax, went on pilgrimage for festivals like Passover, and accepted it as the proper place for sacrifice (Sanders, 1992; Josephus, Antiquities).</w:t>
      </w:r>
    </w:p>
    <w:p w14:paraId="00000014" w14:textId="77777777" w:rsidR="00F318F9" w:rsidRDefault="00450833">
      <w:pPr>
        <w:spacing w:before="240" w:after="240"/>
      </w:pPr>
      <w:r>
        <w:t>Second, Torah observance was quite widespread. Practices such as the Sabbath, circumcision, food laws, and purity rules were not limited to particular groups but appear to have been followed more generally (Sanders, 1992).</w:t>
      </w:r>
    </w:p>
    <w:p w14:paraId="00000015" w14:textId="77777777" w:rsidR="00F318F9" w:rsidRDefault="00450833">
      <w:pPr>
        <w:spacing w:before="240" w:after="240"/>
      </w:pPr>
      <w:r>
        <w:t>Third, there was a shared sense of covenant identity. Many Jews understood themselves as part of a special relationship with God, which shaped how they saw themselves as a community (Sanders, 1992).</w:t>
      </w:r>
    </w:p>
    <w:p w14:paraId="00000016" w14:textId="77777777" w:rsidR="00F318F9" w:rsidRDefault="00450833">
      <w:pPr>
        <w:spacing w:before="240" w:after="240"/>
      </w:pPr>
      <w:r>
        <w:t>To support this, Sanders uses a wide range of sources. These include Josephus, Philo, the Hebrew Bible, and other Jewish writings. He also uses the Dead Sea Scrolls and archaeological evidence such as ritual baths (Vermes, 1995; Schiffman, 1994). Together, these sources suggest a religion that was fairly consistent in practice, even if there were some differences.</w:t>
      </w:r>
    </w:p>
    <w:p w14:paraId="00000017" w14:textId="77777777" w:rsidR="00F318F9" w:rsidRDefault="00F318F9">
      <w:pPr>
        <w:spacing w:before="240" w:after="240"/>
      </w:pPr>
    </w:p>
    <w:p w14:paraId="00000018" w14:textId="77777777" w:rsidR="00F318F9" w:rsidRDefault="00450833">
      <w:pPr>
        <w:pStyle w:val="Heading3"/>
        <w:keepNext w:val="0"/>
        <w:keepLines w:val="0"/>
        <w:spacing w:before="280"/>
        <w:rPr>
          <w:b/>
          <w:bCs/>
          <w:color w:val="000000"/>
          <w:sz w:val="26"/>
          <w:szCs w:val="26"/>
        </w:rPr>
      </w:pPr>
      <w:bookmarkStart w:id="2" w:name="_j9zq7xs8oxes" w:colFirst="0" w:colLast="0"/>
      <w:bookmarkEnd w:id="2"/>
      <w:r>
        <w:rPr>
          <w:b/>
          <w:bCs/>
          <w:color w:val="000000"/>
          <w:sz w:val="26"/>
          <w:szCs w:val="26"/>
        </w:rPr>
        <w:t>3. Critical Analysis</w:t>
      </w:r>
    </w:p>
    <w:p w14:paraId="00000019" w14:textId="77777777" w:rsidR="00F318F9" w:rsidRDefault="00450833">
      <w:pPr>
        <w:spacing w:before="240" w:after="240"/>
      </w:pPr>
      <w:r>
        <w:t>Sanders’s argument is generally clear and well organised. He moves from the Temple to daily practices and then to wider identity, which makes the discussion easy to follow. However, the idea of what counts as “common” can feel quite broad. If it includes most people, it becomes harder to tell what is really shared and what is just a basic level of similarity.</w:t>
      </w:r>
    </w:p>
    <w:p w14:paraId="0000001A" w14:textId="77777777" w:rsidR="00F318F9" w:rsidRDefault="00450833">
      <w:pPr>
        <w:spacing w:before="240" w:after="240"/>
      </w:pPr>
      <w:r>
        <w:t>Jacob Neusner criticises this point by arguing that “Common Judaism” is difficult to test, since disagreements can be treated as exceptions (Neusner, 1991). Although his criticism may be quite strong, it still raises a useful question about how clear Sanders’s category really is.</w:t>
      </w:r>
    </w:p>
    <w:p w14:paraId="0000001B" w14:textId="77777777" w:rsidR="00F318F9" w:rsidRDefault="00450833">
      <w:pPr>
        <w:spacing w:before="240" w:after="240"/>
      </w:pPr>
      <w:r>
        <w:t>Sanders is careful in his use of sources, especially with Josephus, whom he treats as useful but not completely reliable (Sanders, 1992). His use of the Dead Sea Scrolls is more debated. He tends to see them as representing a small and strict group, but some of the texts suggest stronger disagreement. For example, works like the Community Rule and 4QMMT criticise other groups and even the Jerusalem priesthood (Vermes, 1995; Schiffman, 1994). This suggests that some differences may have been more serious tha</w:t>
      </w:r>
      <w:r>
        <w:t>n Sanders allows.</w:t>
      </w:r>
    </w:p>
    <w:p w14:paraId="0000001C" w14:textId="77777777" w:rsidR="00F318F9" w:rsidRDefault="00450833">
      <w:pPr>
        <w:spacing w:before="240" w:after="240"/>
      </w:pPr>
      <w:r>
        <w:t>Another point is his focus on practice rather than belief. This helps avoid reading the period through later Christian ideas, which is useful (Sanders, 1977). However, it may also reduce the importance of disagreements in belief. Issues like resurrection, angels, and the calendar were important, and different groups did not always agree on them (Cohen, 2006).</w:t>
      </w:r>
    </w:p>
    <w:p w14:paraId="0000001D" w14:textId="77777777" w:rsidR="00F318F9" w:rsidRDefault="00450833">
      <w:pPr>
        <w:spacing w:before="240" w:after="240"/>
      </w:pPr>
      <w:r>
        <w:t>When compared to other scholars, this becomes clearer. Géza Vermes also places Judaism in a broader context (Vermes, 1973), while Shaye Cohen presents a more varied picture, recognising both shared features and differences (Cohen, 2006). This approach may give a more balanced view.</w:t>
      </w:r>
    </w:p>
    <w:p w14:paraId="0000001E" w14:textId="77777777" w:rsidR="00F318F9" w:rsidRDefault="00F318F9">
      <w:pPr>
        <w:spacing w:before="240" w:after="240"/>
      </w:pPr>
    </w:p>
    <w:p w14:paraId="0000001F" w14:textId="77777777" w:rsidR="00F318F9" w:rsidRDefault="00450833">
      <w:pPr>
        <w:pStyle w:val="Heading3"/>
        <w:keepNext w:val="0"/>
        <w:keepLines w:val="0"/>
        <w:spacing w:before="280"/>
        <w:rPr>
          <w:b/>
          <w:bCs/>
          <w:color w:val="000000"/>
          <w:sz w:val="26"/>
          <w:szCs w:val="26"/>
        </w:rPr>
      </w:pPr>
      <w:bookmarkStart w:id="3" w:name="_9ckx23il81m" w:colFirst="0" w:colLast="0"/>
      <w:bookmarkEnd w:id="3"/>
      <w:r>
        <w:rPr>
          <w:b/>
          <w:bCs/>
          <w:color w:val="000000"/>
          <w:sz w:val="26"/>
          <w:szCs w:val="26"/>
        </w:rPr>
        <w:t>4. Evaluation</w:t>
      </w:r>
    </w:p>
    <w:p w14:paraId="00000020" w14:textId="77777777" w:rsidR="00F318F9" w:rsidRDefault="00450833">
      <w:pPr>
        <w:spacing w:before="240" w:after="240"/>
      </w:pPr>
      <w:r>
        <w:t>The main question is whether “Common Judaism” can fully explain the diversity of the period. On one level, it seems convincing. Practices such as the Temple tax, festivals, Sabbath, circumcision, and food laws likely did connect many Jews across different regions and social groups (Sanders, 1992). Sanders is right to emphasise this, and it helps correct earlier views that focused too much on differences.</w:t>
      </w:r>
    </w:p>
    <w:p w14:paraId="00000021" w14:textId="77777777" w:rsidR="00F318F9" w:rsidRDefault="00450833">
      <w:pPr>
        <w:spacing w:before="240" w:after="240"/>
      </w:pPr>
      <w:r>
        <w:t>However, there are still some limits. The Dead Sea Scrolls suggest that certain groups strongly disagreed with others, especially about the Temple and correct practice (Vermes, 1995; Schiffman, 1994). If some groups rejected the Temple leadership, this could be seen as a significant issue for Sanders’s argument.</w:t>
      </w:r>
    </w:p>
    <w:p w14:paraId="00000022" w14:textId="77777777" w:rsidR="00F318F9" w:rsidRDefault="00450833">
      <w:pPr>
        <w:spacing w:before="240" w:after="240"/>
      </w:pPr>
      <w:r>
        <w:t>Josephus also describes disagreements between groups like the Pharisees and Sadducees on topics such as resurrection and authority (Josephus, Antiquities). These do not seem like minor differences, but more central disagreements about belief and practice.</w:t>
      </w:r>
    </w:p>
    <w:p w14:paraId="00000023" w14:textId="77777777" w:rsidR="00F318F9" w:rsidRDefault="00450833">
      <w:pPr>
        <w:spacing w:before="240" w:after="240"/>
      </w:pPr>
      <w:r>
        <w:t>Overall, Sanders’s argument is useful and well supported in many ways. His focus on shared practice and his careful method are strong points. At the same time, his model may not fully account for the level of disagreement that existed. A more balanced approach might combine his idea of shared practices with a clearer recognition of differences between groups (Cohen, 2006).</w:t>
      </w:r>
    </w:p>
    <w:p w14:paraId="00000024" w14:textId="77777777" w:rsidR="00F318F9" w:rsidRDefault="00F318F9">
      <w:pPr>
        <w:spacing w:before="240" w:after="240"/>
      </w:pPr>
    </w:p>
    <w:p w14:paraId="00000025" w14:textId="77777777" w:rsidR="00F318F9" w:rsidRDefault="00450833">
      <w:pPr>
        <w:pStyle w:val="Heading3"/>
        <w:keepNext w:val="0"/>
        <w:keepLines w:val="0"/>
        <w:spacing w:before="280"/>
        <w:rPr>
          <w:b/>
          <w:bCs/>
          <w:color w:val="000000"/>
          <w:sz w:val="26"/>
          <w:szCs w:val="26"/>
        </w:rPr>
      </w:pPr>
      <w:bookmarkStart w:id="4" w:name="_654tohe3ghyj" w:colFirst="0" w:colLast="0"/>
      <w:bookmarkEnd w:id="4"/>
      <w:r>
        <w:rPr>
          <w:b/>
          <w:bCs/>
          <w:color w:val="000000"/>
          <w:sz w:val="26"/>
          <w:szCs w:val="26"/>
        </w:rPr>
        <w:t>5. Conclusion</w:t>
      </w:r>
    </w:p>
    <w:p w14:paraId="00000026" w14:textId="77777777" w:rsidR="00F318F9" w:rsidRDefault="00450833">
      <w:pPr>
        <w:spacing w:before="240" w:after="240"/>
      </w:pPr>
      <w:r>
        <w:t>Judaism: Practice and Belief remains an important study of Second Temple Judaism (Sanders, 1992). Sanders’s idea of “Common Judaism” helps show that, despite differences, there were shared beliefs and practices among many Jews. This is an important contribution and helps correct earlier misunderstandings.</w:t>
      </w:r>
    </w:p>
    <w:p w14:paraId="00000027" w14:textId="77777777" w:rsidR="00F318F9" w:rsidRDefault="00450833">
      <w:pPr>
        <w:spacing w:before="240" w:after="240"/>
      </w:pPr>
      <w:r>
        <w:t>At the same time, the argument may not fully reflect the extent of disagreement found in sources like the Dead Sea Scrolls and Josephus (Vermes, 1995; Josephus, Antiquities). While his model is still useful, it may need to be combined with other approaches that take diversity more seriously. Overall, Sanders’s work continues to be important, even if it is not without its limitations.</w:t>
      </w:r>
    </w:p>
    <w:p w14:paraId="00000028" w14:textId="77777777" w:rsidR="00F318F9" w:rsidRDefault="00F318F9">
      <w:pPr>
        <w:spacing w:before="240" w:after="240"/>
      </w:pPr>
    </w:p>
    <w:p w14:paraId="00000029" w14:textId="77777777" w:rsidR="00F318F9" w:rsidRDefault="00450833">
      <w:pPr>
        <w:spacing w:before="220" w:after="120" w:line="288" w:lineRule="auto"/>
        <w:rPr>
          <w:rFonts w:ascii="Times New Roman" w:eastAsia="Times New Roman" w:hAnsi="Times New Roman" w:cs="Times New Roman"/>
          <w:b/>
          <w:bCs/>
          <w:sz w:val="30"/>
          <w:szCs w:val="30"/>
        </w:rPr>
      </w:pPr>
      <w:r>
        <w:rPr>
          <w:rFonts w:ascii="Times New Roman" w:eastAsia="Times New Roman" w:hAnsi="Times New Roman" w:cs="Times New Roman"/>
          <w:b/>
          <w:bCs/>
          <w:sz w:val="30"/>
          <w:szCs w:val="30"/>
        </w:rPr>
        <w:t>Bibliography</w:t>
      </w:r>
    </w:p>
    <w:p w14:paraId="0000002A"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Cohen, Shaye J. D., </w:t>
      </w:r>
      <w:r>
        <w:rPr>
          <w:rFonts w:ascii="Times New Roman" w:eastAsia="Times New Roman" w:hAnsi="Times New Roman" w:cs="Times New Roman"/>
          <w:i/>
          <w:iCs/>
          <w:sz w:val="27"/>
          <w:szCs w:val="27"/>
        </w:rPr>
        <w:t>From the Maccabees to the Mishnah</w:t>
      </w:r>
      <w:r>
        <w:rPr>
          <w:rFonts w:ascii="Times New Roman" w:eastAsia="Times New Roman" w:hAnsi="Times New Roman" w:cs="Times New Roman"/>
          <w:sz w:val="27"/>
          <w:szCs w:val="27"/>
        </w:rPr>
        <w:t>, 2nd edn (Louisville, KY: Westminster John Knox, 2006)</w:t>
      </w:r>
    </w:p>
    <w:p w14:paraId="0000002B"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Josephus, Flavius, </w:t>
      </w:r>
      <w:r>
        <w:rPr>
          <w:rFonts w:ascii="Times New Roman" w:eastAsia="Times New Roman" w:hAnsi="Times New Roman" w:cs="Times New Roman"/>
          <w:i/>
          <w:iCs/>
          <w:sz w:val="27"/>
          <w:szCs w:val="27"/>
        </w:rPr>
        <w:t>Jewish Antiquities</w:t>
      </w:r>
      <w:r>
        <w:rPr>
          <w:rFonts w:ascii="Times New Roman" w:eastAsia="Times New Roman" w:hAnsi="Times New Roman" w:cs="Times New Roman"/>
          <w:sz w:val="27"/>
          <w:szCs w:val="27"/>
        </w:rPr>
        <w:t>, trans. by H. St. J. Thackeray and others, 9 vols (Cambridge, MA: Harvard University Press, 1930–65)</w:t>
      </w:r>
    </w:p>
    <w:p w14:paraId="0000002C"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Neusner, Jacob, ‘Mr Sanders’s Pharisees and Mine’, </w:t>
      </w:r>
      <w:r>
        <w:rPr>
          <w:rFonts w:ascii="Times New Roman" w:eastAsia="Times New Roman" w:hAnsi="Times New Roman" w:cs="Times New Roman"/>
          <w:i/>
          <w:iCs/>
          <w:sz w:val="27"/>
          <w:szCs w:val="27"/>
        </w:rPr>
        <w:t>Scottish Journal of Theology</w:t>
      </w:r>
      <w:r>
        <w:rPr>
          <w:rFonts w:ascii="Times New Roman" w:eastAsia="Times New Roman" w:hAnsi="Times New Roman" w:cs="Times New Roman"/>
          <w:sz w:val="27"/>
          <w:szCs w:val="27"/>
        </w:rPr>
        <w:t>, 44 (1991), 73–95</w:t>
      </w:r>
    </w:p>
    <w:p w14:paraId="0000002D"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Sanders, E. P., </w:t>
      </w:r>
      <w:r>
        <w:rPr>
          <w:rFonts w:ascii="Times New Roman" w:eastAsia="Times New Roman" w:hAnsi="Times New Roman" w:cs="Times New Roman"/>
          <w:i/>
          <w:iCs/>
          <w:sz w:val="27"/>
          <w:szCs w:val="27"/>
        </w:rPr>
        <w:t>Judaism: Practice and Belief, 63 BCE–66 CE</w:t>
      </w:r>
      <w:r>
        <w:rPr>
          <w:rFonts w:ascii="Times New Roman" w:eastAsia="Times New Roman" w:hAnsi="Times New Roman" w:cs="Times New Roman"/>
          <w:sz w:val="27"/>
          <w:szCs w:val="27"/>
        </w:rPr>
        <w:t>(London: SCM Press, 1992)</w:t>
      </w:r>
    </w:p>
    <w:p w14:paraId="0000002E"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 ‘Common Judaism Explored’, in </w:t>
      </w:r>
      <w:r>
        <w:rPr>
          <w:rFonts w:ascii="Times New Roman" w:eastAsia="Times New Roman" w:hAnsi="Times New Roman" w:cs="Times New Roman"/>
          <w:i/>
          <w:iCs/>
          <w:sz w:val="27"/>
          <w:szCs w:val="27"/>
        </w:rPr>
        <w:t>Common Judaism: Explorations in Second-Temple Judaism</w:t>
      </w:r>
      <w:r>
        <w:rPr>
          <w:rFonts w:ascii="Times New Roman" w:eastAsia="Times New Roman" w:hAnsi="Times New Roman" w:cs="Times New Roman"/>
          <w:sz w:val="27"/>
          <w:szCs w:val="27"/>
        </w:rPr>
        <w:t>, ed. by Wayne O. McCready and Adele Reinhartz (Minneapolis: Fortress, 2008), pp. 11–23</w:t>
      </w:r>
    </w:p>
    <w:p w14:paraId="0000002F"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 </w:t>
      </w:r>
      <w:r>
        <w:rPr>
          <w:rFonts w:ascii="Times New Roman" w:eastAsia="Times New Roman" w:hAnsi="Times New Roman" w:cs="Times New Roman"/>
          <w:i/>
          <w:iCs/>
          <w:sz w:val="27"/>
          <w:szCs w:val="27"/>
        </w:rPr>
        <w:t>Paul and Palestinian Judaism</w:t>
      </w:r>
      <w:r>
        <w:rPr>
          <w:rFonts w:ascii="Times New Roman" w:eastAsia="Times New Roman" w:hAnsi="Times New Roman" w:cs="Times New Roman"/>
          <w:sz w:val="27"/>
          <w:szCs w:val="27"/>
        </w:rPr>
        <w:t xml:space="preserve"> (London: SCM Press, 1977)</w:t>
      </w:r>
    </w:p>
    <w:p w14:paraId="00000030"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Schiffman, Lawrence H., </w:t>
      </w:r>
      <w:r>
        <w:rPr>
          <w:rFonts w:ascii="Times New Roman" w:eastAsia="Times New Roman" w:hAnsi="Times New Roman" w:cs="Times New Roman"/>
          <w:i/>
          <w:iCs/>
          <w:sz w:val="27"/>
          <w:szCs w:val="27"/>
        </w:rPr>
        <w:t>Reclaiming the Dead Sea Scrolls</w:t>
      </w:r>
      <w:r>
        <w:rPr>
          <w:rFonts w:ascii="Times New Roman" w:eastAsia="Times New Roman" w:hAnsi="Times New Roman" w:cs="Times New Roman"/>
          <w:sz w:val="27"/>
          <w:szCs w:val="27"/>
        </w:rPr>
        <w:t>(Philadelphia: Jewish Publication Society, 1994)</w:t>
      </w:r>
    </w:p>
    <w:p w14:paraId="00000031"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i/>
          <w:iCs/>
          <w:sz w:val="27"/>
          <w:szCs w:val="27"/>
        </w:rPr>
        <w:t>The Dead Sea Scrolls in English</w:t>
      </w:r>
      <w:r>
        <w:rPr>
          <w:rFonts w:ascii="Times New Roman" w:eastAsia="Times New Roman" w:hAnsi="Times New Roman" w:cs="Times New Roman"/>
          <w:sz w:val="27"/>
          <w:szCs w:val="27"/>
        </w:rPr>
        <w:t>, ed. and trans. by Géza Vermes, 4th edn (London: Penguin, 1995)</w:t>
      </w:r>
    </w:p>
    <w:p w14:paraId="00000032" w14:textId="77777777" w:rsidR="00F318F9" w:rsidRDefault="00450833">
      <w:pPr>
        <w:spacing w:after="100" w:line="335" w:lineRule="auto"/>
        <w:ind w:left="720" w:hanging="360"/>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Vermes, Géza, </w:t>
      </w:r>
      <w:r>
        <w:rPr>
          <w:rFonts w:ascii="Times New Roman" w:eastAsia="Times New Roman" w:hAnsi="Times New Roman" w:cs="Times New Roman"/>
          <w:i/>
          <w:iCs/>
          <w:sz w:val="27"/>
          <w:szCs w:val="27"/>
        </w:rPr>
        <w:t>Jesus the Jew: A Historian’s Reading of the Gospels</w:t>
      </w:r>
      <w:r>
        <w:rPr>
          <w:rFonts w:ascii="Times New Roman" w:eastAsia="Times New Roman" w:hAnsi="Times New Roman" w:cs="Times New Roman"/>
          <w:sz w:val="27"/>
          <w:szCs w:val="27"/>
        </w:rPr>
        <w:t xml:space="preserve"> (London: Collins, 1973)</w:t>
      </w:r>
    </w:p>
    <w:p w14:paraId="00000033" w14:textId="2D764CED" w:rsidR="00F318F9" w:rsidRDefault="00F318F9">
      <w:pPr>
        <w:spacing w:line="288" w:lineRule="auto"/>
        <w:jc w:val="center"/>
        <w:rPr>
          <w:rFonts w:ascii="Times New Roman" w:eastAsia="Times New Roman" w:hAnsi="Times New Roman" w:cs="Times New Roman"/>
          <w:sz w:val="26"/>
          <w:szCs w:val="26"/>
        </w:rPr>
      </w:pPr>
    </w:p>
    <w:p w14:paraId="00000034" w14:textId="77777777" w:rsidR="00F318F9" w:rsidRDefault="00F318F9">
      <w:pPr>
        <w:spacing w:before="240" w:after="240"/>
      </w:pPr>
    </w:p>
    <w:p w14:paraId="00000035" w14:textId="77777777" w:rsidR="00F318F9" w:rsidRDefault="00F318F9"/>
    <w:sectPr w:rsidR="00F318F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8F9"/>
    <w:rsid w:val="00450833"/>
    <w:rsid w:val="0077539D"/>
    <w:rsid w:val="00943BDA"/>
    <w:rsid w:val="00E456CA"/>
    <w:rsid w:val="00F31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7E390B"/>
  <w15:docId w15:val="{DF26DE1C-9C6E-1449-855E-03241F300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1126</Words>
  <Characters>6422</Characters>
  <Application>Microsoft Office Word</Application>
  <DocSecurity>0</DocSecurity>
  <Lines>53</Lines>
  <Paragraphs>15</Paragraphs>
  <ScaleCrop>false</ScaleCrop>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Nikola Sugarova</cp:lastModifiedBy>
  <cp:revision>2</cp:revision>
  <dcterms:created xsi:type="dcterms:W3CDTF">2026-04-12T09:13:00Z</dcterms:created>
  <dcterms:modified xsi:type="dcterms:W3CDTF">2026-04-12T09:13:00Z</dcterms:modified>
</cp:coreProperties>
</file>