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DFD8604">
      <w:pPr>
        <w:spacing w:line="360" w:lineRule="auto"/>
        <w:jc w:val="center"/>
        <w:rPr>
          <w:b/>
          <w:sz w:val="56"/>
        </w:rPr>
      </w:pPr>
      <w:r>
        <w:rPr>
          <w:b/>
          <w:sz w:val="56"/>
        </w:rPr>
        <w:drawing>
          <wp:inline distT="0" distB="0" distL="0" distR="0">
            <wp:extent cx="3524250" cy="1404620"/>
            <wp:effectExtent l="0" t="0" r="11430" b="1270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535284" cy="1409307"/>
                    </a:xfrm>
                    <a:prstGeom prst="rect">
                      <a:avLst/>
                    </a:prstGeom>
                    <a:noFill/>
                  </pic:spPr>
                </pic:pic>
              </a:graphicData>
            </a:graphic>
          </wp:inline>
        </w:drawing>
      </w:r>
    </w:p>
    <w:p w14:paraId="72909FD7">
      <w:pPr>
        <w:spacing w:line="360" w:lineRule="auto"/>
        <w:jc w:val="center"/>
        <w:rPr>
          <w:rFonts w:hint="default" w:ascii="Arial" w:hAnsi="Arial" w:cs="Arial"/>
          <w:b/>
          <w:bCs/>
          <w:sz w:val="24"/>
          <w:szCs w:val="24"/>
        </w:rPr>
      </w:pPr>
    </w:p>
    <w:p w14:paraId="58966170">
      <w:pPr>
        <w:spacing w:line="360" w:lineRule="auto"/>
        <w:jc w:val="center"/>
        <w:rPr>
          <w:rFonts w:hint="default" w:ascii="Arial" w:hAnsi="Arial" w:cs="Arial" w:eastAsiaTheme="minorEastAsia"/>
          <w:b/>
          <w:bCs/>
          <w:sz w:val="24"/>
          <w:szCs w:val="24"/>
          <w:lang w:val="en-US" w:eastAsia="zh-CN"/>
        </w:rPr>
      </w:pPr>
      <w:r>
        <w:rPr>
          <w:rFonts w:hint="default" w:ascii="Arial" w:hAnsi="Arial" w:cs="Arial"/>
          <w:b/>
          <w:bCs/>
          <w:sz w:val="24"/>
          <w:szCs w:val="24"/>
        </w:rPr>
        <w:t xml:space="preserve">Unit name: </w:t>
      </w:r>
      <w:r>
        <w:rPr>
          <w:rFonts w:hint="eastAsia" w:ascii="Arial" w:hAnsi="Arial" w:cs="Arial"/>
          <w:b/>
          <w:bCs/>
          <w:sz w:val="24"/>
          <w:szCs w:val="24"/>
          <w:lang w:val="en-US" w:eastAsia="zh-CN"/>
        </w:rPr>
        <w:t>Strategic Management and Sustainability</w:t>
      </w:r>
    </w:p>
    <w:p w14:paraId="2BF3F700">
      <w:pPr>
        <w:spacing w:line="360" w:lineRule="auto"/>
        <w:jc w:val="center"/>
        <w:rPr>
          <w:rFonts w:hint="eastAsia" w:ascii="Arial" w:hAnsi="Arial" w:cs="Arial"/>
          <w:b/>
          <w:bCs/>
          <w:sz w:val="24"/>
          <w:szCs w:val="24"/>
          <w:lang w:val="en-US" w:eastAsia="zh-CN"/>
        </w:rPr>
      </w:pPr>
      <w:r>
        <w:rPr>
          <w:rFonts w:hint="default" w:ascii="Arial" w:hAnsi="Arial" w:cs="Arial"/>
          <w:b/>
          <w:bCs/>
          <w:sz w:val="24"/>
          <w:szCs w:val="24"/>
        </w:rPr>
        <w:t>Module code: BMBM</w:t>
      </w:r>
      <w:r>
        <w:rPr>
          <w:rFonts w:hint="eastAsia" w:ascii="Arial" w:hAnsi="Arial" w:cs="Arial"/>
          <w:b/>
          <w:bCs/>
          <w:sz w:val="24"/>
          <w:szCs w:val="24"/>
          <w:lang w:val="en-US" w:eastAsia="zh-CN"/>
        </w:rPr>
        <w:t>6024</w:t>
      </w:r>
    </w:p>
    <w:p w14:paraId="669F5AEC">
      <w:pPr>
        <w:spacing w:line="360" w:lineRule="auto"/>
        <w:jc w:val="center"/>
        <w:rPr>
          <w:rFonts w:hint="default" w:ascii="Arial" w:hAnsi="Arial" w:cs="Arial"/>
          <w:b/>
          <w:bCs/>
          <w:sz w:val="24"/>
          <w:szCs w:val="24"/>
          <w:u w:val="single"/>
          <w:lang w:val="en-US" w:eastAsia="zh-CN"/>
        </w:rPr>
      </w:pPr>
      <w:r>
        <w:rPr>
          <w:rFonts w:hint="default" w:ascii="Arial" w:hAnsi="Arial" w:cs="Arial"/>
          <w:b/>
          <w:bCs/>
          <w:sz w:val="24"/>
          <w:szCs w:val="24"/>
          <w:u w:val="single"/>
          <w:lang w:val="en-US" w:eastAsia="zh-CN"/>
        </w:rPr>
        <w:t>Navigating the Future: Strategic Management and Sustainability in Toyota's Global Automotive Leadership</w:t>
      </w:r>
    </w:p>
    <w:p w14:paraId="310D822C">
      <w:pPr>
        <w:spacing w:line="360" w:lineRule="auto"/>
        <w:jc w:val="center"/>
        <w:rPr>
          <w:rFonts w:hint="default" w:ascii="Arial" w:hAnsi="Arial" w:cs="Arial"/>
          <w:b/>
          <w:bCs/>
          <w:sz w:val="24"/>
          <w:szCs w:val="24"/>
        </w:rPr>
      </w:pPr>
      <w:r>
        <w:rPr>
          <w:rFonts w:hint="eastAsia" w:ascii="Arial" w:hAnsi="Arial" w:cs="Arial"/>
          <w:b/>
          <w:bCs/>
          <w:sz w:val="24"/>
          <w:szCs w:val="24"/>
          <w:lang w:val="en-US" w:eastAsia="zh-CN"/>
        </w:rPr>
        <w:t>Student Name</w:t>
      </w:r>
      <w:r>
        <w:rPr>
          <w:rFonts w:hint="default" w:ascii="Arial" w:hAnsi="Arial" w:cs="Arial"/>
          <w:b/>
          <w:bCs/>
          <w:sz w:val="24"/>
          <w:szCs w:val="24"/>
        </w:rPr>
        <w:t>: Yuanping Yue</w:t>
      </w:r>
    </w:p>
    <w:p w14:paraId="1D8A39E0">
      <w:pPr>
        <w:spacing w:line="360" w:lineRule="auto"/>
        <w:jc w:val="center"/>
        <w:rPr>
          <w:rFonts w:hint="default" w:ascii="Arial" w:hAnsi="Arial" w:cs="Arial"/>
          <w:b/>
          <w:bCs/>
          <w:sz w:val="24"/>
          <w:szCs w:val="24"/>
        </w:rPr>
      </w:pPr>
      <w:r>
        <w:rPr>
          <w:rFonts w:hint="default" w:ascii="Arial" w:hAnsi="Arial" w:cs="Arial"/>
          <w:b/>
          <w:bCs/>
          <w:sz w:val="24"/>
          <w:szCs w:val="24"/>
        </w:rPr>
        <w:t>Student ID: 2324444</w:t>
      </w:r>
    </w:p>
    <w:p w14:paraId="3D43694A">
      <w:pPr>
        <w:spacing w:line="360" w:lineRule="auto"/>
        <w:jc w:val="center"/>
        <w:rPr>
          <w:rFonts w:hint="default" w:ascii="Arial" w:hAnsi="Arial" w:cs="Arial"/>
          <w:b/>
          <w:bCs/>
          <w:sz w:val="24"/>
          <w:szCs w:val="24"/>
        </w:rPr>
      </w:pPr>
    </w:p>
    <w:p w14:paraId="121A54C3">
      <w:pPr>
        <w:spacing w:line="360" w:lineRule="auto"/>
        <w:jc w:val="center"/>
        <w:rPr>
          <w:rFonts w:hint="default" w:ascii="Arial" w:hAnsi="Arial" w:cs="Arial"/>
          <w:b/>
          <w:bCs/>
          <w:sz w:val="24"/>
          <w:szCs w:val="24"/>
        </w:rPr>
      </w:pPr>
    </w:p>
    <w:p w14:paraId="2A311BD1">
      <w:pPr>
        <w:spacing w:line="360" w:lineRule="auto"/>
        <w:jc w:val="center"/>
        <w:rPr>
          <w:rFonts w:hint="default" w:ascii="Arial" w:hAnsi="Arial" w:cs="Arial"/>
          <w:b/>
          <w:bCs/>
          <w:sz w:val="24"/>
          <w:szCs w:val="24"/>
        </w:rPr>
      </w:pPr>
    </w:p>
    <w:p w14:paraId="2104AF7A">
      <w:pPr>
        <w:spacing w:line="360" w:lineRule="auto"/>
        <w:jc w:val="center"/>
        <w:rPr>
          <w:rFonts w:hint="default" w:ascii="Arial" w:hAnsi="Arial" w:cs="Arial"/>
          <w:b/>
          <w:bCs/>
          <w:sz w:val="24"/>
          <w:szCs w:val="24"/>
        </w:rPr>
      </w:pPr>
    </w:p>
    <w:p w14:paraId="54C099DD">
      <w:pPr>
        <w:spacing w:line="360" w:lineRule="auto"/>
        <w:jc w:val="center"/>
        <w:rPr>
          <w:rFonts w:hint="default" w:ascii="Arial" w:hAnsi="Arial" w:cs="Arial"/>
          <w:b/>
          <w:bCs/>
          <w:sz w:val="24"/>
          <w:szCs w:val="24"/>
        </w:rPr>
      </w:pPr>
    </w:p>
    <w:p w14:paraId="3F2FAE6E">
      <w:pPr>
        <w:spacing w:line="360" w:lineRule="auto"/>
        <w:jc w:val="center"/>
        <w:rPr>
          <w:rFonts w:hint="default" w:ascii="Arial" w:hAnsi="Arial" w:cs="Arial"/>
          <w:b/>
          <w:bCs/>
          <w:sz w:val="24"/>
          <w:szCs w:val="24"/>
        </w:rPr>
      </w:pPr>
    </w:p>
    <w:p w14:paraId="21E83287">
      <w:pPr>
        <w:spacing w:line="360" w:lineRule="auto"/>
        <w:jc w:val="center"/>
        <w:rPr>
          <w:rFonts w:hint="default" w:ascii="Arial" w:hAnsi="Arial" w:cs="Arial"/>
          <w:b/>
          <w:bCs/>
          <w:sz w:val="24"/>
          <w:szCs w:val="24"/>
        </w:rPr>
      </w:pPr>
    </w:p>
    <w:p w14:paraId="21586E11">
      <w:pPr>
        <w:spacing w:line="360" w:lineRule="auto"/>
        <w:jc w:val="center"/>
        <w:rPr>
          <w:rFonts w:hint="default" w:ascii="Arial" w:hAnsi="Arial" w:cs="Arial"/>
          <w:b/>
          <w:bCs/>
          <w:sz w:val="24"/>
          <w:szCs w:val="24"/>
        </w:rPr>
      </w:pPr>
    </w:p>
    <w:p w14:paraId="351F6FE6">
      <w:pPr>
        <w:spacing w:line="360" w:lineRule="auto"/>
        <w:jc w:val="center"/>
        <w:rPr>
          <w:rFonts w:hint="default" w:ascii="Arial" w:hAnsi="Arial" w:cs="Arial"/>
          <w:b/>
          <w:bCs/>
          <w:sz w:val="24"/>
          <w:szCs w:val="24"/>
        </w:rPr>
      </w:pPr>
    </w:p>
    <w:p w14:paraId="013E9DE3">
      <w:pPr>
        <w:spacing w:line="360" w:lineRule="auto"/>
        <w:jc w:val="center"/>
        <w:rPr>
          <w:rFonts w:hint="default" w:ascii="Arial" w:hAnsi="Arial" w:cs="Arial"/>
          <w:b/>
          <w:bCs/>
          <w:sz w:val="24"/>
          <w:szCs w:val="24"/>
        </w:rPr>
      </w:pPr>
    </w:p>
    <w:p w14:paraId="168E4744">
      <w:pPr>
        <w:spacing w:line="360" w:lineRule="auto"/>
        <w:jc w:val="center"/>
        <w:rPr>
          <w:rFonts w:hint="default" w:ascii="Arial" w:hAnsi="Arial" w:cs="Arial"/>
          <w:b/>
          <w:bCs/>
          <w:sz w:val="24"/>
          <w:szCs w:val="24"/>
        </w:rPr>
      </w:pPr>
    </w:p>
    <w:p w14:paraId="2743F9EC">
      <w:pPr>
        <w:spacing w:line="360" w:lineRule="auto"/>
        <w:jc w:val="center"/>
        <w:rPr>
          <w:rFonts w:hint="default" w:ascii="Arial" w:hAnsi="Arial" w:cs="Arial"/>
          <w:b/>
          <w:bCs/>
          <w:sz w:val="24"/>
          <w:szCs w:val="24"/>
        </w:rPr>
      </w:pPr>
    </w:p>
    <w:p w14:paraId="34A6D753">
      <w:pPr>
        <w:spacing w:line="360" w:lineRule="auto"/>
        <w:jc w:val="center"/>
        <w:rPr>
          <w:rFonts w:hint="default" w:ascii="Arial" w:hAnsi="Arial" w:cs="Arial"/>
          <w:b/>
          <w:bCs/>
          <w:sz w:val="24"/>
          <w:szCs w:val="24"/>
        </w:rPr>
      </w:pPr>
    </w:p>
    <w:p w14:paraId="1CC9F80A">
      <w:pPr>
        <w:spacing w:line="360" w:lineRule="auto"/>
        <w:jc w:val="center"/>
        <w:rPr>
          <w:rFonts w:hint="default" w:ascii="Arial" w:hAnsi="Arial" w:cs="Arial"/>
          <w:b/>
          <w:bCs/>
          <w:sz w:val="24"/>
          <w:szCs w:val="24"/>
        </w:rPr>
      </w:pPr>
    </w:p>
    <w:p w14:paraId="05046C9E">
      <w:pPr>
        <w:spacing w:line="360" w:lineRule="auto"/>
        <w:jc w:val="center"/>
        <w:rPr>
          <w:rFonts w:hint="default" w:ascii="Arial" w:hAnsi="Arial" w:cs="Arial"/>
          <w:b/>
          <w:bCs/>
          <w:sz w:val="24"/>
          <w:szCs w:val="24"/>
        </w:rPr>
      </w:pPr>
    </w:p>
    <w:p w14:paraId="2C161A41">
      <w:pPr>
        <w:spacing w:line="360" w:lineRule="auto"/>
        <w:jc w:val="center"/>
        <w:rPr>
          <w:rFonts w:hint="default" w:ascii="Arial" w:hAnsi="Arial" w:cs="Arial"/>
          <w:b/>
          <w:bCs/>
          <w:sz w:val="24"/>
          <w:szCs w:val="24"/>
        </w:rPr>
      </w:pPr>
    </w:p>
    <w:p w14:paraId="40ECB275">
      <w:pPr>
        <w:spacing w:line="360" w:lineRule="auto"/>
        <w:jc w:val="center"/>
        <w:rPr>
          <w:rFonts w:hint="default" w:ascii="Arial" w:hAnsi="Arial" w:cs="Arial"/>
          <w:b/>
          <w:bCs/>
          <w:sz w:val="24"/>
          <w:szCs w:val="24"/>
        </w:rPr>
      </w:pPr>
    </w:p>
    <w:p w14:paraId="0F967BF6">
      <w:pPr>
        <w:spacing w:line="360" w:lineRule="auto"/>
        <w:jc w:val="center"/>
        <w:rPr>
          <w:rFonts w:hint="default" w:ascii="Arial" w:hAnsi="Arial" w:cs="Arial"/>
          <w:b/>
          <w:bCs/>
          <w:sz w:val="24"/>
          <w:szCs w:val="24"/>
        </w:rPr>
      </w:pPr>
    </w:p>
    <w:p w14:paraId="1CFFA64D">
      <w:pPr>
        <w:spacing w:line="360" w:lineRule="auto"/>
        <w:jc w:val="center"/>
        <w:rPr>
          <w:rFonts w:hint="default" w:ascii="Arial" w:hAnsi="Arial" w:cs="Arial"/>
          <w:b/>
          <w:bCs/>
          <w:sz w:val="24"/>
          <w:szCs w:val="24"/>
        </w:rPr>
      </w:pPr>
    </w:p>
    <w:p w14:paraId="39ED9316">
      <w:pPr>
        <w:spacing w:line="360" w:lineRule="auto"/>
        <w:jc w:val="center"/>
        <w:rPr>
          <w:rFonts w:hint="default" w:ascii="Arial" w:hAnsi="Arial" w:cs="Arial"/>
          <w:b/>
          <w:bCs/>
          <w:sz w:val="24"/>
          <w:szCs w:val="24"/>
        </w:rPr>
      </w:pPr>
    </w:p>
    <w:p w14:paraId="0A089062">
      <w:pPr>
        <w:spacing w:line="360" w:lineRule="auto"/>
        <w:jc w:val="center"/>
        <w:rPr>
          <w:rFonts w:hint="default" w:ascii="Arial" w:hAnsi="Arial" w:cs="Arial"/>
          <w:b/>
          <w:bCs/>
          <w:sz w:val="24"/>
          <w:szCs w:val="24"/>
        </w:rPr>
      </w:pPr>
    </w:p>
    <w:p w14:paraId="454F1DD6">
      <w:pPr>
        <w:spacing w:line="360" w:lineRule="auto"/>
        <w:jc w:val="center"/>
        <w:rPr>
          <w:rFonts w:hint="default" w:ascii="Arial" w:hAnsi="Arial" w:cs="Arial"/>
          <w:b/>
          <w:bCs/>
          <w:sz w:val="24"/>
          <w:szCs w:val="24"/>
        </w:rPr>
      </w:pPr>
    </w:p>
    <w:p w14:paraId="2673ACCE">
      <w:pPr>
        <w:spacing w:line="360" w:lineRule="auto"/>
        <w:jc w:val="center"/>
        <w:rPr>
          <w:rFonts w:hint="default" w:ascii="Arial" w:hAnsi="Arial" w:cs="Arial"/>
          <w:b/>
          <w:bCs/>
          <w:sz w:val="24"/>
          <w:szCs w:val="24"/>
        </w:rPr>
      </w:pPr>
      <w:r>
        <w:rPr>
          <w:rFonts w:hint="default" w:ascii="Arial" w:hAnsi="Arial" w:cs="Arial"/>
          <w:b/>
          <w:bCs/>
          <w:sz w:val="24"/>
          <w:szCs w:val="24"/>
        </w:rPr>
        <w:t>Executive Summary</w:t>
      </w:r>
    </w:p>
    <w:p w14:paraId="62C05EA5">
      <w:pPr>
        <w:spacing w:line="360" w:lineRule="auto"/>
        <w:ind w:firstLine="480" w:firstLineChars="200"/>
        <w:rPr>
          <w:rFonts w:hint="default" w:ascii="Arial" w:hAnsi="Arial" w:cs="Arial"/>
          <w:sz w:val="24"/>
          <w:szCs w:val="24"/>
        </w:rPr>
      </w:pPr>
      <w:r>
        <w:rPr>
          <w:rFonts w:hint="default" w:ascii="Arial" w:hAnsi="Arial" w:cs="Arial"/>
          <w:sz w:val="24"/>
          <w:szCs w:val="24"/>
        </w:rPr>
        <w:t>As a global leader in the automotive industry, Toyota Motor Corporation offers valuable research insights through its unique production system, technological innovation capabilities, and commitment to environmental responsibility. By comprehensively applying analytical tools such as PESTEL analysis, Porter's Five Forces Model, the resource-based view, value chain analysis, SWOT analysis, the Strategic Clock, and the Ansoff Matrix, this report aims to thoroughly evaluate Toyota's current situation, assess its external environment, explore its internal potential, and formulate strategic recommendations to enhance its competitiveness and sustainability within the context of sustainable development.</w:t>
      </w:r>
    </w:p>
    <w:p w14:paraId="291F4316">
      <w:pPr>
        <w:widowControl/>
        <w:jc w:val="left"/>
        <w:rPr>
          <w:rFonts w:hint="default" w:ascii="Arial" w:hAnsi="Arial" w:cs="Arial"/>
          <w:sz w:val="24"/>
          <w:szCs w:val="24"/>
        </w:rPr>
      </w:pPr>
      <w:r>
        <w:rPr>
          <w:rFonts w:hint="default" w:ascii="Arial" w:hAnsi="Arial" w:cs="Arial"/>
          <w:sz w:val="24"/>
          <w:szCs w:val="24"/>
        </w:rPr>
        <w:br w:type="page"/>
      </w:r>
    </w:p>
    <w:p w14:paraId="16B22783">
      <w:pPr>
        <w:spacing w:line="360" w:lineRule="auto"/>
        <w:rPr>
          <w:rFonts w:hint="default" w:ascii="Arial" w:hAnsi="Arial" w:cs="Arial"/>
          <w:b/>
          <w:bCs/>
          <w:sz w:val="24"/>
          <w:szCs w:val="24"/>
        </w:rPr>
      </w:pPr>
    </w:p>
    <w:p w14:paraId="6BC84A63">
      <w:pPr>
        <w:spacing w:line="360" w:lineRule="auto"/>
        <w:jc w:val="both"/>
        <w:rPr>
          <w:rFonts w:hint="default" w:ascii="Arial" w:hAnsi="Arial" w:cs="Arial"/>
          <w:b/>
          <w:bCs/>
          <w:sz w:val="24"/>
          <w:szCs w:val="24"/>
        </w:rPr>
      </w:pPr>
      <w:r>
        <w:rPr>
          <w:rFonts w:hint="default" w:ascii="Arial" w:hAnsi="Arial" w:cs="Arial"/>
          <w:b/>
          <w:bCs/>
          <w:sz w:val="24"/>
          <w:szCs w:val="24"/>
        </w:rPr>
        <w:t>1. Introduction</w:t>
      </w:r>
    </w:p>
    <w:p w14:paraId="7A0CBA73">
      <w:pPr>
        <w:spacing w:line="360" w:lineRule="auto"/>
        <w:ind w:firstLine="480" w:firstLineChars="200"/>
        <w:rPr>
          <w:rFonts w:hint="default" w:ascii="Arial" w:hAnsi="Arial" w:cs="Arial"/>
          <w:sz w:val="24"/>
          <w:szCs w:val="24"/>
        </w:rPr>
      </w:pPr>
      <w:bookmarkStart w:id="0" w:name="OLE_LINK13"/>
      <w:bookmarkStart w:id="1" w:name="OLE_LINK14"/>
      <w:bookmarkStart w:id="2" w:name="OLE_LINK12"/>
      <w:bookmarkStart w:id="3" w:name="OLE_LINK11"/>
      <w:r>
        <w:rPr>
          <w:rFonts w:hint="default" w:ascii="Arial" w:hAnsi="Arial" w:cs="Arial"/>
          <w:sz w:val="24"/>
          <w:szCs w:val="24"/>
        </w:rPr>
        <w:t>Founded in 1937, Toyota Motor Corporation is one of the world's largest automobile manufacturers. Renowned for its innovative approaches, superior quality, and efficient operations, the company holds a significant position in the global automotive market. Toyota's product portfolio is diverse and comprehensive, encompassing a wide range of models from economy cars to luxury SUVs and pickup trucks, catering to the varied needs of consumers.</w:t>
      </w:r>
    </w:p>
    <w:bookmarkEnd w:id="0"/>
    <w:bookmarkEnd w:id="1"/>
    <w:p w14:paraId="01917D9F">
      <w:pPr>
        <w:spacing w:line="360" w:lineRule="auto"/>
        <w:ind w:firstLine="480" w:firstLineChars="200"/>
        <w:rPr>
          <w:rFonts w:hint="default" w:ascii="Arial" w:hAnsi="Arial" w:cs="Arial"/>
          <w:sz w:val="24"/>
          <w:szCs w:val="24"/>
        </w:rPr>
      </w:pPr>
      <w:r>
        <w:rPr>
          <w:rFonts w:hint="default" w:ascii="Arial" w:hAnsi="Arial" w:cs="Arial"/>
          <w:sz w:val="24"/>
          <w:szCs w:val="24"/>
        </w:rPr>
        <w:t>Selecting Toyota as the subject of strategic analysis holds profound significance. On one hand, as an industry benchmark, Toyota's strategic decisions and developmental trajectory play a leading and exemplary role in shaping the direction of the entire automotive sector. On the other hand, the automotive industry is currently undergoing a critical period of profound transformation, and the internal and external challenges faced by Toyota are highly representative. From an economic perspective, the instability of global economic growth, frequent exchange rate fluctuations, and volatile raw material prices have posed significant challenges to Toyota's cost control and market expansion efforts. In terms of competitive dynamics, Toyota must not only contend with intense rivalry from traditional automakers but also address the cross-sector challenges posed by new energy vehicle manufacturers and technology firms. Furthermore, as sustainable development becomes a global consensus, the industry's shift toward electrification, intelligence, and green transformation is becoming increasingly pronounced, necessitating urgent strategic adjustments by Toyota.</w:t>
      </w:r>
      <w:bookmarkEnd w:id="2"/>
      <w:bookmarkEnd w:id="3"/>
    </w:p>
    <w:p w14:paraId="402E560A">
      <w:pPr>
        <w:spacing w:line="360" w:lineRule="auto"/>
        <w:rPr>
          <w:rFonts w:hint="default" w:ascii="Arial" w:hAnsi="Arial" w:cs="Arial"/>
          <w:b/>
          <w:bCs/>
          <w:sz w:val="24"/>
          <w:szCs w:val="24"/>
        </w:rPr>
      </w:pPr>
      <w:r>
        <w:rPr>
          <w:rFonts w:hint="default" w:ascii="Arial" w:hAnsi="Arial" w:cs="Arial"/>
          <w:b/>
          <w:bCs/>
          <w:sz w:val="24"/>
          <w:szCs w:val="24"/>
        </w:rPr>
        <w:t>2. External Analysis</w:t>
      </w:r>
    </w:p>
    <w:p w14:paraId="43222BB8">
      <w:pPr>
        <w:spacing w:line="360" w:lineRule="auto"/>
        <w:rPr>
          <w:rFonts w:hint="default" w:ascii="Arial" w:hAnsi="Arial" w:cs="Arial"/>
          <w:sz w:val="24"/>
          <w:szCs w:val="24"/>
        </w:rPr>
      </w:pPr>
      <w:bookmarkStart w:id="4" w:name="OLE_LINK28"/>
      <w:bookmarkStart w:id="5" w:name="OLE_LINK27"/>
      <w:r>
        <w:rPr>
          <w:rFonts w:hint="default" w:ascii="Arial" w:hAnsi="Arial" w:cs="Arial"/>
          <w:sz w:val="24"/>
          <w:szCs w:val="24"/>
        </w:rPr>
        <w:t>2.1 PESTEL Analysis</w:t>
      </w:r>
    </w:p>
    <w:p w14:paraId="1141DC09">
      <w:pPr>
        <w:spacing w:line="360" w:lineRule="auto"/>
        <w:rPr>
          <w:rFonts w:hint="default" w:ascii="Arial" w:hAnsi="Arial" w:cs="Arial"/>
          <w:i/>
          <w:iCs/>
          <w:sz w:val="24"/>
          <w:szCs w:val="24"/>
        </w:rPr>
      </w:pPr>
      <w:r>
        <w:rPr>
          <w:rFonts w:hint="default" w:ascii="Arial" w:hAnsi="Arial" w:cs="Arial"/>
          <w:i/>
          <w:iCs/>
          <w:sz w:val="24"/>
          <w:szCs w:val="24"/>
        </w:rPr>
        <w:t>2.1.1 Political</w:t>
      </w:r>
    </w:p>
    <w:p w14:paraId="29686CB1">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sz w:val="24"/>
          <w:szCs w:val="24"/>
        </w:rPr>
        <w:t>Differences in national laws and regulations present significant challenges for Toyota Motor Corporation's multinational operations, encompassing areas such as vehicle safety standards, emissions regulations, and data protection laws. Simultaneously, as investigated by Ruslan (2023), the reinforcement of consumer protection laws has imposed higher demands on Toyota's after-sales services and customer satisfaction.</w:t>
      </w:r>
    </w:p>
    <w:p w14:paraId="45DAFC03">
      <w:pPr>
        <w:spacing w:line="360" w:lineRule="auto"/>
        <w:rPr>
          <w:rFonts w:hint="default" w:ascii="Arial" w:hAnsi="Arial" w:cs="Arial"/>
          <w:i/>
          <w:iCs/>
          <w:sz w:val="24"/>
          <w:szCs w:val="24"/>
        </w:rPr>
      </w:pPr>
      <w:r>
        <w:rPr>
          <w:rFonts w:hint="default" w:ascii="Arial" w:hAnsi="Arial" w:cs="Arial"/>
          <w:i/>
          <w:iCs/>
          <w:sz w:val="24"/>
          <w:szCs w:val="24"/>
        </w:rPr>
        <w:t>2.1.2 Economic</w:t>
      </w:r>
    </w:p>
    <w:p w14:paraId="2C8C08CA">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color w:val="404040"/>
          <w:sz w:val="24"/>
          <w:szCs w:val="24"/>
        </w:rPr>
        <w:t>Economic conditions, as highlighted by Liu (2024), directly impact Toyota's profitability due to factors such as inflation, exchange rate fluctuations, and rising raw material costs. The increasing prices of steel and aluminum have escalated production expenses. Additionally, global economic slowdowns, as noted by Aljohani (2025), have reduced consumer demand for vehicles. However, Toyota's strong presence in emerging markets provides a buffer against economic volatility.</w:t>
      </w:r>
    </w:p>
    <w:p w14:paraId="131422B8">
      <w:pPr>
        <w:spacing w:line="360" w:lineRule="auto"/>
        <w:rPr>
          <w:rFonts w:hint="default" w:ascii="Arial" w:hAnsi="Arial" w:cs="Arial"/>
          <w:i/>
          <w:iCs/>
          <w:sz w:val="24"/>
          <w:szCs w:val="24"/>
        </w:rPr>
      </w:pPr>
      <w:r>
        <w:rPr>
          <w:rFonts w:hint="default" w:ascii="Arial" w:hAnsi="Arial" w:cs="Arial"/>
          <w:i/>
          <w:iCs/>
          <w:sz w:val="24"/>
          <w:szCs w:val="24"/>
        </w:rPr>
        <w:t>2.1.3 Social</w:t>
      </w:r>
    </w:p>
    <w:p w14:paraId="482143EB">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color w:val="404040"/>
          <w:sz w:val="24"/>
          <w:szCs w:val="24"/>
        </w:rPr>
        <w:t>Changing consumer preferences and demographic shifts significantly influence Toyota's strategic direction. Abu-Bakar (2024) identified a growing demand for environmentally friendly vehicles, particularly among younger, eco-conscious consumers. In response, Toyota has expanded its hybrid and electric vehicle (EV) offerings. Additionally, Zhu (2020) observed that urbanization trends have heightened the demand for compact and fuel-efficient vehicles, especially in densely populated regions.</w:t>
      </w:r>
    </w:p>
    <w:p w14:paraId="7FF24E2D">
      <w:pPr>
        <w:spacing w:line="360" w:lineRule="auto"/>
        <w:rPr>
          <w:rFonts w:hint="default" w:ascii="Arial" w:hAnsi="Arial" w:cs="Arial"/>
          <w:b w:val="0"/>
          <w:bCs w:val="0"/>
          <w:i/>
          <w:iCs/>
          <w:sz w:val="24"/>
          <w:szCs w:val="24"/>
        </w:rPr>
      </w:pPr>
      <w:r>
        <w:rPr>
          <w:rFonts w:hint="default" w:ascii="Arial" w:hAnsi="Arial" w:cs="Arial"/>
          <w:b w:val="0"/>
          <w:bCs w:val="0"/>
          <w:i/>
          <w:iCs/>
          <w:sz w:val="24"/>
          <w:szCs w:val="24"/>
        </w:rPr>
        <w:t>2.1.4 Technological</w:t>
      </w:r>
    </w:p>
    <w:p w14:paraId="32828673">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color w:val="404040"/>
          <w:sz w:val="24"/>
          <w:szCs w:val="24"/>
        </w:rPr>
        <w:t>The automotive industry is undergoing rapid technological transformation. Advancements in battery technology have significantly enhanced the range and performance of electric vehicles (EVs), challenging Toyota's dominance in traditional vehicle segments. Simultaneously, the development of autonomous driving technologies is accelerating. As Chai (2021) highlighted, the entry of tech giants such as Google and Baidu into this field has intensified market competition.</w:t>
      </w:r>
    </w:p>
    <w:p w14:paraId="27AF09B0">
      <w:pPr>
        <w:spacing w:line="360" w:lineRule="auto"/>
        <w:rPr>
          <w:rFonts w:hint="default" w:ascii="Arial" w:hAnsi="Arial" w:cs="Arial"/>
          <w:i/>
          <w:iCs/>
          <w:sz w:val="24"/>
          <w:szCs w:val="24"/>
        </w:rPr>
      </w:pPr>
      <w:r>
        <w:rPr>
          <w:rFonts w:hint="default" w:ascii="Arial" w:hAnsi="Arial" w:cs="Arial"/>
          <w:i/>
          <w:iCs/>
          <w:sz w:val="24"/>
          <w:szCs w:val="24"/>
        </w:rPr>
        <w:t>2.1.5 Environmental</w:t>
      </w:r>
    </w:p>
    <w:p w14:paraId="1A90EDA2">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sz w:val="24"/>
          <w:szCs w:val="24"/>
        </w:rPr>
        <w:t>Environmental concerns are a major driver of transformation in the automotive industry. Stricter emission regulations and the global push for carbon neutrality have compelled Toyota to accelerate its transition toward sustainable practices. Furthermore, as Yu (2021) argues, the environmental impact of battery production for electric vehicles remains a contentious issue, necessitating further innovation.</w:t>
      </w:r>
    </w:p>
    <w:p w14:paraId="53C7D3EE">
      <w:pPr>
        <w:spacing w:line="360" w:lineRule="auto"/>
        <w:rPr>
          <w:rFonts w:hint="default" w:ascii="Arial" w:hAnsi="Arial" w:cs="Arial"/>
          <w:i/>
          <w:iCs/>
          <w:sz w:val="24"/>
          <w:szCs w:val="24"/>
        </w:rPr>
      </w:pPr>
      <w:r>
        <w:rPr>
          <w:rFonts w:hint="default" w:ascii="Arial" w:hAnsi="Arial" w:cs="Arial"/>
          <w:i/>
          <w:iCs/>
          <w:sz w:val="24"/>
          <w:szCs w:val="24"/>
        </w:rPr>
        <w:t>2.1.6 Legal</w:t>
      </w:r>
    </w:p>
    <w:p w14:paraId="5C035EE9">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sz w:val="24"/>
          <w:szCs w:val="24"/>
        </w:rPr>
        <w:t>The disparities in laws and regulations across various countries present significant challenges to Toyota Motor Corporation's multinational operations, encompassing areas such as vehicle safety standards, emission regulations, and data protection laws. Simultaneously, the reinforcement of consumer protection laws has imposed higher demands on Toyota's after-sales services and customer satisfaction (Najid, Abdul and Nasrul, 2024).</w:t>
      </w:r>
    </w:p>
    <w:p w14:paraId="5BC2AA1F">
      <w:pPr>
        <w:spacing w:line="360" w:lineRule="auto"/>
        <w:rPr>
          <w:rFonts w:hint="default" w:ascii="Arial" w:hAnsi="Arial" w:cs="Arial"/>
          <w:sz w:val="24"/>
          <w:szCs w:val="24"/>
        </w:rPr>
      </w:pPr>
      <w:r>
        <w:rPr>
          <w:rFonts w:hint="default" w:ascii="Arial" w:hAnsi="Arial" w:cs="Arial"/>
          <w:sz w:val="24"/>
          <w:szCs w:val="24"/>
        </w:rPr>
        <w:t xml:space="preserve">2.2 </w:t>
      </w:r>
      <w:bookmarkStart w:id="6" w:name="OLE_LINK8"/>
      <w:bookmarkStart w:id="7" w:name="OLE_LINK7"/>
      <w:r>
        <w:rPr>
          <w:rFonts w:hint="default" w:ascii="Arial" w:hAnsi="Arial" w:cs="Arial"/>
          <w:sz w:val="24"/>
          <w:szCs w:val="24"/>
        </w:rPr>
        <w:t>Porter’s Five Forces</w:t>
      </w:r>
      <w:bookmarkEnd w:id="6"/>
      <w:bookmarkEnd w:id="7"/>
    </w:p>
    <w:p w14:paraId="3373C786">
      <w:pPr>
        <w:spacing w:line="360" w:lineRule="auto"/>
        <w:rPr>
          <w:rFonts w:hint="default" w:ascii="Arial" w:hAnsi="Arial" w:cs="Arial"/>
          <w:i/>
          <w:iCs/>
          <w:sz w:val="24"/>
          <w:szCs w:val="24"/>
        </w:rPr>
      </w:pPr>
      <w:r>
        <w:rPr>
          <w:rFonts w:hint="default" w:ascii="Arial" w:hAnsi="Arial" w:cs="Arial"/>
          <w:i/>
          <w:iCs/>
          <w:sz w:val="24"/>
          <w:szCs w:val="24"/>
        </w:rPr>
        <w:t>2.2.1 Threat of New Entrants</w:t>
      </w:r>
    </w:p>
    <w:p w14:paraId="0C3246C9">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sz w:val="24"/>
          <w:szCs w:val="24"/>
        </w:rPr>
        <w:t>With automotive industry's technological transformation and liberalization, tech firms and new EV makers are entering the market. As Kawai (2022) noted, these entrants, leveraging internet, battery tech, and innovative models, pose threats to traditional automakers. Tesla, for example, has swiftly gained a strong position in the global EV market through advanced EV tech and intelligent systems.</w:t>
      </w:r>
    </w:p>
    <w:p w14:paraId="0E4C7A0B">
      <w:pPr>
        <w:spacing w:line="360" w:lineRule="auto"/>
        <w:rPr>
          <w:rFonts w:hint="default" w:ascii="Arial" w:hAnsi="Arial" w:cs="Arial"/>
          <w:i/>
          <w:iCs/>
          <w:sz w:val="24"/>
          <w:szCs w:val="24"/>
        </w:rPr>
      </w:pPr>
      <w:r>
        <w:rPr>
          <w:rFonts w:hint="default" w:ascii="Arial" w:hAnsi="Arial" w:cs="Arial"/>
          <w:i/>
          <w:iCs/>
          <w:sz w:val="24"/>
          <w:szCs w:val="24"/>
        </w:rPr>
        <w:t>2.2.2 Bargaining Power of Suppliers</w:t>
      </w:r>
    </w:p>
    <w:p w14:paraId="52696CA9">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sz w:val="24"/>
          <w:szCs w:val="24"/>
        </w:rPr>
        <w:t>Toyota's suppliers hold moderate bargaining power due to the company's reliance on high-quality components and raw materials, such as semiconductors and lithium batteries. Additionally, the global chip shortage in recent years has subjected Toyota to dual pressures of rising prices and supply instability in chip procurement (Global, 2021).</w:t>
      </w:r>
    </w:p>
    <w:p w14:paraId="64D95FA6">
      <w:pPr>
        <w:spacing w:line="360" w:lineRule="auto"/>
        <w:rPr>
          <w:rFonts w:hint="default" w:ascii="Arial" w:hAnsi="Arial" w:cs="Arial"/>
          <w:i/>
          <w:iCs/>
          <w:sz w:val="24"/>
          <w:szCs w:val="24"/>
        </w:rPr>
      </w:pPr>
      <w:r>
        <w:rPr>
          <w:rFonts w:hint="default" w:ascii="Arial" w:hAnsi="Arial" w:cs="Arial"/>
          <w:i/>
          <w:iCs/>
          <w:sz w:val="24"/>
          <w:szCs w:val="24"/>
        </w:rPr>
        <w:t>2.2.3 Bargaining Power of Buyers</w:t>
      </w:r>
    </w:p>
    <w:p w14:paraId="674DBE83">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sz w:val="24"/>
          <w:szCs w:val="24"/>
        </w:rPr>
        <w:t>In the automotive market, consumers face diverse choices and intense brand competition. Moradi (2020) found consumers to be price-sensitive with high expectations for features, performance, and after-sales services, giving them strong bargaining power. In competitive regions and segments, they often compare brands and prices to negotiate better purchasing terms.</w:t>
      </w:r>
    </w:p>
    <w:p w14:paraId="0B99B425">
      <w:pPr>
        <w:spacing w:line="360" w:lineRule="auto"/>
        <w:rPr>
          <w:rFonts w:hint="default" w:ascii="Arial" w:hAnsi="Arial" w:cs="Arial"/>
          <w:i/>
          <w:iCs/>
          <w:sz w:val="24"/>
          <w:szCs w:val="24"/>
        </w:rPr>
      </w:pPr>
      <w:r>
        <w:rPr>
          <w:rFonts w:hint="default" w:ascii="Arial" w:hAnsi="Arial" w:cs="Arial"/>
          <w:i/>
          <w:iCs/>
          <w:sz w:val="24"/>
          <w:szCs w:val="24"/>
        </w:rPr>
        <w:t>2.2.4 Threat of Substitutes</w:t>
      </w:r>
    </w:p>
    <w:p w14:paraId="0F8AC65D">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sz w:val="24"/>
          <w:szCs w:val="24"/>
        </w:rPr>
        <w:t>As Das (2021) analyzed in Transport Policy, advancements in public transportation, including rapid rail transit and new mobility solutions like ride-sharing, have increased transportation options, reducing private vehicle demand. Moreover, the transition to electric and autonomous vehicles has the potential to disrupt traditional automotive markets.</w:t>
      </w:r>
    </w:p>
    <w:p w14:paraId="5A368375">
      <w:pPr>
        <w:spacing w:line="360" w:lineRule="auto"/>
        <w:rPr>
          <w:rFonts w:hint="default" w:ascii="Arial" w:hAnsi="Arial" w:cs="Arial"/>
          <w:i/>
          <w:iCs/>
          <w:sz w:val="24"/>
          <w:szCs w:val="24"/>
        </w:rPr>
      </w:pPr>
      <w:r>
        <w:rPr>
          <w:rFonts w:hint="default" w:ascii="Arial" w:hAnsi="Arial" w:cs="Arial"/>
          <w:i/>
          <w:iCs/>
          <w:sz w:val="24"/>
          <w:szCs w:val="24"/>
        </w:rPr>
        <w:t>2.2.5 Competitive Rivalry</w:t>
      </w:r>
    </w:p>
    <w:p w14:paraId="10CEC635">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sz w:val="24"/>
          <w:szCs w:val="24"/>
        </w:rPr>
        <w:t>Toyota faces stiff competition from automakers like Volkswagen, General Motors, and Honda, which excel in market share, technology, and brand influence (Takeuchi, 2023). Additionally, emerging EV makers like NIO and XPeng are growing rapidly, capturing market share with differentiated products and marketing strategies.</w:t>
      </w:r>
      <w:bookmarkEnd w:id="4"/>
      <w:bookmarkEnd w:id="5"/>
    </w:p>
    <w:p w14:paraId="5149F3CD">
      <w:pPr>
        <w:spacing w:line="360" w:lineRule="auto"/>
        <w:rPr>
          <w:rFonts w:hint="default" w:ascii="Arial" w:hAnsi="Arial" w:cs="Arial"/>
          <w:sz w:val="24"/>
          <w:szCs w:val="24"/>
        </w:rPr>
      </w:pPr>
      <w:r>
        <w:rPr>
          <w:rFonts w:hint="default" w:ascii="Arial" w:hAnsi="Arial" w:cs="Arial"/>
          <w:sz w:val="24"/>
          <w:szCs w:val="24"/>
        </w:rPr>
        <w:t>2.3 Key Economic Trends</w:t>
      </w:r>
    </w:p>
    <w:p w14:paraId="181A263F">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sz w:val="24"/>
          <w:szCs w:val="24"/>
        </w:rPr>
        <w:t>The global digital economic transformation drives the automotive industry to develop intelligent, connected vehicles, with rising consumer demand for smart functionalities.  Protectionism has caused global trade instability, challenging Toyota's supply chain management and market expansion. Furthermore, increasing demand for personalized automotive products presents new challenges to Toyota's production models and development.</w:t>
      </w:r>
    </w:p>
    <w:p w14:paraId="4AE730FC">
      <w:pPr>
        <w:spacing w:line="360" w:lineRule="auto"/>
        <w:rPr>
          <w:rFonts w:hint="default" w:ascii="Arial" w:hAnsi="Arial" w:cs="Arial"/>
          <w:sz w:val="24"/>
          <w:szCs w:val="24"/>
        </w:rPr>
      </w:pPr>
      <w:r>
        <w:rPr>
          <w:rFonts w:hint="default" w:ascii="Arial" w:hAnsi="Arial" w:cs="Arial"/>
          <w:sz w:val="24"/>
          <w:szCs w:val="24"/>
        </w:rPr>
        <w:t xml:space="preserve">3. Internal Analysis </w:t>
      </w:r>
    </w:p>
    <w:p w14:paraId="54C4823D">
      <w:pPr>
        <w:spacing w:line="360" w:lineRule="auto"/>
        <w:rPr>
          <w:rFonts w:hint="default" w:ascii="Arial" w:hAnsi="Arial" w:cs="Arial"/>
          <w:sz w:val="24"/>
          <w:szCs w:val="24"/>
        </w:rPr>
      </w:pPr>
      <w:r>
        <w:rPr>
          <w:rFonts w:hint="default" w:ascii="Arial" w:hAnsi="Arial" w:cs="Arial"/>
          <w:sz w:val="24"/>
          <w:szCs w:val="24"/>
        </w:rPr>
        <w:t>3.1 SWOT Analysis</w:t>
      </w:r>
    </w:p>
    <w:p w14:paraId="1C1351E5">
      <w:pPr>
        <w:spacing w:line="360" w:lineRule="auto"/>
        <w:rPr>
          <w:rFonts w:hint="default" w:ascii="Arial" w:hAnsi="Arial" w:cs="Arial"/>
          <w:i/>
          <w:iCs/>
          <w:sz w:val="24"/>
          <w:szCs w:val="24"/>
        </w:rPr>
      </w:pPr>
      <w:r>
        <w:rPr>
          <w:rFonts w:hint="default" w:ascii="Arial" w:hAnsi="Arial" w:cs="Arial"/>
          <w:i/>
          <w:iCs/>
          <w:sz w:val="24"/>
          <w:szCs w:val="24"/>
        </w:rPr>
        <w:t>3.1.1 Strengths</w:t>
      </w:r>
    </w:p>
    <w:p w14:paraId="7F8A5F17">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sz w:val="24"/>
          <w:szCs w:val="24"/>
        </w:rPr>
        <w:t>Through years of accumulation, Toyota has established an exceptional brand image, with consumers highly recognizing the reliability and quality of its products, resulting in strong brand loyalty. At the technological level, Toyota's leading advantage in hybrid technology is significant and continues to drive industry development. In production and operations, its efficient lean production system enables precise cost control and ensures the cost-effectiveness of its products. With a global presence and an extensive production and sales network, Toyota can swiftly respond to local market demands and flexibly allocate resources. These strengths enhance Toyota's resilience in navigating complex external environments. For instance, in emerging markets, its brand and product advantages allow it to effectively mitigate the impacts of economic fluctuations.</w:t>
      </w:r>
    </w:p>
    <w:p w14:paraId="393FD5A2">
      <w:pPr>
        <w:spacing w:line="360" w:lineRule="auto"/>
        <w:rPr>
          <w:rFonts w:hint="default" w:ascii="Arial" w:hAnsi="Arial" w:cs="Arial"/>
          <w:i/>
          <w:iCs/>
          <w:sz w:val="24"/>
          <w:szCs w:val="24"/>
        </w:rPr>
      </w:pPr>
      <w:r>
        <w:rPr>
          <w:rFonts w:hint="default" w:ascii="Arial" w:hAnsi="Arial" w:cs="Arial"/>
          <w:i/>
          <w:iCs/>
          <w:sz w:val="24"/>
          <w:szCs w:val="24"/>
        </w:rPr>
        <w:t>3.1.2 Weaknesses</w:t>
      </w:r>
    </w:p>
    <w:p w14:paraId="502932D3">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sz w:val="24"/>
          <w:szCs w:val="24"/>
        </w:rPr>
        <w:t>In the field of pure electric vehicles (EVs), Toyota's development pace lags significantly behind some competitors, with limited product diversity and poor market adaptability, making it difficult to meet the rapidly growing demand for new energy vehicles. Over-reliance on its traditional internal combustion engine business poses significant transformation pressures and potential risks, especially as global environmental regulations become stricter and the automotive industry accelerates its shift toward new energy. Additionally, excessive dependence on key component suppliers, such as those providing chips, has led to production challenges, highlighting vulnerabilities in the supply chain and a lack of risk resilience. These issues severely constrain Toyota's ability to operate effectively during periods of political and economic instability.</w:t>
      </w:r>
    </w:p>
    <w:p w14:paraId="60182EC6">
      <w:pPr>
        <w:spacing w:line="360" w:lineRule="auto"/>
        <w:rPr>
          <w:rFonts w:hint="default" w:ascii="Arial" w:hAnsi="Arial" w:cs="Arial"/>
          <w:i/>
          <w:iCs/>
          <w:sz w:val="24"/>
          <w:szCs w:val="24"/>
        </w:rPr>
      </w:pPr>
      <w:r>
        <w:rPr>
          <w:rFonts w:hint="default" w:ascii="Arial" w:hAnsi="Arial" w:cs="Arial"/>
          <w:i/>
          <w:iCs/>
          <w:sz w:val="24"/>
          <w:szCs w:val="24"/>
        </w:rPr>
        <w:t>3.1.3 Opportunities</w:t>
      </w:r>
    </w:p>
    <w:p w14:paraId="7D83B0B9">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sz w:val="24"/>
          <w:szCs w:val="24"/>
        </w:rPr>
        <w:t>The global electric vehicle (EV) market, driven by environmental awareness and policy support, has experienced explosive growth, providing Toyota with significant opportunities to expand its market presence and accelerate its electrification strategy. Hensmans (2023) highlighted that emerging markets, such as China and India, possess substantial consumption potential. With the development of local economies and the upgrading of consumer preferences, the demand for automobiles continues to rise, enabling Toyota to leverage its strengths to tap deeply into these markets. Additionally, advancements in cutting-edge technologies, such as autonomous driving, have introduced new business models and growth opportunities. Toyota can actively explore these areas by capitalizing on its existing technological expertise and strong brand foundation. Furthermore, the increasing demand for environmentally friendly and intelligent vehicles creates favorable conditions for Toyota to innovate its product offerings and enhance its competitive edge.</w:t>
      </w:r>
    </w:p>
    <w:p w14:paraId="5836CF4C">
      <w:pPr>
        <w:spacing w:line="360" w:lineRule="auto"/>
        <w:rPr>
          <w:rFonts w:hint="default" w:ascii="Arial" w:hAnsi="Arial" w:cs="Arial"/>
          <w:i/>
          <w:iCs/>
          <w:sz w:val="24"/>
          <w:szCs w:val="24"/>
        </w:rPr>
      </w:pPr>
      <w:r>
        <w:rPr>
          <w:rFonts w:hint="default" w:ascii="Arial" w:hAnsi="Arial" w:cs="Arial"/>
          <w:i/>
          <w:iCs/>
          <w:sz w:val="24"/>
          <w:szCs w:val="24"/>
        </w:rPr>
        <w:t>3.1.4 Threats</w:t>
      </w:r>
    </w:p>
    <w:p w14:paraId="7C46B73A">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color w:val="404040"/>
          <w:sz w:val="24"/>
          <w:szCs w:val="24"/>
        </w:rPr>
      </w:pPr>
      <w:r>
        <w:rPr>
          <w:rFonts w:hint="default" w:ascii="Arial" w:hAnsi="Arial" w:cs="Arial"/>
          <w:color w:val="404040"/>
          <w:sz w:val="24"/>
          <w:szCs w:val="24"/>
        </w:rPr>
        <w:t>As Shah (2023) emphasizes, the automotive industry is becoming increasingly competitive, with traditional giants and emerging electric vehicle manufacturers vying for market share, thereby squeezing Toyota's competitive space. Technological advancements are occurring at a rapid pace, and if Toyota fails to keep up with the development of key technologies such as batteries and autonomous driving, its product competitiveness could significantly decline. Additionally, the substantial differences and increasingly stringent regulations and policies across countries, such as safety standards and emission regulations, raise compliance costs and operational challenges for Toyota. The rapid development of public transportation and shared mobility solutions has also diverted some demand for private vehicles, impacting Toyota's traditional business model. These threats stem from complex changes in the external political, economic, social, and technological environments.</w:t>
      </w:r>
    </w:p>
    <w:p w14:paraId="77B80CFA">
      <w:pPr>
        <w:spacing w:line="360" w:lineRule="auto"/>
        <w:rPr>
          <w:rFonts w:hint="default" w:ascii="Arial" w:hAnsi="Arial" w:cs="Arial"/>
          <w:b/>
          <w:bCs/>
          <w:color w:val="404040"/>
          <w:sz w:val="24"/>
          <w:szCs w:val="24"/>
        </w:rPr>
      </w:pPr>
      <w:r>
        <w:rPr>
          <w:rFonts w:hint="default" w:ascii="Arial" w:hAnsi="Arial" w:cs="Arial"/>
          <w:b/>
          <w:bCs/>
          <w:color w:val="404040"/>
          <w:sz w:val="24"/>
          <w:szCs w:val="24"/>
        </w:rPr>
        <w:t>4. Strategy Formulation and Competitive Positioning</w:t>
      </w:r>
    </w:p>
    <w:p w14:paraId="0BF4A8F2">
      <w:pPr>
        <w:spacing w:line="360" w:lineRule="auto"/>
        <w:rPr>
          <w:rFonts w:hint="default" w:ascii="Arial" w:hAnsi="Arial" w:cs="Arial"/>
          <w:color w:val="404040"/>
          <w:sz w:val="24"/>
          <w:szCs w:val="24"/>
        </w:rPr>
      </w:pPr>
      <w:r>
        <w:rPr>
          <w:rFonts w:hint="default" w:ascii="Arial" w:hAnsi="Arial" w:cs="Arial"/>
          <w:color w:val="404040"/>
          <w:sz w:val="24"/>
          <w:szCs w:val="24"/>
        </w:rPr>
        <w:t xml:space="preserve">4.1 Current Strategic Positioning </w:t>
      </w:r>
    </w:p>
    <w:p w14:paraId="2A5B39AA">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color w:val="404040"/>
          <w:sz w:val="24"/>
          <w:szCs w:val="24"/>
        </w:rPr>
      </w:pPr>
      <w:r>
        <w:rPr>
          <w:rFonts w:hint="default" w:ascii="Arial" w:hAnsi="Arial" w:cs="Arial"/>
          <w:color w:val="404040"/>
          <w:sz w:val="24"/>
          <w:szCs w:val="24"/>
        </w:rPr>
        <w:t>From Porter's Generic Strategies perspective, Toyota combines differentiation with cost leadership. As Kawai (2020) highlights, Toyota continuously innovates, developing unique models such as fuel-efficient hybrids and premium Lexus vehicles equipped with advanced technology. Furthermore, Toyota differentiates itself in the high-end market by offering sophisticated, high-quality products like Lexus, targeting quality-conscious consumers. In the mass market, Toyota leverages its cost leadership by providing affordable models such as the Corolla, appealing to price-sensitive buyers. This dual strategy enhances Toyota's competitive positioning in the global automotive industry.</w:t>
      </w:r>
    </w:p>
    <w:p w14:paraId="1ABA2D93">
      <w:pPr>
        <w:spacing w:line="360" w:lineRule="auto"/>
        <w:rPr>
          <w:rFonts w:hint="default" w:ascii="Arial" w:hAnsi="Arial" w:cs="Arial"/>
          <w:color w:val="404040"/>
          <w:sz w:val="24"/>
          <w:szCs w:val="24"/>
        </w:rPr>
      </w:pPr>
      <w:r>
        <w:rPr>
          <w:rFonts w:hint="default" w:ascii="Arial" w:hAnsi="Arial" w:cs="Arial"/>
          <w:color w:val="404040"/>
          <w:sz w:val="24"/>
          <w:szCs w:val="24"/>
        </w:rPr>
        <w:t xml:space="preserve">4.2 Growth Strategy </w:t>
      </w:r>
    </w:p>
    <w:p w14:paraId="52EF2E31">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color w:val="404040"/>
          <w:sz w:val="24"/>
          <w:szCs w:val="24"/>
        </w:rPr>
      </w:pPr>
      <w:r>
        <w:rPr>
          <w:rFonts w:hint="default" w:ascii="Arial" w:hAnsi="Arial" w:cs="Arial"/>
          <w:color w:val="404040"/>
          <w:sz w:val="24"/>
          <w:szCs w:val="24"/>
        </w:rPr>
        <w:t>Using the Ansoff Matrix, Toyota can expand in existing markets by developing new energy vehicles (NEVs) and intelligent connected vehicles (ICVs) to meet growing demand. It should also invest in emerging markets, especially in developing countries, where automotive demand is rising. Exploring new business models like shared mobility and car rental services, as Bhattacheryay (2023) suggests, can further increase market share through partnerships or independent ventures.</w:t>
      </w:r>
    </w:p>
    <w:p w14:paraId="1568DBEB">
      <w:pPr>
        <w:spacing w:line="360" w:lineRule="auto"/>
        <w:rPr>
          <w:rFonts w:hint="default" w:ascii="Arial" w:hAnsi="Arial" w:cs="Arial"/>
          <w:sz w:val="24"/>
          <w:szCs w:val="24"/>
        </w:rPr>
      </w:pPr>
      <w:r>
        <w:rPr>
          <w:rFonts w:hint="default" w:ascii="Arial" w:hAnsi="Arial" w:cs="Arial"/>
          <w:color w:val="404040"/>
          <w:sz w:val="24"/>
          <w:szCs w:val="24"/>
        </w:rPr>
        <w:t>4.3 Merger and Acquisition Evaluation</w:t>
      </w:r>
    </w:p>
    <w:p w14:paraId="491470A6">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sz w:val="24"/>
          <w:szCs w:val="24"/>
        </w:rPr>
        <w:t>Toyota has strengthened its supply chain and technological capabilities through acquisitions, such as its investment in Denso (Tsujita, 2023). Moving forward, Toyota should acquire or partner with tech companies or startups specializing in autonomous driving and battery technologies to accelerate innovation, enhance product development, and boost market competitiveness.</w:t>
      </w:r>
    </w:p>
    <w:p w14:paraId="5AA7FEE6">
      <w:pPr>
        <w:spacing w:line="360" w:lineRule="auto"/>
        <w:rPr>
          <w:rFonts w:hint="default" w:ascii="Arial" w:hAnsi="Arial" w:cs="Arial"/>
          <w:b/>
          <w:bCs/>
          <w:sz w:val="24"/>
          <w:szCs w:val="24"/>
        </w:rPr>
      </w:pPr>
      <w:r>
        <w:rPr>
          <w:rFonts w:hint="default" w:ascii="Arial" w:hAnsi="Arial" w:cs="Arial"/>
          <w:b/>
          <w:bCs/>
          <w:sz w:val="24"/>
          <w:szCs w:val="24"/>
        </w:rPr>
        <w:t>5. Sustainable Development and Strategic Recommendations</w:t>
      </w:r>
    </w:p>
    <w:p w14:paraId="30813FE3">
      <w:pPr>
        <w:spacing w:line="360" w:lineRule="auto"/>
        <w:rPr>
          <w:rFonts w:hint="default" w:ascii="Arial" w:hAnsi="Arial" w:cs="Arial"/>
          <w:sz w:val="24"/>
          <w:szCs w:val="24"/>
        </w:rPr>
      </w:pPr>
      <w:r>
        <w:rPr>
          <w:rFonts w:hint="default" w:ascii="Arial" w:hAnsi="Arial" w:cs="Arial"/>
          <w:sz w:val="24"/>
          <w:szCs w:val="24"/>
        </w:rPr>
        <w:t>5.1 Evaluation of Sustainable Development Initiatives</w:t>
      </w:r>
    </w:p>
    <w:p w14:paraId="54CE64D6">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color w:val="404040"/>
          <w:sz w:val="24"/>
          <w:szCs w:val="24"/>
        </w:rPr>
      </w:pPr>
      <w:r>
        <w:rPr>
          <w:rFonts w:hint="default" w:ascii="Arial" w:hAnsi="Arial" w:cs="Arial"/>
          <w:color w:val="404040"/>
          <w:sz w:val="24"/>
          <w:szCs w:val="24"/>
        </w:rPr>
        <w:t>Toyota has taken several positive steps toward sustainability; however, whether these efforts are genuine or merely branding is worth exploring.</w:t>
      </w:r>
    </w:p>
    <w:p w14:paraId="127C9CC3">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color w:val="404040"/>
          <w:sz w:val="24"/>
          <w:szCs w:val="24"/>
        </w:rPr>
      </w:pPr>
      <w:r>
        <w:rPr>
          <w:rFonts w:hint="default" w:ascii="Arial" w:hAnsi="Arial" w:cs="Arial"/>
          <w:color w:val="404040"/>
          <w:sz w:val="24"/>
          <w:szCs w:val="24"/>
        </w:rPr>
        <w:t>From a financial perspective, while the promotion of hybrid electric vehicles contributes to environmental protection (Baharuddin et al., 2021) and attracts environmentally conscious consumers, yielding certain benefits, Toyota's delay in this area has caused it to miss some market opportunities compared to competitors who have rapidly developed and profited from pure electric vehicles (BEVs). In the long term, as the BEV market continues to expand, Toyota may face limited revenue growth if it fails to accelerate its pace in this segment.</w:t>
      </w:r>
    </w:p>
    <w:p w14:paraId="26876AEE">
      <w:pPr>
        <w:spacing w:line="360" w:lineRule="auto"/>
        <w:rPr>
          <w:rFonts w:hint="default" w:ascii="Arial" w:hAnsi="Arial" w:cs="Arial"/>
          <w:color w:val="404040"/>
          <w:sz w:val="24"/>
          <w:szCs w:val="24"/>
        </w:rPr>
      </w:pPr>
      <w:r>
        <w:rPr>
          <w:rFonts w:hint="default" w:ascii="Arial" w:hAnsi="Arial" w:cs="Arial"/>
          <w:color w:val="404040"/>
          <w:sz w:val="24"/>
          <w:szCs w:val="24"/>
        </w:rPr>
        <w:t>5.2 Strategic Recommendations</w:t>
      </w:r>
    </w:p>
    <w:p w14:paraId="06D473CA">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color w:val="404040"/>
          <w:sz w:val="24"/>
          <w:szCs w:val="24"/>
        </w:rPr>
      </w:pPr>
      <w:r>
        <w:rPr>
          <w:rFonts w:hint="default" w:ascii="Arial" w:hAnsi="Arial" w:cs="Arial"/>
          <w:color w:val="404040"/>
          <w:sz w:val="24"/>
          <w:szCs w:val="24"/>
        </w:rPr>
        <w:t>Toyota's strategic approach aligns with long-term sustainable growth but also carries inherent risks. The company should leverage Shakhnoza's (2023) insights to promote the application of circular economy models in automotive manufacturing, thereby improving resource efficiency and recycling rates.  Additionally, Toyota should increase research and development efforts in new energy vehicles (NEVs) and optimize hybrid and fuel cell technologies to align with global environmental trends and enhance competitiveness.  However, the slower progress in pure electric vehicle (BEV) development compared to competitors poses a significant risk to its market position.</w:t>
      </w:r>
    </w:p>
    <w:p w14:paraId="5ABD56DF">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color w:val="404040"/>
          <w:sz w:val="24"/>
          <w:szCs w:val="24"/>
        </w:rPr>
      </w:pPr>
      <w:r>
        <w:rPr>
          <w:rFonts w:hint="default" w:ascii="Arial" w:hAnsi="Arial" w:cs="Arial"/>
          <w:color w:val="404040"/>
          <w:sz w:val="24"/>
          <w:szCs w:val="24"/>
        </w:rPr>
        <w:t>In international markets, sustainability-focused branding and the exploration of new business models, such as shared mobility, can drive growth.  Nevertheless, challenges in sustainable supply chain management, including ethical sourcing and environmental compliance, may negatively impact Toyota's brand image and market share.</w:t>
      </w:r>
    </w:p>
    <w:p w14:paraId="30591684">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color w:val="404040"/>
          <w:sz w:val="24"/>
          <w:szCs w:val="24"/>
        </w:rPr>
        <w:t>Setting clear carbon reduction targets and collaborating with stakeholders to achieve sustainable transportation are positive steps.  However, ensuring ethical and safe autonomous driving technologies while protecting user data privacy is critical to avoiding reputational risks that could hinder Toyota's sustainable growth trajectory.</w:t>
      </w:r>
    </w:p>
    <w:p w14:paraId="18EAE10C">
      <w:pPr>
        <w:spacing w:line="360" w:lineRule="auto"/>
        <w:jc w:val="left"/>
        <w:rPr>
          <w:rFonts w:hint="default" w:ascii="Arial" w:hAnsi="Arial" w:cs="Arial"/>
          <w:b/>
          <w:bCs/>
          <w:sz w:val="24"/>
          <w:szCs w:val="24"/>
        </w:rPr>
      </w:pPr>
      <w:r>
        <w:rPr>
          <w:rFonts w:hint="default" w:ascii="Arial" w:hAnsi="Arial" w:cs="Arial"/>
          <w:b/>
          <w:bCs/>
          <w:sz w:val="24"/>
          <w:szCs w:val="24"/>
        </w:rPr>
        <w:t>6. Conclusion</w:t>
      </w:r>
    </w:p>
    <w:p w14:paraId="358A6F52">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Arial" w:hAnsi="Arial" w:cs="Arial"/>
          <w:sz w:val="24"/>
          <w:szCs w:val="24"/>
        </w:rPr>
      </w:pPr>
      <w:r>
        <w:rPr>
          <w:rFonts w:hint="default" w:ascii="Arial" w:hAnsi="Arial" w:cs="Arial"/>
          <w:sz w:val="24"/>
          <w:szCs w:val="24"/>
        </w:rPr>
        <w:t>With its strong brand, advanced technology, and mature production management system, Toyota holds a significant position in the global automotive market. However, it faces challenges such as the slower development of pure electric vehicles and intensifying competition. The external environment presents both opportunities and threats: the growth of the new energy vehicle (NEV) market and technological advancements offer development prospects, but the company also confronts fierce competition from various fronts. Strategic management is crucial for Toyota's sustainable development. By optimizing its product strategy, Toyota can accelerate its transition to NEVs. Expanding its market strategy to tap into the potential of emerging markets, strengthening sustainable development initiatives to promote green production and supply chain management, and ensuring ethical considerations in technological development to guarantee safety and reliability, Toyota can maintain its competitive edge in a dynamic market environment. This approach will enable Toyota to achieve long-term sustainable growth and continue leading the global automotive industry's development trends.</w:t>
      </w:r>
    </w:p>
    <w:p w14:paraId="31784185">
      <w:pPr>
        <w:widowControl/>
        <w:spacing w:line="360" w:lineRule="auto"/>
        <w:jc w:val="left"/>
        <w:rPr>
          <w:rFonts w:hint="default" w:ascii="Arial" w:hAnsi="Arial" w:cs="Arial"/>
          <w:sz w:val="24"/>
          <w:szCs w:val="24"/>
        </w:rPr>
      </w:pPr>
      <w:r>
        <w:rPr>
          <w:rFonts w:hint="default" w:ascii="Arial" w:hAnsi="Arial" w:cs="Arial"/>
          <w:sz w:val="24"/>
          <w:szCs w:val="24"/>
        </w:rPr>
        <w:br w:type="page"/>
      </w:r>
    </w:p>
    <w:p w14:paraId="0D9CC429">
      <w:pPr>
        <w:pStyle w:val="8"/>
        <w:spacing w:line="360" w:lineRule="auto"/>
        <w:ind w:left="420" w:firstLine="0" w:firstLineChars="0"/>
        <w:rPr>
          <w:rFonts w:hint="default" w:ascii="Arial" w:hAnsi="Arial" w:cs="Arial"/>
          <w:sz w:val="24"/>
          <w:szCs w:val="24"/>
        </w:rPr>
      </w:pPr>
      <w:bookmarkStart w:id="8" w:name="_GoBack"/>
      <w:bookmarkEnd w:id="8"/>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3316"/>
    <w:rsid w:val="00033BF0"/>
    <w:rsid w:val="00050B6E"/>
    <w:rsid w:val="0007028D"/>
    <w:rsid w:val="000A3316"/>
    <w:rsid w:val="000F20D5"/>
    <w:rsid w:val="00114342"/>
    <w:rsid w:val="00147537"/>
    <w:rsid w:val="001F2E97"/>
    <w:rsid w:val="001F43B2"/>
    <w:rsid w:val="0028509A"/>
    <w:rsid w:val="002B6547"/>
    <w:rsid w:val="00307794"/>
    <w:rsid w:val="0032789F"/>
    <w:rsid w:val="00331CAF"/>
    <w:rsid w:val="003B3A48"/>
    <w:rsid w:val="00424224"/>
    <w:rsid w:val="00475842"/>
    <w:rsid w:val="00493683"/>
    <w:rsid w:val="004C113A"/>
    <w:rsid w:val="004C62C6"/>
    <w:rsid w:val="005B1265"/>
    <w:rsid w:val="005C7D99"/>
    <w:rsid w:val="005E169A"/>
    <w:rsid w:val="0061164E"/>
    <w:rsid w:val="006331B4"/>
    <w:rsid w:val="0064633D"/>
    <w:rsid w:val="006D0532"/>
    <w:rsid w:val="006D48CD"/>
    <w:rsid w:val="00704B6B"/>
    <w:rsid w:val="00724DAB"/>
    <w:rsid w:val="007B69DC"/>
    <w:rsid w:val="007C262B"/>
    <w:rsid w:val="008342D4"/>
    <w:rsid w:val="008679FE"/>
    <w:rsid w:val="00872D9F"/>
    <w:rsid w:val="008839A4"/>
    <w:rsid w:val="008877C4"/>
    <w:rsid w:val="0088780C"/>
    <w:rsid w:val="0089560E"/>
    <w:rsid w:val="00897241"/>
    <w:rsid w:val="008B7AAE"/>
    <w:rsid w:val="008F0043"/>
    <w:rsid w:val="00930B5A"/>
    <w:rsid w:val="00963495"/>
    <w:rsid w:val="009B2737"/>
    <w:rsid w:val="009D0EDE"/>
    <w:rsid w:val="00B410F0"/>
    <w:rsid w:val="00B43F30"/>
    <w:rsid w:val="00BB30FF"/>
    <w:rsid w:val="00BC2EF2"/>
    <w:rsid w:val="00BD17FB"/>
    <w:rsid w:val="00C04D41"/>
    <w:rsid w:val="00C26E5C"/>
    <w:rsid w:val="00C711A4"/>
    <w:rsid w:val="00CC295D"/>
    <w:rsid w:val="00D20EF3"/>
    <w:rsid w:val="00D30B59"/>
    <w:rsid w:val="00D35C56"/>
    <w:rsid w:val="00D97961"/>
    <w:rsid w:val="00DC3A5A"/>
    <w:rsid w:val="00E45FAB"/>
    <w:rsid w:val="00E85FF0"/>
    <w:rsid w:val="00EB157A"/>
    <w:rsid w:val="00EC6722"/>
    <w:rsid w:val="00EF5E0F"/>
    <w:rsid w:val="0F2756BB"/>
    <w:rsid w:val="1F6F0297"/>
    <w:rsid w:val="275512F1"/>
    <w:rsid w:val="5BA67D81"/>
    <w:rsid w:val="5C7738C3"/>
    <w:rsid w:val="60584DD8"/>
    <w:rsid w:val="6EDB11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nhideWhenUsed="0"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link w:val="9"/>
    <w:qFormat/>
    <w:uiPriority w:val="9"/>
    <w:pPr>
      <w:widowControl/>
      <w:spacing w:before="100" w:beforeAutospacing="1" w:after="100" w:afterAutospacing="1"/>
      <w:jc w:val="left"/>
      <w:outlineLvl w:val="2"/>
    </w:pPr>
    <w:rPr>
      <w:rFonts w:ascii="宋体" w:hAnsi="宋体" w:eastAsia="宋体" w:cs="宋体"/>
      <w:b/>
      <w:bCs/>
      <w:kern w:val="0"/>
      <w:sz w:val="27"/>
      <w:szCs w:val="27"/>
    </w:rPr>
  </w:style>
  <w:style w:type="character" w:default="1" w:styleId="5">
    <w:name w:val="Default Paragraph Font"/>
    <w:semiHidden/>
    <w:unhideWhenUsed/>
    <w:qFormat/>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3">
    <w:name w:val="Normal (Web)"/>
    <w:basedOn w:val="1"/>
    <w:semiHidden/>
    <w:unhideWhenUsed/>
    <w:qFormat/>
    <w:uiPriority w:val="99"/>
    <w:pPr>
      <w:widowControl/>
      <w:spacing w:before="100" w:beforeAutospacing="1" w:after="100" w:afterAutospacing="1"/>
      <w:jc w:val="left"/>
    </w:pPr>
    <w:rPr>
      <w:rFonts w:ascii="宋体" w:hAnsi="宋体" w:eastAsia="宋体" w:cs="宋体"/>
      <w:kern w:val="0"/>
      <w:sz w:val="24"/>
    </w:rPr>
  </w:style>
  <w:style w:type="character" w:styleId="6">
    <w:name w:val="Strong"/>
    <w:basedOn w:val="5"/>
    <w:qFormat/>
    <w:uiPriority w:val="22"/>
    <w:rPr>
      <w:b/>
      <w:bCs/>
    </w:rPr>
  </w:style>
  <w:style w:type="character" w:styleId="7">
    <w:name w:val="Emphasis"/>
    <w:basedOn w:val="5"/>
    <w:qFormat/>
    <w:uiPriority w:val="20"/>
    <w:rPr>
      <w:i/>
      <w:iCs/>
    </w:rPr>
  </w:style>
  <w:style w:type="paragraph" w:styleId="8">
    <w:name w:val="List Paragraph"/>
    <w:basedOn w:val="1"/>
    <w:qFormat/>
    <w:uiPriority w:val="34"/>
    <w:pPr>
      <w:ind w:firstLine="420" w:firstLineChars="200"/>
    </w:pPr>
  </w:style>
  <w:style w:type="character" w:customStyle="1" w:styleId="9">
    <w:name w:val="标题 3 字符"/>
    <w:basedOn w:val="5"/>
    <w:link w:val="2"/>
    <w:qFormat/>
    <w:uiPriority w:val="9"/>
    <w:rPr>
      <w:rFonts w:ascii="宋体" w:hAnsi="宋体" w:eastAsia="宋体" w:cs="宋体"/>
      <w:b/>
      <w:bCs/>
      <w:kern w:val="0"/>
      <w:sz w:val="27"/>
      <w:szCs w:val="27"/>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2706</Words>
  <Characters>17741</Characters>
  <Lines>143</Lines>
  <Paragraphs>40</Paragraphs>
  <TotalTime>5</TotalTime>
  <ScaleCrop>false</ScaleCrop>
  <LinksUpToDate>false</LinksUpToDate>
  <CharactersWithSpaces>20363</CharactersWithSpaces>
  <Application>WPS Office_12.1.0.20305_F1E327BC-269C-435d-A152-05C5408002CA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2025-03-16T12:56:00Z</dcterms:created>
  <dc:creator>Microsoft Office User</dc:creator>
  <cp:lastModifiedBy>　　南方酒馆</cp:lastModifiedBy>
  <dcterms:modified xsi:type="dcterms:W3CDTF">2025-03-19T20:17:29Z</dcterms:modified>
  <cp:revision>30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eyJoZGlkIjoiNTM1YjU3MTEzMTFmMGVjYThkODE5OTAzMDQ4ZjIwZjEiLCJ1c2VySWQiOiI3NjkzNDk2MjMifQ==</vt:lpwstr>
  </property>
  <property fmtid="{D5CDD505-2E9C-101B-9397-08002B2CF9AE}" pid="3" name="KSOProductBuildVer">
    <vt:lpwstr>2052-12.1.0.20305</vt:lpwstr>
  </property>
  <property fmtid="{D5CDD505-2E9C-101B-9397-08002B2CF9AE}" pid="4" name="ICV">
    <vt:lpwstr>212BC19538F845769D34161E9DA06231_12</vt:lpwstr>
  </property>
</Properties>
</file>