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33CE8" w:rsidRDefault="00F33CE8">
      <w:pPr>
        <w:spacing w:after="200" w:line="240" w:lineRule="auto"/>
        <w:rPr>
          <w:rFonts w:ascii="Times New Roman" w:eastAsia="Times New Roman" w:hAnsi="Times New Roman" w:cs="Times New Roman"/>
          <w:b/>
          <w:sz w:val="24"/>
          <w:szCs w:val="24"/>
          <w:highlight w:val="white"/>
          <w:u w:val="single"/>
        </w:rPr>
      </w:pPr>
    </w:p>
    <w:p w14:paraId="00000002" w14:textId="77777777" w:rsidR="00F33CE8" w:rsidRDefault="00000000">
      <w:pPr>
        <w:spacing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the theoretical lens of Lawson’s (1983a) Occupational Socialisation model this qualitative research project strived to discover </w:t>
      </w:r>
      <w:r>
        <w:rPr>
          <w:rFonts w:ascii="Times New Roman" w:eastAsia="Times New Roman" w:hAnsi="Times New Roman" w:cs="Times New Roman"/>
          <w:sz w:val="24"/>
          <w:szCs w:val="24"/>
          <w:highlight w:val="white"/>
        </w:rPr>
        <w:t>how dance teachers perceive their prior training influences how they teach their students.</w:t>
      </w:r>
    </w:p>
    <w:p w14:paraId="00000003" w14:textId="77777777" w:rsidR="00F33CE8" w:rsidRDefault="00000000">
      <w:pPr>
        <w:spacing w:after="200" w:line="240" w:lineRule="auto"/>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sz w:val="24"/>
          <w:szCs w:val="24"/>
          <w:highlight w:val="white"/>
        </w:rPr>
        <w:t xml:space="preserve">Dance is a unique subject that straddles the fields of physical education and the arts </w:t>
      </w:r>
      <w:r>
        <w:rPr>
          <w:rFonts w:ascii="Times New Roman" w:eastAsia="Times New Roman" w:hAnsi="Times New Roman" w:cs="Times New Roman"/>
          <w:color w:val="202124"/>
          <w:sz w:val="24"/>
          <w:szCs w:val="24"/>
          <w:highlight w:val="white"/>
        </w:rPr>
        <w:t xml:space="preserve">(Oreck, 2007). Both physical education and the arts individually formed a large part of my childhood and to this day it is dance that effectively bridges these two passions. Despite being a novice researcher, I have identified that my passion and motivation within my research is to raise awareness of the potential of dance, as both an artistic form of creative self-expression that utilizes the body in motion (Parnell, 2012), which also offers participants the opportunity to benefit from engagement in physical activity (Bisson, 2005) in a non-competitive environment (Peter, 1997) My drive as a researcher is to improve the accessibility of high-quality dance in Wales and to raise awareness of the potential dance has to improve the health and well-being of young people. </w:t>
      </w:r>
    </w:p>
    <w:p w14:paraId="00000004" w14:textId="77777777" w:rsidR="00F33CE8" w:rsidRDefault="00000000">
      <w:pPr>
        <w:spacing w:after="200" w:line="240" w:lineRule="auto"/>
        <w:rPr>
          <w:rFonts w:ascii="Times New Roman" w:eastAsia="Times New Roman" w:hAnsi="Times New Roman" w:cs="Times New Roman"/>
          <w:b/>
          <w:sz w:val="24"/>
          <w:szCs w:val="24"/>
          <w:u w:val="single"/>
        </w:rPr>
      </w:pPr>
      <w:r>
        <w:rPr>
          <w:rFonts w:ascii="Times New Roman" w:eastAsia="Times New Roman" w:hAnsi="Times New Roman" w:cs="Times New Roman"/>
          <w:color w:val="202124"/>
          <w:sz w:val="24"/>
          <w:szCs w:val="24"/>
          <w:highlight w:val="white"/>
        </w:rPr>
        <w:t xml:space="preserve">This reflective paper will include, as suggested by </w:t>
      </w:r>
      <w:proofErr w:type="spellStart"/>
      <w:r>
        <w:rPr>
          <w:rFonts w:ascii="Times New Roman" w:eastAsia="Times New Roman" w:hAnsi="Times New Roman" w:cs="Times New Roman"/>
          <w:color w:val="202124"/>
          <w:sz w:val="24"/>
          <w:szCs w:val="24"/>
          <w:highlight w:val="white"/>
        </w:rPr>
        <w:t>Mruck</w:t>
      </w:r>
      <w:proofErr w:type="spellEnd"/>
      <w:r>
        <w:rPr>
          <w:rFonts w:ascii="Times New Roman" w:eastAsia="Times New Roman" w:hAnsi="Times New Roman" w:cs="Times New Roman"/>
          <w:color w:val="202124"/>
          <w:sz w:val="24"/>
          <w:szCs w:val="24"/>
          <w:highlight w:val="white"/>
        </w:rPr>
        <w:t xml:space="preserve"> and Breuer (2003, p. 3), my personal ‘</w:t>
      </w:r>
      <w:r>
        <w:rPr>
          <w:rFonts w:ascii="Times New Roman" w:eastAsia="Times New Roman" w:hAnsi="Times New Roman" w:cs="Times New Roman"/>
          <w:sz w:val="24"/>
          <w:szCs w:val="24"/>
        </w:rPr>
        <w:t xml:space="preserve">presuppositions, choices, experiences, and actions during this research process”.  It will also detail </w:t>
      </w:r>
      <w:r>
        <w:rPr>
          <w:rFonts w:ascii="Times New Roman" w:eastAsia="Times New Roman" w:hAnsi="Times New Roman" w:cs="Times New Roman"/>
          <w:color w:val="202124"/>
          <w:sz w:val="24"/>
          <w:szCs w:val="24"/>
          <w:highlight w:val="white"/>
        </w:rPr>
        <w:t>the key findings about the research topic including the weaknesses and strengths I have identified in myself as a researcher and how the process has helped to change my perceptions and research skills to inform and improve my future research. In striving to become a better researcher, reflexivity, as suggested by (Bradbury-Jones, 2007) was adopted throughout the research process ensuring that I was not just reflecting about myself in the process but reflexivity allowed plentiful opportunity to question myself and the participants involved in the process (Finlay, 2016).</w:t>
      </w:r>
    </w:p>
    <w:p w14:paraId="00000005" w14:textId="77777777" w:rsidR="00F33CE8" w:rsidRDefault="00000000">
      <w:pPr>
        <w:spacing w:after="200" w:line="240" w:lineRule="auto"/>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sz w:val="24"/>
          <w:szCs w:val="24"/>
        </w:rPr>
        <w:t>The drive for this research derives from my very own occupational socialisation journey (Lawson, 1983a) in which the need for improved quality of dance has become apparent during each stage of my journey. Throughout my own childhood and my own acculturation (Lawson, 1983a) I was heavily involved in sports in school and in extracurricular clubs. GCSE Physical Education introduced me to the world of dance. The lack of quality dance provision within my PE classes coupled with my desire to dance flipped my entire world from that of a young girl who lived and breathed all types of sport to studying performing arts as the curriculum and society had pushed me to choose one or the other as school options did not allow me to study both PE and Performing Arts. As dance instruction depends heavily on the instructor having the necessary abilities, knowledge, expertise, and confidence to teach the classes (Governing Board Guide to dance - nga.org.uk, 2021) this highlights</w:t>
      </w:r>
      <w:r>
        <w:rPr>
          <w:rFonts w:ascii="Times New Roman" w:eastAsia="Times New Roman" w:hAnsi="Times New Roman" w:cs="Times New Roman"/>
          <w:color w:val="202124"/>
          <w:sz w:val="24"/>
          <w:szCs w:val="24"/>
          <w:highlight w:val="white"/>
        </w:rPr>
        <w:t xml:space="preserve"> the lack of knowledge and training amongst PE teachers to deliver dance and echoes Capel </w:t>
      </w:r>
      <w:r>
        <w:rPr>
          <w:rFonts w:ascii="Times New Roman" w:eastAsia="Times New Roman" w:hAnsi="Times New Roman" w:cs="Times New Roman"/>
          <w:i/>
          <w:color w:val="202124"/>
          <w:sz w:val="24"/>
          <w:szCs w:val="24"/>
          <w:highlight w:val="white"/>
        </w:rPr>
        <w:t>et al.</w:t>
      </w:r>
      <w:r>
        <w:rPr>
          <w:rFonts w:ascii="Times New Roman" w:eastAsia="Times New Roman" w:hAnsi="Times New Roman" w:cs="Times New Roman"/>
          <w:color w:val="202124"/>
          <w:sz w:val="24"/>
          <w:szCs w:val="24"/>
          <w:highlight w:val="white"/>
        </w:rPr>
        <w:t>’s (2013) suggestion that most PE teachers enter the profession to share their love of sport.</w:t>
      </w:r>
    </w:p>
    <w:p w14:paraId="00000006" w14:textId="77777777" w:rsidR="00F33CE8" w:rsidRDefault="00000000">
      <w:pPr>
        <w:spacing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motivation for this research stems from not only my own first-hand experience but also my personal observations while working with and employing dance teachers. It is also heavily supported by a statement released by the RAD in August 2022 encouraging the public to check the credentials of their child's dance teachers. According to a YouGov poll performed in collaboration with RAD, 89% of persons surveyed were unaware that there is no legal necessity for dance teachers to acquire a teaching certificate in order to run and/or teach a dance school or class (Bogdan &amp; </w:t>
      </w:r>
      <w:proofErr w:type="spellStart"/>
      <w:r>
        <w:rPr>
          <w:rFonts w:ascii="Times New Roman" w:eastAsia="Times New Roman" w:hAnsi="Times New Roman" w:cs="Times New Roman"/>
          <w:sz w:val="24"/>
          <w:szCs w:val="24"/>
        </w:rPr>
        <w:t>Bikien</w:t>
      </w:r>
      <w:proofErr w:type="spellEnd"/>
      <w:r>
        <w:rPr>
          <w:rFonts w:ascii="Times New Roman" w:eastAsia="Times New Roman" w:hAnsi="Times New Roman" w:cs="Times New Roman"/>
          <w:sz w:val="24"/>
          <w:szCs w:val="24"/>
        </w:rPr>
        <w:t>, 1992). The RAD statement heightened public awareness and concern; it is commonly accepted that, while many dance instructors are excellent and experienced dancers, they may lack pedagogical understanding (Sims &amp; Erwin, 2012) and teach without any official dance teaching methodology (</w:t>
      </w:r>
      <w:proofErr w:type="spellStart"/>
      <w:r>
        <w:rPr>
          <w:rFonts w:ascii="Times New Roman" w:eastAsia="Times New Roman" w:hAnsi="Times New Roman" w:cs="Times New Roman"/>
          <w:sz w:val="24"/>
          <w:szCs w:val="24"/>
        </w:rPr>
        <w:t>Alsteen</w:t>
      </w:r>
      <w:proofErr w:type="spellEnd"/>
      <w:r>
        <w:rPr>
          <w:rFonts w:ascii="Times New Roman" w:eastAsia="Times New Roman" w:hAnsi="Times New Roman" w:cs="Times New Roman"/>
          <w:sz w:val="24"/>
          <w:szCs w:val="24"/>
        </w:rPr>
        <w:t>, 2019).</w:t>
      </w:r>
    </w:p>
    <w:p w14:paraId="00000007" w14:textId="77777777" w:rsidR="00F33CE8" w:rsidRDefault="00000000">
      <w:pPr>
        <w:spacing w:after="200" w:line="240" w:lineRule="auto"/>
        <w:rPr>
          <w:rFonts w:ascii="Times New Roman" w:eastAsia="Times New Roman" w:hAnsi="Times New Roman" w:cs="Times New Roman"/>
          <w:sz w:val="30"/>
          <w:szCs w:val="30"/>
        </w:rPr>
      </w:pPr>
      <w:r>
        <w:rPr>
          <w:rFonts w:ascii="Times New Roman" w:eastAsia="Times New Roman" w:hAnsi="Times New Roman" w:cs="Times New Roman"/>
          <w:sz w:val="24"/>
          <w:szCs w:val="24"/>
        </w:rPr>
        <w:lastRenderedPageBreak/>
        <w:t xml:space="preserve">Choosing the research question was challenging as the first drafts of the question were substantial and were aimed at trying to answer a number of key issues with a varied selection of participants. Several drafts were required to create a question that was suitable for the size of this project considering the timescale. However, I was confident that the final question provided the opportunity to explore the current state of dance teaching that would inform the overarching question.  There were times that I was a little apprehensive that I was too passionate about the subject however as noted by Russel and </w:t>
      </w:r>
      <w:proofErr w:type="spellStart"/>
      <w:r>
        <w:rPr>
          <w:rFonts w:ascii="Times New Roman" w:eastAsia="Times New Roman" w:hAnsi="Times New Roman" w:cs="Times New Roman"/>
          <w:sz w:val="24"/>
          <w:szCs w:val="24"/>
        </w:rPr>
        <w:t>Kely</w:t>
      </w:r>
      <w:proofErr w:type="spellEnd"/>
      <w:r>
        <w:rPr>
          <w:rFonts w:ascii="Times New Roman" w:eastAsia="Times New Roman" w:hAnsi="Times New Roman" w:cs="Times New Roman"/>
          <w:sz w:val="24"/>
          <w:szCs w:val="24"/>
        </w:rPr>
        <w:t xml:space="preserve"> (2002) effective research questions are frequently inspired by the researcher's passions, ideals, and experiences. My theoretical lens for this research was Lawson’s occupational socialisation model. Occupational Socialisation Theory, which is based on teacher socialisation theory in general (</w:t>
      </w:r>
      <w:proofErr w:type="spellStart"/>
      <w:r>
        <w:rPr>
          <w:rFonts w:ascii="Times New Roman" w:eastAsia="Times New Roman" w:hAnsi="Times New Roman" w:cs="Times New Roman"/>
          <w:sz w:val="24"/>
          <w:szCs w:val="24"/>
        </w:rPr>
        <w:t>Lortie</w:t>
      </w:r>
      <w:proofErr w:type="spellEnd"/>
      <w:r>
        <w:rPr>
          <w:rFonts w:ascii="Times New Roman" w:eastAsia="Times New Roman" w:hAnsi="Times New Roman" w:cs="Times New Roman"/>
          <w:sz w:val="24"/>
          <w:szCs w:val="24"/>
        </w:rPr>
        <w:t xml:space="preserve">, 1975), is one theoretical approach that has been utilised to understand why PE teachers think about and teach the way they do (Lawson, 1983a, 1983b; Schempp &amp; Graber, 1992). Having seen this module effectively used to evaluate how PE teachers teach, I thought this would be an interesting model to explore with dance teachers even though. There are no examples of research within the field of dance. The implementation of this theoretical module gave a strong base for my project as it helped to give a structure to the questions prepared for the interviews, ensuring that all were guided towards the three stages of the model, </w:t>
      </w:r>
      <w:r>
        <w:rPr>
          <w:rFonts w:ascii="Times New Roman" w:eastAsia="Times New Roman" w:hAnsi="Times New Roman" w:cs="Times New Roman"/>
          <w:color w:val="1F1F1F"/>
          <w:sz w:val="24"/>
          <w:szCs w:val="24"/>
          <w:highlight w:val="white"/>
        </w:rPr>
        <w:t>acculturation, professional and organisational socialisation (Lawson, 1983a).</w:t>
      </w:r>
    </w:p>
    <w:p w14:paraId="00000008" w14:textId="77777777" w:rsidR="00F33CE8" w:rsidRDefault="00000000">
      <w:pPr>
        <w:spacing w:after="200" w:line="24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What became very evident as the research progressed how effective the model was in identifying which stages of the dancers’ occupational socialisation journeys had the biggest impact on their teaching, in particular, the impact the acculturation stages had in developing their views, attitudes, and understandings of what it means to be a teacher (Schempp &amp; Graber, 1992); Templin TJ and Schempp PG, 1989a). I</w:t>
      </w:r>
      <w:r>
        <w:rPr>
          <w:rFonts w:ascii="Times New Roman" w:eastAsia="Times New Roman" w:hAnsi="Times New Roman" w:cs="Times New Roman"/>
          <w:sz w:val="24"/>
          <w:szCs w:val="24"/>
          <w:highlight w:val="white"/>
        </w:rPr>
        <w:t>t was, as outlined in the proposal, at the acculturation phase that we could expect and evidently gain insight into whether or not dance teachers teach the way they were taught. The main theme in response to RAD’s press release in August 2022 is that the community dance teachers interviewed for this project do base their present teaching needs on the positive and negative experiences of the way they were taught. Despite this method being new to the world of dance, this theoretical basis has provided an opportunity for a future research project comparing the occupational socialisation journeys of PE and community dance teachers to inform the current overarching quality of dance and the way it is taught. Primarily this method has allowed me to keep focused, giving me a basis to the research at every point of the project thus ensuring that my research controls any biases I have thereby ensuring structure throughout. As a novice researcher, using a theoretical model has really helped guide me through the research process.</w:t>
      </w:r>
    </w:p>
    <w:p w14:paraId="00000009" w14:textId="77777777" w:rsidR="00F33CE8" w:rsidRDefault="00000000">
      <w:pPr>
        <w:spacing w:after="200"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A philosophical constructivist paradigm was used for this research as it is believed to be the most appropriate paradigm to </w:t>
      </w:r>
      <w:proofErr w:type="spellStart"/>
      <w:r>
        <w:rPr>
          <w:rFonts w:ascii="Times New Roman" w:eastAsia="Times New Roman" w:hAnsi="Times New Roman" w:cs="Times New Roman"/>
          <w:sz w:val="24"/>
          <w:szCs w:val="24"/>
        </w:rPr>
        <w:t>explore</w:t>
      </w:r>
      <w:r>
        <w:rPr>
          <w:rFonts w:ascii="Times New Roman" w:eastAsia="Times New Roman" w:hAnsi="Times New Roman" w:cs="Times New Roman"/>
          <w:sz w:val="24"/>
          <w:szCs w:val="24"/>
          <w:highlight w:val="white"/>
        </w:rPr>
        <w:t>"the</w:t>
      </w:r>
      <w:proofErr w:type="spellEnd"/>
      <w:r>
        <w:rPr>
          <w:rFonts w:ascii="Times New Roman" w:eastAsia="Times New Roman" w:hAnsi="Times New Roman" w:cs="Times New Roman"/>
          <w:sz w:val="24"/>
          <w:szCs w:val="24"/>
          <w:highlight w:val="white"/>
        </w:rPr>
        <w:t xml:space="preserve"> world of human experience" (Cohen &amp; Manion, 1994, p. 36) This was a qualitative study and I chose to use this method as it was deemed to be the most effective approach when linked to research under the constructivist philosophical paradigm (Adom et al., 2016) and is commonly used in research about teaching (Divan et al., 2017). Using a qualitative approach for this data was therefore the most effective as </w:t>
      </w:r>
      <w:r>
        <w:rPr>
          <w:rFonts w:ascii="Times New Roman" w:eastAsia="Times New Roman" w:hAnsi="Times New Roman" w:cs="Times New Roman"/>
          <w:sz w:val="24"/>
          <w:szCs w:val="24"/>
        </w:rPr>
        <w:t>‘qualitative research seeks depth rather than breadth’  (</w:t>
      </w:r>
      <w:proofErr w:type="spellStart"/>
      <w:r>
        <w:rPr>
          <w:rFonts w:ascii="Times New Roman" w:eastAsia="Times New Roman" w:hAnsi="Times New Roman" w:cs="Times New Roman"/>
          <w:sz w:val="24"/>
          <w:szCs w:val="24"/>
        </w:rPr>
        <w:t>Ambert</w:t>
      </w:r>
      <w:proofErr w:type="spellEnd"/>
      <w:r>
        <w:rPr>
          <w:rFonts w:ascii="Times New Roman" w:eastAsia="Times New Roman" w:hAnsi="Times New Roman" w:cs="Times New Roman"/>
          <w:sz w:val="24"/>
          <w:szCs w:val="24"/>
        </w:rPr>
        <w:t xml:space="preserve"> et al., 1995, p880).</w:t>
      </w:r>
    </w:p>
    <w:p w14:paraId="0000000A" w14:textId="77777777" w:rsidR="00F33CE8" w:rsidRDefault="00000000">
      <w:pPr>
        <w:spacing w:after="200" w:line="240" w:lineRule="auto"/>
        <w:rPr>
          <w:rFonts w:ascii="Times New Roman" w:eastAsia="Times New Roman" w:hAnsi="Times New Roman" w:cs="Times New Roman"/>
          <w:sz w:val="30"/>
          <w:szCs w:val="30"/>
        </w:rPr>
      </w:pPr>
      <w:r>
        <w:rPr>
          <w:rFonts w:ascii="Times New Roman" w:eastAsia="Times New Roman" w:hAnsi="Times New Roman" w:cs="Times New Roman"/>
          <w:sz w:val="24"/>
          <w:szCs w:val="24"/>
        </w:rPr>
        <w:t>In order to explore how the dance teachers perceived their prior training influences their teaching, it was key that the voice of the dance teacher was heard and at the heart of the data collection. As highlighted by (</w:t>
      </w:r>
      <w:proofErr w:type="spellStart"/>
      <w:r>
        <w:rPr>
          <w:rFonts w:ascii="Times New Roman" w:eastAsia="Times New Roman" w:hAnsi="Times New Roman" w:cs="Times New Roman"/>
          <w:sz w:val="24"/>
          <w:szCs w:val="24"/>
        </w:rPr>
        <w:t>Rouvengo</w:t>
      </w:r>
      <w:proofErr w:type="spellEnd"/>
      <w:r>
        <w:rPr>
          <w:rFonts w:ascii="Times New Roman" w:eastAsia="Times New Roman" w:hAnsi="Times New Roman" w:cs="Times New Roman"/>
          <w:sz w:val="24"/>
          <w:szCs w:val="24"/>
        </w:rPr>
        <w:t>, 2003) to understand teaching we need to hear the voices of teachers to allow them to tell us what they think, know, and believe. Therefore interviews were used to understand both the teachers' practical knowledge (</w:t>
      </w:r>
      <w:proofErr w:type="spellStart"/>
      <w:r>
        <w:rPr>
          <w:rFonts w:ascii="Times New Roman" w:eastAsia="Times New Roman" w:hAnsi="Times New Roman" w:cs="Times New Roman"/>
          <w:sz w:val="24"/>
          <w:szCs w:val="24"/>
        </w:rPr>
        <w:t>Beijaard</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Verloop</w:t>
      </w:r>
      <w:proofErr w:type="spellEnd"/>
      <w:r>
        <w:rPr>
          <w:rFonts w:ascii="Times New Roman" w:eastAsia="Times New Roman" w:hAnsi="Times New Roman" w:cs="Times New Roman"/>
          <w:sz w:val="24"/>
          <w:szCs w:val="24"/>
        </w:rPr>
        <w:t>, 1996) and teacher socialisation (</w:t>
      </w:r>
      <w:proofErr w:type="spellStart"/>
      <w:r>
        <w:rPr>
          <w:rFonts w:ascii="Times New Roman" w:eastAsia="Times New Roman" w:hAnsi="Times New Roman" w:cs="Times New Roman"/>
          <w:sz w:val="24"/>
          <w:szCs w:val="24"/>
        </w:rPr>
        <w:t>Beijaard</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Verloop</w:t>
      </w:r>
      <w:proofErr w:type="spellEnd"/>
      <w:r>
        <w:rPr>
          <w:rFonts w:ascii="Times New Roman" w:eastAsia="Times New Roman" w:hAnsi="Times New Roman" w:cs="Times New Roman"/>
          <w:sz w:val="24"/>
          <w:szCs w:val="24"/>
        </w:rPr>
        <w:t xml:space="preserve">, 1996), (Pike &amp; Fletcher, 2014). From gaining inspiration from other occupational socialisation studies it was clear that </w:t>
      </w:r>
      <w:r>
        <w:rPr>
          <w:rFonts w:ascii="Times New Roman" w:eastAsia="Times New Roman" w:hAnsi="Times New Roman" w:cs="Times New Roman"/>
          <w:sz w:val="24"/>
          <w:szCs w:val="24"/>
        </w:rPr>
        <w:lastRenderedPageBreak/>
        <w:t>the use of semi-structured interviews would be most effective for this small research project, with a  short timescale and number of participants involved, but the semi-structured format also allowed an opportunity for the interviews to be</w:t>
      </w:r>
      <w:r>
        <w:rPr>
          <w:rFonts w:ascii="Times New Roman" w:eastAsia="Times New Roman" w:hAnsi="Times New Roman" w:cs="Times New Roman"/>
          <w:sz w:val="28"/>
          <w:szCs w:val="28"/>
        </w:rPr>
        <w:t xml:space="preserve"> </w:t>
      </w:r>
      <w:r>
        <w:rPr>
          <w:rFonts w:ascii="Times New Roman" w:eastAsia="Times New Roman" w:hAnsi="Times New Roman" w:cs="Times New Roman"/>
          <w:color w:val="1F1F1F"/>
          <w:sz w:val="24"/>
          <w:szCs w:val="24"/>
          <w:highlight w:val="white"/>
        </w:rPr>
        <w:t xml:space="preserve">personal and intimate, and the direct verbal questions were effective in capturing the dance teachers’ stories (DiCicco-Bloom </w:t>
      </w:r>
      <w:r>
        <w:rPr>
          <w:rFonts w:ascii="Times New Roman" w:eastAsia="Times New Roman" w:hAnsi="Times New Roman" w:cs="Times New Roman"/>
          <w:i/>
          <w:color w:val="1F1F1F"/>
          <w:sz w:val="24"/>
          <w:szCs w:val="24"/>
          <w:highlight w:val="white"/>
        </w:rPr>
        <w:t>et al</w:t>
      </w:r>
      <w:r>
        <w:rPr>
          <w:rFonts w:ascii="Times New Roman" w:eastAsia="Times New Roman" w:hAnsi="Times New Roman" w:cs="Times New Roman"/>
          <w:color w:val="1F1F1F"/>
          <w:sz w:val="24"/>
          <w:szCs w:val="24"/>
          <w:highlight w:val="white"/>
        </w:rPr>
        <w:t>., 2006).</w:t>
      </w:r>
    </w:p>
    <w:p w14:paraId="0000000B" w14:textId="77777777" w:rsidR="00F33CE8" w:rsidRDefault="00000000">
      <w:pPr>
        <w:spacing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Choosing semi-structured interviews seemed a relatively straightforward option in the planning of this research project, however as Fontana and Frey (2000) highlight, interviewing is not as easy as expected, and  “Asking questions and getting answers is a much harder task than it may seem at first'' (p. 645). Despite having key interview questions and prompt questions at hand, the length and quality of the interviews varied considerably from the very first interview with dance teacher 01 to the interview with dance teacher 03; I believe this could have been for a range of reasons. In evaluating dance teacher 01’s interview, there were times in analysing the data when I discovered opportunities where I should have added additional sub-questions and prompts to allow the teacher to elaborate on their answers. However, as this was my very first research interview, I felt a little nervous and anxious and was very conscious of not wanting to guide the interviewees too much by bringing my own personal biases and undermining the whole research. I was trying, as Creswell, 2007 suggested, to put my beliefs to one side and allow the teachers to speak organically about their experiences and practices (pp 59-62). By dance teacher 02 and dance teacher 03 I gained the confidence to add prompts by being aware of my biases. Dance Teacher 03 was the most detailed interview but I believe this may also have been due to the experience of the teacher who had extensive experience in both dance and pedagogy of dance. The wording and structure of my questions were inspired by the structure used in the research of the occupational socialisation of physical education teachers in which terms such as ‘pedagogy’ would have been fully understood and appreciated. It was immediately apparent in the very first interview that the dance teacher did not understand the term ‘pedagogy’ and I had to re-word the questions for the teacher to answer effectively. This illustrated the need to clarify the wording of the questions to ensure the participants’ understanding rather than using the terminology expected by myself or other researchers based on theoretical models. However the lack of understanding of the term ‘pedagogy’ amongst dance teachers 01 and 02 reinforced the lack of their formal teacher training within the professional socialisation stage of their occupational socialisation journey, thus informing the research question. However, in future research, I will take this into consideration to ensure the questions do not make the participants feel uncomfortable.</w:t>
      </w:r>
    </w:p>
    <w:p w14:paraId="0000000C" w14:textId="77777777" w:rsidR="00F33CE8" w:rsidRDefault="00000000">
      <w:pPr>
        <w:spacing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would ideally be carried out using phenomenological interviews (Abrams et al., 2014) since "phenomenological research is the study of lived experience" (Van </w:t>
      </w:r>
      <w:proofErr w:type="spellStart"/>
      <w:r>
        <w:rPr>
          <w:rFonts w:ascii="Times New Roman" w:eastAsia="Times New Roman" w:hAnsi="Times New Roman" w:cs="Times New Roman"/>
          <w:sz w:val="24"/>
          <w:szCs w:val="24"/>
        </w:rPr>
        <w:t>Manen</w:t>
      </w:r>
      <w:proofErr w:type="spellEnd"/>
      <w:r>
        <w:rPr>
          <w:rFonts w:ascii="Times New Roman" w:eastAsia="Times New Roman" w:hAnsi="Times New Roman" w:cs="Times New Roman"/>
          <w:sz w:val="24"/>
          <w:szCs w:val="24"/>
        </w:rPr>
        <w:t xml:space="preserve">, 2014, p. 2).  Due to time restrictions, this was not feasible; however this is something that I would like to examine when considering whether to extend this study as a phenomenological approach would enhance,  unearth, analyse, and comprehend the participants' experiences (Tuohy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2013; Wilson, 2014) In order to improve this project or when looking to extend this research, introducing a mixed research method would enhance the results; a multiple methods would have been particularly useful in collecting this data. Mixing two qualitative methods, surveys and interviews would have given greater depth to this project, and using surveys would have potentially allowed for a greater number of participants and also allowed dance teachers to be 100% honest and open which may not have been the case when subjected to a semi-structured interview. In addition,  the use of two semi-structured interviews would have allowed a greater opportunity to extend the questions following an opportunity to analyse the initial interview. Having chosen semi-structured interviews as the data collection method, I was very aware that due to the nature of the question, there would </w:t>
      </w:r>
      <w:r>
        <w:rPr>
          <w:rFonts w:ascii="Times New Roman" w:eastAsia="Times New Roman" w:hAnsi="Times New Roman" w:cs="Times New Roman"/>
          <w:sz w:val="24"/>
          <w:szCs w:val="24"/>
        </w:rPr>
        <w:lastRenderedPageBreak/>
        <w:t xml:space="preserve">be a need for the participants to recall and discuss personal experiences which would be intrusive and personal (Darlington &amp; Scott, 2003). Due to the nature of dance, I was expecting far more upsetting issues to arise, however, although dance teacher 01 did expose a traumatic period of her dance training it was quickly changed to show a positive turn for her career. This was the only stage of the data collection at which I was apprehensive that the participant would get upset, however, every effort was made before, during, and after the interview to make the participant fully relaxed and reassured especially with regard to the confidentiality of the process. </w:t>
      </w:r>
    </w:p>
    <w:p w14:paraId="0000000D" w14:textId="77777777" w:rsidR="00F33CE8" w:rsidRDefault="00000000">
      <w:pPr>
        <w:spacing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a novice researcher I agonised for some time regarding how many dance teachers I would need to interview for the data to be effective. After much research, this would seem to be a common question asked amongst novice researchers especially within qualitative research, as Adler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(1987) state that quantitative researchers have an idea at the beginning of their research project of how many participants they require, but due to nature of qualitative research, it is not uncommon for qualitative researchers not to know the exact number in advance of the project.</w:t>
      </w:r>
    </w:p>
    <w:p w14:paraId="0000000E" w14:textId="77777777" w:rsidR="00F33CE8" w:rsidRDefault="00000000">
      <w:pPr>
        <w:spacing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aim was to include teachers teaching a mixture of dance genres, within different settings, with different age categories thereby providing the opportunity to compare and collect any themes that may be influenced by the above. I asked many dance teachers who I would have hoped would support this project, however, some did not respond and some replied saying they would prefer not to be part of the project. Unlike much of the research amongst PE teachers, there is some apprehension with self-employed dance teachers to participate for fear that the research may affect their business or expose information about them and their reputation. Despite reassurances that the project was completely confidential, many decided not to participate. Due to not being able to recruit enough participants, I then utilised Facebook to post asking for dance teachers who would be interested in being part of the project although I knew I would potentially run the risk of not having the correct selection of dance teachers. Using social media made it possible for me to spread the request quickly through viral marketing and as a result, recruitment snowballed (Child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2014). This has allowed me to discover a more modern recruitment technique that allows direct, immediate engagement with dance teachers from a vast geographical area.</w:t>
      </w:r>
    </w:p>
    <w:p w14:paraId="0000000F" w14:textId="77777777" w:rsidR="00F33CE8" w:rsidRDefault="00000000">
      <w:pPr>
        <w:spacing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availability of the participants and the tight schedule for the data collection, it was suggested that interviews be conducted online, ensuring that the interviews could be conducted within the proposed timescale without causing inconvenience to the participants. However, I was a little apprehensive at first to move the interviews online, as in-person interviews are recognised as the ‘gold standard’ for qualitative interviews (</w:t>
      </w:r>
      <w:proofErr w:type="spellStart"/>
      <w:r>
        <w:rPr>
          <w:rFonts w:ascii="Times New Roman" w:eastAsia="Times New Roman" w:hAnsi="Times New Roman" w:cs="Times New Roman"/>
          <w:sz w:val="24"/>
          <w:szCs w:val="24"/>
        </w:rPr>
        <w:t>Lofland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Lofland</w:t>
      </w:r>
      <w:proofErr w:type="spellEnd"/>
      <w:r>
        <w:rPr>
          <w:rFonts w:ascii="Times New Roman" w:eastAsia="Times New Roman" w:hAnsi="Times New Roman" w:cs="Times New Roman"/>
          <w:sz w:val="24"/>
          <w:szCs w:val="24"/>
        </w:rPr>
        <w:t xml:space="preserve"> 1995, as cited in </w:t>
      </w:r>
      <w:proofErr w:type="spellStart"/>
      <w:r>
        <w:rPr>
          <w:rFonts w:ascii="Times New Roman" w:eastAsia="Times New Roman" w:hAnsi="Times New Roman" w:cs="Times New Roman"/>
          <w:sz w:val="24"/>
          <w:szCs w:val="24"/>
        </w:rPr>
        <w:t>McCoyd</w:t>
      </w:r>
      <w:proofErr w:type="spellEnd"/>
      <w:r>
        <w:rPr>
          <w:rFonts w:ascii="Times New Roman" w:eastAsia="Times New Roman" w:hAnsi="Times New Roman" w:cs="Times New Roman"/>
          <w:sz w:val="24"/>
          <w:szCs w:val="24"/>
        </w:rPr>
        <w:t xml:space="preserve"> &amp; Kerson, 2006) as they not only capture the key data but they also allow opportunities to ensure</w:t>
      </w:r>
      <w:r>
        <w:rPr>
          <w:rFonts w:ascii="Times New Roman" w:eastAsia="Times New Roman" w:hAnsi="Times New Roman" w:cs="Times New Roman"/>
          <w:sz w:val="24"/>
          <w:szCs w:val="24"/>
          <w:highlight w:val="white"/>
        </w:rPr>
        <w:t xml:space="preserve"> both verbal and </w:t>
      </w:r>
      <w:r>
        <w:rPr>
          <w:rFonts w:ascii="Times New Roman" w:eastAsia="Times New Roman" w:hAnsi="Times New Roman" w:cs="Times New Roman"/>
          <w:sz w:val="24"/>
          <w:szCs w:val="24"/>
        </w:rPr>
        <w:t>non-verbal</w:t>
      </w:r>
      <w:r>
        <w:rPr>
          <w:rFonts w:ascii="Times New Roman" w:eastAsia="Times New Roman" w:hAnsi="Times New Roman" w:cs="Times New Roman"/>
          <w:sz w:val="24"/>
          <w:szCs w:val="24"/>
          <w:highlight w:val="white"/>
        </w:rPr>
        <w:t xml:space="preserve"> cues </w:t>
      </w:r>
      <w:r>
        <w:rPr>
          <w:rFonts w:ascii="Times New Roman" w:eastAsia="Times New Roman" w:hAnsi="Times New Roman" w:cs="Times New Roman"/>
          <w:sz w:val="24"/>
          <w:szCs w:val="24"/>
        </w:rPr>
        <w:t>can</w:t>
      </w:r>
      <w:r>
        <w:rPr>
          <w:rFonts w:ascii="Times New Roman" w:eastAsia="Times New Roman" w:hAnsi="Times New Roman" w:cs="Times New Roman"/>
          <w:sz w:val="24"/>
          <w:szCs w:val="24"/>
          <w:highlight w:val="white"/>
        </w:rPr>
        <w:t xml:space="preserve"> be taken into </w:t>
      </w:r>
      <w:r>
        <w:rPr>
          <w:rFonts w:ascii="Times New Roman" w:eastAsia="Times New Roman" w:hAnsi="Times New Roman" w:cs="Times New Roman"/>
          <w:sz w:val="24"/>
          <w:szCs w:val="24"/>
        </w:rPr>
        <w:t>account. Despite this, Novick (2008) argues that there is no evidence that data is lost or less effective due to the absence of nonverbal cues. On the contrary, it can lead to more disclosure and thus richer data. However as a trained drama teacher I value and take great interest in evaluating the physical responses of the dance teachers throughout the interview process and therefore recording the interviews on Teams would allow the opportunity to conduct the interview remotely, and record effectively whilst capturing and recording the facial expressions of the participant throughout. This provided an opportunity for the non-verbal cues of both myself as the interviewer and the participants to be captured and examined during analysis.</w:t>
      </w:r>
    </w:p>
    <w:p w14:paraId="00000010" w14:textId="77777777" w:rsidR="00F33CE8" w:rsidRDefault="00000000">
      <w:pPr>
        <w:spacing w:after="200" w:line="24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lastRenderedPageBreak/>
        <w:t xml:space="preserve">For those teachers whose interviews were conducted online it did take a little time for the participant to settle, but once settled, the rapport was built. We did also experience some sound delays during the interviews (Adams-Hutcheson &amp; Longhurst, 2017; Fielding &amp; Fielding, 2012) which lost part of the data that became evident on analysis. In utilising digital interviews - which I believe would be highly effective when looking to extend the geographical area of the participants - I would consider including more time for the interview as suggested by Gray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and Seitz (2015) to provide the opportunity to try out the digital channel of choice including sound, etc together with the participants as this will help build rapport as all parties can then relax during the interview. Interruptions however were also evident in the in-person interviews in which the participant was given the choice of venue to give power to the dance teacher, however at the time of the interview, the coffee shop of choice was incredibly busy and this did make the recording and interviewing  element of the interview harder. </w:t>
      </w:r>
    </w:p>
    <w:p w14:paraId="00000011" w14:textId="77777777" w:rsidR="00F33CE8" w:rsidRDefault="00000000">
      <w:pPr>
        <w:spacing w:after="200" w:line="24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I chose to analyse the data using a thematic analysis approach to allow the opportunity to identify key themes (Braun &amp; Clarke 2006) amongst the dance teachers, their training, and how it informed their teaching practice. Despite following </w:t>
      </w:r>
      <w:r>
        <w:rPr>
          <w:rFonts w:ascii="Times New Roman" w:eastAsia="Times New Roman" w:hAnsi="Times New Roman" w:cs="Times New Roman"/>
          <w:highlight w:val="white"/>
        </w:rPr>
        <w:t>Clarke and Braun's (2013)</w:t>
      </w:r>
      <w:r>
        <w:rPr>
          <w:rFonts w:ascii="Times New Roman" w:eastAsia="Times New Roman" w:hAnsi="Times New Roman" w:cs="Times New Roman"/>
          <w:sz w:val="24"/>
          <w:szCs w:val="24"/>
        </w:rPr>
        <w:t xml:space="preserve"> six-phase framework for the thematic analysis (Maguire &amp; Delahunt, 2017) which also formed the basis of the timeline for the project, the analysis stage of the project was far more time-consuming and mentally demanding than I had anticipated. The analysis stage of the research was the stage I found most challenging and I believe that this was due to its flexible nature, with no one definitive method for undertaking a thematic analysis (Finlay, 2016).  I spent a large amount of time questioning the process and reworking the creation of the coding and themes. Once I was able to trust that there are no strict guidelines as to what exactly constitutes a theme (Braun &amp; Clarke, 2006) I was able to progress with the analysis and theme creation.  Despite the additional time spent at this stage, I was certain that this allowed further opportunity to familiarise myself with the content of the interviews and I most certainly was able to meet Bogdan and </w:t>
      </w:r>
      <w:proofErr w:type="spellStart"/>
      <w:r>
        <w:rPr>
          <w:rFonts w:ascii="Times New Roman" w:eastAsia="Times New Roman" w:hAnsi="Times New Roman" w:cs="Times New Roman"/>
          <w:sz w:val="24"/>
          <w:szCs w:val="24"/>
        </w:rPr>
        <w:t>Bikien’s</w:t>
      </w:r>
      <w:proofErr w:type="spellEnd"/>
      <w:r>
        <w:rPr>
          <w:rFonts w:ascii="Times New Roman" w:eastAsia="Times New Roman" w:hAnsi="Times New Roman" w:cs="Times New Roman"/>
          <w:sz w:val="24"/>
          <w:szCs w:val="24"/>
        </w:rPr>
        <w:t xml:space="preserve"> (1992) recommendation that in thematic analysis, data ‘must’ be read at least twice. In choosing the themes for the data I worked to ensure that the thematic analysis, as suggested by (Finlay, 2016) was guided by the methodology, the key aims of the research, and my beliefs.  Using the dance teachers’ voices ensured that, as suggested by Seitz (2015) each and every theme should be illustrated by extracts from participants' interviews.  Being constantly reflexive allowed me to identify the 4 key themes of the research. </w:t>
      </w:r>
    </w:p>
    <w:p w14:paraId="00000012" w14:textId="77777777" w:rsidR="00F33CE8" w:rsidRDefault="00000000">
      <w:pPr>
        <w:spacing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Moving forward, I am confident that choosing a theoretical lens along with the methodology has allowed me to effectively gain an in-depth insight into the occupational socialisation journey of the dance teachers thereby providing an insight into how dance teachers’ training influences the way they teach their students. This small research project has shown the potential to explore the occupational socialisation of PE teachers including a survey of their  experiences of dance in their own training and teaching thus providing the opportunity to further inform the overarching teaching of dance to students and young people. I would like to repeat the dance teacher interviews by including a few additional questions and utilising mixed methods to strengthen the depth of the data. I am very much looking forward to working with a greater pool of participants from a larger geographical area.</w:t>
      </w:r>
    </w:p>
    <w:p w14:paraId="00000013" w14:textId="77777777" w:rsidR="00F33CE8" w:rsidRDefault="00000000">
      <w:pPr>
        <w:spacing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things that will form an essential part of my future research will be the use of a pilot; time restrictions and a lack of participants did not allow this during this project. The pilot test will aid in detecting if the interview design has faults, restrictions, or other issues and will enable me to make the required adjustments prior to the study's implementation (</w:t>
      </w:r>
      <w:proofErr w:type="spellStart"/>
      <w:r>
        <w:rPr>
          <w:rFonts w:ascii="Times New Roman" w:eastAsia="Times New Roman" w:hAnsi="Times New Roman" w:cs="Times New Roman"/>
          <w:sz w:val="24"/>
          <w:szCs w:val="24"/>
        </w:rPr>
        <w:t>Kvale</w:t>
      </w:r>
      <w:proofErr w:type="spellEnd"/>
      <w:r>
        <w:rPr>
          <w:rFonts w:ascii="Times New Roman" w:eastAsia="Times New Roman" w:hAnsi="Times New Roman" w:cs="Times New Roman"/>
          <w:sz w:val="24"/>
          <w:szCs w:val="24"/>
        </w:rPr>
        <w:t xml:space="preserve">, 2007). To close, I hope to now use this research to work on a research project which </w:t>
      </w:r>
      <w:r>
        <w:rPr>
          <w:rFonts w:ascii="Times New Roman" w:eastAsia="Times New Roman" w:hAnsi="Times New Roman" w:cs="Times New Roman"/>
          <w:sz w:val="24"/>
          <w:szCs w:val="24"/>
        </w:rPr>
        <w:lastRenderedPageBreak/>
        <w:t>returns to my passion and motivation to investigate the power dance has to improve the  health and well-being of children and young people. This research project has allowed me the opportunity to not only give me great insights into current dance provision but has sculpted me into the kind of researcher I would like to become.</w:t>
      </w:r>
    </w:p>
    <w:p w14:paraId="00000014" w14:textId="77777777" w:rsidR="00F33CE8" w:rsidRDefault="00F33CE8">
      <w:pPr>
        <w:spacing w:after="200" w:line="240" w:lineRule="auto"/>
        <w:rPr>
          <w:rFonts w:ascii="Times New Roman" w:eastAsia="Times New Roman" w:hAnsi="Times New Roman" w:cs="Times New Roman"/>
          <w:sz w:val="24"/>
          <w:szCs w:val="24"/>
        </w:rPr>
      </w:pPr>
    </w:p>
    <w:p w14:paraId="00000015" w14:textId="77777777" w:rsidR="00F33CE8" w:rsidRDefault="00F33CE8">
      <w:pPr>
        <w:spacing w:after="200" w:line="240" w:lineRule="auto"/>
        <w:rPr>
          <w:rFonts w:ascii="Times New Roman" w:eastAsia="Times New Roman" w:hAnsi="Times New Roman" w:cs="Times New Roman"/>
          <w:sz w:val="24"/>
          <w:szCs w:val="24"/>
        </w:rPr>
      </w:pPr>
    </w:p>
    <w:p w14:paraId="00000016" w14:textId="77777777" w:rsidR="00F33CE8" w:rsidRDefault="00F33CE8">
      <w:pPr>
        <w:spacing w:after="200" w:line="240" w:lineRule="auto"/>
        <w:rPr>
          <w:rFonts w:ascii="Times New Roman" w:eastAsia="Times New Roman" w:hAnsi="Times New Roman" w:cs="Times New Roman"/>
          <w:sz w:val="24"/>
          <w:szCs w:val="24"/>
        </w:rPr>
      </w:pPr>
    </w:p>
    <w:p w14:paraId="00000017" w14:textId="77777777" w:rsidR="00F33CE8" w:rsidRDefault="00F33CE8">
      <w:pPr>
        <w:spacing w:after="200" w:line="240" w:lineRule="auto"/>
        <w:rPr>
          <w:rFonts w:ascii="Times New Roman" w:eastAsia="Times New Roman" w:hAnsi="Times New Roman" w:cs="Times New Roman"/>
          <w:sz w:val="24"/>
          <w:szCs w:val="24"/>
        </w:rPr>
      </w:pPr>
    </w:p>
    <w:p w14:paraId="00000018" w14:textId="77777777" w:rsidR="00F33CE8" w:rsidRDefault="00F33CE8">
      <w:pPr>
        <w:spacing w:after="200" w:line="240" w:lineRule="auto"/>
        <w:rPr>
          <w:rFonts w:ascii="Times New Roman" w:eastAsia="Times New Roman" w:hAnsi="Times New Roman" w:cs="Times New Roman"/>
          <w:sz w:val="24"/>
          <w:szCs w:val="24"/>
        </w:rPr>
      </w:pPr>
    </w:p>
    <w:p w14:paraId="00000019" w14:textId="77777777" w:rsidR="00F33CE8" w:rsidRDefault="00F33CE8">
      <w:pPr>
        <w:spacing w:after="200" w:line="240" w:lineRule="auto"/>
        <w:rPr>
          <w:rFonts w:ascii="Times New Roman" w:eastAsia="Times New Roman" w:hAnsi="Times New Roman" w:cs="Times New Roman"/>
          <w:sz w:val="24"/>
          <w:szCs w:val="24"/>
        </w:rPr>
      </w:pPr>
    </w:p>
    <w:p w14:paraId="0000001A" w14:textId="77777777" w:rsidR="00F33CE8" w:rsidRDefault="00F33CE8">
      <w:pPr>
        <w:spacing w:after="200" w:line="240" w:lineRule="auto"/>
        <w:jc w:val="center"/>
        <w:rPr>
          <w:rFonts w:ascii="Times New Roman" w:eastAsia="Times New Roman" w:hAnsi="Times New Roman" w:cs="Times New Roman"/>
          <w:b/>
          <w:sz w:val="24"/>
          <w:szCs w:val="24"/>
        </w:rPr>
      </w:pPr>
    </w:p>
    <w:p w14:paraId="0000001B" w14:textId="77777777" w:rsidR="00F33CE8" w:rsidRDefault="00F33CE8">
      <w:pPr>
        <w:spacing w:after="200" w:line="240" w:lineRule="auto"/>
        <w:jc w:val="center"/>
        <w:rPr>
          <w:rFonts w:ascii="Times New Roman" w:eastAsia="Times New Roman" w:hAnsi="Times New Roman" w:cs="Times New Roman"/>
          <w:b/>
          <w:sz w:val="24"/>
          <w:szCs w:val="24"/>
        </w:rPr>
      </w:pPr>
    </w:p>
    <w:p w14:paraId="0000001C" w14:textId="77777777" w:rsidR="00F33CE8" w:rsidRDefault="00F33CE8">
      <w:pPr>
        <w:spacing w:after="200" w:line="240" w:lineRule="auto"/>
        <w:jc w:val="center"/>
        <w:rPr>
          <w:rFonts w:ascii="Times New Roman" w:eastAsia="Times New Roman" w:hAnsi="Times New Roman" w:cs="Times New Roman"/>
          <w:b/>
          <w:sz w:val="24"/>
          <w:szCs w:val="24"/>
        </w:rPr>
      </w:pPr>
    </w:p>
    <w:p w14:paraId="0000001D" w14:textId="77777777" w:rsidR="00F33CE8" w:rsidRDefault="00F33CE8">
      <w:pPr>
        <w:rPr>
          <w:rFonts w:ascii="Times New Roman" w:eastAsia="Times New Roman" w:hAnsi="Times New Roman" w:cs="Times New Roman"/>
          <w:sz w:val="24"/>
          <w:szCs w:val="24"/>
        </w:rPr>
      </w:pPr>
    </w:p>
    <w:p w14:paraId="0000001E" w14:textId="77777777" w:rsidR="00F33CE8" w:rsidRDefault="00F33CE8">
      <w:pPr>
        <w:rPr>
          <w:rFonts w:ascii="Times New Roman" w:eastAsia="Times New Roman" w:hAnsi="Times New Roman" w:cs="Times New Roman"/>
          <w:sz w:val="24"/>
          <w:szCs w:val="24"/>
        </w:rPr>
      </w:pPr>
    </w:p>
    <w:p w14:paraId="0000001F" w14:textId="77777777" w:rsidR="00F33CE8" w:rsidRDefault="00F33CE8">
      <w:pPr>
        <w:rPr>
          <w:rFonts w:ascii="Times New Roman" w:eastAsia="Times New Roman" w:hAnsi="Times New Roman" w:cs="Times New Roman"/>
          <w:sz w:val="24"/>
          <w:szCs w:val="24"/>
        </w:rPr>
      </w:pPr>
    </w:p>
    <w:p w14:paraId="00000020" w14:textId="77777777" w:rsidR="00F33CE8" w:rsidRDefault="00F33CE8">
      <w:pPr>
        <w:rPr>
          <w:rFonts w:ascii="Times New Roman" w:eastAsia="Times New Roman" w:hAnsi="Times New Roman" w:cs="Times New Roman"/>
          <w:sz w:val="24"/>
          <w:szCs w:val="24"/>
        </w:rPr>
      </w:pPr>
    </w:p>
    <w:p w14:paraId="00000021" w14:textId="77777777" w:rsidR="00F33CE8" w:rsidRDefault="00F33CE8">
      <w:pPr>
        <w:rPr>
          <w:rFonts w:ascii="Times New Roman" w:eastAsia="Times New Roman" w:hAnsi="Times New Roman" w:cs="Times New Roman"/>
          <w:sz w:val="24"/>
          <w:szCs w:val="24"/>
        </w:rPr>
      </w:pPr>
    </w:p>
    <w:p w14:paraId="00000022" w14:textId="77777777" w:rsidR="00F33CE8" w:rsidRDefault="00F33CE8">
      <w:pPr>
        <w:rPr>
          <w:rFonts w:ascii="Times New Roman" w:eastAsia="Times New Roman" w:hAnsi="Times New Roman" w:cs="Times New Roman"/>
          <w:sz w:val="24"/>
          <w:szCs w:val="24"/>
        </w:rPr>
      </w:pPr>
    </w:p>
    <w:p w14:paraId="00000023" w14:textId="77777777" w:rsidR="00F33CE8" w:rsidRDefault="00F33CE8">
      <w:pPr>
        <w:rPr>
          <w:rFonts w:ascii="Times New Roman" w:eastAsia="Times New Roman" w:hAnsi="Times New Roman" w:cs="Times New Roman"/>
          <w:b/>
          <w:sz w:val="24"/>
          <w:szCs w:val="24"/>
        </w:rPr>
      </w:pPr>
    </w:p>
    <w:p w14:paraId="0927DA43" w14:textId="77777777" w:rsidR="00E5241A" w:rsidRDefault="00E5241A">
      <w:pPr>
        <w:rPr>
          <w:rFonts w:ascii="Times New Roman" w:eastAsia="Times New Roman" w:hAnsi="Times New Roman" w:cs="Times New Roman"/>
          <w:b/>
          <w:sz w:val="24"/>
          <w:szCs w:val="24"/>
        </w:rPr>
      </w:pPr>
    </w:p>
    <w:p w14:paraId="15822D8C" w14:textId="77777777" w:rsidR="00E5241A" w:rsidRDefault="00E5241A">
      <w:pPr>
        <w:rPr>
          <w:rFonts w:ascii="Times New Roman" w:eastAsia="Times New Roman" w:hAnsi="Times New Roman" w:cs="Times New Roman"/>
          <w:b/>
          <w:sz w:val="24"/>
          <w:szCs w:val="24"/>
        </w:rPr>
      </w:pPr>
    </w:p>
    <w:p w14:paraId="0A4A20E1" w14:textId="77777777" w:rsidR="00E5241A" w:rsidRDefault="00E5241A">
      <w:pPr>
        <w:rPr>
          <w:rFonts w:ascii="Times New Roman" w:eastAsia="Times New Roman" w:hAnsi="Times New Roman" w:cs="Times New Roman"/>
          <w:b/>
          <w:sz w:val="24"/>
          <w:szCs w:val="24"/>
        </w:rPr>
      </w:pPr>
    </w:p>
    <w:p w14:paraId="0DD7C0F2" w14:textId="77777777" w:rsidR="00E5241A" w:rsidRDefault="00E5241A">
      <w:pPr>
        <w:rPr>
          <w:rFonts w:ascii="Times New Roman" w:eastAsia="Times New Roman" w:hAnsi="Times New Roman" w:cs="Times New Roman"/>
          <w:b/>
          <w:sz w:val="24"/>
          <w:szCs w:val="24"/>
        </w:rPr>
      </w:pPr>
    </w:p>
    <w:p w14:paraId="2B2AA12B" w14:textId="77777777" w:rsidR="00E5241A" w:rsidRDefault="00E5241A">
      <w:pPr>
        <w:rPr>
          <w:rFonts w:ascii="Times New Roman" w:eastAsia="Times New Roman" w:hAnsi="Times New Roman" w:cs="Times New Roman"/>
          <w:b/>
          <w:sz w:val="24"/>
          <w:szCs w:val="24"/>
        </w:rPr>
      </w:pPr>
    </w:p>
    <w:p w14:paraId="4A086F01" w14:textId="77777777" w:rsidR="00E5241A" w:rsidRDefault="00E5241A">
      <w:pPr>
        <w:rPr>
          <w:rFonts w:ascii="Times New Roman" w:eastAsia="Times New Roman" w:hAnsi="Times New Roman" w:cs="Times New Roman"/>
          <w:b/>
          <w:sz w:val="24"/>
          <w:szCs w:val="24"/>
        </w:rPr>
      </w:pPr>
    </w:p>
    <w:p w14:paraId="0A70ABC5" w14:textId="77777777" w:rsidR="00E5241A" w:rsidRDefault="00E5241A">
      <w:pPr>
        <w:rPr>
          <w:rFonts w:ascii="Times New Roman" w:eastAsia="Times New Roman" w:hAnsi="Times New Roman" w:cs="Times New Roman"/>
          <w:b/>
          <w:sz w:val="24"/>
          <w:szCs w:val="24"/>
        </w:rPr>
      </w:pPr>
    </w:p>
    <w:p w14:paraId="34D820ED" w14:textId="77777777" w:rsidR="00E5241A" w:rsidRDefault="00E5241A">
      <w:pPr>
        <w:rPr>
          <w:rFonts w:ascii="Times New Roman" w:eastAsia="Times New Roman" w:hAnsi="Times New Roman" w:cs="Times New Roman"/>
          <w:b/>
          <w:sz w:val="24"/>
          <w:szCs w:val="24"/>
        </w:rPr>
      </w:pPr>
    </w:p>
    <w:p w14:paraId="156642EF" w14:textId="77777777" w:rsidR="00E5241A" w:rsidRDefault="00E5241A">
      <w:pPr>
        <w:rPr>
          <w:rFonts w:ascii="Times New Roman" w:eastAsia="Times New Roman" w:hAnsi="Times New Roman" w:cs="Times New Roman"/>
          <w:b/>
          <w:sz w:val="24"/>
          <w:szCs w:val="24"/>
        </w:rPr>
      </w:pPr>
    </w:p>
    <w:p w14:paraId="3A4B5686" w14:textId="77777777" w:rsidR="00E5241A" w:rsidRDefault="00E5241A">
      <w:pPr>
        <w:rPr>
          <w:rFonts w:ascii="Times New Roman" w:eastAsia="Times New Roman" w:hAnsi="Times New Roman" w:cs="Times New Roman"/>
          <w:b/>
          <w:sz w:val="24"/>
          <w:szCs w:val="24"/>
        </w:rPr>
      </w:pPr>
    </w:p>
    <w:p w14:paraId="659FCC8A" w14:textId="77777777" w:rsidR="00E5241A" w:rsidRDefault="00E5241A">
      <w:pPr>
        <w:rPr>
          <w:rFonts w:ascii="Times New Roman" w:eastAsia="Times New Roman" w:hAnsi="Times New Roman" w:cs="Times New Roman"/>
          <w:b/>
          <w:sz w:val="24"/>
          <w:szCs w:val="24"/>
        </w:rPr>
      </w:pPr>
    </w:p>
    <w:p w14:paraId="6CC1A7FC" w14:textId="77777777" w:rsidR="00E5241A" w:rsidRDefault="00E5241A">
      <w:pPr>
        <w:rPr>
          <w:rFonts w:ascii="Times New Roman" w:eastAsia="Times New Roman" w:hAnsi="Times New Roman" w:cs="Times New Roman"/>
          <w:b/>
          <w:sz w:val="24"/>
          <w:szCs w:val="24"/>
        </w:rPr>
      </w:pPr>
    </w:p>
    <w:p w14:paraId="761B0496" w14:textId="77777777" w:rsidR="00E5241A" w:rsidRDefault="00E5241A">
      <w:pPr>
        <w:rPr>
          <w:rFonts w:ascii="Times New Roman" w:eastAsia="Times New Roman" w:hAnsi="Times New Roman" w:cs="Times New Roman"/>
          <w:b/>
          <w:sz w:val="24"/>
          <w:szCs w:val="24"/>
        </w:rPr>
      </w:pPr>
    </w:p>
    <w:p w14:paraId="63EC58DC" w14:textId="77777777" w:rsidR="00E5241A" w:rsidRDefault="00E5241A">
      <w:pPr>
        <w:rPr>
          <w:rFonts w:ascii="Times New Roman" w:eastAsia="Times New Roman" w:hAnsi="Times New Roman" w:cs="Times New Roman"/>
          <w:b/>
          <w:sz w:val="24"/>
          <w:szCs w:val="24"/>
        </w:rPr>
      </w:pPr>
    </w:p>
    <w:p w14:paraId="65AAFDFA" w14:textId="77777777" w:rsidR="00E5241A" w:rsidRDefault="00E5241A">
      <w:pPr>
        <w:rPr>
          <w:rFonts w:ascii="Times New Roman" w:eastAsia="Times New Roman" w:hAnsi="Times New Roman" w:cs="Times New Roman"/>
          <w:b/>
          <w:sz w:val="24"/>
          <w:szCs w:val="24"/>
        </w:rPr>
      </w:pPr>
    </w:p>
    <w:p w14:paraId="4C3661F0" w14:textId="77777777" w:rsidR="00E5241A" w:rsidRDefault="00E5241A">
      <w:pPr>
        <w:rPr>
          <w:rFonts w:ascii="Times New Roman" w:eastAsia="Times New Roman" w:hAnsi="Times New Roman" w:cs="Times New Roman"/>
          <w:b/>
          <w:sz w:val="24"/>
          <w:szCs w:val="24"/>
        </w:rPr>
      </w:pPr>
    </w:p>
    <w:p w14:paraId="183B5BE8" w14:textId="77777777" w:rsidR="00E5241A" w:rsidRDefault="00E5241A">
      <w:pPr>
        <w:rPr>
          <w:rFonts w:ascii="Times New Roman" w:eastAsia="Times New Roman" w:hAnsi="Times New Roman" w:cs="Times New Roman"/>
          <w:b/>
          <w:sz w:val="24"/>
          <w:szCs w:val="24"/>
        </w:rPr>
      </w:pPr>
    </w:p>
    <w:p w14:paraId="43AADFDB" w14:textId="77777777" w:rsidR="00E5241A" w:rsidRDefault="00E5241A">
      <w:pPr>
        <w:rPr>
          <w:rFonts w:ascii="Times New Roman" w:eastAsia="Times New Roman" w:hAnsi="Times New Roman" w:cs="Times New Roman"/>
          <w:b/>
          <w:sz w:val="24"/>
          <w:szCs w:val="24"/>
        </w:rPr>
      </w:pPr>
    </w:p>
    <w:p w14:paraId="6D0937E5" w14:textId="77777777" w:rsidR="00E5241A" w:rsidRDefault="00E5241A">
      <w:pPr>
        <w:rPr>
          <w:rFonts w:ascii="Times New Roman" w:eastAsia="Times New Roman" w:hAnsi="Times New Roman" w:cs="Times New Roman"/>
          <w:b/>
          <w:sz w:val="24"/>
          <w:szCs w:val="24"/>
        </w:rPr>
      </w:pPr>
    </w:p>
    <w:p w14:paraId="7CAEE95C" w14:textId="77777777" w:rsidR="00E5241A" w:rsidRDefault="00E5241A">
      <w:pPr>
        <w:rPr>
          <w:rFonts w:ascii="Times New Roman" w:eastAsia="Times New Roman" w:hAnsi="Times New Roman" w:cs="Times New Roman"/>
          <w:b/>
          <w:sz w:val="24"/>
          <w:szCs w:val="24"/>
        </w:rPr>
      </w:pPr>
    </w:p>
    <w:p w14:paraId="00000024" w14:textId="77777777" w:rsidR="00F33CE8"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Bibliography</w:t>
      </w:r>
    </w:p>
    <w:p w14:paraId="00000025" w14:textId="77777777" w:rsidR="00F33CE8" w:rsidRDefault="00F33CE8">
      <w:pPr>
        <w:rPr>
          <w:rFonts w:ascii="Times New Roman" w:eastAsia="Times New Roman" w:hAnsi="Times New Roman" w:cs="Times New Roman"/>
          <w:b/>
          <w:sz w:val="24"/>
          <w:szCs w:val="24"/>
        </w:rPr>
      </w:pPr>
    </w:p>
    <w:p w14:paraId="00000026"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Abrams, K. M., Wang, Z., song, Y. J., &amp; Galindo-Gonzalez, S. (2014). Data Richness Trade-Offs Between Face-to- Face, Online </w:t>
      </w:r>
      <w:proofErr w:type="spellStart"/>
      <w:r>
        <w:rPr>
          <w:rFonts w:ascii="Times New Roman" w:eastAsia="Times New Roman" w:hAnsi="Times New Roman" w:cs="Times New Roman"/>
          <w:sz w:val="24"/>
          <w:szCs w:val="24"/>
        </w:rPr>
        <w:t>Audiovisual</w:t>
      </w:r>
      <w:proofErr w:type="spellEnd"/>
      <w:r>
        <w:rPr>
          <w:rFonts w:ascii="Times New Roman" w:eastAsia="Times New Roman" w:hAnsi="Times New Roman" w:cs="Times New Roman"/>
          <w:sz w:val="24"/>
          <w:szCs w:val="24"/>
        </w:rPr>
        <w:t>, and Online Text-Only Focus Groups. Social Science Computer Review, 33(1), 80–96. https://doi.org/10.1177/0894439313519733</w:t>
      </w:r>
    </w:p>
    <w:p w14:paraId="00000027" w14:textId="77777777" w:rsidR="00F33CE8" w:rsidRDefault="00F33CE8">
      <w:pPr>
        <w:rPr>
          <w:rFonts w:ascii="Times New Roman" w:eastAsia="Times New Roman" w:hAnsi="Times New Roman" w:cs="Times New Roman"/>
          <w:sz w:val="24"/>
          <w:szCs w:val="24"/>
        </w:rPr>
      </w:pPr>
    </w:p>
    <w:p w14:paraId="00000028"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Adams-Hutcheson, G., &amp; Longhurst, R. (2017). ‘At least in person there would have been a cup of tea’: Interviewing via Skype. Area, 49(2), 148–155. https://doi.org/10.1111/area.12306</w:t>
      </w:r>
    </w:p>
    <w:p w14:paraId="00000029" w14:textId="77777777" w:rsidR="00F33CE8" w:rsidRDefault="00F33CE8">
      <w:pPr>
        <w:rPr>
          <w:rFonts w:ascii="Times New Roman" w:eastAsia="Times New Roman" w:hAnsi="Times New Roman" w:cs="Times New Roman"/>
          <w:sz w:val="24"/>
          <w:szCs w:val="24"/>
        </w:rPr>
      </w:pPr>
    </w:p>
    <w:p w14:paraId="0000002A"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Adler, P. A., Adler, P., &amp; Fontana, A. (1987). Everyday Life Sociology. Annual Review of Sociology, 13, 217–235. http://www.jstor.org/stable/2083247</w:t>
      </w:r>
    </w:p>
    <w:p w14:paraId="0000002B" w14:textId="77777777" w:rsidR="00F33CE8" w:rsidRDefault="00F33CE8">
      <w:pPr>
        <w:rPr>
          <w:rFonts w:ascii="Times New Roman" w:eastAsia="Times New Roman" w:hAnsi="Times New Roman" w:cs="Times New Roman"/>
          <w:sz w:val="24"/>
          <w:szCs w:val="24"/>
        </w:rPr>
      </w:pPr>
    </w:p>
    <w:p w14:paraId="0000002C"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Adom, D., Yeboah, A. and </w:t>
      </w:r>
      <w:proofErr w:type="spellStart"/>
      <w:r>
        <w:rPr>
          <w:rFonts w:ascii="Times New Roman" w:eastAsia="Times New Roman" w:hAnsi="Times New Roman" w:cs="Times New Roman"/>
          <w:sz w:val="24"/>
          <w:szCs w:val="24"/>
        </w:rPr>
        <w:t>Ankrah</w:t>
      </w:r>
      <w:proofErr w:type="spellEnd"/>
      <w:r>
        <w:rPr>
          <w:rFonts w:ascii="Times New Roman" w:eastAsia="Times New Roman" w:hAnsi="Times New Roman" w:cs="Times New Roman"/>
          <w:sz w:val="24"/>
          <w:szCs w:val="24"/>
        </w:rPr>
        <w:t>, A.K., (2016). Constructivism philosophical paradigm: Implication for research, teaching, and learning. Global journal of arts humanities and social sciences, 4(10), pp.1-9.</w:t>
      </w:r>
    </w:p>
    <w:p w14:paraId="0000002D" w14:textId="77777777" w:rsidR="00F33CE8" w:rsidRDefault="00F33CE8">
      <w:pPr>
        <w:rPr>
          <w:rFonts w:ascii="Times New Roman" w:eastAsia="Times New Roman" w:hAnsi="Times New Roman" w:cs="Times New Roman"/>
          <w:sz w:val="24"/>
          <w:szCs w:val="24"/>
        </w:rPr>
      </w:pPr>
    </w:p>
    <w:p w14:paraId="0000002E" w14:textId="77777777" w:rsidR="00F33CE8"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Alsteen</w:t>
      </w:r>
      <w:proofErr w:type="spellEnd"/>
      <w:r>
        <w:rPr>
          <w:rFonts w:ascii="Times New Roman" w:eastAsia="Times New Roman" w:hAnsi="Times New Roman" w:cs="Times New Roman"/>
          <w:sz w:val="24"/>
          <w:szCs w:val="24"/>
        </w:rPr>
        <w:t>, J.M., (2019). The Influence of Professional Development on Dance Teachers' Pedagogy and Practice: A Case Study on Progressing Ballet Technique (Doctoral dissertation, Edgewood College)</w:t>
      </w:r>
    </w:p>
    <w:p w14:paraId="0000002F" w14:textId="77777777" w:rsidR="00F33CE8" w:rsidRDefault="00F33CE8">
      <w:pPr>
        <w:rPr>
          <w:rFonts w:ascii="Times New Roman" w:eastAsia="Times New Roman" w:hAnsi="Times New Roman" w:cs="Times New Roman"/>
          <w:sz w:val="24"/>
          <w:szCs w:val="24"/>
        </w:rPr>
      </w:pPr>
    </w:p>
    <w:p w14:paraId="00000030" w14:textId="77777777" w:rsidR="00F33CE8"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Ambert</w:t>
      </w:r>
      <w:proofErr w:type="spellEnd"/>
      <w:r>
        <w:rPr>
          <w:rFonts w:ascii="Times New Roman" w:eastAsia="Times New Roman" w:hAnsi="Times New Roman" w:cs="Times New Roman"/>
          <w:sz w:val="24"/>
          <w:szCs w:val="24"/>
        </w:rPr>
        <w:t>, A.-M., Adler, P. A., Adler, P., &amp; Detzner, D. F. (1995). Understanding and Evaluating Qualitative Research. Journal of Marriage and Family, 57(4), 879–893. https://doi.org/10.2307/353409</w:t>
      </w:r>
    </w:p>
    <w:p w14:paraId="00000031" w14:textId="77777777" w:rsidR="00F33CE8" w:rsidRDefault="00F33CE8">
      <w:pPr>
        <w:rPr>
          <w:rFonts w:ascii="Times New Roman" w:eastAsia="Times New Roman" w:hAnsi="Times New Roman" w:cs="Times New Roman"/>
          <w:sz w:val="24"/>
          <w:szCs w:val="24"/>
        </w:rPr>
      </w:pPr>
    </w:p>
    <w:p w14:paraId="00000032" w14:textId="77777777" w:rsidR="00F33CE8"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Beijaard</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Verloop</w:t>
      </w:r>
      <w:proofErr w:type="spellEnd"/>
      <w:r>
        <w:rPr>
          <w:rFonts w:ascii="Times New Roman" w:eastAsia="Times New Roman" w:hAnsi="Times New Roman" w:cs="Times New Roman"/>
          <w:sz w:val="24"/>
          <w:szCs w:val="24"/>
        </w:rPr>
        <w:t>, N., (1996). Assessing Teachers' Practical Knowledge. Studies in Educational Evaluation, 22(3), pp.275-86.</w:t>
      </w:r>
    </w:p>
    <w:p w14:paraId="00000033" w14:textId="77777777" w:rsidR="00F33CE8" w:rsidRDefault="00F33CE8">
      <w:pPr>
        <w:rPr>
          <w:rFonts w:ascii="Times New Roman" w:eastAsia="Times New Roman" w:hAnsi="Times New Roman" w:cs="Times New Roman"/>
          <w:sz w:val="24"/>
          <w:szCs w:val="24"/>
        </w:rPr>
      </w:pPr>
    </w:p>
    <w:p w14:paraId="00000034"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Bisson, V., (2005). A Success Story-Breaking assumptions: physical activity for all abilities [</w:t>
      </w:r>
      <w:proofErr w:type="spellStart"/>
      <w:r>
        <w:rPr>
          <w:rFonts w:ascii="Times New Roman" w:eastAsia="Times New Roman" w:hAnsi="Times New Roman" w:cs="Times New Roman"/>
          <w:sz w:val="24"/>
          <w:szCs w:val="24"/>
        </w:rPr>
        <w:t>DanceAbility</w:t>
      </w:r>
      <w:proofErr w:type="spellEnd"/>
      <w:r>
        <w:rPr>
          <w:rFonts w:ascii="Times New Roman" w:eastAsia="Times New Roman" w:hAnsi="Times New Roman" w:cs="Times New Roman"/>
          <w:sz w:val="24"/>
          <w:szCs w:val="24"/>
        </w:rPr>
        <w:t>]. Physical &amp; Health Education Journal, 71(2), p.40.</w:t>
      </w:r>
    </w:p>
    <w:p w14:paraId="00000035" w14:textId="77777777" w:rsidR="00F33CE8" w:rsidRDefault="00F33CE8">
      <w:pPr>
        <w:rPr>
          <w:rFonts w:ascii="Times New Roman" w:eastAsia="Times New Roman" w:hAnsi="Times New Roman" w:cs="Times New Roman"/>
          <w:sz w:val="24"/>
          <w:szCs w:val="24"/>
        </w:rPr>
      </w:pPr>
    </w:p>
    <w:p w14:paraId="00000036"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Bogdan, R.C. and </w:t>
      </w:r>
      <w:proofErr w:type="spellStart"/>
      <w:r>
        <w:rPr>
          <w:rFonts w:ascii="Times New Roman" w:eastAsia="Times New Roman" w:hAnsi="Times New Roman" w:cs="Times New Roman"/>
          <w:sz w:val="24"/>
          <w:szCs w:val="24"/>
        </w:rPr>
        <w:t>Bikien</w:t>
      </w:r>
      <w:proofErr w:type="spellEnd"/>
      <w:r>
        <w:rPr>
          <w:rFonts w:ascii="Times New Roman" w:eastAsia="Times New Roman" w:hAnsi="Times New Roman" w:cs="Times New Roman"/>
          <w:sz w:val="24"/>
          <w:szCs w:val="24"/>
        </w:rPr>
        <w:t xml:space="preserve">, S.K., (1992). Qualitative Research for Education: an Introduction to theory and methods Boston: </w:t>
      </w:r>
      <w:proofErr w:type="spellStart"/>
      <w:r>
        <w:rPr>
          <w:rFonts w:ascii="Times New Roman" w:eastAsia="Times New Roman" w:hAnsi="Times New Roman" w:cs="Times New Roman"/>
          <w:sz w:val="24"/>
          <w:szCs w:val="24"/>
        </w:rPr>
        <w:t>Allyn</w:t>
      </w:r>
      <w:proofErr w:type="spellEnd"/>
      <w:r>
        <w:rPr>
          <w:rFonts w:ascii="Times New Roman" w:eastAsia="Times New Roman" w:hAnsi="Times New Roman" w:cs="Times New Roman"/>
          <w:sz w:val="24"/>
          <w:szCs w:val="24"/>
        </w:rPr>
        <w:t xml:space="preserve"> dan Bacon.</w:t>
      </w:r>
    </w:p>
    <w:p w14:paraId="00000037" w14:textId="77777777" w:rsidR="00F33CE8" w:rsidRDefault="00F33CE8">
      <w:pPr>
        <w:rPr>
          <w:rFonts w:ascii="Times New Roman" w:eastAsia="Times New Roman" w:hAnsi="Times New Roman" w:cs="Times New Roman"/>
          <w:sz w:val="24"/>
          <w:szCs w:val="24"/>
        </w:rPr>
      </w:pPr>
    </w:p>
    <w:p w14:paraId="00000038"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Bradbury-Jones, C. (2007). Enhancing rigor in qualitative health research: exploring subjectivity through </w:t>
      </w:r>
      <w:proofErr w:type="spellStart"/>
      <w:r>
        <w:rPr>
          <w:rFonts w:ascii="Times New Roman" w:eastAsia="Times New Roman" w:hAnsi="Times New Roman" w:cs="Times New Roman"/>
          <w:sz w:val="24"/>
          <w:szCs w:val="24"/>
        </w:rPr>
        <w:t>Peshkin’s</w:t>
      </w:r>
      <w:proofErr w:type="spellEnd"/>
      <w:r>
        <w:rPr>
          <w:rFonts w:ascii="Times New Roman" w:eastAsia="Times New Roman" w:hAnsi="Times New Roman" w:cs="Times New Roman"/>
          <w:sz w:val="24"/>
          <w:szCs w:val="24"/>
        </w:rPr>
        <w:t xml:space="preserve"> I’s. Journal of Advanced Nursing 59, 290–298. 10.1111/j.1365-2648.2007.04306. </w:t>
      </w:r>
    </w:p>
    <w:p w14:paraId="00000039" w14:textId="77777777" w:rsidR="00F33CE8" w:rsidRDefault="00F33CE8">
      <w:pPr>
        <w:rPr>
          <w:rFonts w:ascii="Times New Roman" w:eastAsia="Times New Roman" w:hAnsi="Times New Roman" w:cs="Times New Roman"/>
          <w:sz w:val="24"/>
          <w:szCs w:val="24"/>
        </w:rPr>
      </w:pPr>
    </w:p>
    <w:p w14:paraId="0000003A"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Capel, S., Whitehead, M. and </w:t>
      </w:r>
      <w:proofErr w:type="spellStart"/>
      <w:r>
        <w:rPr>
          <w:rFonts w:ascii="Times New Roman" w:eastAsia="Times New Roman" w:hAnsi="Times New Roman" w:cs="Times New Roman"/>
          <w:sz w:val="24"/>
          <w:szCs w:val="24"/>
        </w:rPr>
        <w:t>Zwozdiak</w:t>
      </w:r>
      <w:proofErr w:type="spellEnd"/>
      <w:r>
        <w:rPr>
          <w:rFonts w:ascii="Times New Roman" w:eastAsia="Times New Roman" w:hAnsi="Times New Roman" w:cs="Times New Roman"/>
          <w:sz w:val="24"/>
          <w:szCs w:val="24"/>
        </w:rPr>
        <w:t>-Myers, P., (2013). Developing and maintaining an effective learning environment. In Learning to Teach Physical Education in the Secondary School (pp. 118-135). Routledge.</w:t>
      </w:r>
    </w:p>
    <w:p w14:paraId="0000003B" w14:textId="77777777" w:rsidR="00F33CE8" w:rsidRDefault="00F33CE8">
      <w:pPr>
        <w:rPr>
          <w:rFonts w:ascii="Times New Roman" w:eastAsia="Times New Roman" w:hAnsi="Times New Roman" w:cs="Times New Roman"/>
          <w:sz w:val="24"/>
          <w:szCs w:val="24"/>
        </w:rPr>
      </w:pPr>
    </w:p>
    <w:p w14:paraId="0000003C"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Child RJ, Mentes JC, </w:t>
      </w:r>
      <w:proofErr w:type="spellStart"/>
      <w:r>
        <w:rPr>
          <w:rFonts w:ascii="Times New Roman" w:eastAsia="Times New Roman" w:hAnsi="Times New Roman" w:cs="Times New Roman"/>
          <w:sz w:val="24"/>
          <w:szCs w:val="24"/>
        </w:rPr>
        <w:t>Pavlish</w:t>
      </w:r>
      <w:proofErr w:type="spellEnd"/>
      <w:r>
        <w:rPr>
          <w:rFonts w:ascii="Times New Roman" w:eastAsia="Times New Roman" w:hAnsi="Times New Roman" w:cs="Times New Roman"/>
          <w:sz w:val="24"/>
          <w:szCs w:val="24"/>
        </w:rPr>
        <w:t xml:space="preserve"> C et al.(2014) Using Facebook and participant information clips to recruit emergency nurses for research. Nurse Researcher. 21, 6, 16-21.</w:t>
      </w:r>
    </w:p>
    <w:p w14:paraId="0000003D" w14:textId="77777777" w:rsidR="00F33CE8" w:rsidRDefault="00F33CE8">
      <w:pPr>
        <w:rPr>
          <w:rFonts w:ascii="Times New Roman" w:eastAsia="Times New Roman" w:hAnsi="Times New Roman" w:cs="Times New Roman"/>
          <w:sz w:val="24"/>
          <w:szCs w:val="24"/>
        </w:rPr>
      </w:pPr>
    </w:p>
    <w:p w14:paraId="0000003E" w14:textId="77777777" w:rsidR="00F33CE8" w:rsidRDefault="00F33CE8">
      <w:pPr>
        <w:rPr>
          <w:rFonts w:ascii="Times New Roman" w:eastAsia="Times New Roman" w:hAnsi="Times New Roman" w:cs="Times New Roman"/>
          <w:sz w:val="24"/>
          <w:szCs w:val="24"/>
        </w:rPr>
      </w:pPr>
    </w:p>
    <w:p w14:paraId="0000003F"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Clarke, V. &amp; Braun, V. (2013). Teaching thematic analysis: Overcoming challenges and</w:t>
      </w:r>
    </w:p>
    <w:p w14:paraId="00000040"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strategies for effective learning. The Psychologist, 26(2), 120-123.</w:t>
      </w:r>
    </w:p>
    <w:p w14:paraId="00000041" w14:textId="77777777" w:rsidR="00F33CE8" w:rsidRDefault="00F33CE8">
      <w:pPr>
        <w:rPr>
          <w:rFonts w:ascii="Times New Roman" w:eastAsia="Times New Roman" w:hAnsi="Times New Roman" w:cs="Times New Roman"/>
          <w:sz w:val="24"/>
          <w:szCs w:val="24"/>
        </w:rPr>
      </w:pPr>
    </w:p>
    <w:p w14:paraId="00000042"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Cohen, L., &amp; Manion, L. (1994). Research methods in education. (4th ed.) London: Routledge.</w:t>
      </w:r>
    </w:p>
    <w:p w14:paraId="00000043" w14:textId="77777777" w:rsidR="00F33CE8" w:rsidRDefault="00F33CE8">
      <w:pPr>
        <w:rPr>
          <w:rFonts w:ascii="Times New Roman" w:eastAsia="Times New Roman" w:hAnsi="Times New Roman" w:cs="Times New Roman"/>
          <w:sz w:val="24"/>
          <w:szCs w:val="24"/>
        </w:rPr>
      </w:pPr>
    </w:p>
    <w:p w14:paraId="00000044"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Darlington, Y., &amp; Scott, D. (2003). Qualitative research in practice: Stories from the field. Social Work Education: The International Journal, 22(1), 115-118</w:t>
      </w:r>
    </w:p>
    <w:p w14:paraId="00000045" w14:textId="77777777" w:rsidR="00F33CE8" w:rsidRDefault="00F33CE8">
      <w:pPr>
        <w:rPr>
          <w:rFonts w:ascii="Times New Roman" w:eastAsia="Times New Roman" w:hAnsi="Times New Roman" w:cs="Times New Roman"/>
          <w:sz w:val="24"/>
          <w:szCs w:val="24"/>
        </w:rPr>
      </w:pPr>
    </w:p>
    <w:p w14:paraId="00000046"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DiCicco-Bloom B, Crabtree BF (2006). The </w:t>
      </w:r>
      <w:proofErr w:type="spellStart"/>
      <w:r>
        <w:rPr>
          <w:rFonts w:ascii="Times New Roman" w:eastAsia="Times New Roman" w:hAnsi="Times New Roman" w:cs="Times New Roman"/>
          <w:sz w:val="24"/>
          <w:szCs w:val="24"/>
        </w:rPr>
        <w:t>gualitative</w:t>
      </w:r>
      <w:proofErr w:type="spellEnd"/>
      <w:r>
        <w:rPr>
          <w:rFonts w:ascii="Times New Roman" w:eastAsia="Times New Roman" w:hAnsi="Times New Roman" w:cs="Times New Roman"/>
          <w:sz w:val="24"/>
          <w:szCs w:val="24"/>
        </w:rPr>
        <w:t xml:space="preserve"> research interview. Medical Education. 40, 4, 314-321.</w:t>
      </w:r>
    </w:p>
    <w:p w14:paraId="00000047" w14:textId="77777777" w:rsidR="00F33CE8" w:rsidRDefault="00F33CE8">
      <w:pPr>
        <w:rPr>
          <w:rFonts w:ascii="Times New Roman" w:eastAsia="Times New Roman" w:hAnsi="Times New Roman" w:cs="Times New Roman"/>
          <w:sz w:val="24"/>
          <w:szCs w:val="24"/>
        </w:rPr>
      </w:pPr>
    </w:p>
    <w:p w14:paraId="00000048"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Divan, A., Ludwig, L., Matthews, K., Motley, P. &amp; </w:t>
      </w:r>
      <w:proofErr w:type="spellStart"/>
      <w:r>
        <w:rPr>
          <w:rFonts w:ascii="Times New Roman" w:eastAsia="Times New Roman" w:hAnsi="Times New Roman" w:cs="Times New Roman"/>
          <w:sz w:val="24"/>
          <w:szCs w:val="24"/>
        </w:rPr>
        <w:t>Tomlienovic</w:t>
      </w:r>
      <w:proofErr w:type="spellEnd"/>
      <w:r>
        <w:rPr>
          <w:rFonts w:ascii="Times New Roman" w:eastAsia="Times New Roman" w:hAnsi="Times New Roman" w:cs="Times New Roman"/>
          <w:sz w:val="24"/>
          <w:szCs w:val="24"/>
        </w:rPr>
        <w:t>-Berube, A. (2017). A survey of</w:t>
      </w:r>
    </w:p>
    <w:p w14:paraId="00000049"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approaches utilised in The Scholarship of Learning and Teaching publications.</w:t>
      </w:r>
    </w:p>
    <w:p w14:paraId="0000004A"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Teaching &amp; Learning Inquiry,[online] 5(2), 16.</w:t>
      </w:r>
    </w:p>
    <w:p w14:paraId="0000004B"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Governing Board Guide to dance - nga.org.uk (2021). Available at: https://www.nga.org.uk/getmedia/c62c08af-1aa2-4077-87e1-24401f9a756e/NGA-ACE-Governing-guide-dance-20210528.pdf (Accessed: February 23, 2023). </w:t>
      </w:r>
    </w:p>
    <w:p w14:paraId="0000004C" w14:textId="77777777" w:rsidR="00F33CE8" w:rsidRDefault="00F33CE8">
      <w:pPr>
        <w:rPr>
          <w:rFonts w:ascii="Times New Roman" w:eastAsia="Times New Roman" w:hAnsi="Times New Roman" w:cs="Times New Roman"/>
          <w:sz w:val="24"/>
          <w:szCs w:val="24"/>
        </w:rPr>
      </w:pPr>
    </w:p>
    <w:p w14:paraId="0000004D"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Gray, L., Wong, G., Rempel, G., &amp; Cook, K. (2020). Expanding Qualitative Research Interviewing Strategies: Zoom Video Communications. The Qualitative Report, 25(5), 1292–1301. https://doi.org/10.46743/2160-3715/2020.4212</w:t>
      </w:r>
    </w:p>
    <w:p w14:paraId="0000004E" w14:textId="77777777" w:rsidR="00F33CE8" w:rsidRDefault="00F33CE8">
      <w:pPr>
        <w:rPr>
          <w:rFonts w:ascii="Times New Roman" w:eastAsia="Times New Roman" w:hAnsi="Times New Roman" w:cs="Times New Roman"/>
          <w:sz w:val="24"/>
          <w:szCs w:val="24"/>
        </w:rPr>
      </w:pPr>
    </w:p>
    <w:p w14:paraId="0000004F"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Fielding, N. G., &amp; Fielding, J. L. (2012). User satisfaction and user experiences with Access Grid as a medium for social science research: A research note. International Journal of Social Research Methodology, 15(5), 355–367. https://doi.org/10.1080/13645579.2011.597655</w:t>
      </w:r>
    </w:p>
    <w:p w14:paraId="00000050" w14:textId="77777777" w:rsidR="00F33CE8" w:rsidRDefault="00F33CE8">
      <w:pPr>
        <w:rPr>
          <w:rFonts w:ascii="Times New Roman" w:eastAsia="Times New Roman" w:hAnsi="Times New Roman" w:cs="Times New Roman"/>
          <w:sz w:val="24"/>
          <w:szCs w:val="24"/>
        </w:rPr>
      </w:pPr>
    </w:p>
    <w:p w14:paraId="00000051"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Finlay, L. (2016). Championing ‘</w:t>
      </w:r>
      <w:proofErr w:type="spellStart"/>
      <w:r>
        <w:rPr>
          <w:rFonts w:ascii="Times New Roman" w:eastAsia="Times New Roman" w:hAnsi="Times New Roman" w:cs="Times New Roman"/>
          <w:sz w:val="24"/>
          <w:szCs w:val="24"/>
        </w:rPr>
        <w:t>reflexivities</w:t>
      </w:r>
      <w:proofErr w:type="spellEnd"/>
      <w:r>
        <w:rPr>
          <w:rFonts w:ascii="Times New Roman" w:eastAsia="Times New Roman" w:hAnsi="Times New Roman" w:cs="Times New Roman"/>
          <w:sz w:val="24"/>
          <w:szCs w:val="24"/>
        </w:rPr>
        <w:t>’. Editorial (Special issue  on  reflexivity).Qualitative  Psychology (2),  120-125. doi.org/10.1037/qup0000075</w:t>
      </w:r>
    </w:p>
    <w:p w14:paraId="00000052" w14:textId="77777777" w:rsidR="00F33CE8" w:rsidRDefault="00F33CE8">
      <w:pPr>
        <w:rPr>
          <w:rFonts w:ascii="Times New Roman" w:eastAsia="Times New Roman" w:hAnsi="Times New Roman" w:cs="Times New Roman"/>
          <w:sz w:val="24"/>
          <w:szCs w:val="24"/>
        </w:rPr>
      </w:pPr>
    </w:p>
    <w:p w14:paraId="00000053"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Fontana, A. and Frey, J.H., (2000). The interview: From structured questions to negotiated text. Handbook of qualitative research, 2(6), pp.645-672.</w:t>
      </w:r>
    </w:p>
    <w:p w14:paraId="00000054" w14:textId="77777777" w:rsidR="00F33CE8" w:rsidRDefault="00F33CE8">
      <w:pPr>
        <w:rPr>
          <w:rFonts w:ascii="Times New Roman" w:eastAsia="Times New Roman" w:hAnsi="Times New Roman" w:cs="Times New Roman"/>
          <w:sz w:val="24"/>
          <w:szCs w:val="24"/>
        </w:rPr>
      </w:pPr>
    </w:p>
    <w:p w14:paraId="00000055" w14:textId="77777777" w:rsidR="00F33CE8"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Kvale</w:t>
      </w:r>
      <w:proofErr w:type="spellEnd"/>
      <w:r>
        <w:rPr>
          <w:rFonts w:ascii="Times New Roman" w:eastAsia="Times New Roman" w:hAnsi="Times New Roman" w:cs="Times New Roman"/>
          <w:sz w:val="24"/>
          <w:szCs w:val="24"/>
        </w:rPr>
        <w:t>, S. (2007). Doing interviews. Thousand Oaks, CA: Sage.</w:t>
      </w:r>
    </w:p>
    <w:p w14:paraId="00000056" w14:textId="77777777" w:rsidR="00F33CE8" w:rsidRDefault="00F33CE8">
      <w:pPr>
        <w:rPr>
          <w:rFonts w:ascii="Times New Roman" w:eastAsia="Times New Roman" w:hAnsi="Times New Roman" w:cs="Times New Roman"/>
          <w:sz w:val="24"/>
          <w:szCs w:val="24"/>
        </w:rPr>
      </w:pPr>
    </w:p>
    <w:p w14:paraId="00000057"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Lawson, H.A. (1983a). Toward a model of teacher socialization in physical education: The subjective warrant, recruitment, and teacher education (part 1). Journal of Teaching in Physical Education, 2, 3–16. doi:10.1123/jtpe.2.3.3</w:t>
      </w:r>
    </w:p>
    <w:p w14:paraId="00000058" w14:textId="77777777" w:rsidR="00F33CE8" w:rsidRDefault="00F33CE8">
      <w:pPr>
        <w:rPr>
          <w:rFonts w:ascii="Times New Roman" w:eastAsia="Times New Roman" w:hAnsi="Times New Roman" w:cs="Times New Roman"/>
          <w:sz w:val="24"/>
          <w:szCs w:val="24"/>
        </w:rPr>
      </w:pPr>
    </w:p>
    <w:p w14:paraId="00000059"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Lawson, H.A. (1983b). Toward a model of teacher socialization in physical education: Entry into schools, teachers’ role orientations, and longevity in teaching (part 2). Journal of Teaching in Physical Education, 3, 3–15. doi:10.1123/jtpe.3.1.3</w:t>
      </w:r>
    </w:p>
    <w:p w14:paraId="0000005A"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Lee, R. (1993). Doing Research on Sensitive Topics (Newbury Park, CA: Sage).</w:t>
      </w:r>
    </w:p>
    <w:p w14:paraId="0000005B" w14:textId="77777777" w:rsidR="00F33CE8" w:rsidRDefault="00F33CE8">
      <w:pPr>
        <w:rPr>
          <w:rFonts w:ascii="Times New Roman" w:eastAsia="Times New Roman" w:hAnsi="Times New Roman" w:cs="Times New Roman"/>
          <w:sz w:val="24"/>
          <w:szCs w:val="24"/>
        </w:rPr>
      </w:pPr>
    </w:p>
    <w:p w14:paraId="0000005C" w14:textId="77777777" w:rsidR="00F33CE8"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Lortie</w:t>
      </w:r>
      <w:proofErr w:type="spellEnd"/>
      <w:r>
        <w:rPr>
          <w:rFonts w:ascii="Times New Roman" w:eastAsia="Times New Roman" w:hAnsi="Times New Roman" w:cs="Times New Roman"/>
          <w:sz w:val="24"/>
          <w:szCs w:val="24"/>
        </w:rPr>
        <w:t>, D.C. (1975). Schoolteacher: A sociological study. Chicago: University of Chicago Press</w:t>
      </w:r>
    </w:p>
    <w:p w14:paraId="0000005D" w14:textId="77777777" w:rsidR="00F33CE8" w:rsidRDefault="00F33CE8">
      <w:pPr>
        <w:rPr>
          <w:rFonts w:ascii="Times New Roman" w:eastAsia="Times New Roman" w:hAnsi="Times New Roman" w:cs="Times New Roman"/>
          <w:sz w:val="24"/>
          <w:szCs w:val="24"/>
        </w:rPr>
      </w:pPr>
    </w:p>
    <w:p w14:paraId="0000005E"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Maguire, M. and Delahunt, B., (2017). Doing a thematic analysis: A practical, step-by-step guide for learning and teaching scholars. All Ireland Journal of Higher Education, 9(3).</w:t>
      </w:r>
    </w:p>
    <w:p w14:paraId="0000005F" w14:textId="77777777" w:rsidR="00F33CE8" w:rsidRDefault="00F33CE8">
      <w:pPr>
        <w:rPr>
          <w:rFonts w:ascii="Times New Roman" w:eastAsia="Times New Roman" w:hAnsi="Times New Roman" w:cs="Times New Roman"/>
          <w:sz w:val="24"/>
          <w:szCs w:val="24"/>
        </w:rPr>
      </w:pPr>
    </w:p>
    <w:p w14:paraId="00000060" w14:textId="77777777" w:rsidR="00F33CE8"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Mruck</w:t>
      </w:r>
      <w:proofErr w:type="spellEnd"/>
      <w:r>
        <w:rPr>
          <w:rFonts w:ascii="Times New Roman" w:eastAsia="Times New Roman" w:hAnsi="Times New Roman" w:cs="Times New Roman"/>
          <w:sz w:val="24"/>
          <w:szCs w:val="24"/>
        </w:rPr>
        <w:t xml:space="preserve">, K., &amp; Breuer, F. (2003, May). Subjectivity and reflexivity in qualitative </w:t>
      </w:r>
      <w:proofErr w:type="spellStart"/>
      <w:r>
        <w:rPr>
          <w:rFonts w:ascii="Times New Roman" w:eastAsia="Times New Roman" w:hAnsi="Times New Roman" w:cs="Times New Roman"/>
          <w:sz w:val="24"/>
          <w:szCs w:val="24"/>
        </w:rPr>
        <w:t>researchThe</w:t>
      </w:r>
      <w:proofErr w:type="spellEnd"/>
      <w:r>
        <w:rPr>
          <w:rFonts w:ascii="Times New Roman" w:eastAsia="Times New Roman" w:hAnsi="Times New Roman" w:cs="Times New Roman"/>
          <w:sz w:val="24"/>
          <w:szCs w:val="24"/>
        </w:rPr>
        <w:t xml:space="preserve"> FQS issues. Forum Qualitative </w:t>
      </w:r>
      <w:proofErr w:type="spellStart"/>
      <w:r>
        <w:rPr>
          <w:rFonts w:ascii="Times New Roman" w:eastAsia="Times New Roman" w:hAnsi="Times New Roman" w:cs="Times New Roman"/>
          <w:sz w:val="24"/>
          <w:szCs w:val="24"/>
        </w:rPr>
        <w:t>Sozialforschung</w:t>
      </w:r>
      <w:proofErr w:type="spellEnd"/>
      <w:r>
        <w:rPr>
          <w:rFonts w:ascii="Times New Roman" w:eastAsia="Times New Roman" w:hAnsi="Times New Roman" w:cs="Times New Roman"/>
          <w:sz w:val="24"/>
          <w:szCs w:val="24"/>
        </w:rPr>
        <w:t xml:space="preserve">, 4(2). Retrieved, from http://www.qualitative-research.net/index.php/fqs/article/view/696/1505 </w:t>
      </w:r>
    </w:p>
    <w:p w14:paraId="00000061" w14:textId="77777777" w:rsidR="00F33CE8" w:rsidRDefault="00F33CE8">
      <w:pPr>
        <w:rPr>
          <w:rFonts w:ascii="Times New Roman" w:eastAsia="Times New Roman" w:hAnsi="Times New Roman" w:cs="Times New Roman"/>
          <w:sz w:val="24"/>
          <w:szCs w:val="24"/>
        </w:rPr>
      </w:pPr>
    </w:p>
    <w:p w14:paraId="00000062" w14:textId="77777777" w:rsidR="00F33CE8"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McCoyd</w:t>
      </w:r>
      <w:proofErr w:type="spellEnd"/>
      <w:r>
        <w:rPr>
          <w:rFonts w:ascii="Times New Roman" w:eastAsia="Times New Roman" w:hAnsi="Times New Roman" w:cs="Times New Roman"/>
          <w:sz w:val="24"/>
          <w:szCs w:val="24"/>
        </w:rPr>
        <w:t>, J. L. M., &amp; Kerson, T. S. (2006). Conducting Intensive Interviews Using Email: A Serendipitous Comparative Opportunity. Qualitative Social Work, 5(3), 389–406. https://doi.org/10.1177/1473325006067367</w:t>
      </w:r>
    </w:p>
    <w:p w14:paraId="00000063" w14:textId="77777777" w:rsidR="00F33CE8" w:rsidRDefault="00F33CE8">
      <w:pPr>
        <w:rPr>
          <w:rFonts w:ascii="Times New Roman" w:eastAsia="Times New Roman" w:hAnsi="Times New Roman" w:cs="Times New Roman"/>
          <w:sz w:val="24"/>
          <w:szCs w:val="24"/>
        </w:rPr>
      </w:pPr>
    </w:p>
    <w:p w14:paraId="00000064"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Novick, G. (2008). Is there a bias against telephone interviews in qualitative research? Research in Nursing &amp; Health, 31(4), 391–398. https://doi.org/10.1002/nur.20259 </w:t>
      </w:r>
    </w:p>
    <w:p w14:paraId="00000065" w14:textId="77777777" w:rsidR="00F33CE8" w:rsidRDefault="00F33CE8">
      <w:pPr>
        <w:rPr>
          <w:rFonts w:ascii="Times New Roman" w:eastAsia="Times New Roman" w:hAnsi="Times New Roman" w:cs="Times New Roman"/>
          <w:sz w:val="24"/>
          <w:szCs w:val="24"/>
        </w:rPr>
      </w:pPr>
    </w:p>
    <w:p w14:paraId="00000066"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Oreck, B., (2007). To see and to share: Evaluating the dance experience in education. International handbook of research in arts education, pp.341-359.</w:t>
      </w:r>
    </w:p>
    <w:p w14:paraId="00000067" w14:textId="77777777" w:rsidR="00F33CE8" w:rsidRDefault="00F33CE8">
      <w:pPr>
        <w:rPr>
          <w:rFonts w:ascii="Times New Roman" w:eastAsia="Times New Roman" w:hAnsi="Times New Roman" w:cs="Times New Roman"/>
          <w:sz w:val="24"/>
          <w:szCs w:val="24"/>
        </w:rPr>
      </w:pPr>
    </w:p>
    <w:p w14:paraId="00000068"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Parnell, E.C., (2012). Dance in Schools: Why Do We Have to do This?. Physical &amp; Health Education Journal, 78(3), p.33.</w:t>
      </w:r>
    </w:p>
    <w:p w14:paraId="00000069" w14:textId="77777777" w:rsidR="00F33CE8" w:rsidRDefault="00F33CE8">
      <w:pPr>
        <w:rPr>
          <w:rFonts w:ascii="Times New Roman" w:eastAsia="Times New Roman" w:hAnsi="Times New Roman" w:cs="Times New Roman"/>
          <w:sz w:val="24"/>
          <w:szCs w:val="24"/>
        </w:rPr>
      </w:pPr>
    </w:p>
    <w:p w14:paraId="0000006A"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Patton, M. Q. (2015). Qualitative research &amp; evaluation methods: Integrating theory and</w:t>
      </w:r>
    </w:p>
    <w:p w14:paraId="0000006B"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practice (4th ed.). Thousand Oaks, CA: SAGE Publications, Inc</w:t>
      </w:r>
    </w:p>
    <w:p w14:paraId="0000006C" w14:textId="77777777" w:rsidR="00F33CE8" w:rsidRDefault="00F33CE8">
      <w:pPr>
        <w:rPr>
          <w:rFonts w:ascii="Times New Roman" w:eastAsia="Times New Roman" w:hAnsi="Times New Roman" w:cs="Times New Roman"/>
          <w:sz w:val="24"/>
          <w:szCs w:val="24"/>
        </w:rPr>
      </w:pPr>
    </w:p>
    <w:p w14:paraId="0000006D"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Peter, M. (1997). Making dance special Developing dance in the curriculum with pupils with special </w:t>
      </w:r>
      <w:proofErr w:type="spellStart"/>
      <w:r>
        <w:rPr>
          <w:rFonts w:ascii="Times New Roman" w:eastAsia="Times New Roman" w:hAnsi="Times New Roman" w:cs="Times New Roman"/>
          <w:sz w:val="24"/>
          <w:szCs w:val="24"/>
        </w:rPr>
        <w:t>eelucational</w:t>
      </w:r>
      <w:proofErr w:type="spellEnd"/>
      <w:r>
        <w:rPr>
          <w:rFonts w:ascii="Times New Roman" w:eastAsia="Times New Roman" w:hAnsi="Times New Roman" w:cs="Times New Roman"/>
          <w:sz w:val="24"/>
          <w:szCs w:val="24"/>
        </w:rPr>
        <w:t xml:space="preserve"> needs. London, UK; David Fulton Publishers. Sherrill, C. &amp; Delaney</w:t>
      </w:r>
    </w:p>
    <w:p w14:paraId="0000006E" w14:textId="77777777" w:rsidR="00F33CE8" w:rsidRDefault="00F33CE8">
      <w:pPr>
        <w:rPr>
          <w:rFonts w:ascii="Times New Roman" w:eastAsia="Times New Roman" w:hAnsi="Times New Roman" w:cs="Times New Roman"/>
          <w:sz w:val="24"/>
          <w:szCs w:val="24"/>
        </w:rPr>
      </w:pPr>
    </w:p>
    <w:p w14:paraId="0000006F"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Pike, S., &amp; Fletcher, T. (2014). A review of research on physical education teacher socialization from 2000-2012. </w:t>
      </w:r>
      <w:proofErr w:type="spellStart"/>
      <w:r>
        <w:rPr>
          <w:rFonts w:ascii="Times New Roman" w:eastAsia="Times New Roman" w:hAnsi="Times New Roman" w:cs="Times New Roman"/>
          <w:sz w:val="24"/>
          <w:szCs w:val="24"/>
        </w:rPr>
        <w:t>PHEnex</w:t>
      </w:r>
      <w:proofErr w:type="spellEnd"/>
      <w:r>
        <w:rPr>
          <w:rFonts w:ascii="Times New Roman" w:eastAsia="Times New Roman" w:hAnsi="Times New Roman" w:cs="Times New Roman"/>
          <w:sz w:val="24"/>
          <w:szCs w:val="24"/>
        </w:rPr>
        <w:t xml:space="preserve"> Journal 6(1), 1–17</w:t>
      </w:r>
    </w:p>
    <w:p w14:paraId="00000070" w14:textId="77777777" w:rsidR="00F33CE8" w:rsidRDefault="00F33CE8">
      <w:pPr>
        <w:rPr>
          <w:rFonts w:ascii="Times New Roman" w:eastAsia="Times New Roman" w:hAnsi="Times New Roman" w:cs="Times New Roman"/>
          <w:sz w:val="24"/>
          <w:szCs w:val="24"/>
        </w:rPr>
      </w:pPr>
    </w:p>
    <w:p w14:paraId="00000071"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Richards, K.A.R., Pennington, C.G. and </w:t>
      </w:r>
      <w:proofErr w:type="spellStart"/>
      <w:r>
        <w:rPr>
          <w:rFonts w:ascii="Times New Roman" w:eastAsia="Times New Roman" w:hAnsi="Times New Roman" w:cs="Times New Roman"/>
          <w:sz w:val="24"/>
          <w:szCs w:val="24"/>
        </w:rPr>
        <w:t>Sinelnikov</w:t>
      </w:r>
      <w:proofErr w:type="spellEnd"/>
      <w:r>
        <w:rPr>
          <w:rFonts w:ascii="Times New Roman" w:eastAsia="Times New Roman" w:hAnsi="Times New Roman" w:cs="Times New Roman"/>
          <w:sz w:val="24"/>
          <w:szCs w:val="24"/>
        </w:rPr>
        <w:t>, O.A., (2019). Teacher socialization in physical education: A scoping review of the literature. Kinesiology Review, 8(2), pp.86-99.</w:t>
      </w:r>
    </w:p>
    <w:p w14:paraId="00000072" w14:textId="77777777" w:rsidR="00F33CE8" w:rsidRDefault="00F33CE8">
      <w:pPr>
        <w:rPr>
          <w:rFonts w:ascii="Times New Roman" w:eastAsia="Times New Roman" w:hAnsi="Times New Roman" w:cs="Times New Roman"/>
          <w:sz w:val="24"/>
          <w:szCs w:val="24"/>
        </w:rPr>
      </w:pPr>
    </w:p>
    <w:p w14:paraId="00000073" w14:textId="77777777" w:rsidR="00F33CE8"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Rouvengo</w:t>
      </w:r>
      <w:proofErr w:type="spellEnd"/>
      <w:r>
        <w:rPr>
          <w:rFonts w:ascii="Times New Roman" w:eastAsia="Times New Roman" w:hAnsi="Times New Roman" w:cs="Times New Roman"/>
          <w:sz w:val="24"/>
          <w:szCs w:val="24"/>
        </w:rPr>
        <w:t xml:space="preserve">, I., (2003). Teachers ‘knowledge construction. . 2nd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Champaign, IL: Human Kinetics.</w:t>
      </w:r>
    </w:p>
    <w:p w14:paraId="00000074" w14:textId="77777777" w:rsidR="00F33CE8" w:rsidRDefault="00F33CE8">
      <w:pPr>
        <w:rPr>
          <w:rFonts w:ascii="Times New Roman" w:eastAsia="Times New Roman" w:hAnsi="Times New Roman" w:cs="Times New Roman"/>
          <w:sz w:val="24"/>
          <w:szCs w:val="24"/>
        </w:rPr>
      </w:pPr>
    </w:p>
    <w:p w14:paraId="00000075"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Russel, G. M., and </w:t>
      </w:r>
      <w:proofErr w:type="spellStart"/>
      <w:r>
        <w:rPr>
          <w:rFonts w:ascii="Times New Roman" w:eastAsia="Times New Roman" w:hAnsi="Times New Roman" w:cs="Times New Roman"/>
          <w:sz w:val="24"/>
          <w:szCs w:val="24"/>
        </w:rPr>
        <w:t>Kely</w:t>
      </w:r>
      <w:proofErr w:type="spellEnd"/>
      <w:r>
        <w:rPr>
          <w:rFonts w:ascii="Times New Roman" w:eastAsia="Times New Roman" w:hAnsi="Times New Roman" w:cs="Times New Roman"/>
          <w:sz w:val="24"/>
          <w:szCs w:val="24"/>
        </w:rPr>
        <w:t>, N. H. (2002). Research As interacting dialogic process: implications for reflexivity. Forum: Qualitative Social Research, 3(2), 18. Retrieved from http://www.qualitative- research.net/</w:t>
      </w:r>
      <w:proofErr w:type="spellStart"/>
      <w:r>
        <w:rPr>
          <w:rFonts w:ascii="Times New Roman" w:eastAsia="Times New Roman" w:hAnsi="Times New Roman" w:cs="Times New Roman"/>
          <w:sz w:val="24"/>
          <w:szCs w:val="24"/>
        </w:rPr>
        <w:t>index.php</w:t>
      </w:r>
      <w:proofErr w:type="spellEnd"/>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fqs</w:t>
      </w:r>
      <w:proofErr w:type="spellEnd"/>
      <w:r>
        <w:rPr>
          <w:rFonts w:ascii="Times New Roman" w:eastAsia="Times New Roman" w:hAnsi="Times New Roman" w:cs="Times New Roman"/>
          <w:sz w:val="24"/>
          <w:szCs w:val="24"/>
        </w:rPr>
        <w:t>/article/view/831/1807</w:t>
      </w:r>
    </w:p>
    <w:p w14:paraId="00000076" w14:textId="77777777" w:rsidR="00F33CE8" w:rsidRDefault="00F33CE8">
      <w:pPr>
        <w:rPr>
          <w:rFonts w:ascii="Times New Roman" w:eastAsia="Times New Roman" w:hAnsi="Times New Roman" w:cs="Times New Roman"/>
          <w:sz w:val="24"/>
          <w:szCs w:val="24"/>
        </w:rPr>
      </w:pPr>
    </w:p>
    <w:p w14:paraId="00000077"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Schempp, P. G., </w:t>
      </w:r>
      <w:proofErr w:type="spellStart"/>
      <w:r>
        <w:rPr>
          <w:rFonts w:ascii="Times New Roman" w:eastAsia="Times New Roman" w:hAnsi="Times New Roman" w:cs="Times New Roman"/>
          <w:sz w:val="24"/>
          <w:szCs w:val="24"/>
        </w:rPr>
        <w:t>Manross</w:t>
      </w:r>
      <w:proofErr w:type="spellEnd"/>
      <w:r>
        <w:rPr>
          <w:rFonts w:ascii="Times New Roman" w:eastAsia="Times New Roman" w:hAnsi="Times New Roman" w:cs="Times New Roman"/>
          <w:sz w:val="24"/>
          <w:szCs w:val="24"/>
        </w:rPr>
        <w:t>, D., Tan, S. K., &amp; Fincher, M. D. (1998). Subject expertise and teachers' knowledge. Journal of Teaching in Physical Education, 17, 342-356. doi:10.1123/jtpe.17.3.342</w:t>
      </w:r>
    </w:p>
    <w:p w14:paraId="00000078" w14:textId="77777777" w:rsidR="00F33CE8" w:rsidRDefault="00F33CE8">
      <w:pPr>
        <w:rPr>
          <w:rFonts w:ascii="Times New Roman" w:eastAsia="Times New Roman" w:hAnsi="Times New Roman" w:cs="Times New Roman"/>
          <w:sz w:val="24"/>
          <w:szCs w:val="24"/>
        </w:rPr>
      </w:pPr>
    </w:p>
    <w:p w14:paraId="00000079"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Schempp, P.G., Tan, S.K., &amp; </w:t>
      </w:r>
      <w:proofErr w:type="spellStart"/>
      <w:r>
        <w:rPr>
          <w:rFonts w:ascii="Times New Roman" w:eastAsia="Times New Roman" w:hAnsi="Times New Roman" w:cs="Times New Roman"/>
          <w:sz w:val="24"/>
          <w:szCs w:val="24"/>
        </w:rPr>
        <w:t>McCullick</w:t>
      </w:r>
      <w:proofErr w:type="spellEnd"/>
      <w:r>
        <w:rPr>
          <w:rFonts w:ascii="Times New Roman" w:eastAsia="Times New Roman" w:hAnsi="Times New Roman" w:cs="Times New Roman"/>
          <w:sz w:val="24"/>
          <w:szCs w:val="24"/>
        </w:rPr>
        <w:t xml:space="preserve">, B. (2002). The practices of expert teachers. Teaching and Learning, 23(1), 99-106. Retrieved from https://repository.nie.edu.sg/bitstream/10497/296/1/TL-23-1-99.pdf </w:t>
      </w:r>
    </w:p>
    <w:p w14:paraId="0000007A" w14:textId="77777777" w:rsidR="00F33CE8" w:rsidRDefault="00F33CE8">
      <w:pPr>
        <w:rPr>
          <w:rFonts w:ascii="Times New Roman" w:eastAsia="Times New Roman" w:hAnsi="Times New Roman" w:cs="Times New Roman"/>
          <w:sz w:val="24"/>
          <w:szCs w:val="24"/>
        </w:rPr>
      </w:pPr>
    </w:p>
    <w:p w14:paraId="0000007B"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Seitz, S. (2015). Pixilated partnerships, overcoming obstacles in qualitative interviews via Skype: A research note. Qualitative Research, 16(2), 229–235. https://doi.org/10.1177/1468794115577011</w:t>
      </w:r>
    </w:p>
    <w:p w14:paraId="0000007C" w14:textId="77777777" w:rsidR="00F33CE8" w:rsidRDefault="00F33CE8">
      <w:pPr>
        <w:rPr>
          <w:rFonts w:ascii="Times New Roman" w:eastAsia="Times New Roman" w:hAnsi="Times New Roman" w:cs="Times New Roman"/>
          <w:sz w:val="24"/>
          <w:szCs w:val="24"/>
        </w:rPr>
      </w:pPr>
    </w:p>
    <w:p w14:paraId="0000007D"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Sims, M., &amp; Erwin, H. (2012). A set of descriptive case studies of four dance faculty members' pedagogical practices. Journal of Dance Education, 12(4), 131–140.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w:t>
      </w:r>
    </w:p>
    <w:p w14:paraId="0000007E"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10.1080/15290824.2012.654106 </w:t>
      </w:r>
    </w:p>
    <w:p w14:paraId="0000007F" w14:textId="77777777" w:rsidR="00F33CE8" w:rsidRDefault="00F33CE8">
      <w:pPr>
        <w:rPr>
          <w:rFonts w:ascii="Times New Roman" w:eastAsia="Times New Roman" w:hAnsi="Times New Roman" w:cs="Times New Roman"/>
          <w:sz w:val="24"/>
          <w:szCs w:val="24"/>
        </w:rPr>
      </w:pPr>
    </w:p>
    <w:p w14:paraId="00000080"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Sullivan, J. R. (2012). Skype: An appropriate method of data collection for qualitative interviews? The Hilltop Review, 6, 54–60.</w:t>
      </w:r>
    </w:p>
    <w:p w14:paraId="00000081" w14:textId="77777777" w:rsidR="00F33CE8" w:rsidRDefault="00F33CE8">
      <w:pPr>
        <w:rPr>
          <w:rFonts w:ascii="Times New Roman" w:eastAsia="Times New Roman" w:hAnsi="Times New Roman" w:cs="Times New Roman"/>
          <w:sz w:val="24"/>
          <w:szCs w:val="24"/>
        </w:rPr>
      </w:pPr>
    </w:p>
    <w:p w14:paraId="00000082"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Tuohy, D., Cooney, A., Dowling, M., Murphy, K., &amp; Sixsmith, J. (2013). An overview of interpretive phenomenology as a research methodology. Nurse Researcher, 20(6), 17-20. http://dx.doi.org/10.7748/nr2013.07.20.6.17.e315 </w:t>
      </w:r>
    </w:p>
    <w:p w14:paraId="00000083" w14:textId="77777777" w:rsidR="00F33CE8" w:rsidRDefault="00F33CE8">
      <w:pPr>
        <w:rPr>
          <w:rFonts w:ascii="Times New Roman" w:eastAsia="Times New Roman" w:hAnsi="Times New Roman" w:cs="Times New Roman"/>
          <w:sz w:val="24"/>
          <w:szCs w:val="24"/>
        </w:rPr>
      </w:pPr>
    </w:p>
    <w:p w14:paraId="00000084"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Van </w:t>
      </w:r>
      <w:proofErr w:type="spellStart"/>
      <w:r>
        <w:rPr>
          <w:rFonts w:ascii="Times New Roman" w:eastAsia="Times New Roman" w:hAnsi="Times New Roman" w:cs="Times New Roman"/>
          <w:sz w:val="24"/>
          <w:szCs w:val="24"/>
        </w:rPr>
        <w:t>Manen</w:t>
      </w:r>
      <w:proofErr w:type="spellEnd"/>
      <w:r>
        <w:rPr>
          <w:rFonts w:ascii="Times New Roman" w:eastAsia="Times New Roman" w:hAnsi="Times New Roman" w:cs="Times New Roman"/>
          <w:sz w:val="24"/>
          <w:szCs w:val="24"/>
        </w:rPr>
        <w:t>, M. (2014). Phenomenology of practice: Meaning-giving methods in phenomenological research and writing. Walnut Creek, CA: Left Coast Press.</w:t>
      </w:r>
    </w:p>
    <w:p w14:paraId="00000085" w14:textId="77777777" w:rsidR="00F33CE8" w:rsidRDefault="00F33CE8">
      <w:pPr>
        <w:rPr>
          <w:rFonts w:ascii="Times New Roman" w:eastAsia="Times New Roman" w:hAnsi="Times New Roman" w:cs="Times New Roman"/>
          <w:sz w:val="24"/>
          <w:szCs w:val="24"/>
        </w:rPr>
      </w:pPr>
    </w:p>
    <w:p w14:paraId="00000086"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Virginia Braun &amp; Victoria Clarke (2006). Using thematic analysis in psychology, Qualitative Research in Psychology, 3:2, 77-101, DOI: 10.1191/1478088706qp063oa</w:t>
      </w:r>
    </w:p>
    <w:p w14:paraId="00000087" w14:textId="77777777" w:rsidR="00F33CE8" w:rsidRDefault="00F33CE8">
      <w:pPr>
        <w:rPr>
          <w:rFonts w:ascii="Times New Roman" w:eastAsia="Times New Roman" w:hAnsi="Times New Roman" w:cs="Times New Roman"/>
          <w:sz w:val="24"/>
          <w:szCs w:val="24"/>
        </w:rPr>
      </w:pPr>
    </w:p>
    <w:p w14:paraId="00000088"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Watt, D. (2007). On becoming a qualitative researcher: the value of reflexivity. The Qualitative Report, 12 (1), 82-10. Retrieved from http://www.nova.edu/ssss/QR/QR12-1/watt.pdf</w:t>
      </w:r>
    </w:p>
    <w:p w14:paraId="00000089" w14:textId="77777777" w:rsidR="00F33CE8" w:rsidRDefault="00F33CE8">
      <w:pPr>
        <w:rPr>
          <w:rFonts w:ascii="Times New Roman" w:eastAsia="Times New Roman" w:hAnsi="Times New Roman" w:cs="Times New Roman"/>
          <w:sz w:val="24"/>
          <w:szCs w:val="24"/>
        </w:rPr>
      </w:pPr>
    </w:p>
    <w:p w14:paraId="0000008A"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Ward, P. (2013). The role of content knowledge in conceptions of teaching effectiveness in physical education. Research Quarterly for Exercise and Sport, 84, 431–440. doi:10.1080/02701367.2013.844045</w:t>
      </w:r>
    </w:p>
    <w:p w14:paraId="0000008B" w14:textId="77777777" w:rsidR="00F33CE8" w:rsidRDefault="00F33CE8">
      <w:pPr>
        <w:rPr>
          <w:rFonts w:ascii="Times New Roman" w:eastAsia="Times New Roman" w:hAnsi="Times New Roman" w:cs="Times New Roman"/>
          <w:sz w:val="24"/>
          <w:szCs w:val="24"/>
        </w:rPr>
      </w:pPr>
    </w:p>
    <w:p w14:paraId="0000008C"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Wilson, A. (2014). Being a practitioner: An application of Heidegger’s phenomenology. Nurse Researcher, 21(6), 28-33. http://dx.doi.org/10.7748/nr.21.6.28.e1251 </w:t>
      </w:r>
    </w:p>
    <w:p w14:paraId="0000008D" w14:textId="77777777" w:rsidR="00F33CE8" w:rsidRDefault="00F33CE8">
      <w:pPr>
        <w:rPr>
          <w:rFonts w:ascii="Times New Roman" w:eastAsia="Times New Roman" w:hAnsi="Times New Roman" w:cs="Times New Roman"/>
          <w:sz w:val="24"/>
          <w:szCs w:val="24"/>
        </w:rPr>
      </w:pPr>
    </w:p>
    <w:p w14:paraId="0000008E"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Zhang, D (2022). Occupational socialization in pre-service physical education teachers</w:t>
      </w:r>
    </w:p>
    <w:p w14:paraId="0000008F" w14:textId="77777777" w:rsidR="00F33CE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90" w14:textId="77777777" w:rsidR="00F33CE8" w:rsidRDefault="00F33CE8">
      <w:pPr>
        <w:rPr>
          <w:rFonts w:ascii="Times New Roman" w:eastAsia="Times New Roman" w:hAnsi="Times New Roman" w:cs="Times New Roman"/>
          <w:sz w:val="24"/>
          <w:szCs w:val="24"/>
        </w:rPr>
      </w:pPr>
    </w:p>
    <w:p w14:paraId="00000091" w14:textId="77777777" w:rsidR="00F33CE8" w:rsidRDefault="00F33CE8">
      <w:pPr>
        <w:rPr>
          <w:rFonts w:ascii="Times New Roman" w:eastAsia="Times New Roman" w:hAnsi="Times New Roman" w:cs="Times New Roman"/>
          <w:sz w:val="24"/>
          <w:szCs w:val="24"/>
        </w:rPr>
      </w:pPr>
    </w:p>
    <w:p w14:paraId="00000092" w14:textId="77777777" w:rsidR="00F33CE8" w:rsidRDefault="00F33CE8">
      <w:pPr>
        <w:rPr>
          <w:rFonts w:ascii="Times New Roman" w:eastAsia="Times New Roman" w:hAnsi="Times New Roman" w:cs="Times New Roman"/>
          <w:sz w:val="24"/>
          <w:szCs w:val="24"/>
        </w:rPr>
      </w:pPr>
    </w:p>
    <w:p w14:paraId="00000093" w14:textId="77777777" w:rsidR="00F33CE8" w:rsidRDefault="00F33CE8">
      <w:pPr>
        <w:rPr>
          <w:rFonts w:ascii="Times New Roman" w:eastAsia="Times New Roman" w:hAnsi="Times New Roman" w:cs="Times New Roman"/>
          <w:sz w:val="24"/>
          <w:szCs w:val="24"/>
        </w:rPr>
      </w:pPr>
    </w:p>
    <w:p w14:paraId="00000094" w14:textId="77777777" w:rsidR="00F33CE8" w:rsidRDefault="00F33CE8">
      <w:pPr>
        <w:rPr>
          <w:rFonts w:ascii="Times New Roman" w:eastAsia="Times New Roman" w:hAnsi="Times New Roman" w:cs="Times New Roman"/>
          <w:sz w:val="24"/>
          <w:szCs w:val="24"/>
        </w:rPr>
      </w:pPr>
    </w:p>
    <w:p w14:paraId="00000095" w14:textId="77777777" w:rsidR="00F33CE8" w:rsidRDefault="00F33CE8">
      <w:pPr>
        <w:rPr>
          <w:rFonts w:ascii="Times New Roman" w:eastAsia="Times New Roman" w:hAnsi="Times New Roman" w:cs="Times New Roman"/>
          <w:sz w:val="24"/>
          <w:szCs w:val="24"/>
        </w:rPr>
      </w:pPr>
    </w:p>
    <w:p w14:paraId="00000096" w14:textId="77777777" w:rsidR="00F33CE8" w:rsidRDefault="00F33CE8">
      <w:pPr>
        <w:rPr>
          <w:rFonts w:ascii="Times New Roman" w:eastAsia="Times New Roman" w:hAnsi="Times New Roman" w:cs="Times New Roman"/>
          <w:sz w:val="24"/>
          <w:szCs w:val="24"/>
        </w:rPr>
      </w:pPr>
    </w:p>
    <w:p w14:paraId="00000097" w14:textId="77777777" w:rsidR="00F33CE8" w:rsidRDefault="00F33CE8">
      <w:pPr>
        <w:rPr>
          <w:rFonts w:ascii="Times New Roman" w:eastAsia="Times New Roman" w:hAnsi="Times New Roman" w:cs="Times New Roman"/>
          <w:sz w:val="24"/>
          <w:szCs w:val="24"/>
        </w:rPr>
      </w:pPr>
    </w:p>
    <w:p w14:paraId="00000098" w14:textId="77777777" w:rsidR="00F33CE8" w:rsidRDefault="00F33CE8">
      <w:pPr>
        <w:rPr>
          <w:rFonts w:ascii="Times New Roman" w:eastAsia="Times New Roman" w:hAnsi="Times New Roman" w:cs="Times New Roman"/>
          <w:sz w:val="24"/>
          <w:szCs w:val="24"/>
        </w:rPr>
      </w:pPr>
    </w:p>
    <w:p w14:paraId="00000099" w14:textId="77777777" w:rsidR="00F33CE8" w:rsidRDefault="00F33CE8">
      <w:pPr>
        <w:rPr>
          <w:rFonts w:ascii="Times New Roman" w:eastAsia="Times New Roman" w:hAnsi="Times New Roman" w:cs="Times New Roman"/>
          <w:sz w:val="24"/>
          <w:szCs w:val="24"/>
        </w:rPr>
      </w:pPr>
    </w:p>
    <w:p w14:paraId="0000009A" w14:textId="77777777" w:rsidR="00F33CE8" w:rsidRDefault="00F33CE8">
      <w:pPr>
        <w:rPr>
          <w:rFonts w:ascii="Times New Roman" w:eastAsia="Times New Roman" w:hAnsi="Times New Roman" w:cs="Times New Roman"/>
          <w:sz w:val="24"/>
          <w:szCs w:val="24"/>
        </w:rPr>
      </w:pPr>
    </w:p>
    <w:p w14:paraId="0000009B" w14:textId="77777777" w:rsidR="00F33CE8" w:rsidRDefault="00F33CE8">
      <w:pPr>
        <w:rPr>
          <w:rFonts w:ascii="Times New Roman" w:eastAsia="Times New Roman" w:hAnsi="Times New Roman" w:cs="Times New Roman"/>
          <w:sz w:val="24"/>
          <w:szCs w:val="24"/>
        </w:rPr>
      </w:pPr>
    </w:p>
    <w:p w14:paraId="0000009C" w14:textId="77777777" w:rsidR="00F33CE8" w:rsidRDefault="00F33CE8">
      <w:pPr>
        <w:rPr>
          <w:rFonts w:ascii="Times New Roman" w:eastAsia="Times New Roman" w:hAnsi="Times New Roman" w:cs="Times New Roman"/>
          <w:sz w:val="24"/>
          <w:szCs w:val="24"/>
        </w:rPr>
      </w:pPr>
    </w:p>
    <w:p w14:paraId="0000009D" w14:textId="77777777" w:rsidR="00F33CE8" w:rsidRDefault="00F33CE8">
      <w:pPr>
        <w:rPr>
          <w:rFonts w:ascii="Times New Roman" w:eastAsia="Times New Roman" w:hAnsi="Times New Roman" w:cs="Times New Roman"/>
          <w:sz w:val="24"/>
          <w:szCs w:val="24"/>
        </w:rPr>
      </w:pPr>
    </w:p>
    <w:sectPr w:rsidR="00F33CE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3CE8"/>
    <w:rsid w:val="00E5241A"/>
    <w:rsid w:val="00F33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41C4F"/>
  <w15:docId w15:val="{AB1413BF-C421-482F-B330-AC0597F70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4476</Words>
  <Characters>25518</Characters>
  <Application>Microsoft Office Word</Application>
  <DocSecurity>0</DocSecurity>
  <Lines>212</Lines>
  <Paragraphs>59</Paragraphs>
  <ScaleCrop>false</ScaleCrop>
  <Company/>
  <LinksUpToDate>false</LinksUpToDate>
  <CharactersWithSpaces>29935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Liane Davies</cp:lastModifiedBy>
  <cp:revision>2</cp:revision>
  <dcterms:created xsi:type="dcterms:W3CDTF">2023-04-22T15:52:00Z</dcterms:created>
  <dcterms:modified xsi:type="dcterms:W3CDTF">2023-04-22T15:52:00Z</dcterms:modified>
</cp:coreProperties>
</file>