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0C82BB3" w14:textId="77777777" w:rsidR="008860BC" w:rsidRDefault="008860BC" w:rsidP="008860BC">
      <w:pPr>
        <w:pStyle w:val="Heading1"/>
        <w:jc w:val="center"/>
        <w:rPr>
          <w:rFonts w:ascii="Arial" w:hAnsi="Arial" w:cs="Arial"/>
          <w:b/>
          <w:bCs/>
          <w:sz w:val="44"/>
          <w:szCs w:val="44"/>
        </w:rPr>
      </w:pPr>
    </w:p>
    <w:p w14:paraId="1647927A" w14:textId="77777777" w:rsidR="008860BC" w:rsidRDefault="008860BC" w:rsidP="008860BC">
      <w:pPr>
        <w:pStyle w:val="Heading1"/>
        <w:jc w:val="center"/>
        <w:rPr>
          <w:rFonts w:ascii="Arial" w:hAnsi="Arial" w:cs="Arial"/>
          <w:b/>
          <w:bCs/>
          <w:sz w:val="44"/>
          <w:szCs w:val="44"/>
        </w:rPr>
      </w:pPr>
    </w:p>
    <w:p w14:paraId="5CA0D1FE" w14:textId="5A414D83" w:rsidR="0018337F" w:rsidRDefault="008860BC" w:rsidP="008860BC">
      <w:pPr>
        <w:pStyle w:val="Heading1"/>
        <w:jc w:val="center"/>
        <w:rPr>
          <w:rFonts w:ascii="Arial" w:hAnsi="Arial" w:cs="Arial"/>
          <w:b/>
          <w:bCs/>
          <w:sz w:val="44"/>
          <w:szCs w:val="44"/>
        </w:rPr>
      </w:pPr>
      <w:r w:rsidRPr="008860BC">
        <w:rPr>
          <w:rFonts w:ascii="Arial" w:hAnsi="Arial" w:cs="Arial"/>
          <w:b/>
          <w:bCs/>
          <w:sz w:val="44"/>
          <w:szCs w:val="44"/>
        </w:rPr>
        <w:t>Budgeting Principles and Approaches</w:t>
      </w:r>
    </w:p>
    <w:p w14:paraId="6B45E615" w14:textId="77777777" w:rsidR="008860BC" w:rsidRDefault="008860BC" w:rsidP="008860BC"/>
    <w:p w14:paraId="55420B65" w14:textId="2060BEAD" w:rsidR="008860BC" w:rsidRDefault="008860BC" w:rsidP="008860BC">
      <w:r>
        <w:rPr>
          <w:noProof/>
        </w:rPr>
        <w:drawing>
          <wp:inline distT="0" distB="0" distL="0" distR="0" wp14:anchorId="3A7FC75E" wp14:editId="37BE6497">
            <wp:extent cx="5731510" cy="3054985"/>
            <wp:effectExtent l="0" t="0" r="2540" b="0"/>
            <wp:docPr id="1131438448" name="Picture 1" descr="Money and passpor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438448" name="Picture 1131438448" descr="Money and passport"/>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3054985"/>
                    </a:xfrm>
                    <a:prstGeom prst="rect">
                      <a:avLst/>
                    </a:prstGeom>
                  </pic:spPr>
                </pic:pic>
              </a:graphicData>
            </a:graphic>
          </wp:inline>
        </w:drawing>
      </w:r>
    </w:p>
    <w:p w14:paraId="0733F979" w14:textId="77777777" w:rsidR="008860BC" w:rsidRDefault="008860BC" w:rsidP="008860BC"/>
    <w:p w14:paraId="580DC4ED" w14:textId="08570213" w:rsidR="008860BC" w:rsidRDefault="008860BC" w:rsidP="008860BC"/>
    <w:p w14:paraId="30FF8247" w14:textId="77777777" w:rsidR="008860BC" w:rsidRDefault="008860BC" w:rsidP="008860BC"/>
    <w:p w14:paraId="04CD81D3" w14:textId="77777777" w:rsidR="008860BC" w:rsidRDefault="008860BC" w:rsidP="008860BC"/>
    <w:p w14:paraId="4D7E392C" w14:textId="77777777" w:rsidR="008860BC" w:rsidRDefault="008860BC" w:rsidP="008860BC"/>
    <w:p w14:paraId="660C5D79" w14:textId="77777777" w:rsidR="008860BC" w:rsidRDefault="008860BC" w:rsidP="008860BC"/>
    <w:p w14:paraId="3617693A" w14:textId="77777777" w:rsidR="008860BC" w:rsidRDefault="008860BC" w:rsidP="008860BC"/>
    <w:p w14:paraId="38773C95" w14:textId="77777777" w:rsidR="008860BC" w:rsidRDefault="008860BC" w:rsidP="008860BC"/>
    <w:p w14:paraId="4E300C2F" w14:textId="77777777" w:rsidR="008860BC" w:rsidRDefault="008860BC" w:rsidP="008860BC"/>
    <w:p w14:paraId="34787275" w14:textId="0D79AD1D" w:rsidR="008860BC" w:rsidRDefault="008860BC" w:rsidP="008860BC">
      <w:r>
        <w:t>Pawel Grzybowski 2232319</w:t>
      </w:r>
    </w:p>
    <w:p w14:paraId="7479538F" w14:textId="43D9BB6D" w:rsidR="008860BC" w:rsidRDefault="008860BC" w:rsidP="008860BC">
      <w:r>
        <w:t>BMBM5017</w:t>
      </w:r>
    </w:p>
    <w:p w14:paraId="24F5176F" w14:textId="448B4377" w:rsidR="008860BC" w:rsidRDefault="008860BC" w:rsidP="008860BC">
      <w:r>
        <w:t>26/03/2025</w:t>
      </w:r>
    </w:p>
    <w:p w14:paraId="2DA810DC" w14:textId="77777777" w:rsidR="008860BC" w:rsidRDefault="008860BC">
      <w:r>
        <w:br w:type="page"/>
      </w:r>
    </w:p>
    <w:p w14:paraId="4D3D524D" w14:textId="7FE288C0" w:rsidR="008860BC" w:rsidRDefault="008860BC" w:rsidP="008860BC">
      <w:pPr>
        <w:pStyle w:val="Heading1"/>
        <w:jc w:val="center"/>
        <w:rPr>
          <w:rFonts w:ascii="Arial" w:hAnsi="Arial" w:cs="Arial"/>
          <w:b/>
          <w:bCs/>
          <w:sz w:val="44"/>
          <w:szCs w:val="44"/>
        </w:rPr>
      </w:pPr>
      <w:r w:rsidRPr="008860BC">
        <w:rPr>
          <w:rFonts w:ascii="Arial" w:hAnsi="Arial" w:cs="Arial"/>
          <w:b/>
          <w:bCs/>
          <w:sz w:val="44"/>
          <w:szCs w:val="44"/>
        </w:rPr>
        <w:lastRenderedPageBreak/>
        <w:t>Executive Summary</w:t>
      </w:r>
    </w:p>
    <w:p w14:paraId="1DA9F2B5" w14:textId="77777777" w:rsidR="008B0113" w:rsidRPr="008B0113" w:rsidRDefault="008B0113" w:rsidP="008B0113"/>
    <w:p w14:paraId="4132FFA9" w14:textId="4044A0AF" w:rsidR="008860BC" w:rsidRDefault="008B0113" w:rsidP="008B0113">
      <w:pPr>
        <w:rPr>
          <w:rStyle w:val="hoverbg-blue-100"/>
          <w:rFonts w:ascii="Arial" w:hAnsi="Arial" w:cs="Arial"/>
        </w:rPr>
      </w:pPr>
      <w:r w:rsidRPr="008B0113">
        <w:rPr>
          <w:rStyle w:val="hoverbg-blue-100"/>
          <w:rFonts w:ascii="Arial" w:hAnsi="Arial" w:cs="Arial"/>
        </w:rPr>
        <w:t xml:space="preserve">This report examines the budgeting methods and principles implemented by Blue Thread Ltd which operates in the retail clothing sector. The bank ordered the company to clear its £25,000 overdraft within six months as it faces a major financial obstacle. This report highlights financial risks through stock and cash budgets and a budgeted profit &amp; loss account and produces strategic recommendations for financial sustainability. The primary aspects to focus on are controlling cash liquidity, negotiating supplier payment terms, and implementing different budgeting approaches. </w:t>
      </w:r>
      <w:r w:rsidRPr="008B0113">
        <w:br/>
      </w:r>
      <w:r w:rsidRPr="008B0113">
        <w:rPr>
          <w:rStyle w:val="hoverbg-blue-100"/>
          <w:rFonts w:ascii="Arial" w:hAnsi="Arial" w:cs="Arial"/>
        </w:rPr>
        <w:t xml:space="preserve">The financial analysis underscores the critical role of proper cash flow management in maintaining ongoing business operations. The stock budget defines inventory levels and purchasing tactics while the cash budget monitors monthly cash movements to support financial stability. The budgeted profit &amp; loss statement shows how the company performs financially through its profits and cost management strategies. The findings demonstrate that Blue Thread Ltd faces difficulties in maintaining proper stock levels, managing supplier credit terms and achieving its goal of eliminating overdrafts within six months. </w:t>
      </w:r>
      <w:r w:rsidRPr="008B0113">
        <w:br/>
      </w:r>
      <w:r w:rsidRPr="008B0113">
        <w:rPr>
          <w:rStyle w:val="hoverbg-blue-100"/>
          <w:rFonts w:ascii="Arial" w:hAnsi="Arial" w:cs="Arial"/>
        </w:rPr>
        <w:t xml:space="preserve">The report suggests adopting flexible budgeting practices like rolling budgets and activity-based budgeting to resolve these issues. Alternative budgeting methods enhance resource allocation by enabling higher adaptability and efficiency along with increased flexibility. Traditional incremental budgeting methods fail to adapt effectively in fast-changing business environments because they cannot respond to dynamic market conditions. </w:t>
      </w:r>
      <w:r w:rsidRPr="008B0113">
        <w:br/>
      </w:r>
      <w:r w:rsidRPr="008B0113">
        <w:rPr>
          <w:rStyle w:val="hoverbg-blue-100"/>
          <w:rFonts w:ascii="Arial" w:hAnsi="Arial" w:cs="Arial"/>
        </w:rPr>
        <w:t xml:space="preserve">Successful budgeting relies heavily on behavioural elements. The performance of budgetary control systems depends on employee motivation levels together with management commitment and resistance to change. Successful financial planning requires stakeholder engagement while implementing advanced forecasting tools together with regular budget reviews. </w:t>
      </w:r>
      <w:r w:rsidRPr="008B0113">
        <w:br/>
      </w:r>
      <w:r w:rsidRPr="008B0113">
        <w:rPr>
          <w:rStyle w:val="hoverbg-blue-100"/>
          <w:rFonts w:ascii="Arial" w:hAnsi="Arial" w:cs="Arial"/>
        </w:rPr>
        <w:t>The report stresses that Blue Thread Ltd must implement modern budgeting methods to secure financial stability and drive strategic expansion. The company will improve decision-making capabilities while optimizing performance metrics and reducing financial risks through better budgeting procedures and more flexible financial management strategies.</w:t>
      </w:r>
    </w:p>
    <w:p w14:paraId="0F0188C4" w14:textId="77777777" w:rsidR="008B0113" w:rsidRDefault="008B0113" w:rsidP="008860BC">
      <w:pPr>
        <w:rPr>
          <w:rStyle w:val="hoverbg-blue-100"/>
          <w:rFonts w:ascii="Arial" w:hAnsi="Arial" w:cs="Arial"/>
        </w:rPr>
      </w:pPr>
    </w:p>
    <w:p w14:paraId="18640625" w14:textId="77777777" w:rsidR="008B0113" w:rsidRDefault="008B0113" w:rsidP="008860BC">
      <w:pPr>
        <w:rPr>
          <w:rStyle w:val="hoverbg-blue-100"/>
          <w:rFonts w:ascii="Arial" w:hAnsi="Arial" w:cs="Arial"/>
        </w:rPr>
      </w:pPr>
    </w:p>
    <w:p w14:paraId="22CC9913" w14:textId="77777777" w:rsidR="008B0113" w:rsidRDefault="008B0113" w:rsidP="008860BC">
      <w:pPr>
        <w:rPr>
          <w:rStyle w:val="hoverbg-blue-100"/>
          <w:rFonts w:ascii="Arial" w:hAnsi="Arial" w:cs="Arial"/>
        </w:rPr>
      </w:pPr>
    </w:p>
    <w:p w14:paraId="47CE7921" w14:textId="77777777" w:rsidR="008B0113" w:rsidRDefault="008B0113" w:rsidP="008860BC">
      <w:pPr>
        <w:rPr>
          <w:rStyle w:val="hoverbg-blue-100"/>
          <w:rFonts w:ascii="Arial" w:hAnsi="Arial" w:cs="Arial"/>
        </w:rPr>
      </w:pPr>
    </w:p>
    <w:p w14:paraId="2EA43AC1" w14:textId="77777777" w:rsidR="008B0113" w:rsidRDefault="008B0113" w:rsidP="008860BC">
      <w:pPr>
        <w:rPr>
          <w:rStyle w:val="hoverbg-blue-100"/>
          <w:rFonts w:ascii="Arial" w:hAnsi="Arial" w:cs="Arial"/>
        </w:rPr>
      </w:pPr>
    </w:p>
    <w:p w14:paraId="4F234B8A" w14:textId="77777777" w:rsidR="008B0113" w:rsidRDefault="008B0113" w:rsidP="008860BC">
      <w:pPr>
        <w:rPr>
          <w:rStyle w:val="hoverbg-blue-100"/>
          <w:rFonts w:ascii="Arial" w:hAnsi="Arial" w:cs="Arial"/>
        </w:rPr>
      </w:pPr>
    </w:p>
    <w:p w14:paraId="155F9D10" w14:textId="77777777" w:rsidR="008B0113" w:rsidRDefault="008B0113" w:rsidP="008860BC">
      <w:pPr>
        <w:rPr>
          <w:rStyle w:val="hoverbg-blue-100"/>
          <w:rFonts w:ascii="Arial" w:hAnsi="Arial" w:cs="Arial"/>
        </w:rPr>
      </w:pPr>
    </w:p>
    <w:p w14:paraId="33785230" w14:textId="77777777" w:rsidR="008B0113" w:rsidRDefault="008B0113" w:rsidP="008860BC">
      <w:pPr>
        <w:rPr>
          <w:rStyle w:val="hoverbg-blue-100"/>
          <w:rFonts w:ascii="Arial" w:hAnsi="Arial" w:cs="Arial"/>
        </w:rPr>
      </w:pPr>
    </w:p>
    <w:p w14:paraId="55EFE2E1" w14:textId="77777777" w:rsidR="008B0113" w:rsidRDefault="008B0113" w:rsidP="008860BC">
      <w:pPr>
        <w:rPr>
          <w:rStyle w:val="hoverbg-blue-100"/>
          <w:rFonts w:ascii="Arial" w:hAnsi="Arial" w:cs="Arial"/>
        </w:rPr>
      </w:pPr>
    </w:p>
    <w:p w14:paraId="1780CA86" w14:textId="77777777" w:rsidR="008B0113" w:rsidRDefault="008B0113" w:rsidP="008860BC">
      <w:pPr>
        <w:rPr>
          <w:rStyle w:val="hoverbg-blue-100"/>
          <w:rFonts w:ascii="Arial" w:hAnsi="Arial" w:cs="Arial"/>
        </w:rPr>
      </w:pPr>
    </w:p>
    <w:p w14:paraId="157B74B8" w14:textId="77777777" w:rsidR="008B0113" w:rsidRDefault="008B0113" w:rsidP="008860BC">
      <w:pPr>
        <w:rPr>
          <w:rStyle w:val="hoverbg-blue-100"/>
          <w:rFonts w:ascii="Arial" w:hAnsi="Arial" w:cs="Arial"/>
        </w:rPr>
      </w:pPr>
    </w:p>
    <w:p w14:paraId="048ABC9E" w14:textId="77777777" w:rsidR="008B0113" w:rsidRPr="008B0113" w:rsidRDefault="008B0113" w:rsidP="008860BC">
      <w:pPr>
        <w:rPr>
          <w:rFonts w:ascii="Arial" w:hAnsi="Arial" w:cs="Arial"/>
        </w:rPr>
      </w:pPr>
    </w:p>
    <w:p w14:paraId="5FDFA16B" w14:textId="1EAF4FC2" w:rsidR="008860BC" w:rsidRDefault="008860BC" w:rsidP="008860BC">
      <w:pPr>
        <w:pStyle w:val="Heading1"/>
        <w:jc w:val="center"/>
        <w:rPr>
          <w:rFonts w:ascii="Arial" w:hAnsi="Arial" w:cs="Arial"/>
          <w:b/>
          <w:bCs/>
          <w:sz w:val="44"/>
          <w:szCs w:val="44"/>
        </w:rPr>
      </w:pPr>
      <w:r w:rsidRPr="008860BC">
        <w:rPr>
          <w:rFonts w:ascii="Arial" w:hAnsi="Arial" w:cs="Arial"/>
          <w:b/>
          <w:bCs/>
          <w:sz w:val="44"/>
          <w:szCs w:val="44"/>
        </w:rPr>
        <w:lastRenderedPageBreak/>
        <w:t>Content Page</w:t>
      </w:r>
    </w:p>
    <w:p w14:paraId="7D5D5C1A" w14:textId="77777777" w:rsidR="008860BC" w:rsidRDefault="008860BC" w:rsidP="008860BC"/>
    <w:p w14:paraId="70F06584" w14:textId="4B41AB4C" w:rsidR="008860BC" w:rsidRPr="006F305C" w:rsidRDefault="008860BC" w:rsidP="008860BC">
      <w:pPr>
        <w:rPr>
          <w:b/>
          <w:bCs/>
        </w:rPr>
      </w:pPr>
      <w:r w:rsidRPr="006F305C">
        <w:rPr>
          <w:b/>
          <w:bCs/>
        </w:rPr>
        <w:t>Title Page…1</w:t>
      </w:r>
    </w:p>
    <w:p w14:paraId="4A4F2B0C" w14:textId="11D2189C" w:rsidR="008860BC" w:rsidRPr="006F305C" w:rsidRDefault="008860BC" w:rsidP="008860BC">
      <w:pPr>
        <w:rPr>
          <w:b/>
          <w:bCs/>
        </w:rPr>
      </w:pPr>
      <w:r w:rsidRPr="006F305C">
        <w:rPr>
          <w:b/>
          <w:bCs/>
        </w:rPr>
        <w:t>Executive Summary…2</w:t>
      </w:r>
    </w:p>
    <w:p w14:paraId="5522F058" w14:textId="50435C8C" w:rsidR="008860BC" w:rsidRPr="006F305C" w:rsidRDefault="008860BC" w:rsidP="008860BC">
      <w:pPr>
        <w:rPr>
          <w:b/>
          <w:bCs/>
        </w:rPr>
      </w:pPr>
      <w:r w:rsidRPr="006F305C">
        <w:rPr>
          <w:b/>
          <w:bCs/>
        </w:rPr>
        <w:t>Content Page…3</w:t>
      </w:r>
    </w:p>
    <w:p w14:paraId="62A44313" w14:textId="0F217E9E" w:rsidR="008860BC" w:rsidRPr="006F305C" w:rsidRDefault="008860BC" w:rsidP="008860BC">
      <w:pPr>
        <w:rPr>
          <w:b/>
          <w:bCs/>
        </w:rPr>
      </w:pPr>
      <w:r w:rsidRPr="006F305C">
        <w:rPr>
          <w:b/>
          <w:bCs/>
        </w:rPr>
        <w:t>Introduction…4</w:t>
      </w:r>
    </w:p>
    <w:p w14:paraId="1E1A112B" w14:textId="2F010DC4" w:rsidR="006F305C" w:rsidRPr="006F305C" w:rsidRDefault="006F305C" w:rsidP="008860BC">
      <w:pPr>
        <w:rPr>
          <w:b/>
          <w:bCs/>
        </w:rPr>
      </w:pPr>
      <w:r w:rsidRPr="006F305C">
        <w:rPr>
          <w:b/>
          <w:bCs/>
        </w:rPr>
        <w:t>Main Findings…5 – 14</w:t>
      </w:r>
    </w:p>
    <w:p w14:paraId="749C0F20" w14:textId="3A5D3D90" w:rsidR="006F305C" w:rsidRPr="006F305C" w:rsidRDefault="006F305C" w:rsidP="008860BC">
      <w:pPr>
        <w:rPr>
          <w:b/>
          <w:bCs/>
        </w:rPr>
      </w:pPr>
      <w:r w:rsidRPr="006F305C">
        <w:rPr>
          <w:b/>
          <w:bCs/>
        </w:rPr>
        <w:t>Conclusion…15</w:t>
      </w:r>
    </w:p>
    <w:p w14:paraId="3EB669E2" w14:textId="22264DCF" w:rsidR="006F305C" w:rsidRPr="006F305C" w:rsidRDefault="006F305C" w:rsidP="008860BC">
      <w:pPr>
        <w:rPr>
          <w:b/>
          <w:bCs/>
        </w:rPr>
      </w:pPr>
      <w:r w:rsidRPr="006F305C">
        <w:rPr>
          <w:b/>
          <w:bCs/>
        </w:rPr>
        <w:t>References…16</w:t>
      </w:r>
    </w:p>
    <w:p w14:paraId="13032B39" w14:textId="77777777" w:rsidR="008860BC" w:rsidRDefault="008860BC">
      <w:r>
        <w:br w:type="page"/>
      </w:r>
    </w:p>
    <w:p w14:paraId="5E62CB63" w14:textId="1DAE206F" w:rsidR="008860BC" w:rsidRDefault="008860BC" w:rsidP="008860BC">
      <w:pPr>
        <w:pStyle w:val="Heading1"/>
        <w:jc w:val="center"/>
        <w:rPr>
          <w:rFonts w:ascii="Arial" w:hAnsi="Arial" w:cs="Arial"/>
          <w:b/>
          <w:bCs/>
          <w:sz w:val="44"/>
          <w:szCs w:val="44"/>
        </w:rPr>
      </w:pPr>
      <w:r w:rsidRPr="008860BC">
        <w:rPr>
          <w:rFonts w:ascii="Arial" w:hAnsi="Arial" w:cs="Arial"/>
          <w:b/>
          <w:bCs/>
          <w:sz w:val="44"/>
          <w:szCs w:val="44"/>
        </w:rPr>
        <w:lastRenderedPageBreak/>
        <w:t>Introduction</w:t>
      </w:r>
    </w:p>
    <w:p w14:paraId="0EBD3225" w14:textId="77777777" w:rsidR="00752318" w:rsidRPr="00752318" w:rsidRDefault="00752318" w:rsidP="00752318"/>
    <w:p w14:paraId="2680EF19" w14:textId="34F0ABBE" w:rsidR="004047FC" w:rsidRPr="00752318" w:rsidRDefault="00752318" w:rsidP="00752318">
      <w:pPr>
        <w:rPr>
          <w:rFonts w:ascii="Arial" w:eastAsia="Times New Roman" w:hAnsi="Arial" w:cs="Arial"/>
          <w:kern w:val="0"/>
          <w:lang w:eastAsia="en-GB"/>
          <w14:ligatures w14:val="none"/>
        </w:rPr>
      </w:pPr>
      <w:r w:rsidRPr="00752318">
        <w:rPr>
          <w:rStyle w:val="hoverbg-blue-100"/>
          <w:rFonts w:ascii="Arial" w:hAnsi="Arial" w:cs="Arial"/>
        </w:rPr>
        <w:t xml:space="preserve">Budgeting serves as an essential function for financial planning and cost management which contributes to sustainable business success. This system allows businesses to make financial decisions and allocate resources methodically which enables them to operate efficiently and maintain financial stability. Organizations utilize effective budgeting to establish financial objectives while monitoring performance and guiding expenditure and investment choices as well as profitability decisions. </w:t>
      </w:r>
      <w:r w:rsidRPr="00752318">
        <w:rPr>
          <w:rFonts w:ascii="Arial" w:hAnsi="Arial" w:cs="Arial"/>
        </w:rPr>
        <w:br/>
      </w:r>
      <w:r w:rsidRPr="00752318">
        <w:rPr>
          <w:rStyle w:val="hoverbg-blue-100"/>
          <w:rFonts w:ascii="Arial" w:hAnsi="Arial" w:cs="Arial"/>
        </w:rPr>
        <w:t xml:space="preserve">Businesses have employed traditional budgeting systems like incremental budgeting for many years. Incremental budgeting requires organizations to modify the prior period budget slightly through increases or decreases in allocations depending on anticipated revenue and expense changes. The method stands out for its simplicity and ease of implementation but fails to adapt to quick market changes and organizational strategic adjustments. </w:t>
      </w:r>
      <w:r w:rsidRPr="00752318">
        <w:rPr>
          <w:rFonts w:ascii="Arial" w:hAnsi="Arial" w:cs="Arial"/>
        </w:rPr>
        <w:br/>
      </w:r>
      <w:r w:rsidRPr="00752318">
        <w:rPr>
          <w:rStyle w:val="hoverbg-blue-100"/>
          <w:rFonts w:ascii="Arial" w:hAnsi="Arial" w:cs="Arial"/>
        </w:rPr>
        <w:t xml:space="preserve">Scholars recently identified multiple fundamental flaws in annual budgets that obstruct the successful adoption of different financial management systems. As fixed budgets become obsolete </w:t>
      </w:r>
      <w:r w:rsidRPr="00752318">
        <w:rPr>
          <w:rStyle w:val="hoverbg-blue-100"/>
          <w:rFonts w:ascii="Arial" w:hAnsi="Arial" w:cs="Arial"/>
        </w:rPr>
        <w:t>rapidly,</w:t>
      </w:r>
      <w:r w:rsidRPr="00752318">
        <w:rPr>
          <w:rStyle w:val="hoverbg-blue-100"/>
          <w:rFonts w:ascii="Arial" w:hAnsi="Arial" w:cs="Arial"/>
        </w:rPr>
        <w:t xml:space="preserve"> they prevent organizations from adequately addressing unexpected challenges or opportunities. Traditional budgeting methods tend to push organizations towards immediate results instead of promoting long-term strategic development. Numerous businesses have started to implement alternative budgeting methods which offer enhanced flexibility including rolling budgets along with zero-based budgeting (ZBB) and activity-based budgeting (ABB). </w:t>
      </w:r>
      <w:r w:rsidRPr="00752318">
        <w:rPr>
          <w:rFonts w:ascii="Arial" w:hAnsi="Arial" w:cs="Arial"/>
        </w:rPr>
        <w:br/>
      </w:r>
      <w:r w:rsidRPr="00752318">
        <w:rPr>
          <w:rStyle w:val="hoverbg-blue-100"/>
          <w:rFonts w:ascii="Arial" w:hAnsi="Arial" w:cs="Arial"/>
        </w:rPr>
        <w:t xml:space="preserve">This analysis evaluates the current financial condition of Blue Thread Ltd which runs a network of 10 high-end clothing retail stores. Blue Thread Ltd has an urgent financial problem because it must pay off its £25,000 overdraft in the next six months. The company directors have opted to examine their current budgeting method and create better financial strategies to solve this problem. </w:t>
      </w:r>
      <w:r w:rsidRPr="00752318">
        <w:rPr>
          <w:rFonts w:ascii="Arial" w:hAnsi="Arial" w:cs="Arial"/>
        </w:rPr>
        <w:br/>
      </w:r>
      <w:r w:rsidRPr="00752318">
        <w:rPr>
          <w:rStyle w:val="hoverbg-blue-100"/>
          <w:rFonts w:ascii="Arial" w:hAnsi="Arial" w:cs="Arial"/>
        </w:rPr>
        <w:t xml:space="preserve">This report demonstrates key financial risks and challenges for Blue Thread Ltd based on thorough examinations of stock budgets, cash budgets, and budgeted profit &amp; loss statements. The report examines different budgeting methods and assesses their advantages and disadvantages in a rapidly evolving business landscape. The report will explain how behavioural factors affect budget implementation and provide best practices to create an effective budgeting system. </w:t>
      </w:r>
      <w:r w:rsidRPr="00752318">
        <w:rPr>
          <w:rFonts w:ascii="Arial" w:hAnsi="Arial" w:cs="Arial"/>
        </w:rPr>
        <w:br/>
      </w:r>
      <w:r w:rsidRPr="00752318">
        <w:rPr>
          <w:rStyle w:val="hoverbg-blue-100"/>
          <w:rFonts w:ascii="Arial" w:hAnsi="Arial" w:cs="Arial"/>
        </w:rPr>
        <w:t xml:space="preserve">Through the adoption of contemporary budgeting techniques and strategic financial planning Blue Thread Ltd will strengthen its financial management systems while boosting decision-making capabilities and securing sustained success. This report provides guidelines through its findings and recommendations to help the company improve its budget model and meet its financial targets. </w:t>
      </w:r>
      <w:r w:rsidR="004047FC" w:rsidRPr="00752318">
        <w:rPr>
          <w:rFonts w:ascii="Arial" w:hAnsi="Arial" w:cs="Arial"/>
        </w:rPr>
        <w:br w:type="page"/>
      </w:r>
    </w:p>
    <w:p w14:paraId="77A1E4DD" w14:textId="77777777" w:rsidR="004047FC" w:rsidRDefault="004047FC" w:rsidP="004047FC">
      <w:pPr>
        <w:pStyle w:val="Heading1"/>
        <w:jc w:val="center"/>
        <w:rPr>
          <w:rFonts w:ascii="Arial" w:hAnsi="Arial" w:cs="Arial"/>
          <w:b/>
          <w:bCs/>
          <w:sz w:val="44"/>
          <w:szCs w:val="44"/>
        </w:rPr>
      </w:pPr>
      <w:r w:rsidRPr="004047FC">
        <w:rPr>
          <w:rFonts w:ascii="Arial" w:hAnsi="Arial" w:cs="Arial"/>
          <w:b/>
          <w:bCs/>
          <w:sz w:val="44"/>
          <w:szCs w:val="44"/>
        </w:rPr>
        <w:lastRenderedPageBreak/>
        <w:t>Main Findings</w:t>
      </w:r>
    </w:p>
    <w:p w14:paraId="6146286E" w14:textId="77777777" w:rsidR="004047FC" w:rsidRDefault="004047FC" w:rsidP="004047FC">
      <w:pPr>
        <w:pStyle w:val="Heading1"/>
        <w:jc w:val="center"/>
        <w:rPr>
          <w:rFonts w:ascii="Arial" w:hAnsi="Arial" w:cs="Arial"/>
          <w:b/>
          <w:bCs/>
          <w:sz w:val="44"/>
          <w:szCs w:val="44"/>
        </w:rPr>
      </w:pPr>
    </w:p>
    <w:p w14:paraId="6A2B74A3" w14:textId="14F022F4" w:rsidR="004047FC" w:rsidRDefault="004047FC" w:rsidP="00752318">
      <w:pPr>
        <w:pStyle w:val="Heading1"/>
        <w:numPr>
          <w:ilvl w:val="0"/>
          <w:numId w:val="27"/>
        </w:numPr>
        <w:rPr>
          <w:rFonts w:ascii="Arial" w:eastAsia="Times New Roman" w:hAnsi="Arial" w:cs="Arial"/>
          <w:b/>
          <w:bCs/>
          <w:sz w:val="32"/>
          <w:szCs w:val="32"/>
          <w:lang w:eastAsia="en-GB"/>
        </w:rPr>
      </w:pPr>
      <w:r w:rsidRPr="00604069">
        <w:rPr>
          <w:rFonts w:ascii="Arial" w:eastAsia="Times New Roman" w:hAnsi="Arial" w:cs="Arial"/>
          <w:b/>
          <w:bCs/>
          <w:sz w:val="32"/>
          <w:szCs w:val="32"/>
          <w:lang w:eastAsia="en-GB"/>
        </w:rPr>
        <w:t>Financial Analysis</w:t>
      </w:r>
    </w:p>
    <w:p w14:paraId="0EE57CC4" w14:textId="6E730E23" w:rsidR="00752318" w:rsidRPr="00752318" w:rsidRDefault="00752318" w:rsidP="00752318">
      <w:pPr>
        <w:rPr>
          <w:rFonts w:ascii="Arial" w:hAnsi="Arial" w:cs="Arial"/>
          <w:lang w:eastAsia="en-GB"/>
        </w:rPr>
      </w:pPr>
      <w:r w:rsidRPr="00752318">
        <w:rPr>
          <w:rStyle w:val="hoverbg-blue-100"/>
          <w:rFonts w:ascii="Arial" w:hAnsi="Arial" w:cs="Arial"/>
        </w:rPr>
        <w:t>Analysing</w:t>
      </w:r>
      <w:r w:rsidRPr="00752318">
        <w:rPr>
          <w:rStyle w:val="hoverbg-blue-100"/>
          <w:rFonts w:ascii="Arial" w:hAnsi="Arial" w:cs="Arial"/>
        </w:rPr>
        <w:t xml:space="preserve"> financial data helps businesses understand their financial status and create strategic plans. We thoroughly assess Blue Thread Ltd.’s financial standing by </w:t>
      </w:r>
      <w:r w:rsidRPr="00752318">
        <w:rPr>
          <w:rStyle w:val="hoverbg-blue-100"/>
          <w:rFonts w:ascii="Arial" w:hAnsi="Arial" w:cs="Arial"/>
        </w:rPr>
        <w:t>analysing</w:t>
      </w:r>
      <w:r w:rsidRPr="00752318">
        <w:rPr>
          <w:rStyle w:val="hoverbg-blue-100"/>
          <w:rFonts w:ascii="Arial" w:hAnsi="Arial" w:cs="Arial"/>
        </w:rPr>
        <w:t xml:space="preserve"> stock budgets along with cash budgets and a budgeted profit &amp; loss account. The objective is to evaluate how the company can clear its £25,000 overdraft without disrupting its daily operations.</w:t>
      </w:r>
    </w:p>
    <w:p w14:paraId="5836727B" w14:textId="0D6EC9E5" w:rsidR="004047FC" w:rsidRPr="00604069" w:rsidRDefault="00604069" w:rsidP="004047FC">
      <w:pPr>
        <w:pStyle w:val="Heading1"/>
        <w:rPr>
          <w:rFonts w:ascii="Arial" w:eastAsia="Times New Roman" w:hAnsi="Arial" w:cs="Arial"/>
          <w:b/>
          <w:bCs/>
          <w:sz w:val="20"/>
          <w:szCs w:val="20"/>
          <w:lang w:eastAsia="en-GB"/>
        </w:rPr>
      </w:pPr>
      <w:r w:rsidRPr="00604069">
        <w:rPr>
          <w:rFonts w:ascii="Arial" w:eastAsia="Times New Roman" w:hAnsi="Arial" w:cs="Arial"/>
          <w:b/>
          <w:bCs/>
          <w:sz w:val="32"/>
          <w:szCs w:val="32"/>
          <w:lang w:eastAsia="en-GB"/>
        </w:rPr>
        <w:t>1</w:t>
      </w:r>
      <w:r w:rsidR="004047FC" w:rsidRPr="00604069">
        <w:rPr>
          <w:rFonts w:ascii="Arial" w:eastAsia="Times New Roman" w:hAnsi="Arial" w:cs="Arial"/>
          <w:b/>
          <w:bCs/>
          <w:sz w:val="32"/>
          <w:szCs w:val="32"/>
          <w:lang w:eastAsia="en-GB"/>
        </w:rPr>
        <w:t>.1 Stock Budget</w:t>
      </w:r>
    </w:p>
    <w:p w14:paraId="3BD2BE70" w14:textId="61263F3F" w:rsidR="004047FC" w:rsidRPr="00752318" w:rsidRDefault="00752318" w:rsidP="004047FC">
      <w:pPr>
        <w:spacing w:before="100" w:beforeAutospacing="1" w:after="100" w:afterAutospacing="1" w:line="240" w:lineRule="auto"/>
        <w:rPr>
          <w:rFonts w:ascii="Arial" w:eastAsia="Times New Roman" w:hAnsi="Arial" w:cs="Arial"/>
          <w:kern w:val="0"/>
          <w:lang w:eastAsia="en-GB"/>
          <w14:ligatures w14:val="none"/>
        </w:rPr>
      </w:pPr>
      <w:r w:rsidRPr="00752318">
        <w:rPr>
          <w:rStyle w:val="hoverbg-blue-100"/>
          <w:rFonts w:ascii="Arial" w:hAnsi="Arial" w:cs="Arial"/>
        </w:rPr>
        <w:t>The financial standing of a company relies heavily on its stock budget management which is particularly vital for retail businesses such as Blue Thread Ltd. The proper management of inventory helps companies achieve equilibrium between having sufficient stock and minimizing storage costs according to Drury (2018). Because the cost of goods sold (COGS) represents 65% of total sales businesses must synchronize stock purchasing decisions with demand predictions to prevent liquidity problems. Holding excessive stock can cause cash flow problems for businesses while insufficient stock availability can harm customer satisfaction and reduce revenue (Horngren 2020).</w:t>
      </w:r>
    </w:p>
    <w:tbl>
      <w:tblPr>
        <w:tblW w:w="8624" w:type="dxa"/>
        <w:tblLook w:val="04A0" w:firstRow="1" w:lastRow="0" w:firstColumn="1" w:lastColumn="0" w:noHBand="0" w:noVBand="1"/>
      </w:tblPr>
      <w:tblGrid>
        <w:gridCol w:w="2080"/>
        <w:gridCol w:w="1040"/>
        <w:gridCol w:w="1040"/>
        <w:gridCol w:w="1040"/>
        <w:gridCol w:w="1223"/>
        <w:gridCol w:w="1040"/>
        <w:gridCol w:w="1161"/>
      </w:tblGrid>
      <w:tr w:rsidR="000E6CBB" w:rsidRPr="000E6CBB" w14:paraId="7003A8FA" w14:textId="77777777" w:rsidTr="000E6CBB">
        <w:trPr>
          <w:trHeight w:val="492"/>
        </w:trPr>
        <w:tc>
          <w:tcPr>
            <w:tcW w:w="2080" w:type="dxa"/>
            <w:tcBorders>
              <w:top w:val="single" w:sz="4" w:space="0" w:color="auto"/>
              <w:left w:val="single" w:sz="4" w:space="0" w:color="auto"/>
              <w:bottom w:val="single" w:sz="4" w:space="0" w:color="auto"/>
              <w:right w:val="single" w:sz="4" w:space="0" w:color="auto"/>
            </w:tcBorders>
            <w:shd w:val="clear" w:color="000000" w:fill="000000"/>
            <w:noWrap/>
            <w:vAlign w:val="center"/>
            <w:hideMark/>
          </w:tcPr>
          <w:p w14:paraId="7A0D3EC1" w14:textId="77777777" w:rsidR="000E6CBB" w:rsidRPr="000E6CBB" w:rsidRDefault="000E6CBB" w:rsidP="000E6CBB">
            <w:pPr>
              <w:spacing w:after="0" w:line="240" w:lineRule="auto"/>
              <w:jc w:val="center"/>
              <w:rPr>
                <w:rFonts w:ascii="Aptos Narrow" w:eastAsia="Times New Roman" w:hAnsi="Aptos Narrow" w:cs="Times New Roman"/>
                <w:color w:val="000000"/>
                <w:kern w:val="0"/>
                <w:lang w:eastAsia="en-GB"/>
                <w14:ligatures w14:val="none"/>
              </w:rPr>
            </w:pPr>
            <w:r w:rsidRPr="000E6CBB">
              <w:rPr>
                <w:rFonts w:ascii="Aptos Narrow" w:eastAsia="Times New Roman" w:hAnsi="Aptos Narrow" w:cs="Times New Roman"/>
                <w:color w:val="000000"/>
                <w:kern w:val="0"/>
                <w:lang w:eastAsia="en-GB"/>
                <w14:ligatures w14:val="none"/>
              </w:rPr>
              <w:t> </w:t>
            </w:r>
          </w:p>
        </w:tc>
        <w:tc>
          <w:tcPr>
            <w:tcW w:w="1040" w:type="dxa"/>
            <w:tcBorders>
              <w:top w:val="single" w:sz="4" w:space="0" w:color="auto"/>
              <w:left w:val="nil"/>
              <w:bottom w:val="single" w:sz="4" w:space="0" w:color="auto"/>
              <w:right w:val="single" w:sz="4" w:space="0" w:color="auto"/>
            </w:tcBorders>
            <w:shd w:val="clear" w:color="000000" w:fill="E8E8E8"/>
            <w:noWrap/>
            <w:vAlign w:val="center"/>
            <w:hideMark/>
          </w:tcPr>
          <w:p w14:paraId="692D661A"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Arial" w:hAnsi="Aptos Narrow" w:cs="Times New Roman"/>
                <w:b/>
                <w:bCs/>
                <w:color w:val="000000"/>
                <w:kern w:val="0"/>
                <w:lang w:eastAsia="en-GB"/>
                <w14:ligatures w14:val="none"/>
              </w:rPr>
              <w:t>June</w:t>
            </w:r>
          </w:p>
        </w:tc>
        <w:tc>
          <w:tcPr>
            <w:tcW w:w="1040" w:type="dxa"/>
            <w:tcBorders>
              <w:top w:val="single" w:sz="4" w:space="0" w:color="auto"/>
              <w:left w:val="nil"/>
              <w:bottom w:val="single" w:sz="4" w:space="0" w:color="auto"/>
              <w:right w:val="single" w:sz="4" w:space="0" w:color="auto"/>
            </w:tcBorders>
            <w:shd w:val="clear" w:color="000000" w:fill="E8E8E8"/>
            <w:noWrap/>
            <w:vAlign w:val="center"/>
            <w:hideMark/>
          </w:tcPr>
          <w:p w14:paraId="0DB2D42E"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July</w:t>
            </w:r>
          </w:p>
        </w:tc>
        <w:tc>
          <w:tcPr>
            <w:tcW w:w="1040" w:type="dxa"/>
            <w:tcBorders>
              <w:top w:val="single" w:sz="4" w:space="0" w:color="auto"/>
              <w:left w:val="nil"/>
              <w:bottom w:val="single" w:sz="4" w:space="0" w:color="auto"/>
              <w:right w:val="single" w:sz="4" w:space="0" w:color="auto"/>
            </w:tcBorders>
            <w:shd w:val="clear" w:color="000000" w:fill="E8E8E8"/>
            <w:noWrap/>
            <w:vAlign w:val="center"/>
            <w:hideMark/>
          </w:tcPr>
          <w:p w14:paraId="2082AF4C"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August</w:t>
            </w:r>
          </w:p>
        </w:tc>
        <w:tc>
          <w:tcPr>
            <w:tcW w:w="1223" w:type="dxa"/>
            <w:tcBorders>
              <w:top w:val="single" w:sz="4" w:space="0" w:color="auto"/>
              <w:left w:val="nil"/>
              <w:bottom w:val="single" w:sz="4" w:space="0" w:color="auto"/>
              <w:right w:val="single" w:sz="4" w:space="0" w:color="auto"/>
            </w:tcBorders>
            <w:shd w:val="clear" w:color="000000" w:fill="E8E8E8"/>
            <w:noWrap/>
            <w:vAlign w:val="center"/>
            <w:hideMark/>
          </w:tcPr>
          <w:p w14:paraId="508BAE21"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September</w:t>
            </w:r>
          </w:p>
        </w:tc>
        <w:tc>
          <w:tcPr>
            <w:tcW w:w="1040" w:type="dxa"/>
            <w:tcBorders>
              <w:top w:val="single" w:sz="4" w:space="0" w:color="auto"/>
              <w:left w:val="nil"/>
              <w:bottom w:val="single" w:sz="4" w:space="0" w:color="auto"/>
              <w:right w:val="single" w:sz="4" w:space="0" w:color="auto"/>
            </w:tcBorders>
            <w:shd w:val="clear" w:color="000000" w:fill="E8E8E8"/>
            <w:noWrap/>
            <w:vAlign w:val="center"/>
            <w:hideMark/>
          </w:tcPr>
          <w:p w14:paraId="19A418AF"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October</w:t>
            </w:r>
          </w:p>
        </w:tc>
        <w:tc>
          <w:tcPr>
            <w:tcW w:w="1161" w:type="dxa"/>
            <w:tcBorders>
              <w:top w:val="single" w:sz="4" w:space="0" w:color="auto"/>
              <w:left w:val="nil"/>
              <w:bottom w:val="single" w:sz="4" w:space="0" w:color="auto"/>
              <w:right w:val="single" w:sz="4" w:space="0" w:color="auto"/>
            </w:tcBorders>
            <w:shd w:val="clear" w:color="000000" w:fill="E8E8E8"/>
            <w:noWrap/>
            <w:vAlign w:val="center"/>
            <w:hideMark/>
          </w:tcPr>
          <w:p w14:paraId="4753AC3E"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November</w:t>
            </w:r>
          </w:p>
        </w:tc>
      </w:tr>
      <w:tr w:rsidR="000E6CBB" w:rsidRPr="000E6CBB" w14:paraId="5FC611D1" w14:textId="77777777" w:rsidTr="000E6CBB">
        <w:trPr>
          <w:trHeight w:val="492"/>
        </w:trPr>
        <w:tc>
          <w:tcPr>
            <w:tcW w:w="2080" w:type="dxa"/>
            <w:tcBorders>
              <w:top w:val="nil"/>
              <w:left w:val="single" w:sz="4" w:space="0" w:color="auto"/>
              <w:bottom w:val="single" w:sz="4" w:space="0" w:color="auto"/>
              <w:right w:val="single" w:sz="4" w:space="0" w:color="auto"/>
            </w:tcBorders>
            <w:shd w:val="clear" w:color="000000" w:fill="E8E8E8"/>
            <w:noWrap/>
            <w:vAlign w:val="center"/>
            <w:hideMark/>
          </w:tcPr>
          <w:p w14:paraId="57767295"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Opening Balance</w:t>
            </w:r>
          </w:p>
        </w:tc>
        <w:tc>
          <w:tcPr>
            <w:tcW w:w="1040" w:type="dxa"/>
            <w:tcBorders>
              <w:top w:val="nil"/>
              <w:left w:val="nil"/>
              <w:bottom w:val="single" w:sz="4" w:space="0" w:color="auto"/>
              <w:right w:val="single" w:sz="4" w:space="0" w:color="auto"/>
            </w:tcBorders>
            <w:shd w:val="clear" w:color="auto" w:fill="auto"/>
            <w:noWrap/>
            <w:vAlign w:val="center"/>
            <w:hideMark/>
          </w:tcPr>
          <w:p w14:paraId="7616B064"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90</w:t>
            </w:r>
          </w:p>
        </w:tc>
        <w:tc>
          <w:tcPr>
            <w:tcW w:w="1040" w:type="dxa"/>
            <w:tcBorders>
              <w:top w:val="nil"/>
              <w:left w:val="nil"/>
              <w:bottom w:val="single" w:sz="4" w:space="0" w:color="auto"/>
              <w:right w:val="single" w:sz="4" w:space="0" w:color="auto"/>
            </w:tcBorders>
            <w:shd w:val="clear" w:color="auto" w:fill="auto"/>
            <w:noWrap/>
            <w:vAlign w:val="center"/>
            <w:hideMark/>
          </w:tcPr>
          <w:p w14:paraId="5F79EC9B"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110</w:t>
            </w:r>
          </w:p>
        </w:tc>
        <w:tc>
          <w:tcPr>
            <w:tcW w:w="1040" w:type="dxa"/>
            <w:tcBorders>
              <w:top w:val="nil"/>
              <w:left w:val="nil"/>
              <w:bottom w:val="single" w:sz="4" w:space="0" w:color="auto"/>
              <w:right w:val="single" w:sz="4" w:space="0" w:color="auto"/>
            </w:tcBorders>
            <w:shd w:val="clear" w:color="auto" w:fill="auto"/>
            <w:noWrap/>
            <w:vAlign w:val="center"/>
            <w:hideMark/>
          </w:tcPr>
          <w:p w14:paraId="6376CEF2"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134</w:t>
            </w:r>
          </w:p>
        </w:tc>
        <w:tc>
          <w:tcPr>
            <w:tcW w:w="1223" w:type="dxa"/>
            <w:tcBorders>
              <w:top w:val="nil"/>
              <w:left w:val="nil"/>
              <w:bottom w:val="single" w:sz="4" w:space="0" w:color="auto"/>
              <w:right w:val="single" w:sz="4" w:space="0" w:color="auto"/>
            </w:tcBorders>
            <w:shd w:val="clear" w:color="auto" w:fill="auto"/>
            <w:noWrap/>
            <w:vAlign w:val="center"/>
            <w:hideMark/>
          </w:tcPr>
          <w:p w14:paraId="5FEE158B"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187.5</w:t>
            </w:r>
          </w:p>
        </w:tc>
        <w:tc>
          <w:tcPr>
            <w:tcW w:w="1040" w:type="dxa"/>
            <w:tcBorders>
              <w:top w:val="nil"/>
              <w:left w:val="nil"/>
              <w:bottom w:val="single" w:sz="4" w:space="0" w:color="auto"/>
              <w:right w:val="single" w:sz="4" w:space="0" w:color="auto"/>
            </w:tcBorders>
            <w:shd w:val="clear" w:color="auto" w:fill="auto"/>
            <w:noWrap/>
            <w:vAlign w:val="center"/>
            <w:hideMark/>
          </w:tcPr>
          <w:p w14:paraId="4BBD6A75"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204.5</w:t>
            </w:r>
          </w:p>
        </w:tc>
        <w:tc>
          <w:tcPr>
            <w:tcW w:w="1161" w:type="dxa"/>
            <w:tcBorders>
              <w:top w:val="nil"/>
              <w:left w:val="nil"/>
              <w:bottom w:val="single" w:sz="4" w:space="0" w:color="auto"/>
              <w:right w:val="single" w:sz="4" w:space="0" w:color="auto"/>
            </w:tcBorders>
            <w:shd w:val="clear" w:color="auto" w:fill="auto"/>
            <w:noWrap/>
            <w:vAlign w:val="center"/>
            <w:hideMark/>
          </w:tcPr>
          <w:p w14:paraId="3CA9F919"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255</w:t>
            </w:r>
          </w:p>
        </w:tc>
      </w:tr>
      <w:tr w:rsidR="000E6CBB" w:rsidRPr="000E6CBB" w14:paraId="23435356" w14:textId="77777777" w:rsidTr="000E6CBB">
        <w:trPr>
          <w:trHeight w:val="492"/>
        </w:trPr>
        <w:tc>
          <w:tcPr>
            <w:tcW w:w="2080" w:type="dxa"/>
            <w:tcBorders>
              <w:top w:val="nil"/>
              <w:left w:val="single" w:sz="4" w:space="0" w:color="auto"/>
              <w:bottom w:val="single" w:sz="4" w:space="0" w:color="auto"/>
              <w:right w:val="single" w:sz="4" w:space="0" w:color="auto"/>
            </w:tcBorders>
            <w:shd w:val="clear" w:color="000000" w:fill="E8E8E8"/>
            <w:noWrap/>
            <w:vAlign w:val="center"/>
            <w:hideMark/>
          </w:tcPr>
          <w:p w14:paraId="4CA661AE"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Stock Purchased</w:t>
            </w:r>
          </w:p>
        </w:tc>
        <w:tc>
          <w:tcPr>
            <w:tcW w:w="1040" w:type="dxa"/>
            <w:tcBorders>
              <w:top w:val="nil"/>
              <w:left w:val="nil"/>
              <w:bottom w:val="single" w:sz="4" w:space="0" w:color="auto"/>
              <w:right w:val="single" w:sz="4" w:space="0" w:color="auto"/>
            </w:tcBorders>
            <w:shd w:val="clear" w:color="auto" w:fill="auto"/>
            <w:vAlign w:val="center"/>
            <w:hideMark/>
          </w:tcPr>
          <w:p w14:paraId="25FE397D" w14:textId="77777777" w:rsidR="000E6CBB" w:rsidRPr="000E6CBB" w:rsidRDefault="000E6CBB" w:rsidP="000E6CBB">
            <w:pPr>
              <w:spacing w:after="0" w:line="240" w:lineRule="auto"/>
              <w:jc w:val="center"/>
              <w:rPr>
                <w:rFonts w:ascii="Aptos" w:eastAsia="Times New Roman" w:hAnsi="Aptos" w:cs="Times New Roman"/>
                <w:color w:val="000000"/>
                <w:kern w:val="0"/>
                <w:sz w:val="20"/>
                <w:szCs w:val="20"/>
                <w:lang w:eastAsia="en-GB"/>
                <w14:ligatures w14:val="none"/>
              </w:rPr>
            </w:pPr>
            <w:r w:rsidRPr="000E6CBB">
              <w:rPr>
                <w:rFonts w:ascii="Aptos" w:eastAsia="Times New Roman" w:hAnsi="Aptos" w:cs="Times New Roman"/>
                <w:color w:val="000000"/>
                <w:kern w:val="0"/>
                <w:sz w:val="20"/>
                <w:szCs w:val="20"/>
                <w:lang w:eastAsia="en-GB"/>
                <w14:ligatures w14:val="none"/>
              </w:rPr>
              <w:t>150</w:t>
            </w:r>
          </w:p>
        </w:tc>
        <w:tc>
          <w:tcPr>
            <w:tcW w:w="1040" w:type="dxa"/>
            <w:tcBorders>
              <w:top w:val="nil"/>
              <w:left w:val="nil"/>
              <w:bottom w:val="single" w:sz="4" w:space="0" w:color="auto"/>
              <w:right w:val="single" w:sz="4" w:space="0" w:color="auto"/>
            </w:tcBorders>
            <w:shd w:val="clear" w:color="auto" w:fill="auto"/>
            <w:vAlign w:val="center"/>
            <w:hideMark/>
          </w:tcPr>
          <w:p w14:paraId="24F02BC1" w14:textId="77777777" w:rsidR="000E6CBB" w:rsidRPr="000E6CBB" w:rsidRDefault="000E6CBB" w:rsidP="000E6CBB">
            <w:pPr>
              <w:spacing w:after="0" w:line="240" w:lineRule="auto"/>
              <w:jc w:val="center"/>
              <w:rPr>
                <w:rFonts w:ascii="Aptos" w:eastAsia="Times New Roman" w:hAnsi="Aptos" w:cs="Times New Roman"/>
                <w:color w:val="000000"/>
                <w:kern w:val="0"/>
                <w:sz w:val="20"/>
                <w:szCs w:val="20"/>
                <w:lang w:eastAsia="en-GB"/>
                <w14:ligatures w14:val="none"/>
              </w:rPr>
            </w:pPr>
            <w:r w:rsidRPr="000E6CBB">
              <w:rPr>
                <w:rFonts w:ascii="Aptos" w:eastAsia="Times New Roman" w:hAnsi="Aptos" w:cs="Times New Roman"/>
                <w:color w:val="000000"/>
                <w:kern w:val="0"/>
                <w:sz w:val="20"/>
                <w:szCs w:val="20"/>
                <w:lang w:eastAsia="en-GB"/>
                <w14:ligatures w14:val="none"/>
              </w:rPr>
              <w:t>180</w:t>
            </w:r>
          </w:p>
        </w:tc>
        <w:tc>
          <w:tcPr>
            <w:tcW w:w="1040" w:type="dxa"/>
            <w:tcBorders>
              <w:top w:val="nil"/>
              <w:left w:val="nil"/>
              <w:bottom w:val="single" w:sz="4" w:space="0" w:color="auto"/>
              <w:right w:val="single" w:sz="4" w:space="0" w:color="auto"/>
            </w:tcBorders>
            <w:shd w:val="clear" w:color="auto" w:fill="auto"/>
            <w:vAlign w:val="center"/>
            <w:hideMark/>
          </w:tcPr>
          <w:p w14:paraId="2CCB5F8F" w14:textId="77777777" w:rsidR="000E6CBB" w:rsidRPr="000E6CBB" w:rsidRDefault="000E6CBB" w:rsidP="000E6CBB">
            <w:pPr>
              <w:spacing w:after="0" w:line="240" w:lineRule="auto"/>
              <w:jc w:val="center"/>
              <w:rPr>
                <w:rFonts w:ascii="Aptos" w:eastAsia="Times New Roman" w:hAnsi="Aptos" w:cs="Times New Roman"/>
                <w:color w:val="000000"/>
                <w:kern w:val="0"/>
                <w:sz w:val="20"/>
                <w:szCs w:val="20"/>
                <w:lang w:eastAsia="en-GB"/>
                <w14:ligatures w14:val="none"/>
              </w:rPr>
            </w:pPr>
            <w:r w:rsidRPr="000E6CBB">
              <w:rPr>
                <w:rFonts w:ascii="Aptos" w:eastAsia="Times New Roman" w:hAnsi="Aptos" w:cs="Times New Roman"/>
                <w:color w:val="000000"/>
                <w:kern w:val="0"/>
                <w:sz w:val="20"/>
                <w:szCs w:val="20"/>
                <w:lang w:eastAsia="en-GB"/>
                <w14:ligatures w14:val="none"/>
              </w:rPr>
              <w:t>190</w:t>
            </w:r>
          </w:p>
        </w:tc>
        <w:tc>
          <w:tcPr>
            <w:tcW w:w="1223" w:type="dxa"/>
            <w:tcBorders>
              <w:top w:val="nil"/>
              <w:left w:val="nil"/>
              <w:bottom w:val="single" w:sz="4" w:space="0" w:color="auto"/>
              <w:right w:val="single" w:sz="4" w:space="0" w:color="auto"/>
            </w:tcBorders>
            <w:shd w:val="clear" w:color="auto" w:fill="auto"/>
            <w:vAlign w:val="center"/>
            <w:hideMark/>
          </w:tcPr>
          <w:p w14:paraId="111DBFA1" w14:textId="77777777" w:rsidR="000E6CBB" w:rsidRPr="000E6CBB" w:rsidRDefault="000E6CBB" w:rsidP="000E6CBB">
            <w:pPr>
              <w:spacing w:after="0" w:line="240" w:lineRule="auto"/>
              <w:jc w:val="center"/>
              <w:rPr>
                <w:rFonts w:ascii="Aptos" w:eastAsia="Times New Roman" w:hAnsi="Aptos" w:cs="Times New Roman"/>
                <w:color w:val="000000"/>
                <w:kern w:val="0"/>
                <w:sz w:val="20"/>
                <w:szCs w:val="20"/>
                <w:lang w:eastAsia="en-GB"/>
                <w14:ligatures w14:val="none"/>
              </w:rPr>
            </w:pPr>
            <w:r w:rsidRPr="000E6CBB">
              <w:rPr>
                <w:rFonts w:ascii="Aptos" w:eastAsia="Times New Roman" w:hAnsi="Aptos" w:cs="Times New Roman"/>
                <w:color w:val="000000"/>
                <w:kern w:val="0"/>
                <w:sz w:val="20"/>
                <w:szCs w:val="20"/>
                <w:lang w:eastAsia="en-GB"/>
                <w14:ligatures w14:val="none"/>
              </w:rPr>
              <w:t>160</w:t>
            </w:r>
          </w:p>
        </w:tc>
        <w:tc>
          <w:tcPr>
            <w:tcW w:w="1040" w:type="dxa"/>
            <w:tcBorders>
              <w:top w:val="nil"/>
              <w:left w:val="nil"/>
              <w:bottom w:val="single" w:sz="4" w:space="0" w:color="auto"/>
              <w:right w:val="single" w:sz="4" w:space="0" w:color="auto"/>
            </w:tcBorders>
            <w:shd w:val="clear" w:color="auto" w:fill="auto"/>
            <w:vAlign w:val="center"/>
            <w:hideMark/>
          </w:tcPr>
          <w:p w14:paraId="3D4D2C53" w14:textId="77777777" w:rsidR="000E6CBB" w:rsidRPr="000E6CBB" w:rsidRDefault="000E6CBB" w:rsidP="000E6CBB">
            <w:pPr>
              <w:spacing w:after="0" w:line="240" w:lineRule="auto"/>
              <w:jc w:val="center"/>
              <w:rPr>
                <w:rFonts w:ascii="Aptos" w:eastAsia="Times New Roman" w:hAnsi="Aptos" w:cs="Times New Roman"/>
                <w:color w:val="000000"/>
                <w:kern w:val="0"/>
                <w:sz w:val="20"/>
                <w:szCs w:val="20"/>
                <w:lang w:eastAsia="en-GB"/>
                <w14:ligatures w14:val="none"/>
              </w:rPr>
            </w:pPr>
            <w:r w:rsidRPr="000E6CBB">
              <w:rPr>
                <w:rFonts w:ascii="Aptos" w:eastAsia="Times New Roman" w:hAnsi="Aptos" w:cs="Times New Roman"/>
                <w:color w:val="000000"/>
                <w:kern w:val="0"/>
                <w:sz w:val="20"/>
                <w:szCs w:val="20"/>
                <w:lang w:eastAsia="en-GB"/>
                <w14:ligatures w14:val="none"/>
              </w:rPr>
              <w:t>200</w:t>
            </w:r>
          </w:p>
        </w:tc>
        <w:tc>
          <w:tcPr>
            <w:tcW w:w="1161" w:type="dxa"/>
            <w:tcBorders>
              <w:top w:val="nil"/>
              <w:left w:val="nil"/>
              <w:bottom w:val="single" w:sz="4" w:space="0" w:color="auto"/>
              <w:right w:val="single" w:sz="4" w:space="0" w:color="auto"/>
            </w:tcBorders>
            <w:shd w:val="clear" w:color="auto" w:fill="auto"/>
            <w:vAlign w:val="center"/>
            <w:hideMark/>
          </w:tcPr>
          <w:p w14:paraId="54AA45C4" w14:textId="77777777" w:rsidR="000E6CBB" w:rsidRPr="000E6CBB" w:rsidRDefault="000E6CBB" w:rsidP="000E6CBB">
            <w:pPr>
              <w:spacing w:after="0" w:line="240" w:lineRule="auto"/>
              <w:jc w:val="center"/>
              <w:rPr>
                <w:rFonts w:ascii="Aptos" w:eastAsia="Times New Roman" w:hAnsi="Aptos" w:cs="Times New Roman"/>
                <w:color w:val="000000"/>
                <w:kern w:val="0"/>
                <w:sz w:val="20"/>
                <w:szCs w:val="20"/>
                <w:lang w:eastAsia="en-GB"/>
                <w14:ligatures w14:val="none"/>
              </w:rPr>
            </w:pPr>
            <w:r w:rsidRPr="000E6CBB">
              <w:rPr>
                <w:rFonts w:ascii="Aptos" w:eastAsia="Times New Roman" w:hAnsi="Aptos" w:cs="Times New Roman"/>
                <w:color w:val="000000"/>
                <w:kern w:val="0"/>
                <w:sz w:val="20"/>
                <w:szCs w:val="20"/>
                <w:lang w:eastAsia="en-GB"/>
                <w14:ligatures w14:val="none"/>
              </w:rPr>
              <w:t>210</w:t>
            </w:r>
          </w:p>
        </w:tc>
      </w:tr>
      <w:tr w:rsidR="000E6CBB" w:rsidRPr="000E6CBB" w14:paraId="451A6492" w14:textId="77777777" w:rsidTr="000E6CBB">
        <w:trPr>
          <w:trHeight w:val="492"/>
        </w:trPr>
        <w:tc>
          <w:tcPr>
            <w:tcW w:w="2080" w:type="dxa"/>
            <w:tcBorders>
              <w:top w:val="nil"/>
              <w:left w:val="single" w:sz="4" w:space="0" w:color="auto"/>
              <w:bottom w:val="single" w:sz="4" w:space="0" w:color="auto"/>
              <w:right w:val="single" w:sz="4" w:space="0" w:color="auto"/>
            </w:tcBorders>
            <w:shd w:val="clear" w:color="000000" w:fill="E8E8E8"/>
            <w:noWrap/>
            <w:vAlign w:val="center"/>
            <w:hideMark/>
          </w:tcPr>
          <w:p w14:paraId="68E0C9A1"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Sales Income</w:t>
            </w:r>
          </w:p>
        </w:tc>
        <w:tc>
          <w:tcPr>
            <w:tcW w:w="1040" w:type="dxa"/>
            <w:tcBorders>
              <w:top w:val="nil"/>
              <w:left w:val="nil"/>
              <w:bottom w:val="single" w:sz="4" w:space="0" w:color="auto"/>
              <w:right w:val="single" w:sz="4" w:space="0" w:color="auto"/>
            </w:tcBorders>
            <w:shd w:val="clear" w:color="auto" w:fill="auto"/>
            <w:noWrap/>
            <w:vAlign w:val="center"/>
            <w:hideMark/>
          </w:tcPr>
          <w:p w14:paraId="12A418F5"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200</w:t>
            </w:r>
          </w:p>
        </w:tc>
        <w:tc>
          <w:tcPr>
            <w:tcW w:w="1040" w:type="dxa"/>
            <w:tcBorders>
              <w:top w:val="nil"/>
              <w:left w:val="nil"/>
              <w:bottom w:val="single" w:sz="4" w:space="0" w:color="auto"/>
              <w:right w:val="single" w:sz="4" w:space="0" w:color="auto"/>
            </w:tcBorders>
            <w:shd w:val="clear" w:color="auto" w:fill="auto"/>
            <w:noWrap/>
            <w:vAlign w:val="center"/>
            <w:hideMark/>
          </w:tcPr>
          <w:p w14:paraId="3C5E1EF5"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240</w:t>
            </w:r>
          </w:p>
        </w:tc>
        <w:tc>
          <w:tcPr>
            <w:tcW w:w="1040" w:type="dxa"/>
            <w:tcBorders>
              <w:top w:val="nil"/>
              <w:left w:val="nil"/>
              <w:bottom w:val="single" w:sz="4" w:space="0" w:color="auto"/>
              <w:right w:val="single" w:sz="4" w:space="0" w:color="auto"/>
            </w:tcBorders>
            <w:shd w:val="clear" w:color="auto" w:fill="auto"/>
            <w:noWrap/>
            <w:vAlign w:val="center"/>
            <w:hideMark/>
          </w:tcPr>
          <w:p w14:paraId="01D68070"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210</w:t>
            </w:r>
          </w:p>
        </w:tc>
        <w:tc>
          <w:tcPr>
            <w:tcW w:w="1223" w:type="dxa"/>
            <w:tcBorders>
              <w:top w:val="nil"/>
              <w:left w:val="nil"/>
              <w:bottom w:val="single" w:sz="4" w:space="0" w:color="auto"/>
              <w:right w:val="single" w:sz="4" w:space="0" w:color="auto"/>
            </w:tcBorders>
            <w:shd w:val="clear" w:color="auto" w:fill="auto"/>
            <w:noWrap/>
            <w:vAlign w:val="center"/>
            <w:hideMark/>
          </w:tcPr>
          <w:p w14:paraId="1D09FD97"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220</w:t>
            </w:r>
          </w:p>
        </w:tc>
        <w:tc>
          <w:tcPr>
            <w:tcW w:w="1040" w:type="dxa"/>
            <w:tcBorders>
              <w:top w:val="nil"/>
              <w:left w:val="nil"/>
              <w:bottom w:val="single" w:sz="4" w:space="0" w:color="auto"/>
              <w:right w:val="single" w:sz="4" w:space="0" w:color="auto"/>
            </w:tcBorders>
            <w:shd w:val="clear" w:color="auto" w:fill="auto"/>
            <w:noWrap/>
            <w:vAlign w:val="center"/>
            <w:hideMark/>
          </w:tcPr>
          <w:p w14:paraId="2352467A"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230</w:t>
            </w:r>
          </w:p>
        </w:tc>
        <w:tc>
          <w:tcPr>
            <w:tcW w:w="1161" w:type="dxa"/>
            <w:tcBorders>
              <w:top w:val="nil"/>
              <w:left w:val="nil"/>
              <w:bottom w:val="single" w:sz="4" w:space="0" w:color="auto"/>
              <w:right w:val="single" w:sz="4" w:space="0" w:color="auto"/>
            </w:tcBorders>
            <w:shd w:val="clear" w:color="auto" w:fill="auto"/>
            <w:noWrap/>
            <w:vAlign w:val="center"/>
            <w:hideMark/>
          </w:tcPr>
          <w:p w14:paraId="26667EC7"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250</w:t>
            </w:r>
          </w:p>
        </w:tc>
      </w:tr>
      <w:tr w:rsidR="000E6CBB" w:rsidRPr="000E6CBB" w14:paraId="4CBD99C5" w14:textId="77777777" w:rsidTr="000E6CBB">
        <w:trPr>
          <w:trHeight w:val="576"/>
        </w:trPr>
        <w:tc>
          <w:tcPr>
            <w:tcW w:w="2080" w:type="dxa"/>
            <w:tcBorders>
              <w:top w:val="nil"/>
              <w:left w:val="single" w:sz="4" w:space="0" w:color="auto"/>
              <w:bottom w:val="single" w:sz="4" w:space="0" w:color="auto"/>
              <w:right w:val="single" w:sz="4" w:space="0" w:color="auto"/>
            </w:tcBorders>
            <w:shd w:val="clear" w:color="000000" w:fill="E8E8E8"/>
            <w:vAlign w:val="center"/>
            <w:hideMark/>
          </w:tcPr>
          <w:p w14:paraId="20910B6F"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Cost of stock sold (65% of sales)</w:t>
            </w:r>
          </w:p>
        </w:tc>
        <w:tc>
          <w:tcPr>
            <w:tcW w:w="1040" w:type="dxa"/>
            <w:tcBorders>
              <w:top w:val="nil"/>
              <w:left w:val="nil"/>
              <w:bottom w:val="single" w:sz="4" w:space="0" w:color="auto"/>
              <w:right w:val="single" w:sz="4" w:space="0" w:color="auto"/>
            </w:tcBorders>
            <w:shd w:val="clear" w:color="auto" w:fill="auto"/>
            <w:vAlign w:val="center"/>
            <w:hideMark/>
          </w:tcPr>
          <w:p w14:paraId="7770655B"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130</w:t>
            </w:r>
          </w:p>
        </w:tc>
        <w:tc>
          <w:tcPr>
            <w:tcW w:w="1040" w:type="dxa"/>
            <w:tcBorders>
              <w:top w:val="nil"/>
              <w:left w:val="nil"/>
              <w:bottom w:val="single" w:sz="4" w:space="0" w:color="auto"/>
              <w:right w:val="single" w:sz="4" w:space="0" w:color="auto"/>
            </w:tcBorders>
            <w:shd w:val="clear" w:color="auto" w:fill="auto"/>
            <w:vAlign w:val="center"/>
            <w:hideMark/>
          </w:tcPr>
          <w:p w14:paraId="2DED5191"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156</w:t>
            </w:r>
          </w:p>
        </w:tc>
        <w:tc>
          <w:tcPr>
            <w:tcW w:w="1040" w:type="dxa"/>
            <w:tcBorders>
              <w:top w:val="nil"/>
              <w:left w:val="nil"/>
              <w:bottom w:val="single" w:sz="4" w:space="0" w:color="auto"/>
              <w:right w:val="single" w:sz="4" w:space="0" w:color="auto"/>
            </w:tcBorders>
            <w:shd w:val="clear" w:color="auto" w:fill="auto"/>
            <w:vAlign w:val="center"/>
            <w:hideMark/>
          </w:tcPr>
          <w:p w14:paraId="045EE4BF"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136.5</w:t>
            </w:r>
          </w:p>
        </w:tc>
        <w:tc>
          <w:tcPr>
            <w:tcW w:w="1223" w:type="dxa"/>
            <w:tcBorders>
              <w:top w:val="nil"/>
              <w:left w:val="nil"/>
              <w:bottom w:val="single" w:sz="4" w:space="0" w:color="auto"/>
              <w:right w:val="single" w:sz="4" w:space="0" w:color="auto"/>
            </w:tcBorders>
            <w:shd w:val="clear" w:color="auto" w:fill="auto"/>
            <w:vAlign w:val="center"/>
            <w:hideMark/>
          </w:tcPr>
          <w:p w14:paraId="477A2849"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143</w:t>
            </w:r>
          </w:p>
        </w:tc>
        <w:tc>
          <w:tcPr>
            <w:tcW w:w="1040" w:type="dxa"/>
            <w:tcBorders>
              <w:top w:val="nil"/>
              <w:left w:val="nil"/>
              <w:bottom w:val="single" w:sz="4" w:space="0" w:color="auto"/>
              <w:right w:val="single" w:sz="4" w:space="0" w:color="auto"/>
            </w:tcBorders>
            <w:shd w:val="clear" w:color="auto" w:fill="auto"/>
            <w:vAlign w:val="center"/>
            <w:hideMark/>
          </w:tcPr>
          <w:p w14:paraId="34685B80"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149.5</w:t>
            </w:r>
          </w:p>
        </w:tc>
        <w:tc>
          <w:tcPr>
            <w:tcW w:w="1161" w:type="dxa"/>
            <w:tcBorders>
              <w:top w:val="nil"/>
              <w:left w:val="nil"/>
              <w:bottom w:val="single" w:sz="4" w:space="0" w:color="auto"/>
              <w:right w:val="single" w:sz="4" w:space="0" w:color="auto"/>
            </w:tcBorders>
            <w:shd w:val="clear" w:color="auto" w:fill="auto"/>
            <w:vAlign w:val="center"/>
            <w:hideMark/>
          </w:tcPr>
          <w:p w14:paraId="228B1551"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162.5</w:t>
            </w:r>
          </w:p>
        </w:tc>
      </w:tr>
      <w:tr w:rsidR="000E6CBB" w:rsidRPr="000E6CBB" w14:paraId="3AB2D152" w14:textId="77777777" w:rsidTr="000E6CBB">
        <w:trPr>
          <w:trHeight w:val="492"/>
        </w:trPr>
        <w:tc>
          <w:tcPr>
            <w:tcW w:w="2080" w:type="dxa"/>
            <w:tcBorders>
              <w:top w:val="nil"/>
              <w:left w:val="single" w:sz="4" w:space="0" w:color="auto"/>
              <w:bottom w:val="single" w:sz="4" w:space="0" w:color="auto"/>
              <w:right w:val="single" w:sz="4" w:space="0" w:color="auto"/>
            </w:tcBorders>
            <w:shd w:val="clear" w:color="000000" w:fill="E8E8E8"/>
            <w:noWrap/>
            <w:vAlign w:val="center"/>
            <w:hideMark/>
          </w:tcPr>
          <w:p w14:paraId="20C0F023" w14:textId="77777777" w:rsidR="000E6CBB" w:rsidRPr="000E6CBB" w:rsidRDefault="000E6CBB" w:rsidP="000E6CBB">
            <w:pPr>
              <w:spacing w:after="0" w:line="240" w:lineRule="auto"/>
              <w:jc w:val="center"/>
              <w:rPr>
                <w:rFonts w:ascii="Aptos Narrow" w:eastAsia="Times New Roman" w:hAnsi="Aptos Narrow" w:cs="Times New Roman"/>
                <w:b/>
                <w:bCs/>
                <w:color w:val="000000"/>
                <w:kern w:val="0"/>
                <w:lang w:eastAsia="en-GB"/>
                <w14:ligatures w14:val="none"/>
              </w:rPr>
            </w:pPr>
            <w:r w:rsidRPr="000E6CBB">
              <w:rPr>
                <w:rFonts w:ascii="Aptos Narrow" w:eastAsia="Times New Roman" w:hAnsi="Aptos Narrow" w:cs="Times New Roman"/>
                <w:b/>
                <w:bCs/>
                <w:color w:val="000000"/>
                <w:kern w:val="0"/>
                <w:lang w:eastAsia="en-GB"/>
                <w14:ligatures w14:val="none"/>
              </w:rPr>
              <w:t>Closing stock</w:t>
            </w:r>
          </w:p>
        </w:tc>
        <w:tc>
          <w:tcPr>
            <w:tcW w:w="1040" w:type="dxa"/>
            <w:tcBorders>
              <w:top w:val="nil"/>
              <w:left w:val="nil"/>
              <w:bottom w:val="single" w:sz="4" w:space="0" w:color="auto"/>
              <w:right w:val="single" w:sz="4" w:space="0" w:color="auto"/>
            </w:tcBorders>
            <w:shd w:val="clear" w:color="auto" w:fill="auto"/>
            <w:noWrap/>
            <w:vAlign w:val="center"/>
            <w:hideMark/>
          </w:tcPr>
          <w:p w14:paraId="24C932D4"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110</w:t>
            </w:r>
          </w:p>
        </w:tc>
        <w:tc>
          <w:tcPr>
            <w:tcW w:w="1040" w:type="dxa"/>
            <w:tcBorders>
              <w:top w:val="nil"/>
              <w:left w:val="nil"/>
              <w:bottom w:val="single" w:sz="4" w:space="0" w:color="auto"/>
              <w:right w:val="single" w:sz="4" w:space="0" w:color="auto"/>
            </w:tcBorders>
            <w:shd w:val="clear" w:color="auto" w:fill="auto"/>
            <w:noWrap/>
            <w:vAlign w:val="center"/>
            <w:hideMark/>
          </w:tcPr>
          <w:p w14:paraId="55AFA6C3"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134</w:t>
            </w:r>
          </w:p>
        </w:tc>
        <w:tc>
          <w:tcPr>
            <w:tcW w:w="1040" w:type="dxa"/>
            <w:tcBorders>
              <w:top w:val="nil"/>
              <w:left w:val="nil"/>
              <w:bottom w:val="single" w:sz="4" w:space="0" w:color="auto"/>
              <w:right w:val="single" w:sz="4" w:space="0" w:color="auto"/>
            </w:tcBorders>
            <w:shd w:val="clear" w:color="auto" w:fill="auto"/>
            <w:noWrap/>
            <w:vAlign w:val="center"/>
            <w:hideMark/>
          </w:tcPr>
          <w:p w14:paraId="4E9D6613"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187.5</w:t>
            </w:r>
          </w:p>
        </w:tc>
        <w:tc>
          <w:tcPr>
            <w:tcW w:w="1223" w:type="dxa"/>
            <w:tcBorders>
              <w:top w:val="nil"/>
              <w:left w:val="nil"/>
              <w:bottom w:val="single" w:sz="4" w:space="0" w:color="auto"/>
              <w:right w:val="single" w:sz="4" w:space="0" w:color="auto"/>
            </w:tcBorders>
            <w:shd w:val="clear" w:color="auto" w:fill="auto"/>
            <w:noWrap/>
            <w:vAlign w:val="center"/>
            <w:hideMark/>
          </w:tcPr>
          <w:p w14:paraId="0761BB93"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204.5</w:t>
            </w:r>
          </w:p>
        </w:tc>
        <w:tc>
          <w:tcPr>
            <w:tcW w:w="1040" w:type="dxa"/>
            <w:tcBorders>
              <w:top w:val="nil"/>
              <w:left w:val="nil"/>
              <w:bottom w:val="single" w:sz="4" w:space="0" w:color="auto"/>
              <w:right w:val="single" w:sz="4" w:space="0" w:color="auto"/>
            </w:tcBorders>
            <w:shd w:val="clear" w:color="auto" w:fill="auto"/>
            <w:noWrap/>
            <w:vAlign w:val="center"/>
            <w:hideMark/>
          </w:tcPr>
          <w:p w14:paraId="4B65B39E"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255</w:t>
            </w:r>
          </w:p>
        </w:tc>
        <w:tc>
          <w:tcPr>
            <w:tcW w:w="1161" w:type="dxa"/>
            <w:tcBorders>
              <w:top w:val="nil"/>
              <w:left w:val="nil"/>
              <w:bottom w:val="single" w:sz="4" w:space="0" w:color="auto"/>
              <w:right w:val="single" w:sz="4" w:space="0" w:color="auto"/>
            </w:tcBorders>
            <w:shd w:val="clear" w:color="auto" w:fill="auto"/>
            <w:noWrap/>
            <w:vAlign w:val="center"/>
            <w:hideMark/>
          </w:tcPr>
          <w:p w14:paraId="17A89D9A" w14:textId="77777777" w:rsidR="000E6CBB" w:rsidRPr="000E6CBB" w:rsidRDefault="000E6CBB" w:rsidP="000E6CBB">
            <w:pPr>
              <w:spacing w:after="0" w:line="240" w:lineRule="auto"/>
              <w:jc w:val="center"/>
              <w:rPr>
                <w:rFonts w:ascii="Aptos Narrow" w:eastAsia="Times New Roman" w:hAnsi="Aptos Narrow" w:cs="Times New Roman"/>
                <w:color w:val="000000"/>
                <w:kern w:val="0"/>
                <w:sz w:val="20"/>
                <w:szCs w:val="20"/>
                <w:lang w:eastAsia="en-GB"/>
                <w14:ligatures w14:val="none"/>
              </w:rPr>
            </w:pPr>
            <w:r w:rsidRPr="000E6CBB">
              <w:rPr>
                <w:rFonts w:ascii="Aptos Narrow" w:eastAsia="Times New Roman" w:hAnsi="Aptos Narrow" w:cs="Times New Roman"/>
                <w:color w:val="000000"/>
                <w:kern w:val="0"/>
                <w:sz w:val="20"/>
                <w:szCs w:val="20"/>
                <w:lang w:eastAsia="en-GB"/>
                <w14:ligatures w14:val="none"/>
              </w:rPr>
              <w:t>302.5</w:t>
            </w:r>
          </w:p>
        </w:tc>
      </w:tr>
    </w:tbl>
    <w:p w14:paraId="7A54BD19" w14:textId="783970EE" w:rsidR="000E6CBB" w:rsidRDefault="000E6CBB" w:rsidP="000E6CBB">
      <w:pPr>
        <w:pStyle w:val="Heading1"/>
        <w:rPr>
          <w:rFonts w:ascii="Arial" w:eastAsia="Times New Roman" w:hAnsi="Arial" w:cs="Arial"/>
          <w:b/>
          <w:bCs/>
          <w:sz w:val="32"/>
          <w:szCs w:val="32"/>
          <w:lang w:eastAsia="en-GB"/>
        </w:rPr>
      </w:pPr>
      <w:r w:rsidRPr="00604069">
        <w:rPr>
          <w:rFonts w:ascii="Arial" w:eastAsia="Times New Roman" w:hAnsi="Arial" w:cs="Arial"/>
          <w:b/>
          <w:bCs/>
          <w:sz w:val="32"/>
          <w:szCs w:val="32"/>
          <w:lang w:eastAsia="en-GB"/>
        </w:rPr>
        <w:t>Stock Budget Analysis</w:t>
      </w:r>
    </w:p>
    <w:p w14:paraId="3D968DD9" w14:textId="77777777" w:rsidR="00752318" w:rsidRPr="00752318" w:rsidRDefault="00752318" w:rsidP="00752318">
      <w:pPr>
        <w:pStyle w:val="ListParagraph"/>
        <w:numPr>
          <w:ilvl w:val="0"/>
          <w:numId w:val="29"/>
        </w:numPr>
        <w:rPr>
          <w:rStyle w:val="hoverbg-blue-100"/>
          <w:rFonts w:ascii="Arial" w:hAnsi="Arial" w:cs="Arial"/>
        </w:rPr>
      </w:pPr>
      <w:r w:rsidRPr="00752318">
        <w:rPr>
          <w:rStyle w:val="hoverbg-blue-100"/>
          <w:rFonts w:ascii="Arial" w:hAnsi="Arial" w:cs="Arial"/>
        </w:rPr>
        <w:t xml:space="preserve">The stock budget analysis indicates the company maintains excessive inventory throughout the period. </w:t>
      </w:r>
    </w:p>
    <w:p w14:paraId="6C958B17" w14:textId="51F4DB30" w:rsidR="00752318" w:rsidRPr="00752318" w:rsidRDefault="00752318" w:rsidP="00752318">
      <w:pPr>
        <w:pStyle w:val="ListParagraph"/>
        <w:numPr>
          <w:ilvl w:val="0"/>
          <w:numId w:val="29"/>
        </w:numPr>
        <w:rPr>
          <w:rStyle w:val="hoverbg-blue-100"/>
          <w:rFonts w:ascii="Arial" w:hAnsi="Arial" w:cs="Arial"/>
        </w:rPr>
      </w:pPr>
      <w:r w:rsidRPr="00752318">
        <w:rPr>
          <w:rStyle w:val="hoverbg-blue-100"/>
          <w:rFonts w:ascii="Arial" w:hAnsi="Arial" w:cs="Arial"/>
        </w:rPr>
        <w:t xml:space="preserve">The stock budget revisions now provide a precise representation of inventory levels grounded on the cost of sales which equals 65% (Drury, 2018). </w:t>
      </w:r>
    </w:p>
    <w:p w14:paraId="3C8729ED" w14:textId="3989B2B4" w:rsidR="00752318" w:rsidRPr="00752318" w:rsidRDefault="00752318" w:rsidP="00752318">
      <w:pPr>
        <w:pStyle w:val="ListParagraph"/>
        <w:numPr>
          <w:ilvl w:val="0"/>
          <w:numId w:val="29"/>
        </w:numPr>
        <w:rPr>
          <w:rStyle w:val="hoverbg-blue-100"/>
          <w:rFonts w:ascii="Arial" w:hAnsi="Arial" w:cs="Arial"/>
        </w:rPr>
      </w:pPr>
      <w:r w:rsidRPr="00752318">
        <w:rPr>
          <w:rStyle w:val="hoverbg-blue-100"/>
          <w:rFonts w:ascii="Arial" w:hAnsi="Arial" w:cs="Arial"/>
        </w:rPr>
        <w:t>The company holds enough stock but faces increasing closing stock levels which point to possible overstocking.</w:t>
      </w:r>
    </w:p>
    <w:p w14:paraId="0CC74776" w14:textId="72997D4D" w:rsidR="00752318" w:rsidRPr="00752318" w:rsidRDefault="00752318" w:rsidP="00752318">
      <w:pPr>
        <w:pStyle w:val="ListParagraph"/>
        <w:numPr>
          <w:ilvl w:val="0"/>
          <w:numId w:val="29"/>
        </w:numPr>
        <w:rPr>
          <w:rStyle w:val="hoverbg-blue-100"/>
          <w:rFonts w:ascii="Arial" w:hAnsi="Arial" w:cs="Arial"/>
        </w:rPr>
      </w:pPr>
      <w:r w:rsidRPr="00752318">
        <w:rPr>
          <w:rStyle w:val="hoverbg-blue-100"/>
          <w:rFonts w:ascii="Arial" w:hAnsi="Arial" w:cs="Arial"/>
        </w:rPr>
        <w:t xml:space="preserve">Increased inventory levels may cause cash flow problems by locking up company funds and reducing financial liquidity. </w:t>
      </w:r>
    </w:p>
    <w:p w14:paraId="6981A194" w14:textId="0568F1FB" w:rsidR="00752318" w:rsidRPr="00752318" w:rsidRDefault="00752318" w:rsidP="00752318">
      <w:pPr>
        <w:pStyle w:val="ListParagraph"/>
        <w:numPr>
          <w:ilvl w:val="0"/>
          <w:numId w:val="29"/>
        </w:numPr>
        <w:rPr>
          <w:rFonts w:ascii="Arial" w:hAnsi="Arial" w:cs="Arial"/>
          <w:lang w:eastAsia="en-GB"/>
        </w:rPr>
      </w:pPr>
      <w:r w:rsidRPr="00752318">
        <w:rPr>
          <w:rStyle w:val="hoverbg-blue-100"/>
          <w:rFonts w:ascii="Arial" w:hAnsi="Arial" w:cs="Arial"/>
        </w:rPr>
        <w:lastRenderedPageBreak/>
        <w:t>Blue Thread Ltd needs to improve its purchasing strategies alongside demand forecasting methods to prevent unnecessary capital lock-up (Horngren, Datar &amp; Rajan, 2020).</w:t>
      </w:r>
    </w:p>
    <w:p w14:paraId="5BB2C6BA" w14:textId="1928FF51" w:rsidR="008860BC" w:rsidRDefault="00604069" w:rsidP="00604069">
      <w:pPr>
        <w:pStyle w:val="Heading1"/>
        <w:jc w:val="center"/>
        <w:rPr>
          <w:rFonts w:ascii="Arial" w:hAnsi="Arial" w:cs="Arial"/>
          <w:b/>
          <w:bCs/>
          <w:sz w:val="44"/>
          <w:szCs w:val="44"/>
        </w:rPr>
      </w:pPr>
      <w:r w:rsidRPr="00604069">
        <w:rPr>
          <w:rFonts w:ascii="Arial" w:hAnsi="Arial" w:cs="Arial"/>
          <w:b/>
          <w:bCs/>
          <w:sz w:val="44"/>
          <w:szCs w:val="44"/>
        </w:rPr>
        <w:t>Main Findings</w:t>
      </w:r>
    </w:p>
    <w:p w14:paraId="2A9BCD3A" w14:textId="1E825B7D" w:rsidR="00604069" w:rsidRDefault="00604069" w:rsidP="00604069">
      <w:pPr>
        <w:pStyle w:val="Heading1"/>
        <w:rPr>
          <w:rFonts w:ascii="Arial" w:hAnsi="Arial" w:cs="Arial"/>
          <w:b/>
          <w:bCs/>
          <w:sz w:val="32"/>
          <w:szCs w:val="32"/>
        </w:rPr>
      </w:pPr>
      <w:r w:rsidRPr="00604069">
        <w:rPr>
          <w:rFonts w:ascii="Arial" w:hAnsi="Arial" w:cs="Arial"/>
          <w:b/>
          <w:bCs/>
          <w:sz w:val="32"/>
          <w:szCs w:val="32"/>
        </w:rPr>
        <w:t>1.2 Cash Budget</w:t>
      </w:r>
    </w:p>
    <w:p w14:paraId="349EF24B" w14:textId="77777777" w:rsidR="00752318" w:rsidRPr="00752318" w:rsidRDefault="00752318" w:rsidP="00752318"/>
    <w:p w14:paraId="16BDF677" w14:textId="2A3370B6" w:rsidR="00604069" w:rsidRDefault="00752318" w:rsidP="006917C9">
      <w:pPr>
        <w:rPr>
          <w:rStyle w:val="hoverbg-blue-100"/>
          <w:rFonts w:ascii="Arial" w:hAnsi="Arial" w:cs="Arial"/>
        </w:rPr>
      </w:pPr>
      <w:r w:rsidRPr="00752318">
        <w:rPr>
          <w:rStyle w:val="hoverbg-blue-100"/>
          <w:rFonts w:ascii="Arial" w:hAnsi="Arial" w:cs="Arial"/>
        </w:rPr>
        <w:t>The cash budget serves as an essential financial tool which tracks cash inflows and outflows for defined time periods. The cash budget from Blue Thread Ltd. shows how seasonal changes in both sales and expenses cause fluctuations in their cash balances. The cash budget reveals that the company encounters short-term liquidity challenges during months that require high stock purchases and elevated administrative expenses. To manage cash flow properly businesses must focus on essential expenses first while renegotiating supplier credit terms and applying cost-control measures (Brealey, Myers &amp; Allen, 2020).</w:t>
      </w:r>
    </w:p>
    <w:p w14:paraId="6D66A686" w14:textId="77777777" w:rsidR="00752318" w:rsidRPr="00752318" w:rsidRDefault="00752318" w:rsidP="00604069">
      <w:pPr>
        <w:rPr>
          <w:rFonts w:ascii="Arial" w:hAnsi="Arial" w:cs="Arial"/>
        </w:rPr>
      </w:pPr>
    </w:p>
    <w:tbl>
      <w:tblPr>
        <w:tblW w:w="8337" w:type="dxa"/>
        <w:tblLook w:val="04A0" w:firstRow="1" w:lastRow="0" w:firstColumn="1" w:lastColumn="0" w:noHBand="0" w:noVBand="1"/>
      </w:tblPr>
      <w:tblGrid>
        <w:gridCol w:w="2097"/>
        <w:gridCol w:w="1040"/>
        <w:gridCol w:w="1040"/>
        <w:gridCol w:w="1040"/>
        <w:gridCol w:w="1223"/>
        <w:gridCol w:w="1040"/>
        <w:gridCol w:w="1161"/>
      </w:tblGrid>
      <w:tr w:rsidR="00604069" w:rsidRPr="00604069" w14:paraId="3E8FC6DD" w14:textId="77777777" w:rsidTr="00604069">
        <w:trPr>
          <w:trHeight w:val="492"/>
        </w:trPr>
        <w:tc>
          <w:tcPr>
            <w:tcW w:w="2097" w:type="dxa"/>
            <w:tcBorders>
              <w:top w:val="single" w:sz="4" w:space="0" w:color="auto"/>
              <w:left w:val="single" w:sz="4" w:space="0" w:color="auto"/>
              <w:bottom w:val="single" w:sz="4" w:space="0" w:color="auto"/>
              <w:right w:val="single" w:sz="4" w:space="0" w:color="auto"/>
            </w:tcBorders>
            <w:shd w:val="clear" w:color="000000" w:fill="000000"/>
            <w:noWrap/>
            <w:vAlign w:val="center"/>
            <w:hideMark/>
          </w:tcPr>
          <w:p w14:paraId="392148AB"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single" w:sz="4" w:space="0" w:color="auto"/>
              <w:left w:val="nil"/>
              <w:bottom w:val="single" w:sz="4" w:space="0" w:color="auto"/>
              <w:right w:val="single" w:sz="4" w:space="0" w:color="auto"/>
            </w:tcBorders>
            <w:shd w:val="clear" w:color="auto" w:fill="auto"/>
            <w:noWrap/>
            <w:vAlign w:val="center"/>
            <w:hideMark/>
          </w:tcPr>
          <w:p w14:paraId="4CEDA88E" w14:textId="77777777" w:rsidR="00604069" w:rsidRPr="00604069" w:rsidRDefault="00604069" w:rsidP="00604069">
            <w:pPr>
              <w:spacing w:after="0" w:line="240" w:lineRule="auto"/>
              <w:jc w:val="center"/>
              <w:rPr>
                <w:rFonts w:ascii="Aptos Narrow" w:eastAsia="Times New Roman" w:hAnsi="Aptos Narrow" w:cs="Times New Roman"/>
                <w:b/>
                <w:bCs/>
                <w:color w:val="000000"/>
                <w:kern w:val="0"/>
                <w:lang w:eastAsia="en-GB"/>
                <w14:ligatures w14:val="none"/>
              </w:rPr>
            </w:pPr>
            <w:r w:rsidRPr="00604069">
              <w:rPr>
                <w:rFonts w:ascii="Aptos Narrow" w:eastAsia="Times New Roman" w:hAnsi="Aptos Narrow" w:cs="Times New Roman"/>
                <w:b/>
                <w:bCs/>
                <w:color w:val="000000"/>
                <w:kern w:val="0"/>
                <w:lang w:eastAsia="en-GB"/>
                <w14:ligatures w14:val="none"/>
              </w:rPr>
              <w:t>June</w:t>
            </w:r>
          </w:p>
        </w:tc>
        <w:tc>
          <w:tcPr>
            <w:tcW w:w="1040" w:type="dxa"/>
            <w:tcBorders>
              <w:top w:val="single" w:sz="4" w:space="0" w:color="auto"/>
              <w:left w:val="nil"/>
              <w:bottom w:val="single" w:sz="4" w:space="0" w:color="auto"/>
              <w:right w:val="single" w:sz="4" w:space="0" w:color="auto"/>
            </w:tcBorders>
            <w:shd w:val="clear" w:color="auto" w:fill="auto"/>
            <w:noWrap/>
            <w:vAlign w:val="center"/>
            <w:hideMark/>
          </w:tcPr>
          <w:p w14:paraId="546820A8" w14:textId="77777777" w:rsidR="00604069" w:rsidRPr="00604069" w:rsidRDefault="00604069" w:rsidP="00604069">
            <w:pPr>
              <w:spacing w:after="0" w:line="240" w:lineRule="auto"/>
              <w:jc w:val="center"/>
              <w:rPr>
                <w:rFonts w:ascii="Aptos Narrow" w:eastAsia="Times New Roman" w:hAnsi="Aptos Narrow" w:cs="Times New Roman"/>
                <w:b/>
                <w:bCs/>
                <w:color w:val="000000"/>
                <w:kern w:val="0"/>
                <w:lang w:eastAsia="en-GB"/>
                <w14:ligatures w14:val="none"/>
              </w:rPr>
            </w:pPr>
            <w:r w:rsidRPr="00604069">
              <w:rPr>
                <w:rFonts w:ascii="Aptos Narrow" w:eastAsia="Times New Roman" w:hAnsi="Aptos Narrow" w:cs="Times New Roman"/>
                <w:b/>
                <w:bCs/>
                <w:color w:val="000000"/>
                <w:kern w:val="0"/>
                <w:lang w:eastAsia="en-GB"/>
                <w14:ligatures w14:val="none"/>
              </w:rPr>
              <w:t>July</w:t>
            </w:r>
          </w:p>
        </w:tc>
        <w:tc>
          <w:tcPr>
            <w:tcW w:w="1040" w:type="dxa"/>
            <w:tcBorders>
              <w:top w:val="single" w:sz="4" w:space="0" w:color="auto"/>
              <w:left w:val="nil"/>
              <w:bottom w:val="single" w:sz="4" w:space="0" w:color="auto"/>
              <w:right w:val="single" w:sz="4" w:space="0" w:color="auto"/>
            </w:tcBorders>
            <w:shd w:val="clear" w:color="auto" w:fill="auto"/>
            <w:noWrap/>
            <w:vAlign w:val="center"/>
            <w:hideMark/>
          </w:tcPr>
          <w:p w14:paraId="39B9BB67" w14:textId="77777777" w:rsidR="00604069" w:rsidRPr="00604069" w:rsidRDefault="00604069" w:rsidP="00604069">
            <w:pPr>
              <w:spacing w:after="0" w:line="240" w:lineRule="auto"/>
              <w:jc w:val="center"/>
              <w:rPr>
                <w:rFonts w:ascii="Aptos Narrow" w:eastAsia="Times New Roman" w:hAnsi="Aptos Narrow" w:cs="Times New Roman"/>
                <w:b/>
                <w:bCs/>
                <w:color w:val="000000"/>
                <w:kern w:val="0"/>
                <w:lang w:eastAsia="en-GB"/>
                <w14:ligatures w14:val="none"/>
              </w:rPr>
            </w:pPr>
            <w:r w:rsidRPr="00604069">
              <w:rPr>
                <w:rFonts w:ascii="Aptos Narrow" w:eastAsia="Times New Roman" w:hAnsi="Aptos Narrow" w:cs="Times New Roman"/>
                <w:b/>
                <w:bCs/>
                <w:color w:val="000000"/>
                <w:kern w:val="0"/>
                <w:lang w:eastAsia="en-GB"/>
                <w14:ligatures w14:val="none"/>
              </w:rPr>
              <w:t>August</w:t>
            </w:r>
          </w:p>
        </w:tc>
        <w:tc>
          <w:tcPr>
            <w:tcW w:w="1040" w:type="dxa"/>
            <w:tcBorders>
              <w:top w:val="single" w:sz="4" w:space="0" w:color="auto"/>
              <w:left w:val="nil"/>
              <w:bottom w:val="single" w:sz="4" w:space="0" w:color="auto"/>
              <w:right w:val="single" w:sz="4" w:space="0" w:color="auto"/>
            </w:tcBorders>
            <w:shd w:val="clear" w:color="auto" w:fill="auto"/>
            <w:noWrap/>
            <w:vAlign w:val="center"/>
            <w:hideMark/>
          </w:tcPr>
          <w:p w14:paraId="25572740" w14:textId="77777777" w:rsidR="00604069" w:rsidRPr="00604069" w:rsidRDefault="00604069" w:rsidP="00604069">
            <w:pPr>
              <w:spacing w:after="0" w:line="240" w:lineRule="auto"/>
              <w:jc w:val="center"/>
              <w:rPr>
                <w:rFonts w:ascii="Aptos Narrow" w:eastAsia="Times New Roman" w:hAnsi="Aptos Narrow" w:cs="Times New Roman"/>
                <w:b/>
                <w:bCs/>
                <w:color w:val="000000"/>
                <w:kern w:val="0"/>
                <w:lang w:eastAsia="en-GB"/>
                <w14:ligatures w14:val="none"/>
              </w:rPr>
            </w:pPr>
            <w:r w:rsidRPr="00604069">
              <w:rPr>
                <w:rFonts w:ascii="Aptos Narrow" w:eastAsia="Times New Roman" w:hAnsi="Aptos Narrow" w:cs="Times New Roman"/>
                <w:b/>
                <w:bCs/>
                <w:color w:val="000000"/>
                <w:kern w:val="0"/>
                <w:lang w:eastAsia="en-GB"/>
                <w14:ligatures w14:val="none"/>
              </w:rPr>
              <w:t>September</w:t>
            </w:r>
          </w:p>
        </w:tc>
        <w:tc>
          <w:tcPr>
            <w:tcW w:w="1040" w:type="dxa"/>
            <w:tcBorders>
              <w:top w:val="single" w:sz="4" w:space="0" w:color="auto"/>
              <w:left w:val="nil"/>
              <w:bottom w:val="single" w:sz="4" w:space="0" w:color="auto"/>
              <w:right w:val="single" w:sz="4" w:space="0" w:color="auto"/>
            </w:tcBorders>
            <w:shd w:val="clear" w:color="auto" w:fill="auto"/>
            <w:noWrap/>
            <w:vAlign w:val="center"/>
            <w:hideMark/>
          </w:tcPr>
          <w:p w14:paraId="1B898B02" w14:textId="77777777" w:rsidR="00604069" w:rsidRPr="00604069" w:rsidRDefault="00604069" w:rsidP="00604069">
            <w:pPr>
              <w:spacing w:after="0" w:line="240" w:lineRule="auto"/>
              <w:jc w:val="center"/>
              <w:rPr>
                <w:rFonts w:ascii="Aptos Narrow" w:eastAsia="Times New Roman" w:hAnsi="Aptos Narrow" w:cs="Times New Roman"/>
                <w:b/>
                <w:bCs/>
                <w:color w:val="000000"/>
                <w:kern w:val="0"/>
                <w:lang w:eastAsia="en-GB"/>
                <w14:ligatures w14:val="none"/>
              </w:rPr>
            </w:pPr>
            <w:r w:rsidRPr="00604069">
              <w:rPr>
                <w:rFonts w:ascii="Aptos Narrow" w:eastAsia="Times New Roman" w:hAnsi="Aptos Narrow" w:cs="Times New Roman"/>
                <w:b/>
                <w:bCs/>
                <w:color w:val="000000"/>
                <w:kern w:val="0"/>
                <w:lang w:eastAsia="en-GB"/>
                <w14:ligatures w14:val="none"/>
              </w:rPr>
              <w:t>October</w:t>
            </w:r>
          </w:p>
        </w:tc>
        <w:tc>
          <w:tcPr>
            <w:tcW w:w="1040" w:type="dxa"/>
            <w:tcBorders>
              <w:top w:val="single" w:sz="4" w:space="0" w:color="auto"/>
              <w:left w:val="nil"/>
              <w:bottom w:val="single" w:sz="4" w:space="0" w:color="auto"/>
              <w:right w:val="single" w:sz="4" w:space="0" w:color="auto"/>
            </w:tcBorders>
            <w:shd w:val="clear" w:color="auto" w:fill="auto"/>
            <w:noWrap/>
            <w:vAlign w:val="center"/>
            <w:hideMark/>
          </w:tcPr>
          <w:p w14:paraId="06A68D84" w14:textId="77777777" w:rsidR="00604069" w:rsidRPr="00604069" w:rsidRDefault="00604069" w:rsidP="00604069">
            <w:pPr>
              <w:spacing w:after="0" w:line="240" w:lineRule="auto"/>
              <w:jc w:val="center"/>
              <w:rPr>
                <w:rFonts w:ascii="Aptos Narrow" w:eastAsia="Times New Roman" w:hAnsi="Aptos Narrow" w:cs="Times New Roman"/>
                <w:b/>
                <w:bCs/>
                <w:color w:val="000000"/>
                <w:kern w:val="0"/>
                <w:lang w:eastAsia="en-GB"/>
                <w14:ligatures w14:val="none"/>
              </w:rPr>
            </w:pPr>
            <w:r w:rsidRPr="00604069">
              <w:rPr>
                <w:rFonts w:ascii="Aptos Narrow" w:eastAsia="Times New Roman" w:hAnsi="Aptos Narrow" w:cs="Times New Roman"/>
                <w:b/>
                <w:bCs/>
                <w:color w:val="000000"/>
                <w:kern w:val="0"/>
                <w:lang w:eastAsia="en-GB"/>
                <w14:ligatures w14:val="none"/>
              </w:rPr>
              <w:t>November</w:t>
            </w:r>
          </w:p>
        </w:tc>
      </w:tr>
      <w:tr w:rsidR="00604069" w:rsidRPr="00604069" w14:paraId="7C2DBFBD"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2CCCD1D2" w14:textId="77777777" w:rsidR="00604069" w:rsidRPr="00604069" w:rsidRDefault="00604069" w:rsidP="00604069">
            <w:pPr>
              <w:spacing w:after="0" w:line="240" w:lineRule="auto"/>
              <w:jc w:val="center"/>
              <w:rPr>
                <w:rFonts w:ascii="Arial" w:eastAsia="Times New Roman" w:hAnsi="Arial" w:cs="Arial"/>
                <w:b/>
                <w:bCs/>
                <w:color w:val="000000"/>
                <w:kern w:val="0"/>
                <w:lang w:eastAsia="en-GB"/>
                <w14:ligatures w14:val="none"/>
              </w:rPr>
            </w:pPr>
            <w:r w:rsidRPr="00604069">
              <w:rPr>
                <w:rFonts w:ascii="Arial" w:eastAsia="Times New Roman" w:hAnsi="Arial" w:cs="Arial"/>
                <w:b/>
                <w:bCs/>
                <w:color w:val="000000"/>
                <w:kern w:val="0"/>
                <w:lang w:eastAsia="en-GB"/>
                <w14:ligatures w14:val="none"/>
              </w:rPr>
              <w:t xml:space="preserve">Cash receipts </w:t>
            </w:r>
          </w:p>
        </w:tc>
        <w:tc>
          <w:tcPr>
            <w:tcW w:w="1040" w:type="dxa"/>
            <w:tcBorders>
              <w:top w:val="nil"/>
              <w:left w:val="nil"/>
              <w:bottom w:val="single" w:sz="4" w:space="0" w:color="auto"/>
              <w:right w:val="single" w:sz="4" w:space="0" w:color="auto"/>
            </w:tcBorders>
            <w:shd w:val="clear" w:color="000000" w:fill="E8E8E8"/>
            <w:noWrap/>
            <w:vAlign w:val="center"/>
            <w:hideMark/>
          </w:tcPr>
          <w:p w14:paraId="489A2E58"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5DF0C3A1"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788DD346"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73EF11D2"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358BACFC"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4A781796"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r>
      <w:tr w:rsidR="00604069" w:rsidRPr="00604069" w14:paraId="17B25D0B"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0221A53C" w14:textId="77777777" w:rsidR="00604069" w:rsidRPr="00604069" w:rsidRDefault="00604069" w:rsidP="00604069">
            <w:pPr>
              <w:spacing w:after="0" w:line="240" w:lineRule="auto"/>
              <w:jc w:val="center"/>
              <w:rPr>
                <w:rFonts w:ascii="Arial" w:eastAsia="Times New Roman" w:hAnsi="Arial" w:cs="Arial"/>
                <w:b/>
                <w:bCs/>
                <w:color w:val="000000"/>
                <w:kern w:val="0"/>
                <w:lang w:eastAsia="en-GB"/>
                <w14:ligatures w14:val="none"/>
              </w:rPr>
            </w:pPr>
            <w:r w:rsidRPr="00604069">
              <w:rPr>
                <w:rFonts w:ascii="Arial" w:eastAsia="Times New Roman" w:hAnsi="Arial" w:cs="Arial"/>
                <w:b/>
                <w:bCs/>
                <w:color w:val="000000"/>
                <w:kern w:val="0"/>
                <w:lang w:eastAsia="en-GB"/>
                <w14:ligatures w14:val="none"/>
              </w:rPr>
              <w:t>Sales net of</w:t>
            </w:r>
          </w:p>
        </w:tc>
        <w:tc>
          <w:tcPr>
            <w:tcW w:w="1040" w:type="dxa"/>
            <w:tcBorders>
              <w:top w:val="nil"/>
              <w:left w:val="nil"/>
              <w:bottom w:val="single" w:sz="4" w:space="0" w:color="auto"/>
              <w:right w:val="single" w:sz="4" w:space="0" w:color="auto"/>
            </w:tcBorders>
            <w:shd w:val="clear" w:color="000000" w:fill="FFFFFF"/>
            <w:noWrap/>
            <w:vAlign w:val="center"/>
            <w:hideMark/>
          </w:tcPr>
          <w:p w14:paraId="5FCC8DBE"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198.2</w:t>
            </w:r>
          </w:p>
        </w:tc>
        <w:tc>
          <w:tcPr>
            <w:tcW w:w="1040" w:type="dxa"/>
            <w:tcBorders>
              <w:top w:val="nil"/>
              <w:left w:val="nil"/>
              <w:bottom w:val="single" w:sz="4" w:space="0" w:color="auto"/>
              <w:right w:val="single" w:sz="4" w:space="0" w:color="auto"/>
            </w:tcBorders>
            <w:shd w:val="clear" w:color="000000" w:fill="FFFFFF"/>
            <w:noWrap/>
            <w:vAlign w:val="center"/>
            <w:hideMark/>
          </w:tcPr>
          <w:p w14:paraId="45668C8A"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237.8</w:t>
            </w:r>
          </w:p>
        </w:tc>
        <w:tc>
          <w:tcPr>
            <w:tcW w:w="1040" w:type="dxa"/>
            <w:tcBorders>
              <w:top w:val="nil"/>
              <w:left w:val="nil"/>
              <w:bottom w:val="single" w:sz="4" w:space="0" w:color="auto"/>
              <w:right w:val="single" w:sz="4" w:space="0" w:color="auto"/>
            </w:tcBorders>
            <w:shd w:val="clear" w:color="000000" w:fill="FFFFFF"/>
            <w:noWrap/>
            <w:vAlign w:val="center"/>
            <w:hideMark/>
          </w:tcPr>
          <w:p w14:paraId="0A2A64CD"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208.11</w:t>
            </w:r>
          </w:p>
        </w:tc>
        <w:tc>
          <w:tcPr>
            <w:tcW w:w="1040" w:type="dxa"/>
            <w:tcBorders>
              <w:top w:val="nil"/>
              <w:left w:val="nil"/>
              <w:bottom w:val="single" w:sz="4" w:space="0" w:color="auto"/>
              <w:right w:val="single" w:sz="4" w:space="0" w:color="auto"/>
            </w:tcBorders>
            <w:shd w:val="clear" w:color="000000" w:fill="FFFFFF"/>
            <w:noWrap/>
            <w:vAlign w:val="center"/>
            <w:hideMark/>
          </w:tcPr>
          <w:p w14:paraId="1769B7B6"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218.02</w:t>
            </w:r>
          </w:p>
        </w:tc>
        <w:tc>
          <w:tcPr>
            <w:tcW w:w="1040" w:type="dxa"/>
            <w:tcBorders>
              <w:top w:val="nil"/>
              <w:left w:val="nil"/>
              <w:bottom w:val="single" w:sz="4" w:space="0" w:color="auto"/>
              <w:right w:val="single" w:sz="4" w:space="0" w:color="auto"/>
            </w:tcBorders>
            <w:shd w:val="clear" w:color="000000" w:fill="FFFFFF"/>
            <w:noWrap/>
            <w:vAlign w:val="center"/>
            <w:hideMark/>
          </w:tcPr>
          <w:p w14:paraId="4DB96D2D"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227.93</w:t>
            </w:r>
          </w:p>
        </w:tc>
        <w:tc>
          <w:tcPr>
            <w:tcW w:w="1040" w:type="dxa"/>
            <w:tcBorders>
              <w:top w:val="nil"/>
              <w:left w:val="nil"/>
              <w:bottom w:val="single" w:sz="4" w:space="0" w:color="auto"/>
              <w:right w:val="single" w:sz="4" w:space="0" w:color="auto"/>
            </w:tcBorders>
            <w:shd w:val="clear" w:color="000000" w:fill="FFFFFF"/>
            <w:noWrap/>
            <w:vAlign w:val="center"/>
            <w:hideMark/>
          </w:tcPr>
          <w:p w14:paraId="5D9E29B1"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247.75</w:t>
            </w:r>
          </w:p>
        </w:tc>
      </w:tr>
      <w:tr w:rsidR="00604069" w:rsidRPr="00604069" w14:paraId="00C4F994"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30A83E7F" w14:textId="77777777" w:rsidR="00604069" w:rsidRPr="00604069" w:rsidRDefault="00604069" w:rsidP="00604069">
            <w:pPr>
              <w:spacing w:after="0" w:line="240" w:lineRule="auto"/>
              <w:jc w:val="center"/>
              <w:rPr>
                <w:rFonts w:ascii="Arial" w:eastAsia="Times New Roman" w:hAnsi="Arial" w:cs="Arial"/>
                <w:b/>
                <w:bCs/>
                <w:color w:val="000000"/>
                <w:kern w:val="0"/>
                <w:lang w:eastAsia="en-GB"/>
                <w14:ligatures w14:val="none"/>
              </w:rPr>
            </w:pPr>
            <w:r w:rsidRPr="00604069">
              <w:rPr>
                <w:rFonts w:ascii="Arial" w:eastAsia="Times New Roman" w:hAnsi="Arial" w:cs="Arial"/>
                <w:b/>
                <w:bCs/>
                <w:color w:val="000000"/>
                <w:kern w:val="0"/>
                <w:lang w:eastAsia="en-GB"/>
                <w14:ligatures w14:val="none"/>
              </w:rPr>
              <w:t>Cash payments</w:t>
            </w:r>
          </w:p>
        </w:tc>
        <w:tc>
          <w:tcPr>
            <w:tcW w:w="1040" w:type="dxa"/>
            <w:tcBorders>
              <w:top w:val="nil"/>
              <w:left w:val="nil"/>
              <w:bottom w:val="single" w:sz="4" w:space="0" w:color="auto"/>
              <w:right w:val="single" w:sz="4" w:space="0" w:color="auto"/>
            </w:tcBorders>
            <w:shd w:val="clear" w:color="000000" w:fill="E8E8E8"/>
            <w:noWrap/>
            <w:vAlign w:val="center"/>
            <w:hideMark/>
          </w:tcPr>
          <w:p w14:paraId="41725D43"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Arial"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5B70A5FC"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0B9C9BCD"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1211C67E"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4EF87A08"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000000" w:fill="E8E8E8"/>
            <w:noWrap/>
            <w:vAlign w:val="center"/>
            <w:hideMark/>
          </w:tcPr>
          <w:p w14:paraId="2D6E6FD5"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r>
      <w:tr w:rsidR="00604069" w:rsidRPr="00604069" w14:paraId="70C05D64"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1FA742EA"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Administration</w:t>
            </w:r>
          </w:p>
        </w:tc>
        <w:tc>
          <w:tcPr>
            <w:tcW w:w="1040" w:type="dxa"/>
            <w:tcBorders>
              <w:top w:val="nil"/>
              <w:left w:val="nil"/>
              <w:bottom w:val="single" w:sz="4" w:space="0" w:color="auto"/>
              <w:right w:val="single" w:sz="4" w:space="0" w:color="auto"/>
            </w:tcBorders>
            <w:shd w:val="clear" w:color="auto" w:fill="auto"/>
            <w:noWrap/>
            <w:vAlign w:val="center"/>
            <w:hideMark/>
          </w:tcPr>
          <w:p w14:paraId="6EBEBB8F"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-17</w:t>
            </w:r>
          </w:p>
        </w:tc>
        <w:tc>
          <w:tcPr>
            <w:tcW w:w="1040" w:type="dxa"/>
            <w:tcBorders>
              <w:top w:val="nil"/>
              <w:left w:val="nil"/>
              <w:bottom w:val="single" w:sz="4" w:space="0" w:color="auto"/>
              <w:right w:val="single" w:sz="4" w:space="0" w:color="auto"/>
            </w:tcBorders>
            <w:shd w:val="clear" w:color="auto" w:fill="auto"/>
            <w:noWrap/>
            <w:vAlign w:val="center"/>
            <w:hideMark/>
          </w:tcPr>
          <w:p w14:paraId="262E5D44"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-18</w:t>
            </w:r>
          </w:p>
        </w:tc>
        <w:tc>
          <w:tcPr>
            <w:tcW w:w="1040" w:type="dxa"/>
            <w:tcBorders>
              <w:top w:val="nil"/>
              <w:left w:val="nil"/>
              <w:bottom w:val="single" w:sz="4" w:space="0" w:color="auto"/>
              <w:right w:val="single" w:sz="4" w:space="0" w:color="auto"/>
            </w:tcBorders>
            <w:shd w:val="clear" w:color="auto" w:fill="auto"/>
            <w:noWrap/>
            <w:vAlign w:val="center"/>
            <w:hideMark/>
          </w:tcPr>
          <w:p w14:paraId="5BBCC2C2"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-19</w:t>
            </w:r>
          </w:p>
        </w:tc>
        <w:tc>
          <w:tcPr>
            <w:tcW w:w="1040" w:type="dxa"/>
            <w:tcBorders>
              <w:top w:val="nil"/>
              <w:left w:val="nil"/>
              <w:bottom w:val="single" w:sz="4" w:space="0" w:color="auto"/>
              <w:right w:val="single" w:sz="4" w:space="0" w:color="auto"/>
            </w:tcBorders>
            <w:shd w:val="clear" w:color="auto" w:fill="auto"/>
            <w:noWrap/>
            <w:vAlign w:val="center"/>
            <w:hideMark/>
          </w:tcPr>
          <w:p w14:paraId="73886A22"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-20</w:t>
            </w:r>
          </w:p>
        </w:tc>
        <w:tc>
          <w:tcPr>
            <w:tcW w:w="1040" w:type="dxa"/>
            <w:tcBorders>
              <w:top w:val="nil"/>
              <w:left w:val="nil"/>
              <w:bottom w:val="single" w:sz="4" w:space="0" w:color="auto"/>
              <w:right w:val="single" w:sz="4" w:space="0" w:color="auto"/>
            </w:tcBorders>
            <w:shd w:val="clear" w:color="auto" w:fill="auto"/>
            <w:noWrap/>
            <w:vAlign w:val="center"/>
            <w:hideMark/>
          </w:tcPr>
          <w:p w14:paraId="535C9C80"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-21</w:t>
            </w:r>
          </w:p>
        </w:tc>
        <w:tc>
          <w:tcPr>
            <w:tcW w:w="1040" w:type="dxa"/>
            <w:tcBorders>
              <w:top w:val="nil"/>
              <w:left w:val="nil"/>
              <w:bottom w:val="single" w:sz="4" w:space="0" w:color="auto"/>
              <w:right w:val="single" w:sz="4" w:space="0" w:color="auto"/>
            </w:tcBorders>
            <w:shd w:val="clear" w:color="auto" w:fill="auto"/>
            <w:noWrap/>
            <w:vAlign w:val="center"/>
            <w:hideMark/>
          </w:tcPr>
          <w:p w14:paraId="22ECC7F9"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-22</w:t>
            </w:r>
          </w:p>
        </w:tc>
      </w:tr>
      <w:tr w:rsidR="00604069" w:rsidRPr="00604069" w14:paraId="54CB0FDE"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1ECBBF8A"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 xml:space="preserve">Stock purchased </w:t>
            </w:r>
          </w:p>
        </w:tc>
        <w:tc>
          <w:tcPr>
            <w:tcW w:w="1040" w:type="dxa"/>
            <w:tcBorders>
              <w:top w:val="nil"/>
              <w:left w:val="nil"/>
              <w:bottom w:val="single" w:sz="4" w:space="0" w:color="auto"/>
              <w:right w:val="single" w:sz="4" w:space="0" w:color="auto"/>
            </w:tcBorders>
            <w:shd w:val="clear" w:color="auto" w:fill="auto"/>
            <w:noWrap/>
            <w:vAlign w:val="center"/>
            <w:hideMark/>
          </w:tcPr>
          <w:p w14:paraId="097FCE81"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-170</w:t>
            </w:r>
          </w:p>
        </w:tc>
        <w:tc>
          <w:tcPr>
            <w:tcW w:w="1040" w:type="dxa"/>
            <w:tcBorders>
              <w:top w:val="nil"/>
              <w:left w:val="nil"/>
              <w:bottom w:val="single" w:sz="4" w:space="0" w:color="auto"/>
              <w:right w:val="single" w:sz="4" w:space="0" w:color="auto"/>
            </w:tcBorders>
            <w:shd w:val="clear" w:color="auto" w:fill="auto"/>
            <w:noWrap/>
            <w:vAlign w:val="center"/>
            <w:hideMark/>
          </w:tcPr>
          <w:p w14:paraId="0721D547"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-150</w:t>
            </w:r>
          </w:p>
        </w:tc>
        <w:tc>
          <w:tcPr>
            <w:tcW w:w="1040" w:type="dxa"/>
            <w:tcBorders>
              <w:top w:val="nil"/>
              <w:left w:val="nil"/>
              <w:bottom w:val="single" w:sz="4" w:space="0" w:color="auto"/>
              <w:right w:val="single" w:sz="4" w:space="0" w:color="auto"/>
            </w:tcBorders>
            <w:shd w:val="clear" w:color="auto" w:fill="auto"/>
            <w:noWrap/>
            <w:vAlign w:val="center"/>
            <w:hideMark/>
          </w:tcPr>
          <w:p w14:paraId="37FFB0ED"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-180</w:t>
            </w:r>
          </w:p>
        </w:tc>
        <w:tc>
          <w:tcPr>
            <w:tcW w:w="1040" w:type="dxa"/>
            <w:tcBorders>
              <w:top w:val="nil"/>
              <w:left w:val="nil"/>
              <w:bottom w:val="single" w:sz="4" w:space="0" w:color="auto"/>
              <w:right w:val="single" w:sz="4" w:space="0" w:color="auto"/>
            </w:tcBorders>
            <w:shd w:val="clear" w:color="auto" w:fill="auto"/>
            <w:noWrap/>
            <w:vAlign w:val="center"/>
            <w:hideMark/>
          </w:tcPr>
          <w:p w14:paraId="67334D69"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-190</w:t>
            </w:r>
          </w:p>
        </w:tc>
        <w:tc>
          <w:tcPr>
            <w:tcW w:w="1040" w:type="dxa"/>
            <w:tcBorders>
              <w:top w:val="nil"/>
              <w:left w:val="nil"/>
              <w:bottom w:val="single" w:sz="4" w:space="0" w:color="auto"/>
              <w:right w:val="single" w:sz="4" w:space="0" w:color="auto"/>
            </w:tcBorders>
            <w:shd w:val="clear" w:color="auto" w:fill="auto"/>
            <w:noWrap/>
            <w:vAlign w:val="center"/>
            <w:hideMark/>
          </w:tcPr>
          <w:p w14:paraId="362DA2C4"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-160</w:t>
            </w:r>
          </w:p>
        </w:tc>
        <w:tc>
          <w:tcPr>
            <w:tcW w:w="1040" w:type="dxa"/>
            <w:tcBorders>
              <w:top w:val="nil"/>
              <w:left w:val="nil"/>
              <w:bottom w:val="single" w:sz="4" w:space="0" w:color="auto"/>
              <w:right w:val="single" w:sz="4" w:space="0" w:color="auto"/>
            </w:tcBorders>
            <w:shd w:val="clear" w:color="auto" w:fill="auto"/>
            <w:noWrap/>
            <w:vAlign w:val="center"/>
            <w:hideMark/>
          </w:tcPr>
          <w:p w14:paraId="0FCA0914"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-200</w:t>
            </w:r>
          </w:p>
        </w:tc>
      </w:tr>
      <w:tr w:rsidR="00604069" w:rsidRPr="00604069" w14:paraId="4C5929EE"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0D2C9C0E"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 xml:space="preserve">Repayments of loan </w:t>
            </w:r>
          </w:p>
        </w:tc>
        <w:tc>
          <w:tcPr>
            <w:tcW w:w="1040" w:type="dxa"/>
            <w:tcBorders>
              <w:top w:val="nil"/>
              <w:left w:val="nil"/>
              <w:bottom w:val="single" w:sz="4" w:space="0" w:color="auto"/>
              <w:right w:val="single" w:sz="4" w:space="0" w:color="auto"/>
            </w:tcBorders>
            <w:shd w:val="clear" w:color="auto" w:fill="auto"/>
            <w:noWrap/>
            <w:vAlign w:val="center"/>
            <w:hideMark/>
          </w:tcPr>
          <w:p w14:paraId="036B87DA"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4</w:t>
            </w:r>
          </w:p>
        </w:tc>
        <w:tc>
          <w:tcPr>
            <w:tcW w:w="1040" w:type="dxa"/>
            <w:tcBorders>
              <w:top w:val="nil"/>
              <w:left w:val="nil"/>
              <w:bottom w:val="single" w:sz="4" w:space="0" w:color="auto"/>
              <w:right w:val="single" w:sz="4" w:space="0" w:color="auto"/>
            </w:tcBorders>
            <w:shd w:val="clear" w:color="auto" w:fill="auto"/>
            <w:noWrap/>
            <w:vAlign w:val="center"/>
            <w:hideMark/>
          </w:tcPr>
          <w:p w14:paraId="4F47639A"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4</w:t>
            </w:r>
          </w:p>
        </w:tc>
        <w:tc>
          <w:tcPr>
            <w:tcW w:w="1040" w:type="dxa"/>
            <w:tcBorders>
              <w:top w:val="nil"/>
              <w:left w:val="nil"/>
              <w:bottom w:val="single" w:sz="4" w:space="0" w:color="auto"/>
              <w:right w:val="single" w:sz="4" w:space="0" w:color="auto"/>
            </w:tcBorders>
            <w:shd w:val="clear" w:color="auto" w:fill="auto"/>
            <w:noWrap/>
            <w:vAlign w:val="center"/>
            <w:hideMark/>
          </w:tcPr>
          <w:p w14:paraId="00C4E7A3"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4</w:t>
            </w:r>
          </w:p>
        </w:tc>
        <w:tc>
          <w:tcPr>
            <w:tcW w:w="1040" w:type="dxa"/>
            <w:tcBorders>
              <w:top w:val="nil"/>
              <w:left w:val="nil"/>
              <w:bottom w:val="single" w:sz="4" w:space="0" w:color="auto"/>
              <w:right w:val="single" w:sz="4" w:space="0" w:color="auto"/>
            </w:tcBorders>
            <w:shd w:val="clear" w:color="auto" w:fill="auto"/>
            <w:noWrap/>
            <w:vAlign w:val="center"/>
            <w:hideMark/>
          </w:tcPr>
          <w:p w14:paraId="1CF6FFC8"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4</w:t>
            </w:r>
          </w:p>
        </w:tc>
        <w:tc>
          <w:tcPr>
            <w:tcW w:w="1040" w:type="dxa"/>
            <w:tcBorders>
              <w:top w:val="nil"/>
              <w:left w:val="nil"/>
              <w:bottom w:val="single" w:sz="4" w:space="0" w:color="auto"/>
              <w:right w:val="single" w:sz="4" w:space="0" w:color="auto"/>
            </w:tcBorders>
            <w:shd w:val="clear" w:color="auto" w:fill="auto"/>
            <w:noWrap/>
            <w:vAlign w:val="center"/>
            <w:hideMark/>
          </w:tcPr>
          <w:p w14:paraId="4ABF4B89"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4</w:t>
            </w:r>
          </w:p>
        </w:tc>
        <w:tc>
          <w:tcPr>
            <w:tcW w:w="1040" w:type="dxa"/>
            <w:tcBorders>
              <w:top w:val="nil"/>
              <w:left w:val="nil"/>
              <w:bottom w:val="single" w:sz="4" w:space="0" w:color="auto"/>
              <w:right w:val="single" w:sz="4" w:space="0" w:color="auto"/>
            </w:tcBorders>
            <w:shd w:val="clear" w:color="auto" w:fill="auto"/>
            <w:noWrap/>
            <w:vAlign w:val="center"/>
            <w:hideMark/>
          </w:tcPr>
          <w:p w14:paraId="27C1AEBC"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4</w:t>
            </w:r>
          </w:p>
        </w:tc>
      </w:tr>
      <w:tr w:rsidR="00604069" w:rsidRPr="00604069" w14:paraId="302A679B"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13AA5BD1"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 xml:space="preserve">Selling expenses </w:t>
            </w:r>
          </w:p>
        </w:tc>
        <w:tc>
          <w:tcPr>
            <w:tcW w:w="1040" w:type="dxa"/>
            <w:tcBorders>
              <w:top w:val="nil"/>
              <w:left w:val="nil"/>
              <w:bottom w:val="single" w:sz="4" w:space="0" w:color="auto"/>
              <w:right w:val="single" w:sz="4" w:space="0" w:color="auto"/>
            </w:tcBorders>
            <w:shd w:val="clear" w:color="auto" w:fill="auto"/>
            <w:noWrap/>
            <w:vAlign w:val="center"/>
            <w:hideMark/>
          </w:tcPr>
          <w:p w14:paraId="099117ED"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5</w:t>
            </w:r>
          </w:p>
        </w:tc>
        <w:tc>
          <w:tcPr>
            <w:tcW w:w="1040" w:type="dxa"/>
            <w:tcBorders>
              <w:top w:val="nil"/>
              <w:left w:val="nil"/>
              <w:bottom w:val="single" w:sz="4" w:space="0" w:color="auto"/>
              <w:right w:val="single" w:sz="4" w:space="0" w:color="auto"/>
            </w:tcBorders>
            <w:shd w:val="clear" w:color="auto" w:fill="auto"/>
            <w:noWrap/>
            <w:vAlign w:val="center"/>
            <w:hideMark/>
          </w:tcPr>
          <w:p w14:paraId="1E4F9F04"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6</w:t>
            </w:r>
          </w:p>
        </w:tc>
        <w:tc>
          <w:tcPr>
            <w:tcW w:w="1040" w:type="dxa"/>
            <w:tcBorders>
              <w:top w:val="nil"/>
              <w:left w:val="nil"/>
              <w:bottom w:val="single" w:sz="4" w:space="0" w:color="auto"/>
              <w:right w:val="single" w:sz="4" w:space="0" w:color="auto"/>
            </w:tcBorders>
            <w:shd w:val="clear" w:color="auto" w:fill="auto"/>
            <w:noWrap/>
            <w:vAlign w:val="center"/>
            <w:hideMark/>
          </w:tcPr>
          <w:p w14:paraId="6F940D9A"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7</w:t>
            </w:r>
          </w:p>
        </w:tc>
        <w:tc>
          <w:tcPr>
            <w:tcW w:w="1040" w:type="dxa"/>
            <w:tcBorders>
              <w:top w:val="nil"/>
              <w:left w:val="nil"/>
              <w:bottom w:val="single" w:sz="4" w:space="0" w:color="auto"/>
              <w:right w:val="single" w:sz="4" w:space="0" w:color="auto"/>
            </w:tcBorders>
            <w:shd w:val="clear" w:color="auto" w:fill="auto"/>
            <w:noWrap/>
            <w:vAlign w:val="center"/>
            <w:hideMark/>
          </w:tcPr>
          <w:p w14:paraId="1DDAD325"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8</w:t>
            </w:r>
          </w:p>
        </w:tc>
        <w:tc>
          <w:tcPr>
            <w:tcW w:w="1040" w:type="dxa"/>
            <w:tcBorders>
              <w:top w:val="nil"/>
              <w:left w:val="nil"/>
              <w:bottom w:val="single" w:sz="4" w:space="0" w:color="auto"/>
              <w:right w:val="single" w:sz="4" w:space="0" w:color="auto"/>
            </w:tcBorders>
            <w:shd w:val="clear" w:color="auto" w:fill="auto"/>
            <w:noWrap/>
            <w:vAlign w:val="center"/>
            <w:hideMark/>
          </w:tcPr>
          <w:p w14:paraId="6EE2F234"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9</w:t>
            </w:r>
          </w:p>
        </w:tc>
        <w:tc>
          <w:tcPr>
            <w:tcW w:w="1040" w:type="dxa"/>
            <w:tcBorders>
              <w:top w:val="nil"/>
              <w:left w:val="nil"/>
              <w:bottom w:val="single" w:sz="4" w:space="0" w:color="auto"/>
              <w:right w:val="single" w:sz="4" w:space="0" w:color="auto"/>
            </w:tcBorders>
            <w:shd w:val="clear" w:color="auto" w:fill="auto"/>
            <w:noWrap/>
            <w:vAlign w:val="center"/>
            <w:hideMark/>
          </w:tcPr>
          <w:p w14:paraId="1372A4D6"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6</w:t>
            </w:r>
          </w:p>
        </w:tc>
      </w:tr>
      <w:tr w:rsidR="00604069" w:rsidRPr="00604069" w14:paraId="77AB33EB"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65D5722F"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Taxation paid</w:t>
            </w:r>
          </w:p>
        </w:tc>
        <w:tc>
          <w:tcPr>
            <w:tcW w:w="1040" w:type="dxa"/>
            <w:tcBorders>
              <w:top w:val="nil"/>
              <w:left w:val="nil"/>
              <w:bottom w:val="single" w:sz="4" w:space="0" w:color="auto"/>
              <w:right w:val="single" w:sz="4" w:space="0" w:color="auto"/>
            </w:tcBorders>
            <w:shd w:val="clear" w:color="auto" w:fill="auto"/>
            <w:noWrap/>
            <w:vAlign w:val="center"/>
            <w:hideMark/>
          </w:tcPr>
          <w:p w14:paraId="488A5CDA"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center"/>
            <w:hideMark/>
          </w:tcPr>
          <w:p w14:paraId="7F18E09F"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center"/>
            <w:hideMark/>
          </w:tcPr>
          <w:p w14:paraId="786E3443"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15</w:t>
            </w:r>
          </w:p>
        </w:tc>
        <w:tc>
          <w:tcPr>
            <w:tcW w:w="1040" w:type="dxa"/>
            <w:tcBorders>
              <w:top w:val="nil"/>
              <w:left w:val="nil"/>
              <w:bottom w:val="single" w:sz="4" w:space="0" w:color="auto"/>
              <w:right w:val="single" w:sz="4" w:space="0" w:color="auto"/>
            </w:tcBorders>
            <w:shd w:val="clear" w:color="auto" w:fill="auto"/>
            <w:noWrap/>
            <w:vAlign w:val="center"/>
            <w:hideMark/>
          </w:tcPr>
          <w:p w14:paraId="36D7DBF6"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center"/>
            <w:hideMark/>
          </w:tcPr>
          <w:p w14:paraId="121E3C52"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center"/>
            <w:hideMark/>
          </w:tcPr>
          <w:p w14:paraId="2CFCC200"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r>
      <w:tr w:rsidR="00604069" w:rsidRPr="00604069" w14:paraId="2C16C3AC"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7DF3A7DE"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Interest payments</w:t>
            </w:r>
          </w:p>
        </w:tc>
        <w:tc>
          <w:tcPr>
            <w:tcW w:w="1040" w:type="dxa"/>
            <w:tcBorders>
              <w:top w:val="nil"/>
              <w:left w:val="nil"/>
              <w:bottom w:val="single" w:sz="4" w:space="0" w:color="auto"/>
              <w:right w:val="single" w:sz="4" w:space="0" w:color="auto"/>
            </w:tcBorders>
            <w:shd w:val="clear" w:color="auto" w:fill="auto"/>
            <w:noWrap/>
            <w:vAlign w:val="center"/>
            <w:hideMark/>
          </w:tcPr>
          <w:p w14:paraId="077BE644"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w:t>
            </w:r>
          </w:p>
        </w:tc>
        <w:tc>
          <w:tcPr>
            <w:tcW w:w="1040" w:type="dxa"/>
            <w:tcBorders>
              <w:top w:val="nil"/>
              <w:left w:val="nil"/>
              <w:bottom w:val="single" w:sz="4" w:space="0" w:color="auto"/>
              <w:right w:val="single" w:sz="4" w:space="0" w:color="auto"/>
            </w:tcBorders>
            <w:shd w:val="clear" w:color="auto" w:fill="auto"/>
            <w:noWrap/>
            <w:vAlign w:val="center"/>
            <w:hideMark/>
          </w:tcPr>
          <w:p w14:paraId="373D607F"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w:t>
            </w:r>
          </w:p>
        </w:tc>
        <w:tc>
          <w:tcPr>
            <w:tcW w:w="1040" w:type="dxa"/>
            <w:tcBorders>
              <w:top w:val="nil"/>
              <w:left w:val="nil"/>
              <w:bottom w:val="single" w:sz="4" w:space="0" w:color="auto"/>
              <w:right w:val="single" w:sz="4" w:space="0" w:color="auto"/>
            </w:tcBorders>
            <w:shd w:val="clear" w:color="auto" w:fill="auto"/>
            <w:noWrap/>
            <w:vAlign w:val="center"/>
            <w:hideMark/>
          </w:tcPr>
          <w:p w14:paraId="48ABBEE7"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w:t>
            </w:r>
          </w:p>
        </w:tc>
        <w:tc>
          <w:tcPr>
            <w:tcW w:w="1040" w:type="dxa"/>
            <w:tcBorders>
              <w:top w:val="nil"/>
              <w:left w:val="nil"/>
              <w:bottom w:val="single" w:sz="4" w:space="0" w:color="auto"/>
              <w:right w:val="single" w:sz="4" w:space="0" w:color="auto"/>
            </w:tcBorders>
            <w:shd w:val="clear" w:color="auto" w:fill="auto"/>
            <w:noWrap/>
            <w:vAlign w:val="center"/>
            <w:hideMark/>
          </w:tcPr>
          <w:p w14:paraId="7FC78ACA"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w:t>
            </w:r>
          </w:p>
        </w:tc>
        <w:tc>
          <w:tcPr>
            <w:tcW w:w="1040" w:type="dxa"/>
            <w:tcBorders>
              <w:top w:val="nil"/>
              <w:left w:val="nil"/>
              <w:bottom w:val="single" w:sz="4" w:space="0" w:color="auto"/>
              <w:right w:val="single" w:sz="4" w:space="0" w:color="auto"/>
            </w:tcBorders>
            <w:shd w:val="clear" w:color="auto" w:fill="auto"/>
            <w:noWrap/>
            <w:vAlign w:val="center"/>
            <w:hideMark/>
          </w:tcPr>
          <w:p w14:paraId="252476A6"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w:t>
            </w:r>
          </w:p>
        </w:tc>
        <w:tc>
          <w:tcPr>
            <w:tcW w:w="1040" w:type="dxa"/>
            <w:tcBorders>
              <w:top w:val="nil"/>
              <w:left w:val="nil"/>
              <w:bottom w:val="single" w:sz="4" w:space="0" w:color="auto"/>
              <w:right w:val="single" w:sz="4" w:space="0" w:color="auto"/>
            </w:tcBorders>
            <w:shd w:val="clear" w:color="auto" w:fill="auto"/>
            <w:noWrap/>
            <w:vAlign w:val="center"/>
            <w:hideMark/>
          </w:tcPr>
          <w:p w14:paraId="02E87D2C"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w:t>
            </w:r>
          </w:p>
        </w:tc>
      </w:tr>
      <w:tr w:rsidR="00604069" w:rsidRPr="00604069" w14:paraId="3BCA0203"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005D6A4B"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Shop refurbishment</w:t>
            </w:r>
          </w:p>
        </w:tc>
        <w:tc>
          <w:tcPr>
            <w:tcW w:w="1040" w:type="dxa"/>
            <w:tcBorders>
              <w:top w:val="nil"/>
              <w:left w:val="nil"/>
              <w:bottom w:val="single" w:sz="4" w:space="0" w:color="auto"/>
              <w:right w:val="single" w:sz="4" w:space="0" w:color="auto"/>
            </w:tcBorders>
            <w:shd w:val="clear" w:color="auto" w:fill="auto"/>
            <w:noWrap/>
            <w:vAlign w:val="center"/>
            <w:hideMark/>
          </w:tcPr>
          <w:p w14:paraId="1AC36A55"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12</w:t>
            </w:r>
          </w:p>
        </w:tc>
        <w:tc>
          <w:tcPr>
            <w:tcW w:w="1040" w:type="dxa"/>
            <w:tcBorders>
              <w:top w:val="nil"/>
              <w:left w:val="nil"/>
              <w:bottom w:val="single" w:sz="4" w:space="0" w:color="auto"/>
              <w:right w:val="single" w:sz="4" w:space="0" w:color="auto"/>
            </w:tcBorders>
            <w:shd w:val="clear" w:color="auto" w:fill="auto"/>
            <w:noWrap/>
            <w:vAlign w:val="center"/>
            <w:hideMark/>
          </w:tcPr>
          <w:p w14:paraId="55D3035D"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10</w:t>
            </w:r>
          </w:p>
        </w:tc>
        <w:tc>
          <w:tcPr>
            <w:tcW w:w="1040" w:type="dxa"/>
            <w:tcBorders>
              <w:top w:val="nil"/>
              <w:left w:val="nil"/>
              <w:bottom w:val="single" w:sz="4" w:space="0" w:color="auto"/>
              <w:right w:val="single" w:sz="4" w:space="0" w:color="auto"/>
            </w:tcBorders>
            <w:shd w:val="clear" w:color="auto" w:fill="auto"/>
            <w:noWrap/>
            <w:vAlign w:val="center"/>
            <w:hideMark/>
          </w:tcPr>
          <w:p w14:paraId="1B34EFC3" w14:textId="77777777" w:rsidR="00604069" w:rsidRPr="00604069" w:rsidRDefault="00604069" w:rsidP="00604069">
            <w:pPr>
              <w:spacing w:after="0" w:line="240" w:lineRule="auto"/>
              <w:jc w:val="center"/>
              <w:rPr>
                <w:rFonts w:ascii="Aptos" w:eastAsia="Times New Roman" w:hAnsi="Aptos" w:cs="Times New Roman"/>
                <w:color w:val="000000"/>
                <w:kern w:val="0"/>
                <w:lang w:eastAsia="en-GB"/>
                <w14:ligatures w14:val="none"/>
              </w:rPr>
            </w:pPr>
            <w:r w:rsidRPr="00604069">
              <w:rPr>
                <w:rFonts w:ascii="Aptos" w:eastAsia="Times New Roman" w:hAnsi="Aptos" w:cs="Times New Roman"/>
                <w:color w:val="000000"/>
                <w:kern w:val="0"/>
                <w:lang w:eastAsia="en-GB"/>
                <w14:ligatures w14:val="none"/>
              </w:rPr>
              <w:t>14</w:t>
            </w:r>
          </w:p>
        </w:tc>
        <w:tc>
          <w:tcPr>
            <w:tcW w:w="1040" w:type="dxa"/>
            <w:tcBorders>
              <w:top w:val="nil"/>
              <w:left w:val="nil"/>
              <w:bottom w:val="single" w:sz="4" w:space="0" w:color="auto"/>
              <w:right w:val="single" w:sz="4" w:space="0" w:color="auto"/>
            </w:tcBorders>
            <w:shd w:val="clear" w:color="auto" w:fill="auto"/>
            <w:noWrap/>
            <w:vAlign w:val="center"/>
            <w:hideMark/>
          </w:tcPr>
          <w:p w14:paraId="58DED1AC"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center"/>
            <w:hideMark/>
          </w:tcPr>
          <w:p w14:paraId="771E9869"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c>
          <w:tcPr>
            <w:tcW w:w="1040" w:type="dxa"/>
            <w:tcBorders>
              <w:top w:val="nil"/>
              <w:left w:val="nil"/>
              <w:bottom w:val="single" w:sz="4" w:space="0" w:color="auto"/>
              <w:right w:val="single" w:sz="4" w:space="0" w:color="auto"/>
            </w:tcBorders>
            <w:shd w:val="clear" w:color="auto" w:fill="auto"/>
            <w:noWrap/>
            <w:vAlign w:val="center"/>
            <w:hideMark/>
          </w:tcPr>
          <w:p w14:paraId="6BC9E7AE"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 </w:t>
            </w:r>
          </w:p>
        </w:tc>
      </w:tr>
      <w:tr w:rsidR="00604069" w:rsidRPr="00604069" w14:paraId="22B5AF8D"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4FBBF40C"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Cash surplus (deficit)</w:t>
            </w:r>
          </w:p>
        </w:tc>
        <w:tc>
          <w:tcPr>
            <w:tcW w:w="1040" w:type="dxa"/>
            <w:tcBorders>
              <w:top w:val="nil"/>
              <w:left w:val="nil"/>
              <w:bottom w:val="single" w:sz="4" w:space="0" w:color="auto"/>
              <w:right w:val="single" w:sz="4" w:space="0" w:color="auto"/>
            </w:tcBorders>
            <w:shd w:val="clear" w:color="auto" w:fill="auto"/>
            <w:noWrap/>
            <w:vAlign w:val="center"/>
            <w:hideMark/>
          </w:tcPr>
          <w:p w14:paraId="788E4AB8"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-10.8</w:t>
            </w:r>
          </w:p>
        </w:tc>
        <w:tc>
          <w:tcPr>
            <w:tcW w:w="1040" w:type="dxa"/>
            <w:tcBorders>
              <w:top w:val="nil"/>
              <w:left w:val="nil"/>
              <w:bottom w:val="single" w:sz="4" w:space="0" w:color="auto"/>
              <w:right w:val="single" w:sz="4" w:space="0" w:color="auto"/>
            </w:tcBorders>
            <w:shd w:val="clear" w:color="auto" w:fill="auto"/>
            <w:noWrap/>
            <w:vAlign w:val="center"/>
            <w:hideMark/>
          </w:tcPr>
          <w:p w14:paraId="05D5774C"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48.8</w:t>
            </w:r>
          </w:p>
        </w:tc>
        <w:tc>
          <w:tcPr>
            <w:tcW w:w="1040" w:type="dxa"/>
            <w:tcBorders>
              <w:top w:val="nil"/>
              <w:left w:val="nil"/>
              <w:bottom w:val="single" w:sz="4" w:space="0" w:color="auto"/>
              <w:right w:val="single" w:sz="4" w:space="0" w:color="auto"/>
            </w:tcBorders>
            <w:shd w:val="clear" w:color="auto" w:fill="auto"/>
            <w:noWrap/>
            <w:vAlign w:val="center"/>
            <w:hideMark/>
          </w:tcPr>
          <w:p w14:paraId="694E5B39"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-31.9</w:t>
            </w:r>
          </w:p>
        </w:tc>
        <w:tc>
          <w:tcPr>
            <w:tcW w:w="1040" w:type="dxa"/>
            <w:tcBorders>
              <w:top w:val="nil"/>
              <w:left w:val="nil"/>
              <w:bottom w:val="single" w:sz="4" w:space="0" w:color="auto"/>
              <w:right w:val="single" w:sz="4" w:space="0" w:color="auto"/>
            </w:tcBorders>
            <w:shd w:val="clear" w:color="auto" w:fill="auto"/>
            <w:noWrap/>
            <w:vAlign w:val="center"/>
            <w:hideMark/>
          </w:tcPr>
          <w:p w14:paraId="7E0E97E2"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-5</w:t>
            </w:r>
          </w:p>
        </w:tc>
        <w:tc>
          <w:tcPr>
            <w:tcW w:w="1040" w:type="dxa"/>
            <w:tcBorders>
              <w:top w:val="nil"/>
              <w:left w:val="nil"/>
              <w:bottom w:val="single" w:sz="4" w:space="0" w:color="auto"/>
              <w:right w:val="single" w:sz="4" w:space="0" w:color="auto"/>
            </w:tcBorders>
            <w:shd w:val="clear" w:color="auto" w:fill="auto"/>
            <w:noWrap/>
            <w:vAlign w:val="center"/>
            <w:hideMark/>
          </w:tcPr>
          <w:p w14:paraId="10E5B4D0"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32.9</w:t>
            </w:r>
          </w:p>
        </w:tc>
        <w:tc>
          <w:tcPr>
            <w:tcW w:w="1040" w:type="dxa"/>
            <w:tcBorders>
              <w:top w:val="nil"/>
              <w:left w:val="nil"/>
              <w:bottom w:val="single" w:sz="4" w:space="0" w:color="auto"/>
              <w:right w:val="single" w:sz="4" w:space="0" w:color="auto"/>
            </w:tcBorders>
            <w:shd w:val="clear" w:color="auto" w:fill="auto"/>
            <w:noWrap/>
            <w:vAlign w:val="center"/>
            <w:hideMark/>
          </w:tcPr>
          <w:p w14:paraId="57563ED7"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14.7</w:t>
            </w:r>
          </w:p>
        </w:tc>
      </w:tr>
      <w:tr w:rsidR="00604069" w:rsidRPr="00604069" w14:paraId="1C851D4F"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2F1C67DA"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Opening balance</w:t>
            </w:r>
          </w:p>
        </w:tc>
        <w:tc>
          <w:tcPr>
            <w:tcW w:w="1040" w:type="dxa"/>
            <w:tcBorders>
              <w:top w:val="nil"/>
              <w:left w:val="nil"/>
              <w:bottom w:val="single" w:sz="4" w:space="0" w:color="auto"/>
              <w:right w:val="single" w:sz="4" w:space="0" w:color="auto"/>
            </w:tcBorders>
            <w:shd w:val="clear" w:color="auto" w:fill="auto"/>
            <w:noWrap/>
            <w:vAlign w:val="center"/>
            <w:hideMark/>
          </w:tcPr>
          <w:p w14:paraId="6FC8CF70"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-25</w:t>
            </w:r>
          </w:p>
        </w:tc>
        <w:tc>
          <w:tcPr>
            <w:tcW w:w="1040" w:type="dxa"/>
            <w:tcBorders>
              <w:top w:val="nil"/>
              <w:left w:val="nil"/>
              <w:bottom w:val="single" w:sz="4" w:space="0" w:color="auto"/>
              <w:right w:val="single" w:sz="4" w:space="0" w:color="auto"/>
            </w:tcBorders>
            <w:shd w:val="clear" w:color="auto" w:fill="auto"/>
            <w:noWrap/>
            <w:vAlign w:val="center"/>
            <w:hideMark/>
          </w:tcPr>
          <w:p w14:paraId="05CAF334"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-35.8</w:t>
            </w:r>
          </w:p>
        </w:tc>
        <w:tc>
          <w:tcPr>
            <w:tcW w:w="1040" w:type="dxa"/>
            <w:tcBorders>
              <w:top w:val="nil"/>
              <w:left w:val="nil"/>
              <w:bottom w:val="single" w:sz="4" w:space="0" w:color="auto"/>
              <w:right w:val="single" w:sz="4" w:space="0" w:color="auto"/>
            </w:tcBorders>
            <w:shd w:val="clear" w:color="auto" w:fill="auto"/>
            <w:noWrap/>
            <w:vAlign w:val="center"/>
            <w:hideMark/>
          </w:tcPr>
          <w:p w14:paraId="55E0BA93"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13</w:t>
            </w:r>
          </w:p>
        </w:tc>
        <w:tc>
          <w:tcPr>
            <w:tcW w:w="1040" w:type="dxa"/>
            <w:tcBorders>
              <w:top w:val="nil"/>
              <w:left w:val="nil"/>
              <w:bottom w:val="single" w:sz="4" w:space="0" w:color="auto"/>
              <w:right w:val="single" w:sz="4" w:space="0" w:color="auto"/>
            </w:tcBorders>
            <w:shd w:val="clear" w:color="auto" w:fill="auto"/>
            <w:noWrap/>
            <w:vAlign w:val="center"/>
            <w:hideMark/>
          </w:tcPr>
          <w:p w14:paraId="29628B72"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-18.9</w:t>
            </w:r>
          </w:p>
        </w:tc>
        <w:tc>
          <w:tcPr>
            <w:tcW w:w="1040" w:type="dxa"/>
            <w:tcBorders>
              <w:top w:val="nil"/>
              <w:left w:val="nil"/>
              <w:bottom w:val="single" w:sz="4" w:space="0" w:color="auto"/>
              <w:right w:val="single" w:sz="4" w:space="0" w:color="auto"/>
            </w:tcBorders>
            <w:shd w:val="clear" w:color="auto" w:fill="auto"/>
            <w:noWrap/>
            <w:vAlign w:val="center"/>
            <w:hideMark/>
          </w:tcPr>
          <w:p w14:paraId="448C596C"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-23.9</w:t>
            </w:r>
          </w:p>
        </w:tc>
        <w:tc>
          <w:tcPr>
            <w:tcW w:w="1040" w:type="dxa"/>
            <w:tcBorders>
              <w:top w:val="nil"/>
              <w:left w:val="nil"/>
              <w:bottom w:val="single" w:sz="4" w:space="0" w:color="auto"/>
              <w:right w:val="single" w:sz="4" w:space="0" w:color="auto"/>
            </w:tcBorders>
            <w:shd w:val="clear" w:color="auto" w:fill="auto"/>
            <w:noWrap/>
            <w:vAlign w:val="center"/>
            <w:hideMark/>
          </w:tcPr>
          <w:p w14:paraId="574F693D"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9</w:t>
            </w:r>
          </w:p>
        </w:tc>
      </w:tr>
      <w:tr w:rsidR="00604069" w:rsidRPr="00604069" w14:paraId="22B98ECB" w14:textId="77777777" w:rsidTr="00604069">
        <w:trPr>
          <w:trHeight w:val="516"/>
        </w:trPr>
        <w:tc>
          <w:tcPr>
            <w:tcW w:w="2097" w:type="dxa"/>
            <w:tcBorders>
              <w:top w:val="nil"/>
              <w:left w:val="single" w:sz="4" w:space="0" w:color="auto"/>
              <w:bottom w:val="single" w:sz="4" w:space="0" w:color="auto"/>
              <w:right w:val="single" w:sz="4" w:space="0" w:color="auto"/>
            </w:tcBorders>
            <w:shd w:val="clear" w:color="auto" w:fill="auto"/>
            <w:noWrap/>
            <w:vAlign w:val="center"/>
            <w:hideMark/>
          </w:tcPr>
          <w:p w14:paraId="39C21280" w14:textId="77777777" w:rsidR="00604069" w:rsidRPr="00604069" w:rsidRDefault="00604069" w:rsidP="00604069">
            <w:pPr>
              <w:spacing w:after="0" w:line="240" w:lineRule="auto"/>
              <w:jc w:val="center"/>
              <w:rPr>
                <w:rFonts w:ascii="Arial" w:eastAsia="Times New Roman" w:hAnsi="Arial" w:cs="Arial"/>
                <w:color w:val="000000"/>
                <w:kern w:val="0"/>
                <w:lang w:eastAsia="en-GB"/>
                <w14:ligatures w14:val="none"/>
              </w:rPr>
            </w:pPr>
            <w:r w:rsidRPr="00604069">
              <w:rPr>
                <w:rFonts w:ascii="Arial" w:eastAsia="Times New Roman" w:hAnsi="Arial" w:cs="Arial"/>
                <w:color w:val="000000"/>
                <w:kern w:val="0"/>
                <w:lang w:eastAsia="en-GB"/>
                <w14:ligatures w14:val="none"/>
              </w:rPr>
              <w:t>Closing balance</w:t>
            </w:r>
          </w:p>
        </w:tc>
        <w:tc>
          <w:tcPr>
            <w:tcW w:w="1040" w:type="dxa"/>
            <w:tcBorders>
              <w:top w:val="nil"/>
              <w:left w:val="nil"/>
              <w:bottom w:val="single" w:sz="4" w:space="0" w:color="auto"/>
              <w:right w:val="single" w:sz="4" w:space="0" w:color="auto"/>
            </w:tcBorders>
            <w:shd w:val="clear" w:color="auto" w:fill="auto"/>
            <w:noWrap/>
            <w:vAlign w:val="center"/>
            <w:hideMark/>
          </w:tcPr>
          <w:p w14:paraId="654C982E"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-35.8</w:t>
            </w:r>
          </w:p>
        </w:tc>
        <w:tc>
          <w:tcPr>
            <w:tcW w:w="1040" w:type="dxa"/>
            <w:tcBorders>
              <w:top w:val="nil"/>
              <w:left w:val="nil"/>
              <w:bottom w:val="single" w:sz="4" w:space="0" w:color="auto"/>
              <w:right w:val="single" w:sz="4" w:space="0" w:color="auto"/>
            </w:tcBorders>
            <w:shd w:val="clear" w:color="auto" w:fill="auto"/>
            <w:noWrap/>
            <w:vAlign w:val="center"/>
            <w:hideMark/>
          </w:tcPr>
          <w:p w14:paraId="46771B31"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13</w:t>
            </w:r>
          </w:p>
        </w:tc>
        <w:tc>
          <w:tcPr>
            <w:tcW w:w="1040" w:type="dxa"/>
            <w:tcBorders>
              <w:top w:val="nil"/>
              <w:left w:val="nil"/>
              <w:bottom w:val="single" w:sz="4" w:space="0" w:color="auto"/>
              <w:right w:val="single" w:sz="4" w:space="0" w:color="auto"/>
            </w:tcBorders>
            <w:shd w:val="clear" w:color="auto" w:fill="auto"/>
            <w:noWrap/>
            <w:vAlign w:val="center"/>
            <w:hideMark/>
          </w:tcPr>
          <w:p w14:paraId="625AF1A7"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-18.9</w:t>
            </w:r>
          </w:p>
        </w:tc>
        <w:tc>
          <w:tcPr>
            <w:tcW w:w="1040" w:type="dxa"/>
            <w:tcBorders>
              <w:top w:val="nil"/>
              <w:left w:val="nil"/>
              <w:bottom w:val="single" w:sz="4" w:space="0" w:color="auto"/>
              <w:right w:val="single" w:sz="4" w:space="0" w:color="auto"/>
            </w:tcBorders>
            <w:shd w:val="clear" w:color="auto" w:fill="auto"/>
            <w:noWrap/>
            <w:vAlign w:val="center"/>
            <w:hideMark/>
          </w:tcPr>
          <w:p w14:paraId="55F57F1D"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-23.9</w:t>
            </w:r>
          </w:p>
        </w:tc>
        <w:tc>
          <w:tcPr>
            <w:tcW w:w="1040" w:type="dxa"/>
            <w:tcBorders>
              <w:top w:val="nil"/>
              <w:left w:val="nil"/>
              <w:bottom w:val="single" w:sz="4" w:space="0" w:color="auto"/>
              <w:right w:val="single" w:sz="4" w:space="0" w:color="auto"/>
            </w:tcBorders>
            <w:shd w:val="clear" w:color="auto" w:fill="auto"/>
            <w:noWrap/>
            <w:vAlign w:val="center"/>
            <w:hideMark/>
          </w:tcPr>
          <w:p w14:paraId="461A6782"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9</w:t>
            </w:r>
          </w:p>
        </w:tc>
        <w:tc>
          <w:tcPr>
            <w:tcW w:w="1040" w:type="dxa"/>
            <w:tcBorders>
              <w:top w:val="nil"/>
              <w:left w:val="nil"/>
              <w:bottom w:val="single" w:sz="4" w:space="0" w:color="auto"/>
              <w:right w:val="single" w:sz="4" w:space="0" w:color="auto"/>
            </w:tcBorders>
            <w:shd w:val="clear" w:color="auto" w:fill="auto"/>
            <w:noWrap/>
            <w:vAlign w:val="center"/>
            <w:hideMark/>
          </w:tcPr>
          <w:p w14:paraId="7E01B63F" w14:textId="77777777" w:rsidR="00604069" w:rsidRPr="00604069" w:rsidRDefault="00604069" w:rsidP="00604069">
            <w:pPr>
              <w:spacing w:after="0" w:line="240" w:lineRule="auto"/>
              <w:jc w:val="center"/>
              <w:rPr>
                <w:rFonts w:ascii="Aptos Narrow" w:eastAsia="Times New Roman" w:hAnsi="Aptos Narrow" w:cs="Times New Roman"/>
                <w:color w:val="000000"/>
                <w:kern w:val="0"/>
                <w:lang w:eastAsia="en-GB"/>
                <w14:ligatures w14:val="none"/>
              </w:rPr>
            </w:pPr>
            <w:r w:rsidRPr="00604069">
              <w:rPr>
                <w:rFonts w:ascii="Aptos Narrow" w:eastAsia="Times New Roman" w:hAnsi="Aptos Narrow" w:cs="Times New Roman"/>
                <w:color w:val="000000"/>
                <w:kern w:val="0"/>
                <w:lang w:eastAsia="en-GB"/>
                <w14:ligatures w14:val="none"/>
              </w:rPr>
              <w:t>23.7</w:t>
            </w:r>
          </w:p>
        </w:tc>
      </w:tr>
    </w:tbl>
    <w:p w14:paraId="25582FB5" w14:textId="77777777" w:rsidR="00604069" w:rsidRDefault="00604069" w:rsidP="00604069"/>
    <w:p w14:paraId="4482CF23" w14:textId="77777777" w:rsidR="00604069" w:rsidRDefault="00604069" w:rsidP="00604069">
      <w:pPr>
        <w:pStyle w:val="Heading1"/>
        <w:rPr>
          <w:rFonts w:ascii="Arial" w:eastAsia="Times New Roman" w:hAnsi="Arial" w:cs="Arial"/>
          <w:b/>
          <w:bCs/>
          <w:sz w:val="32"/>
          <w:szCs w:val="32"/>
          <w:lang w:eastAsia="en-GB"/>
        </w:rPr>
      </w:pPr>
      <w:r w:rsidRPr="00604069">
        <w:rPr>
          <w:rFonts w:ascii="Arial" w:eastAsia="Times New Roman" w:hAnsi="Arial" w:cs="Arial"/>
          <w:b/>
          <w:bCs/>
          <w:sz w:val="32"/>
          <w:szCs w:val="32"/>
          <w:lang w:eastAsia="en-GB"/>
        </w:rPr>
        <w:lastRenderedPageBreak/>
        <w:t>Cash Budget Analysis:</w:t>
      </w:r>
    </w:p>
    <w:p w14:paraId="6EB35DBD" w14:textId="139B9D7E" w:rsidR="006917C9" w:rsidRPr="006917C9" w:rsidRDefault="006917C9" w:rsidP="006917C9">
      <w:pPr>
        <w:pStyle w:val="ListParagraph"/>
        <w:numPr>
          <w:ilvl w:val="0"/>
          <w:numId w:val="33"/>
        </w:numPr>
        <w:rPr>
          <w:rStyle w:val="hoverbg-blue-100"/>
          <w:rFonts w:ascii="Arial" w:hAnsi="Arial" w:cs="Arial"/>
        </w:rPr>
      </w:pPr>
      <w:r w:rsidRPr="006917C9">
        <w:rPr>
          <w:rStyle w:val="hoverbg-blue-100"/>
          <w:rFonts w:ascii="Arial" w:hAnsi="Arial" w:cs="Arial"/>
        </w:rPr>
        <w:t xml:space="preserve">The company experiences cash deficits during June, August, and September. </w:t>
      </w:r>
      <w:r w:rsidRPr="006917C9">
        <w:rPr>
          <w:rFonts w:ascii="Arial" w:hAnsi="Arial" w:cs="Arial"/>
        </w:rPr>
        <w:br/>
      </w:r>
      <w:r w:rsidRPr="006917C9">
        <w:rPr>
          <w:rStyle w:val="hoverbg-blue-100"/>
          <w:rFonts w:ascii="Arial" w:hAnsi="Arial" w:cs="Arial"/>
        </w:rPr>
        <w:t xml:space="preserve">Cash flow rises during the later </w:t>
      </w:r>
      <w:r w:rsidRPr="006917C9">
        <w:rPr>
          <w:rStyle w:val="hoverbg-blue-100"/>
          <w:rFonts w:ascii="Arial" w:hAnsi="Arial" w:cs="Arial"/>
        </w:rPr>
        <w:t>months,</w:t>
      </w:r>
      <w:r w:rsidRPr="006917C9">
        <w:rPr>
          <w:rStyle w:val="hoverbg-blue-100"/>
          <w:rFonts w:ascii="Arial" w:hAnsi="Arial" w:cs="Arial"/>
        </w:rPr>
        <w:t xml:space="preserve"> but the company continues to face liquidity problems. </w:t>
      </w:r>
    </w:p>
    <w:p w14:paraId="5B462BE9" w14:textId="462403D2" w:rsidR="006917C9" w:rsidRPr="006917C9" w:rsidRDefault="006917C9" w:rsidP="006917C9">
      <w:pPr>
        <w:pStyle w:val="ListParagraph"/>
        <w:numPr>
          <w:ilvl w:val="0"/>
          <w:numId w:val="33"/>
        </w:numPr>
        <w:rPr>
          <w:rStyle w:val="hoverbg-blue-100"/>
          <w:rFonts w:ascii="Arial" w:hAnsi="Arial" w:cs="Arial"/>
        </w:rPr>
      </w:pPr>
      <w:r w:rsidRPr="006917C9">
        <w:rPr>
          <w:rStyle w:val="hoverbg-blue-100"/>
          <w:rFonts w:ascii="Arial" w:hAnsi="Arial" w:cs="Arial"/>
        </w:rPr>
        <w:t xml:space="preserve">Through increased stock purchases the company experiences higher cash outflows which impacts its ability to eliminate the overdraft. </w:t>
      </w:r>
    </w:p>
    <w:p w14:paraId="47A862A0" w14:textId="1686A4E8" w:rsidR="006917C9" w:rsidRPr="006917C9" w:rsidRDefault="006917C9" w:rsidP="006917C9">
      <w:pPr>
        <w:pStyle w:val="ListParagraph"/>
        <w:numPr>
          <w:ilvl w:val="0"/>
          <w:numId w:val="33"/>
        </w:numPr>
        <w:rPr>
          <w:rFonts w:ascii="Arial" w:hAnsi="Arial" w:cs="Arial"/>
          <w:lang w:eastAsia="en-GB"/>
        </w:rPr>
      </w:pPr>
      <w:r w:rsidRPr="006917C9">
        <w:rPr>
          <w:rStyle w:val="hoverbg-blue-100"/>
          <w:rFonts w:ascii="Arial" w:hAnsi="Arial" w:cs="Arial"/>
        </w:rPr>
        <w:t>To stabilize cash flow businesses may need to consider alternative funding sources, better credit terms, or strategies to reduce costs.</w:t>
      </w:r>
    </w:p>
    <w:p w14:paraId="6B1AB931" w14:textId="4A4A3D30" w:rsidR="00AD6E4A" w:rsidRPr="00BD3D31" w:rsidRDefault="00AD6E4A" w:rsidP="00BD3D31">
      <w:pPr>
        <w:pStyle w:val="Heading1"/>
        <w:rPr>
          <w:rFonts w:ascii="Arial" w:eastAsia="Times New Roman" w:hAnsi="Arial" w:cs="Arial"/>
          <w:b/>
          <w:bCs/>
          <w:kern w:val="0"/>
          <w:sz w:val="20"/>
          <w:szCs w:val="20"/>
          <w:lang w:eastAsia="en-GB"/>
          <w14:ligatures w14:val="none"/>
        </w:rPr>
      </w:pPr>
      <w:r w:rsidRPr="00BD3D31">
        <w:rPr>
          <w:rFonts w:ascii="Arial" w:eastAsia="Times New Roman" w:hAnsi="Arial" w:cs="Arial"/>
          <w:b/>
          <w:bCs/>
          <w:sz w:val="32"/>
          <w:szCs w:val="32"/>
          <w:lang w:eastAsia="en-GB"/>
        </w:rPr>
        <w:t>1.3 Profit and Loss Statement</w:t>
      </w:r>
    </w:p>
    <w:p w14:paraId="3F76EA41" w14:textId="635F20A9" w:rsidR="00AD6E4A" w:rsidRPr="00AD6E4A" w:rsidRDefault="006917C9" w:rsidP="006917C9">
      <w:pPr>
        <w:rPr>
          <w:rFonts w:eastAsia="Times New Roman"/>
          <w:kern w:val="0"/>
          <w:sz w:val="24"/>
          <w:szCs w:val="24"/>
          <w:lang w:eastAsia="en-GB"/>
          <w14:ligatures w14:val="none"/>
        </w:rPr>
      </w:pPr>
      <w:r w:rsidRPr="006917C9">
        <w:rPr>
          <w:rStyle w:val="hoverbg-blue-100"/>
          <w:rFonts w:ascii="Arial" w:hAnsi="Arial" w:cs="Arial"/>
        </w:rPr>
        <w:t>The projected profit and loss statement serves as a prediction of financial performance using forecasted income and expenditure figures. The revised profit and loss statement for Blue Thread Ltd shows total sales revenue reaching £1350 along with gross profit of £472.5. The operating profit amounts to £256.35 after deducting selling expenses (£41), administrative expenses (£153), and credit card charges (£12.15). The company achieved a net profit of £260.35 when accounting for £6 of interest payable. The company demonstrates operational viability through positive profitability despite experiencing cash flow obstacles. Sustaining long-term profitability requires ongoing vigilance through continuous monitoring and cost management (Atrill &amp; McLaney, 2021).</w:t>
      </w:r>
    </w:p>
    <w:tbl>
      <w:tblPr>
        <w:tblW w:w="7280" w:type="dxa"/>
        <w:tblLook w:val="04A0" w:firstRow="1" w:lastRow="0" w:firstColumn="1" w:lastColumn="0" w:noHBand="0" w:noVBand="1"/>
      </w:tblPr>
      <w:tblGrid>
        <w:gridCol w:w="2080"/>
        <w:gridCol w:w="1040"/>
        <w:gridCol w:w="1040"/>
        <w:gridCol w:w="2906"/>
        <w:gridCol w:w="222"/>
        <w:gridCol w:w="222"/>
      </w:tblGrid>
      <w:tr w:rsidR="00AD6E4A" w:rsidRPr="00AD6E4A" w14:paraId="6B0E4DF1" w14:textId="77777777" w:rsidTr="00AD6E4A">
        <w:trPr>
          <w:trHeight w:val="408"/>
        </w:trPr>
        <w:tc>
          <w:tcPr>
            <w:tcW w:w="2080" w:type="dxa"/>
            <w:tcBorders>
              <w:top w:val="nil"/>
              <w:left w:val="nil"/>
              <w:bottom w:val="nil"/>
              <w:right w:val="nil"/>
            </w:tcBorders>
            <w:shd w:val="clear" w:color="auto" w:fill="auto"/>
            <w:noWrap/>
            <w:vAlign w:val="bottom"/>
            <w:hideMark/>
          </w:tcPr>
          <w:p w14:paraId="5F9F4EA5"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Sales</w:t>
            </w:r>
          </w:p>
        </w:tc>
        <w:tc>
          <w:tcPr>
            <w:tcW w:w="1040" w:type="dxa"/>
            <w:tcBorders>
              <w:top w:val="nil"/>
              <w:left w:val="nil"/>
              <w:bottom w:val="nil"/>
              <w:right w:val="nil"/>
            </w:tcBorders>
            <w:shd w:val="clear" w:color="auto" w:fill="auto"/>
            <w:noWrap/>
            <w:vAlign w:val="bottom"/>
            <w:hideMark/>
          </w:tcPr>
          <w:p w14:paraId="7D98EA60"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1350</w:t>
            </w:r>
          </w:p>
        </w:tc>
        <w:tc>
          <w:tcPr>
            <w:tcW w:w="1040" w:type="dxa"/>
            <w:tcBorders>
              <w:top w:val="nil"/>
              <w:left w:val="nil"/>
              <w:bottom w:val="nil"/>
              <w:right w:val="nil"/>
            </w:tcBorders>
            <w:shd w:val="clear" w:color="auto" w:fill="auto"/>
            <w:noWrap/>
            <w:vAlign w:val="bottom"/>
            <w:hideMark/>
          </w:tcPr>
          <w:p w14:paraId="6E646E4A"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tc>
        <w:tc>
          <w:tcPr>
            <w:tcW w:w="3120" w:type="dxa"/>
            <w:gridSpan w:val="3"/>
            <w:tcBorders>
              <w:top w:val="nil"/>
              <w:left w:val="nil"/>
              <w:bottom w:val="nil"/>
              <w:right w:val="nil"/>
            </w:tcBorders>
            <w:shd w:val="clear" w:color="auto" w:fill="auto"/>
            <w:noWrap/>
            <w:vAlign w:val="bottom"/>
            <w:hideMark/>
          </w:tcPr>
          <w:p w14:paraId="1DE8122F"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 xml:space="preserve"> 200+240+210+220+230+250</w:t>
            </w:r>
          </w:p>
        </w:tc>
      </w:tr>
      <w:tr w:rsidR="00AD6E4A" w:rsidRPr="00AD6E4A" w14:paraId="017B3625" w14:textId="77777777" w:rsidTr="00AD6E4A">
        <w:trPr>
          <w:trHeight w:val="408"/>
        </w:trPr>
        <w:tc>
          <w:tcPr>
            <w:tcW w:w="2080" w:type="dxa"/>
            <w:tcBorders>
              <w:top w:val="nil"/>
              <w:left w:val="nil"/>
              <w:bottom w:val="nil"/>
              <w:right w:val="nil"/>
            </w:tcBorders>
            <w:shd w:val="clear" w:color="auto" w:fill="auto"/>
            <w:noWrap/>
            <w:vAlign w:val="bottom"/>
            <w:hideMark/>
          </w:tcPr>
          <w:p w14:paraId="1ED11196"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Cost of goods sold</w:t>
            </w:r>
          </w:p>
        </w:tc>
        <w:tc>
          <w:tcPr>
            <w:tcW w:w="1040" w:type="dxa"/>
            <w:tcBorders>
              <w:top w:val="nil"/>
              <w:left w:val="nil"/>
              <w:bottom w:val="nil"/>
              <w:right w:val="nil"/>
            </w:tcBorders>
            <w:shd w:val="clear" w:color="auto" w:fill="auto"/>
            <w:noWrap/>
            <w:vAlign w:val="bottom"/>
            <w:hideMark/>
          </w:tcPr>
          <w:p w14:paraId="559C64DC"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bookmarkStart w:id="0" w:name="OLE_LINK1"/>
            <w:bookmarkStart w:id="1" w:name="RANGE!B29"/>
            <w:r w:rsidRPr="00AD6E4A">
              <w:rPr>
                <w:rFonts w:ascii="Aptos Narrow" w:eastAsia="Arial" w:hAnsi="Aptos Narrow" w:cs="Times New Roman"/>
                <w:color w:val="000000"/>
                <w:kern w:val="0"/>
                <w:lang w:eastAsia="en-GB"/>
                <w14:ligatures w14:val="none"/>
              </w:rPr>
              <w:t>877.5</w:t>
            </w:r>
            <w:bookmarkEnd w:id="0"/>
            <w:bookmarkEnd w:id="1"/>
          </w:p>
        </w:tc>
        <w:tc>
          <w:tcPr>
            <w:tcW w:w="1040" w:type="dxa"/>
            <w:tcBorders>
              <w:top w:val="nil"/>
              <w:left w:val="nil"/>
              <w:bottom w:val="nil"/>
              <w:right w:val="nil"/>
            </w:tcBorders>
            <w:shd w:val="clear" w:color="auto" w:fill="auto"/>
            <w:noWrap/>
            <w:vAlign w:val="bottom"/>
            <w:hideMark/>
          </w:tcPr>
          <w:p w14:paraId="6BD61CB1"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tc>
        <w:tc>
          <w:tcPr>
            <w:tcW w:w="2906" w:type="dxa"/>
            <w:tcBorders>
              <w:top w:val="nil"/>
              <w:left w:val="nil"/>
              <w:bottom w:val="nil"/>
              <w:right w:val="nil"/>
            </w:tcBorders>
            <w:shd w:val="clear" w:color="auto" w:fill="auto"/>
            <w:noWrap/>
            <w:vAlign w:val="bottom"/>
            <w:hideMark/>
          </w:tcPr>
          <w:p w14:paraId="1017AB2A"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1350*0.65</w:t>
            </w:r>
          </w:p>
        </w:tc>
        <w:tc>
          <w:tcPr>
            <w:tcW w:w="107" w:type="dxa"/>
            <w:tcBorders>
              <w:top w:val="nil"/>
              <w:left w:val="nil"/>
              <w:bottom w:val="nil"/>
              <w:right w:val="nil"/>
            </w:tcBorders>
            <w:shd w:val="clear" w:color="auto" w:fill="auto"/>
            <w:noWrap/>
            <w:vAlign w:val="bottom"/>
            <w:hideMark/>
          </w:tcPr>
          <w:p w14:paraId="770E1D48"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p>
        </w:tc>
        <w:tc>
          <w:tcPr>
            <w:tcW w:w="107" w:type="dxa"/>
            <w:tcBorders>
              <w:top w:val="nil"/>
              <w:left w:val="nil"/>
              <w:bottom w:val="nil"/>
              <w:right w:val="nil"/>
            </w:tcBorders>
            <w:shd w:val="clear" w:color="auto" w:fill="auto"/>
            <w:noWrap/>
            <w:vAlign w:val="bottom"/>
            <w:hideMark/>
          </w:tcPr>
          <w:p w14:paraId="738647BE"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r>
      <w:tr w:rsidR="00AD6E4A" w:rsidRPr="00AD6E4A" w14:paraId="426DFD9A" w14:textId="77777777" w:rsidTr="00AD6E4A">
        <w:trPr>
          <w:trHeight w:val="408"/>
        </w:trPr>
        <w:tc>
          <w:tcPr>
            <w:tcW w:w="2080" w:type="dxa"/>
            <w:tcBorders>
              <w:top w:val="nil"/>
              <w:left w:val="nil"/>
              <w:bottom w:val="nil"/>
              <w:right w:val="nil"/>
            </w:tcBorders>
            <w:shd w:val="clear" w:color="auto" w:fill="auto"/>
            <w:noWrap/>
            <w:vAlign w:val="bottom"/>
            <w:hideMark/>
          </w:tcPr>
          <w:p w14:paraId="6ED8CF21"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Gross Profit</w:t>
            </w:r>
          </w:p>
        </w:tc>
        <w:tc>
          <w:tcPr>
            <w:tcW w:w="1040" w:type="dxa"/>
            <w:tcBorders>
              <w:top w:val="nil"/>
              <w:left w:val="nil"/>
              <w:bottom w:val="nil"/>
              <w:right w:val="nil"/>
            </w:tcBorders>
            <w:shd w:val="clear" w:color="auto" w:fill="auto"/>
            <w:noWrap/>
            <w:vAlign w:val="bottom"/>
            <w:hideMark/>
          </w:tcPr>
          <w:p w14:paraId="0E8F0CD8"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472.5</w:t>
            </w:r>
          </w:p>
        </w:tc>
        <w:tc>
          <w:tcPr>
            <w:tcW w:w="1040" w:type="dxa"/>
            <w:tcBorders>
              <w:top w:val="nil"/>
              <w:left w:val="nil"/>
              <w:bottom w:val="nil"/>
              <w:right w:val="nil"/>
            </w:tcBorders>
            <w:shd w:val="clear" w:color="auto" w:fill="auto"/>
            <w:noWrap/>
            <w:vAlign w:val="bottom"/>
            <w:hideMark/>
          </w:tcPr>
          <w:p w14:paraId="20EC700B"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tc>
        <w:tc>
          <w:tcPr>
            <w:tcW w:w="2906" w:type="dxa"/>
            <w:tcBorders>
              <w:top w:val="nil"/>
              <w:left w:val="nil"/>
              <w:bottom w:val="nil"/>
              <w:right w:val="nil"/>
            </w:tcBorders>
            <w:shd w:val="clear" w:color="auto" w:fill="auto"/>
            <w:noWrap/>
            <w:vAlign w:val="bottom"/>
            <w:hideMark/>
          </w:tcPr>
          <w:p w14:paraId="29932AF7"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1350*0.35</w:t>
            </w:r>
          </w:p>
        </w:tc>
        <w:tc>
          <w:tcPr>
            <w:tcW w:w="107" w:type="dxa"/>
            <w:tcBorders>
              <w:top w:val="nil"/>
              <w:left w:val="nil"/>
              <w:bottom w:val="nil"/>
              <w:right w:val="nil"/>
            </w:tcBorders>
            <w:shd w:val="clear" w:color="auto" w:fill="auto"/>
            <w:noWrap/>
            <w:vAlign w:val="bottom"/>
            <w:hideMark/>
          </w:tcPr>
          <w:p w14:paraId="0DE41ED3"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p>
        </w:tc>
        <w:tc>
          <w:tcPr>
            <w:tcW w:w="107" w:type="dxa"/>
            <w:tcBorders>
              <w:top w:val="nil"/>
              <w:left w:val="nil"/>
              <w:bottom w:val="nil"/>
              <w:right w:val="nil"/>
            </w:tcBorders>
            <w:shd w:val="clear" w:color="auto" w:fill="auto"/>
            <w:noWrap/>
            <w:vAlign w:val="bottom"/>
            <w:hideMark/>
          </w:tcPr>
          <w:p w14:paraId="037F3702"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r>
      <w:tr w:rsidR="00AD6E4A" w:rsidRPr="00AD6E4A" w14:paraId="5949B523" w14:textId="77777777" w:rsidTr="00AD6E4A">
        <w:trPr>
          <w:trHeight w:val="408"/>
        </w:trPr>
        <w:tc>
          <w:tcPr>
            <w:tcW w:w="2080" w:type="dxa"/>
            <w:tcBorders>
              <w:top w:val="nil"/>
              <w:left w:val="nil"/>
              <w:bottom w:val="nil"/>
              <w:right w:val="nil"/>
            </w:tcBorders>
            <w:shd w:val="clear" w:color="auto" w:fill="auto"/>
            <w:noWrap/>
            <w:vAlign w:val="bottom"/>
            <w:hideMark/>
          </w:tcPr>
          <w:p w14:paraId="10A6C76D"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Selling Expenses</w:t>
            </w:r>
          </w:p>
        </w:tc>
        <w:tc>
          <w:tcPr>
            <w:tcW w:w="1040" w:type="dxa"/>
            <w:tcBorders>
              <w:top w:val="nil"/>
              <w:left w:val="nil"/>
              <w:bottom w:val="nil"/>
              <w:right w:val="nil"/>
            </w:tcBorders>
            <w:shd w:val="clear" w:color="auto" w:fill="auto"/>
            <w:noWrap/>
            <w:vAlign w:val="bottom"/>
            <w:hideMark/>
          </w:tcPr>
          <w:p w14:paraId="693D6933"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41</w:t>
            </w:r>
          </w:p>
        </w:tc>
        <w:tc>
          <w:tcPr>
            <w:tcW w:w="1040" w:type="dxa"/>
            <w:tcBorders>
              <w:top w:val="nil"/>
              <w:left w:val="nil"/>
              <w:bottom w:val="nil"/>
              <w:right w:val="nil"/>
            </w:tcBorders>
            <w:shd w:val="clear" w:color="auto" w:fill="auto"/>
            <w:noWrap/>
            <w:vAlign w:val="bottom"/>
            <w:hideMark/>
          </w:tcPr>
          <w:p w14:paraId="73F9CA1A"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tc>
        <w:tc>
          <w:tcPr>
            <w:tcW w:w="3013" w:type="dxa"/>
            <w:gridSpan w:val="2"/>
            <w:tcBorders>
              <w:top w:val="nil"/>
              <w:left w:val="nil"/>
              <w:bottom w:val="nil"/>
              <w:right w:val="nil"/>
            </w:tcBorders>
            <w:shd w:val="clear" w:color="auto" w:fill="auto"/>
            <w:noWrap/>
            <w:vAlign w:val="bottom"/>
            <w:hideMark/>
          </w:tcPr>
          <w:p w14:paraId="50CB3BF5"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5+6+7+8+9+6</w:t>
            </w:r>
          </w:p>
        </w:tc>
        <w:tc>
          <w:tcPr>
            <w:tcW w:w="107" w:type="dxa"/>
            <w:tcBorders>
              <w:top w:val="nil"/>
              <w:left w:val="nil"/>
              <w:bottom w:val="nil"/>
              <w:right w:val="nil"/>
            </w:tcBorders>
            <w:shd w:val="clear" w:color="auto" w:fill="auto"/>
            <w:noWrap/>
            <w:vAlign w:val="bottom"/>
            <w:hideMark/>
          </w:tcPr>
          <w:p w14:paraId="1FC8113B"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p>
        </w:tc>
      </w:tr>
      <w:tr w:rsidR="00AD6E4A" w:rsidRPr="00AD6E4A" w14:paraId="3780884A" w14:textId="77777777" w:rsidTr="00AD6E4A">
        <w:trPr>
          <w:trHeight w:val="408"/>
        </w:trPr>
        <w:tc>
          <w:tcPr>
            <w:tcW w:w="2080" w:type="dxa"/>
            <w:tcBorders>
              <w:top w:val="nil"/>
              <w:left w:val="nil"/>
              <w:bottom w:val="nil"/>
              <w:right w:val="nil"/>
            </w:tcBorders>
            <w:shd w:val="clear" w:color="auto" w:fill="auto"/>
            <w:noWrap/>
            <w:vAlign w:val="bottom"/>
            <w:hideMark/>
          </w:tcPr>
          <w:p w14:paraId="7BB6DC19"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Admin Expenses</w:t>
            </w:r>
          </w:p>
        </w:tc>
        <w:tc>
          <w:tcPr>
            <w:tcW w:w="1040" w:type="dxa"/>
            <w:tcBorders>
              <w:top w:val="nil"/>
              <w:left w:val="nil"/>
              <w:bottom w:val="nil"/>
              <w:right w:val="nil"/>
            </w:tcBorders>
            <w:shd w:val="clear" w:color="auto" w:fill="auto"/>
            <w:noWrap/>
            <w:vAlign w:val="bottom"/>
            <w:hideMark/>
          </w:tcPr>
          <w:p w14:paraId="3126A9DD"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153</w:t>
            </w:r>
          </w:p>
        </w:tc>
        <w:tc>
          <w:tcPr>
            <w:tcW w:w="1040" w:type="dxa"/>
            <w:tcBorders>
              <w:top w:val="nil"/>
              <w:left w:val="nil"/>
              <w:bottom w:val="nil"/>
              <w:right w:val="nil"/>
            </w:tcBorders>
            <w:shd w:val="clear" w:color="auto" w:fill="auto"/>
            <w:noWrap/>
            <w:vAlign w:val="bottom"/>
            <w:hideMark/>
          </w:tcPr>
          <w:p w14:paraId="334F43A6"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tc>
        <w:tc>
          <w:tcPr>
            <w:tcW w:w="3013" w:type="dxa"/>
            <w:gridSpan w:val="2"/>
            <w:tcBorders>
              <w:top w:val="nil"/>
              <w:left w:val="nil"/>
              <w:bottom w:val="nil"/>
              <w:right w:val="nil"/>
            </w:tcBorders>
            <w:shd w:val="clear" w:color="auto" w:fill="auto"/>
            <w:noWrap/>
            <w:vAlign w:val="bottom"/>
            <w:hideMark/>
          </w:tcPr>
          <w:p w14:paraId="02E31246"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23+24+25+26+27+28</w:t>
            </w:r>
          </w:p>
        </w:tc>
        <w:tc>
          <w:tcPr>
            <w:tcW w:w="107" w:type="dxa"/>
            <w:tcBorders>
              <w:top w:val="nil"/>
              <w:left w:val="nil"/>
              <w:bottom w:val="nil"/>
              <w:right w:val="nil"/>
            </w:tcBorders>
            <w:shd w:val="clear" w:color="auto" w:fill="auto"/>
            <w:noWrap/>
            <w:vAlign w:val="bottom"/>
            <w:hideMark/>
          </w:tcPr>
          <w:p w14:paraId="5C40A82C"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p>
        </w:tc>
      </w:tr>
      <w:tr w:rsidR="00AD6E4A" w:rsidRPr="00AD6E4A" w14:paraId="064077F2" w14:textId="77777777" w:rsidTr="00AD6E4A">
        <w:trPr>
          <w:trHeight w:val="408"/>
        </w:trPr>
        <w:tc>
          <w:tcPr>
            <w:tcW w:w="2080" w:type="dxa"/>
            <w:tcBorders>
              <w:top w:val="nil"/>
              <w:left w:val="nil"/>
              <w:bottom w:val="nil"/>
              <w:right w:val="nil"/>
            </w:tcBorders>
            <w:shd w:val="clear" w:color="auto" w:fill="auto"/>
            <w:noWrap/>
            <w:vAlign w:val="bottom"/>
            <w:hideMark/>
          </w:tcPr>
          <w:p w14:paraId="58F9435E"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Credit Card Charges</w:t>
            </w:r>
          </w:p>
        </w:tc>
        <w:tc>
          <w:tcPr>
            <w:tcW w:w="1040" w:type="dxa"/>
            <w:tcBorders>
              <w:top w:val="nil"/>
              <w:left w:val="nil"/>
              <w:bottom w:val="nil"/>
              <w:right w:val="nil"/>
            </w:tcBorders>
            <w:shd w:val="clear" w:color="auto" w:fill="auto"/>
            <w:noWrap/>
            <w:vAlign w:val="bottom"/>
            <w:hideMark/>
          </w:tcPr>
          <w:p w14:paraId="6D9A47BC"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12.15</w:t>
            </w:r>
          </w:p>
        </w:tc>
        <w:tc>
          <w:tcPr>
            <w:tcW w:w="1040" w:type="dxa"/>
            <w:tcBorders>
              <w:top w:val="nil"/>
              <w:left w:val="nil"/>
              <w:bottom w:val="nil"/>
              <w:right w:val="nil"/>
            </w:tcBorders>
            <w:shd w:val="clear" w:color="auto" w:fill="auto"/>
            <w:noWrap/>
            <w:vAlign w:val="bottom"/>
            <w:hideMark/>
          </w:tcPr>
          <w:p w14:paraId="52BEE84A"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tc>
        <w:tc>
          <w:tcPr>
            <w:tcW w:w="3013" w:type="dxa"/>
            <w:gridSpan w:val="2"/>
            <w:tcBorders>
              <w:top w:val="nil"/>
              <w:left w:val="nil"/>
              <w:bottom w:val="nil"/>
              <w:right w:val="nil"/>
            </w:tcBorders>
            <w:shd w:val="clear" w:color="auto" w:fill="auto"/>
            <w:noWrap/>
            <w:vAlign w:val="bottom"/>
            <w:hideMark/>
          </w:tcPr>
          <w:p w14:paraId="00E2356E"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1350*30%*3%</w:t>
            </w:r>
          </w:p>
        </w:tc>
        <w:tc>
          <w:tcPr>
            <w:tcW w:w="107" w:type="dxa"/>
            <w:tcBorders>
              <w:top w:val="nil"/>
              <w:left w:val="nil"/>
              <w:bottom w:val="nil"/>
              <w:right w:val="nil"/>
            </w:tcBorders>
            <w:shd w:val="clear" w:color="auto" w:fill="auto"/>
            <w:noWrap/>
            <w:vAlign w:val="bottom"/>
            <w:hideMark/>
          </w:tcPr>
          <w:p w14:paraId="01286893"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p>
        </w:tc>
      </w:tr>
      <w:tr w:rsidR="00AD6E4A" w:rsidRPr="00AD6E4A" w14:paraId="3B0E068C" w14:textId="77777777" w:rsidTr="00AD6E4A">
        <w:trPr>
          <w:trHeight w:val="408"/>
        </w:trPr>
        <w:tc>
          <w:tcPr>
            <w:tcW w:w="2080" w:type="dxa"/>
            <w:tcBorders>
              <w:top w:val="nil"/>
              <w:left w:val="nil"/>
              <w:bottom w:val="nil"/>
              <w:right w:val="nil"/>
            </w:tcBorders>
            <w:shd w:val="clear" w:color="auto" w:fill="auto"/>
            <w:noWrap/>
            <w:vAlign w:val="bottom"/>
            <w:hideMark/>
          </w:tcPr>
          <w:p w14:paraId="724621CA"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Operating Profit</w:t>
            </w:r>
          </w:p>
        </w:tc>
        <w:tc>
          <w:tcPr>
            <w:tcW w:w="1040" w:type="dxa"/>
            <w:tcBorders>
              <w:top w:val="nil"/>
              <w:left w:val="nil"/>
              <w:bottom w:val="nil"/>
              <w:right w:val="nil"/>
            </w:tcBorders>
            <w:shd w:val="clear" w:color="auto" w:fill="auto"/>
            <w:noWrap/>
            <w:vAlign w:val="bottom"/>
            <w:hideMark/>
          </w:tcPr>
          <w:p w14:paraId="078B2DA8"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256.35</w:t>
            </w:r>
          </w:p>
        </w:tc>
        <w:tc>
          <w:tcPr>
            <w:tcW w:w="1040" w:type="dxa"/>
            <w:tcBorders>
              <w:top w:val="nil"/>
              <w:left w:val="nil"/>
              <w:bottom w:val="nil"/>
              <w:right w:val="nil"/>
            </w:tcBorders>
            <w:shd w:val="clear" w:color="auto" w:fill="auto"/>
            <w:noWrap/>
            <w:vAlign w:val="bottom"/>
            <w:hideMark/>
          </w:tcPr>
          <w:p w14:paraId="0163365D"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tc>
        <w:tc>
          <w:tcPr>
            <w:tcW w:w="2906" w:type="dxa"/>
            <w:tcBorders>
              <w:top w:val="nil"/>
              <w:left w:val="nil"/>
              <w:bottom w:val="nil"/>
              <w:right w:val="nil"/>
            </w:tcBorders>
            <w:shd w:val="clear" w:color="auto" w:fill="auto"/>
            <w:noWrap/>
            <w:vAlign w:val="bottom"/>
            <w:hideMark/>
          </w:tcPr>
          <w:p w14:paraId="56294754"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c>
          <w:tcPr>
            <w:tcW w:w="107" w:type="dxa"/>
            <w:tcBorders>
              <w:top w:val="nil"/>
              <w:left w:val="nil"/>
              <w:bottom w:val="nil"/>
              <w:right w:val="nil"/>
            </w:tcBorders>
            <w:shd w:val="clear" w:color="auto" w:fill="auto"/>
            <w:noWrap/>
            <w:vAlign w:val="bottom"/>
            <w:hideMark/>
          </w:tcPr>
          <w:p w14:paraId="08A24E8B"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c>
          <w:tcPr>
            <w:tcW w:w="107" w:type="dxa"/>
            <w:tcBorders>
              <w:top w:val="nil"/>
              <w:left w:val="nil"/>
              <w:bottom w:val="nil"/>
              <w:right w:val="nil"/>
            </w:tcBorders>
            <w:shd w:val="clear" w:color="auto" w:fill="auto"/>
            <w:noWrap/>
            <w:vAlign w:val="bottom"/>
            <w:hideMark/>
          </w:tcPr>
          <w:p w14:paraId="55ABCE16"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r>
      <w:tr w:rsidR="00AD6E4A" w:rsidRPr="00AD6E4A" w14:paraId="780E28E1" w14:textId="77777777" w:rsidTr="00AD6E4A">
        <w:trPr>
          <w:trHeight w:val="408"/>
        </w:trPr>
        <w:tc>
          <w:tcPr>
            <w:tcW w:w="2080" w:type="dxa"/>
            <w:tcBorders>
              <w:top w:val="nil"/>
              <w:left w:val="nil"/>
              <w:bottom w:val="nil"/>
              <w:right w:val="nil"/>
            </w:tcBorders>
            <w:shd w:val="clear" w:color="auto" w:fill="auto"/>
            <w:noWrap/>
            <w:vAlign w:val="bottom"/>
            <w:hideMark/>
          </w:tcPr>
          <w:p w14:paraId="241DF98F" w14:textId="7B77A5C4"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Interest</w:t>
            </w:r>
            <w:r w:rsidRPr="00AD6E4A">
              <w:rPr>
                <w:rFonts w:ascii="Aptos Narrow" w:eastAsia="Times New Roman" w:hAnsi="Aptos Narrow" w:cs="Times New Roman"/>
                <w:color w:val="000000"/>
                <w:kern w:val="0"/>
                <w:lang w:eastAsia="en-GB"/>
                <w14:ligatures w14:val="none"/>
              </w:rPr>
              <w:t xml:space="preserve"> Payable</w:t>
            </w:r>
          </w:p>
        </w:tc>
        <w:tc>
          <w:tcPr>
            <w:tcW w:w="1040" w:type="dxa"/>
            <w:tcBorders>
              <w:top w:val="nil"/>
              <w:left w:val="nil"/>
              <w:bottom w:val="nil"/>
              <w:right w:val="nil"/>
            </w:tcBorders>
            <w:shd w:val="clear" w:color="auto" w:fill="auto"/>
            <w:noWrap/>
            <w:vAlign w:val="bottom"/>
            <w:hideMark/>
          </w:tcPr>
          <w:p w14:paraId="2CFBAE7A"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6</w:t>
            </w:r>
          </w:p>
        </w:tc>
        <w:tc>
          <w:tcPr>
            <w:tcW w:w="1040" w:type="dxa"/>
            <w:tcBorders>
              <w:top w:val="nil"/>
              <w:left w:val="nil"/>
              <w:bottom w:val="nil"/>
              <w:right w:val="nil"/>
            </w:tcBorders>
            <w:shd w:val="clear" w:color="auto" w:fill="auto"/>
            <w:noWrap/>
            <w:vAlign w:val="bottom"/>
            <w:hideMark/>
          </w:tcPr>
          <w:p w14:paraId="4E615BC1"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tc>
        <w:tc>
          <w:tcPr>
            <w:tcW w:w="2906" w:type="dxa"/>
            <w:tcBorders>
              <w:top w:val="nil"/>
              <w:left w:val="nil"/>
              <w:bottom w:val="nil"/>
              <w:right w:val="nil"/>
            </w:tcBorders>
            <w:shd w:val="clear" w:color="auto" w:fill="auto"/>
            <w:noWrap/>
            <w:vAlign w:val="bottom"/>
            <w:hideMark/>
          </w:tcPr>
          <w:p w14:paraId="0809E85D"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c>
          <w:tcPr>
            <w:tcW w:w="107" w:type="dxa"/>
            <w:tcBorders>
              <w:top w:val="nil"/>
              <w:left w:val="nil"/>
              <w:bottom w:val="nil"/>
              <w:right w:val="nil"/>
            </w:tcBorders>
            <w:shd w:val="clear" w:color="auto" w:fill="auto"/>
            <w:noWrap/>
            <w:vAlign w:val="bottom"/>
            <w:hideMark/>
          </w:tcPr>
          <w:p w14:paraId="7F23E4D0"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c>
          <w:tcPr>
            <w:tcW w:w="107" w:type="dxa"/>
            <w:tcBorders>
              <w:top w:val="nil"/>
              <w:left w:val="nil"/>
              <w:bottom w:val="nil"/>
              <w:right w:val="nil"/>
            </w:tcBorders>
            <w:shd w:val="clear" w:color="auto" w:fill="auto"/>
            <w:noWrap/>
            <w:vAlign w:val="bottom"/>
            <w:hideMark/>
          </w:tcPr>
          <w:p w14:paraId="1F0E0623"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r>
      <w:tr w:rsidR="00AD6E4A" w:rsidRPr="00AD6E4A" w14:paraId="1B0771BA" w14:textId="77777777" w:rsidTr="00AD6E4A">
        <w:trPr>
          <w:trHeight w:val="408"/>
        </w:trPr>
        <w:tc>
          <w:tcPr>
            <w:tcW w:w="2080" w:type="dxa"/>
            <w:tcBorders>
              <w:top w:val="nil"/>
              <w:left w:val="nil"/>
              <w:bottom w:val="nil"/>
              <w:right w:val="nil"/>
            </w:tcBorders>
            <w:shd w:val="clear" w:color="auto" w:fill="auto"/>
            <w:noWrap/>
            <w:vAlign w:val="bottom"/>
            <w:hideMark/>
          </w:tcPr>
          <w:p w14:paraId="52433A78" w14:textId="77777777" w:rsidR="00AD6E4A" w:rsidRPr="00AD6E4A" w:rsidRDefault="00AD6E4A" w:rsidP="00AD6E4A">
            <w:pPr>
              <w:spacing w:after="0" w:line="240" w:lineRule="auto"/>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 xml:space="preserve">Profit for the period </w:t>
            </w:r>
          </w:p>
        </w:tc>
        <w:tc>
          <w:tcPr>
            <w:tcW w:w="1040" w:type="dxa"/>
            <w:tcBorders>
              <w:top w:val="nil"/>
              <w:left w:val="nil"/>
              <w:bottom w:val="nil"/>
              <w:right w:val="nil"/>
            </w:tcBorders>
            <w:shd w:val="clear" w:color="auto" w:fill="auto"/>
            <w:noWrap/>
            <w:vAlign w:val="bottom"/>
            <w:hideMark/>
          </w:tcPr>
          <w:p w14:paraId="7826FBCF" w14:textId="77777777" w:rsidR="00AD6E4A" w:rsidRP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r w:rsidRPr="00AD6E4A">
              <w:rPr>
                <w:rFonts w:ascii="Aptos Narrow" w:eastAsia="Times New Roman" w:hAnsi="Aptos Narrow" w:cs="Times New Roman"/>
                <w:color w:val="000000"/>
                <w:kern w:val="0"/>
                <w:lang w:eastAsia="en-GB"/>
                <w14:ligatures w14:val="none"/>
              </w:rPr>
              <w:t>260.35</w:t>
            </w:r>
          </w:p>
        </w:tc>
        <w:tc>
          <w:tcPr>
            <w:tcW w:w="1040" w:type="dxa"/>
            <w:tcBorders>
              <w:top w:val="nil"/>
              <w:left w:val="nil"/>
              <w:bottom w:val="nil"/>
              <w:right w:val="nil"/>
            </w:tcBorders>
            <w:shd w:val="clear" w:color="auto" w:fill="auto"/>
            <w:noWrap/>
            <w:vAlign w:val="bottom"/>
            <w:hideMark/>
          </w:tcPr>
          <w:p w14:paraId="22EC8815" w14:textId="77777777" w:rsidR="00AD6E4A" w:rsidRDefault="00AD6E4A" w:rsidP="00AD6E4A">
            <w:pPr>
              <w:spacing w:after="0" w:line="240" w:lineRule="auto"/>
              <w:jc w:val="right"/>
              <w:rPr>
                <w:rFonts w:ascii="Aptos Narrow" w:eastAsia="Times New Roman" w:hAnsi="Aptos Narrow" w:cs="Times New Roman"/>
                <w:color w:val="000000"/>
                <w:kern w:val="0"/>
                <w:lang w:eastAsia="en-GB"/>
                <w14:ligatures w14:val="none"/>
              </w:rPr>
            </w:pPr>
          </w:p>
          <w:p w14:paraId="0A973BD3" w14:textId="77777777" w:rsidR="00AD6E4A" w:rsidRPr="00AD6E4A" w:rsidRDefault="00AD6E4A" w:rsidP="00AD6E4A">
            <w:pPr>
              <w:spacing w:after="0" w:line="240" w:lineRule="auto"/>
              <w:jc w:val="center"/>
              <w:rPr>
                <w:rFonts w:ascii="Aptos Narrow" w:eastAsia="Times New Roman" w:hAnsi="Aptos Narrow" w:cs="Times New Roman"/>
                <w:color w:val="000000"/>
                <w:kern w:val="0"/>
                <w:lang w:eastAsia="en-GB"/>
                <w14:ligatures w14:val="none"/>
              </w:rPr>
            </w:pPr>
          </w:p>
        </w:tc>
        <w:tc>
          <w:tcPr>
            <w:tcW w:w="2906" w:type="dxa"/>
            <w:tcBorders>
              <w:top w:val="nil"/>
              <w:left w:val="nil"/>
              <w:bottom w:val="nil"/>
              <w:right w:val="nil"/>
            </w:tcBorders>
            <w:shd w:val="clear" w:color="auto" w:fill="auto"/>
            <w:noWrap/>
            <w:vAlign w:val="bottom"/>
            <w:hideMark/>
          </w:tcPr>
          <w:p w14:paraId="66DEB86F"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c>
          <w:tcPr>
            <w:tcW w:w="107" w:type="dxa"/>
            <w:tcBorders>
              <w:top w:val="nil"/>
              <w:left w:val="nil"/>
              <w:bottom w:val="nil"/>
              <w:right w:val="nil"/>
            </w:tcBorders>
            <w:shd w:val="clear" w:color="auto" w:fill="auto"/>
            <w:noWrap/>
            <w:vAlign w:val="bottom"/>
            <w:hideMark/>
          </w:tcPr>
          <w:p w14:paraId="09566FAA"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c>
          <w:tcPr>
            <w:tcW w:w="107" w:type="dxa"/>
            <w:tcBorders>
              <w:top w:val="nil"/>
              <w:left w:val="nil"/>
              <w:bottom w:val="nil"/>
              <w:right w:val="nil"/>
            </w:tcBorders>
            <w:shd w:val="clear" w:color="auto" w:fill="auto"/>
            <w:noWrap/>
            <w:vAlign w:val="bottom"/>
            <w:hideMark/>
          </w:tcPr>
          <w:p w14:paraId="54069177" w14:textId="77777777" w:rsidR="00AD6E4A" w:rsidRPr="00AD6E4A" w:rsidRDefault="00AD6E4A" w:rsidP="00AD6E4A">
            <w:pPr>
              <w:spacing w:after="0" w:line="240" w:lineRule="auto"/>
              <w:rPr>
                <w:rFonts w:ascii="Times New Roman" w:eastAsia="Times New Roman" w:hAnsi="Times New Roman" w:cs="Times New Roman"/>
                <w:kern w:val="0"/>
                <w:sz w:val="20"/>
                <w:szCs w:val="20"/>
                <w:lang w:eastAsia="en-GB"/>
                <w14:ligatures w14:val="none"/>
              </w:rPr>
            </w:pPr>
          </w:p>
        </w:tc>
      </w:tr>
    </w:tbl>
    <w:p w14:paraId="797CA9F0" w14:textId="77777777" w:rsidR="00AD6E4A" w:rsidRPr="00AD6E4A" w:rsidRDefault="00AD6E4A" w:rsidP="00AD6E4A">
      <w:pPr>
        <w:rPr>
          <w:lang w:eastAsia="en-GB"/>
        </w:rPr>
      </w:pPr>
    </w:p>
    <w:p w14:paraId="0F98D669" w14:textId="77777777" w:rsidR="00AD6E4A" w:rsidRPr="00AD6E4A" w:rsidRDefault="00AD6E4A" w:rsidP="00AD6E4A">
      <w:pPr>
        <w:pStyle w:val="Heading1"/>
        <w:rPr>
          <w:rFonts w:ascii="Arial" w:eastAsia="Times New Roman" w:hAnsi="Arial" w:cs="Arial"/>
          <w:b/>
          <w:bCs/>
          <w:sz w:val="32"/>
          <w:szCs w:val="32"/>
          <w:lang w:eastAsia="en-GB"/>
        </w:rPr>
      </w:pPr>
      <w:r w:rsidRPr="00AD6E4A">
        <w:rPr>
          <w:rFonts w:ascii="Arial" w:eastAsia="Times New Roman" w:hAnsi="Arial" w:cs="Arial"/>
          <w:b/>
          <w:bCs/>
          <w:sz w:val="32"/>
          <w:szCs w:val="32"/>
          <w:lang w:eastAsia="en-GB"/>
        </w:rPr>
        <w:t>Profit &amp; Loss Analysis:</w:t>
      </w:r>
    </w:p>
    <w:p w14:paraId="75663A81" w14:textId="77777777" w:rsidR="00AD6E4A" w:rsidRPr="00AD6E4A" w:rsidRDefault="00AD6E4A" w:rsidP="00AD6E4A">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AD6E4A">
        <w:rPr>
          <w:rFonts w:ascii="Arial" w:eastAsia="Times New Roman" w:hAnsi="Arial" w:cs="Arial"/>
          <w:kern w:val="0"/>
          <w:lang w:eastAsia="en-GB"/>
          <w14:ligatures w14:val="none"/>
        </w:rPr>
        <w:t xml:space="preserve">The gross profit margin remains stable at </w:t>
      </w:r>
      <w:r w:rsidRPr="00AD6E4A">
        <w:rPr>
          <w:rFonts w:ascii="Arial" w:eastAsia="Times New Roman" w:hAnsi="Arial" w:cs="Arial"/>
          <w:b/>
          <w:bCs/>
          <w:kern w:val="0"/>
          <w:lang w:eastAsia="en-GB"/>
          <w14:ligatures w14:val="none"/>
        </w:rPr>
        <w:t>35%</w:t>
      </w:r>
      <w:r w:rsidRPr="00AD6E4A">
        <w:rPr>
          <w:rFonts w:ascii="Arial" w:eastAsia="Times New Roman" w:hAnsi="Arial" w:cs="Arial"/>
          <w:kern w:val="0"/>
          <w:lang w:eastAsia="en-GB"/>
          <w14:ligatures w14:val="none"/>
        </w:rPr>
        <w:t>, reinforcing the company’s profitability.</w:t>
      </w:r>
    </w:p>
    <w:p w14:paraId="6DDF6830" w14:textId="77777777" w:rsidR="00AD6E4A" w:rsidRPr="00AD6E4A" w:rsidRDefault="00AD6E4A" w:rsidP="00AD6E4A">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AD6E4A">
        <w:rPr>
          <w:rFonts w:ascii="Arial" w:eastAsia="Times New Roman" w:hAnsi="Arial" w:cs="Arial"/>
          <w:kern w:val="0"/>
          <w:lang w:eastAsia="en-GB"/>
          <w14:ligatures w14:val="none"/>
        </w:rPr>
        <w:t>Selling and administrative expenses represent a significant proportion of costs, impacting net profit.</w:t>
      </w:r>
    </w:p>
    <w:p w14:paraId="2EACE70F" w14:textId="77777777" w:rsidR="00AD6E4A" w:rsidRPr="00AD6E4A" w:rsidRDefault="00AD6E4A" w:rsidP="00AD6E4A">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AD6E4A">
        <w:rPr>
          <w:rFonts w:ascii="Arial" w:eastAsia="Times New Roman" w:hAnsi="Arial" w:cs="Arial"/>
          <w:kern w:val="0"/>
          <w:lang w:eastAsia="en-GB"/>
          <w14:ligatures w14:val="none"/>
        </w:rPr>
        <w:t>Improved cost management strategies, including supplier negotiations and operational efficiency measures, can enhance profitability.</w:t>
      </w:r>
    </w:p>
    <w:p w14:paraId="1F2F12A2" w14:textId="2891A129" w:rsidR="00BD3D31" w:rsidRPr="00482401" w:rsidRDefault="00AD6E4A" w:rsidP="00482401">
      <w:pPr>
        <w:numPr>
          <w:ilvl w:val="0"/>
          <w:numId w:val="7"/>
        </w:numPr>
        <w:spacing w:before="100" w:beforeAutospacing="1" w:after="100" w:afterAutospacing="1" w:line="240" w:lineRule="auto"/>
        <w:rPr>
          <w:rFonts w:ascii="Arial" w:eastAsia="Times New Roman" w:hAnsi="Arial" w:cs="Arial"/>
          <w:kern w:val="0"/>
          <w:lang w:eastAsia="en-GB"/>
          <w14:ligatures w14:val="none"/>
        </w:rPr>
      </w:pPr>
      <w:r w:rsidRPr="00AD6E4A">
        <w:rPr>
          <w:rFonts w:ascii="Arial" w:eastAsia="Times New Roman" w:hAnsi="Arial" w:cs="Arial"/>
          <w:kern w:val="0"/>
          <w:lang w:eastAsia="en-GB"/>
          <w14:ligatures w14:val="none"/>
        </w:rPr>
        <w:t>The business is profitable, but cash flow constraints may still pose operational challenges.</w:t>
      </w:r>
    </w:p>
    <w:p w14:paraId="774A46A7" w14:textId="6AA16610" w:rsidR="00482401" w:rsidRDefault="00482401" w:rsidP="00482401">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lastRenderedPageBreak/>
        <w:t xml:space="preserve">1.4 </w:t>
      </w:r>
      <w:r w:rsidRPr="00482401">
        <w:rPr>
          <w:rFonts w:ascii="Arial" w:eastAsia="Times New Roman" w:hAnsi="Arial" w:cs="Arial"/>
          <w:b/>
          <w:bCs/>
          <w:sz w:val="32"/>
          <w:szCs w:val="32"/>
          <w:lang w:eastAsia="en-GB"/>
        </w:rPr>
        <w:t>Financial Risk and Recommendation</w:t>
      </w:r>
    </w:p>
    <w:p w14:paraId="31DF4580" w14:textId="42F29FD4" w:rsidR="006917C9" w:rsidRPr="006917C9" w:rsidRDefault="006917C9" w:rsidP="006917C9">
      <w:pPr>
        <w:rPr>
          <w:lang w:eastAsia="en-GB"/>
        </w:rPr>
      </w:pPr>
      <w:r w:rsidRPr="006917C9">
        <w:rPr>
          <w:rStyle w:val="hoverbg-blue-100"/>
          <w:rFonts w:ascii="Arial" w:hAnsi="Arial" w:cs="Arial"/>
        </w:rPr>
        <w:t xml:space="preserve">The analysis reveals financial risks such as liquidity shortages alongside excessive dependency on supplier credit and potential stock management inefficiencies. Blue Thread Ltd can address their financial risks by adopting rolling budgets which enable real-time financial performance adjustments to maintain flexibility (Hope &amp; Fraser, 2013). Blue Thread Ltd can achieve better cost control through zero-based budgeting (ZBB) because it demands justification for every expenditure instead of following past spending trends (Lalli, 2012). </w:t>
      </w:r>
      <w:r w:rsidRPr="006917C9">
        <w:br/>
      </w:r>
      <w:r w:rsidRPr="006917C9">
        <w:rPr>
          <w:rStyle w:val="hoverbg-blue-100"/>
          <w:rFonts w:ascii="Arial" w:hAnsi="Arial" w:cs="Arial"/>
        </w:rPr>
        <w:t xml:space="preserve">Blue Thread </w:t>
      </w:r>
      <w:r w:rsidRPr="006917C9">
        <w:rPr>
          <w:rStyle w:val="hoverbg-blue-100"/>
          <w:rFonts w:ascii="Arial" w:hAnsi="Arial" w:cs="Arial"/>
        </w:rPr>
        <w:t>Ltd.’s</w:t>
      </w:r>
      <w:r w:rsidRPr="006917C9">
        <w:rPr>
          <w:rStyle w:val="hoverbg-blue-100"/>
          <w:rFonts w:ascii="Arial" w:hAnsi="Arial" w:cs="Arial"/>
        </w:rPr>
        <w:t xml:space="preserve"> financial resilience will strengthen through strategic budgeting practices partnered with effective financial management which supports sustainable growth and stability in its competitive industry.</w:t>
      </w:r>
    </w:p>
    <w:p w14:paraId="5FB991B1" w14:textId="13862AF7" w:rsidR="00BD3D31" w:rsidRDefault="00BD3D31" w:rsidP="00946F61">
      <w:pPr>
        <w:pStyle w:val="Heading1"/>
        <w:rPr>
          <w:rFonts w:ascii="Arial" w:eastAsia="Times New Roman" w:hAnsi="Arial" w:cs="Arial"/>
          <w:b/>
          <w:bCs/>
          <w:sz w:val="32"/>
          <w:szCs w:val="32"/>
          <w:lang w:eastAsia="en-GB"/>
        </w:rPr>
      </w:pPr>
      <w:r w:rsidRPr="00946F61">
        <w:rPr>
          <w:rFonts w:ascii="Arial" w:eastAsia="Times New Roman" w:hAnsi="Arial" w:cs="Arial"/>
          <w:b/>
          <w:bCs/>
          <w:sz w:val="32"/>
          <w:szCs w:val="32"/>
          <w:lang w:eastAsia="en-GB"/>
        </w:rPr>
        <w:t>2</w:t>
      </w:r>
      <w:r w:rsidRPr="00946F61">
        <w:rPr>
          <w:rFonts w:ascii="Arial" w:eastAsia="Times New Roman" w:hAnsi="Arial" w:cs="Arial"/>
          <w:b/>
          <w:bCs/>
          <w:sz w:val="32"/>
          <w:szCs w:val="32"/>
          <w:lang w:eastAsia="en-GB"/>
        </w:rPr>
        <w:t>. Alternative Budgeting Approaches</w:t>
      </w:r>
    </w:p>
    <w:p w14:paraId="1008A569" w14:textId="77777777" w:rsidR="006917C9" w:rsidRPr="006917C9" w:rsidRDefault="006917C9" w:rsidP="006917C9">
      <w:pPr>
        <w:rPr>
          <w:lang w:eastAsia="en-GB"/>
        </w:rPr>
      </w:pPr>
    </w:p>
    <w:p w14:paraId="66913DBF" w14:textId="77777777" w:rsidR="006917C9" w:rsidRPr="006917C9" w:rsidRDefault="006917C9" w:rsidP="006917C9">
      <w:pPr>
        <w:rPr>
          <w:rFonts w:ascii="Arial" w:hAnsi="Arial" w:cs="Arial"/>
          <w:lang w:eastAsia="en-GB"/>
        </w:rPr>
      </w:pPr>
      <w:r w:rsidRPr="006917C9">
        <w:rPr>
          <w:rFonts w:ascii="Arial" w:hAnsi="Arial" w:cs="Arial"/>
          <w:lang w:eastAsia="en-GB"/>
        </w:rPr>
        <w:t xml:space="preserve">Budgeting serves as an essential tool for financial planning and control because it allows businesses to distribute resources efficiently. Traditional budgeting methods like incremental budgeting remain popular but alternative approaches offer enhanced flexibility to adapt to evolving business conditions. This section evaluates the advantages and disadvantages of rolling budgets along with zero-based and activity-based budgeting as they apply to Blue Thread Ltd. </w:t>
      </w:r>
    </w:p>
    <w:p w14:paraId="2E38BD6B" w14:textId="77777777" w:rsidR="006917C9" w:rsidRPr="006917C9" w:rsidRDefault="006917C9" w:rsidP="006917C9">
      <w:pPr>
        <w:rPr>
          <w:lang w:eastAsia="en-GB"/>
        </w:rPr>
      </w:pPr>
    </w:p>
    <w:p w14:paraId="2AE3D2C8" w14:textId="0600FCC2" w:rsidR="00BD3D31" w:rsidRDefault="00BD3D31" w:rsidP="00BD3D31">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2</w:t>
      </w:r>
      <w:r w:rsidRPr="00BD3D31">
        <w:rPr>
          <w:rFonts w:ascii="Arial" w:eastAsia="Times New Roman" w:hAnsi="Arial" w:cs="Arial"/>
          <w:b/>
          <w:bCs/>
          <w:sz w:val="32"/>
          <w:szCs w:val="32"/>
          <w:lang w:eastAsia="en-GB"/>
        </w:rPr>
        <w:t>.1 Rolling Budgets</w:t>
      </w:r>
    </w:p>
    <w:p w14:paraId="15899E2A" w14:textId="77777777" w:rsidR="006917C9" w:rsidRDefault="006917C9" w:rsidP="00024885">
      <w:pPr>
        <w:pStyle w:val="ListParagraph"/>
        <w:rPr>
          <w:rStyle w:val="hoverbg-blue-100"/>
          <w:rFonts w:ascii="Arial" w:hAnsi="Arial" w:cs="Arial"/>
        </w:rPr>
      </w:pPr>
      <w:r w:rsidRPr="006917C9">
        <w:rPr>
          <w:rStyle w:val="hoverbg-blue-100"/>
          <w:rFonts w:ascii="Arial" w:hAnsi="Arial" w:cs="Arial"/>
        </w:rPr>
        <w:t xml:space="preserve">Rolling budgets comprise a dynamic financial planning process that extends the budget timeline by introducing a new period each time an existing one concludes. With this method companies maintain an extended budget outlook which generally spans over 12 months at minimum according to Drury (2018). </w:t>
      </w:r>
    </w:p>
    <w:p w14:paraId="42B73A45" w14:textId="52F17E5D" w:rsidR="006917C9" w:rsidRDefault="006917C9" w:rsidP="006917C9">
      <w:pPr>
        <w:pStyle w:val="ListParagraph"/>
        <w:rPr>
          <w:rStyle w:val="text-black"/>
          <w:rFonts w:ascii="Arial" w:hAnsi="Arial" w:cs="Arial"/>
        </w:rPr>
      </w:pPr>
      <w:r w:rsidRPr="006917C9">
        <w:rPr>
          <w:rFonts w:ascii="Arial" w:hAnsi="Arial" w:cs="Arial"/>
        </w:rPr>
        <w:br/>
      </w:r>
      <w:r w:rsidRPr="006917C9">
        <w:rPr>
          <w:rStyle w:val="text-black"/>
          <w:rFonts w:ascii="Arial" w:hAnsi="Arial" w:cs="Arial"/>
          <w:b/>
          <w:bCs/>
        </w:rPr>
        <w:t>Advantages:</w:t>
      </w:r>
      <w:r w:rsidRPr="006917C9">
        <w:rPr>
          <w:rStyle w:val="text-black"/>
          <w:rFonts w:ascii="Arial" w:hAnsi="Arial" w:cs="Arial"/>
        </w:rPr>
        <w:t xml:space="preserve"> </w:t>
      </w:r>
    </w:p>
    <w:p w14:paraId="34C42180" w14:textId="0A434D19" w:rsidR="006917C9" w:rsidRPr="006917C9" w:rsidRDefault="006917C9" w:rsidP="006917C9">
      <w:pPr>
        <w:pStyle w:val="ListParagraph"/>
        <w:numPr>
          <w:ilvl w:val="0"/>
          <w:numId w:val="35"/>
        </w:numPr>
        <w:rPr>
          <w:rStyle w:val="hoverbg-blue-100"/>
          <w:rFonts w:ascii="Arial" w:hAnsi="Arial" w:cs="Arial"/>
        </w:rPr>
      </w:pPr>
      <w:r w:rsidRPr="006917C9">
        <w:rPr>
          <w:rStyle w:val="hoverbg-blue-100"/>
          <w:rFonts w:ascii="Arial" w:hAnsi="Arial" w:cs="Arial"/>
        </w:rPr>
        <w:t xml:space="preserve">Rolling budgets enable businesses to adapt budgets to current market conditions and maintain financial alignment. </w:t>
      </w:r>
    </w:p>
    <w:p w14:paraId="109B0888" w14:textId="6859C466" w:rsidR="006917C9" w:rsidRPr="006917C9" w:rsidRDefault="006917C9" w:rsidP="006917C9">
      <w:pPr>
        <w:pStyle w:val="ListParagraph"/>
        <w:numPr>
          <w:ilvl w:val="0"/>
          <w:numId w:val="35"/>
        </w:numPr>
        <w:rPr>
          <w:rStyle w:val="hoverbg-blue-100"/>
          <w:rFonts w:ascii="Arial" w:hAnsi="Arial" w:cs="Arial"/>
        </w:rPr>
      </w:pPr>
      <w:r w:rsidRPr="006917C9">
        <w:rPr>
          <w:rStyle w:val="hoverbg-blue-100"/>
          <w:rFonts w:ascii="Arial" w:hAnsi="Arial" w:cs="Arial"/>
        </w:rPr>
        <w:t xml:space="preserve">Real-time financial data enables more precise forecasting according to Atrill &amp; McLaney (2021). </w:t>
      </w:r>
    </w:p>
    <w:p w14:paraId="2F0550AE" w14:textId="77777777" w:rsidR="006917C9" w:rsidRDefault="006917C9" w:rsidP="006917C9">
      <w:pPr>
        <w:pStyle w:val="ListParagraph"/>
        <w:numPr>
          <w:ilvl w:val="0"/>
          <w:numId w:val="35"/>
        </w:numPr>
        <w:rPr>
          <w:rStyle w:val="hoverbg-blue-100"/>
          <w:rFonts w:ascii="Arial" w:hAnsi="Arial" w:cs="Arial"/>
          <w:lang w:eastAsia="en-GB"/>
        </w:rPr>
      </w:pPr>
      <w:r w:rsidRPr="006917C9">
        <w:rPr>
          <w:rStyle w:val="hoverbg-blue-100"/>
          <w:rFonts w:ascii="Arial" w:hAnsi="Arial" w:cs="Arial"/>
        </w:rPr>
        <w:t xml:space="preserve">This approach enables management to make proactive decisions and react quickly to financial changes. </w:t>
      </w:r>
    </w:p>
    <w:p w14:paraId="66448A42" w14:textId="77777777" w:rsidR="00024885" w:rsidRDefault="006917C9" w:rsidP="006917C9">
      <w:pPr>
        <w:pStyle w:val="ListParagraph"/>
        <w:numPr>
          <w:ilvl w:val="0"/>
          <w:numId w:val="35"/>
        </w:numPr>
        <w:rPr>
          <w:rStyle w:val="text-black"/>
          <w:rFonts w:ascii="Arial" w:hAnsi="Arial" w:cs="Arial"/>
          <w:lang w:eastAsia="en-GB"/>
        </w:rPr>
      </w:pPr>
      <w:r w:rsidRPr="006917C9">
        <w:rPr>
          <w:rFonts w:ascii="Arial" w:hAnsi="Arial" w:cs="Arial"/>
        </w:rPr>
        <w:br/>
      </w:r>
      <w:r w:rsidRPr="006917C9">
        <w:rPr>
          <w:rStyle w:val="text-black"/>
          <w:rFonts w:ascii="Arial" w:hAnsi="Arial" w:cs="Arial"/>
          <w:b/>
          <w:bCs/>
        </w:rPr>
        <w:t>Challenges:</w:t>
      </w:r>
      <w:r w:rsidRPr="006917C9">
        <w:rPr>
          <w:rStyle w:val="text-black"/>
          <w:rFonts w:ascii="Arial" w:hAnsi="Arial" w:cs="Arial"/>
        </w:rPr>
        <w:t xml:space="preserve"> </w:t>
      </w:r>
    </w:p>
    <w:p w14:paraId="1D32E989" w14:textId="47D8C00A" w:rsidR="00024885" w:rsidRDefault="006917C9" w:rsidP="006917C9">
      <w:pPr>
        <w:pStyle w:val="ListParagraph"/>
        <w:numPr>
          <w:ilvl w:val="0"/>
          <w:numId w:val="35"/>
        </w:numPr>
        <w:rPr>
          <w:rStyle w:val="text-black"/>
          <w:rFonts w:ascii="Arial" w:hAnsi="Arial" w:cs="Arial"/>
          <w:lang w:eastAsia="en-GB"/>
        </w:rPr>
      </w:pPr>
      <w:r w:rsidRPr="006917C9">
        <w:rPr>
          <w:rStyle w:val="text-black"/>
          <w:rFonts w:ascii="Arial" w:hAnsi="Arial" w:cs="Arial"/>
        </w:rPr>
        <w:t>Requires significant administrative effort and continuous monitoring.</w:t>
      </w:r>
    </w:p>
    <w:p w14:paraId="405B71E0" w14:textId="38CD3EFD" w:rsidR="00024885" w:rsidRDefault="006917C9" w:rsidP="006917C9">
      <w:pPr>
        <w:pStyle w:val="ListParagraph"/>
        <w:numPr>
          <w:ilvl w:val="0"/>
          <w:numId w:val="35"/>
        </w:numPr>
        <w:rPr>
          <w:rStyle w:val="hoverbg-blue-100"/>
          <w:rFonts w:ascii="Arial" w:hAnsi="Arial" w:cs="Arial"/>
          <w:lang w:eastAsia="en-GB"/>
        </w:rPr>
      </w:pPr>
      <w:r w:rsidRPr="006917C9">
        <w:rPr>
          <w:rStyle w:val="text-black"/>
          <w:rFonts w:ascii="Arial" w:hAnsi="Arial" w:cs="Arial"/>
        </w:rPr>
        <w:t xml:space="preserve"> </w:t>
      </w:r>
      <w:r w:rsidRPr="006917C9">
        <w:rPr>
          <w:rStyle w:val="hoverbg-blue-100"/>
          <w:rFonts w:ascii="Arial" w:hAnsi="Arial" w:cs="Arial"/>
        </w:rPr>
        <w:t xml:space="preserve">Frequent budgetary changes can produce strategic uncertainty (Horngren, Datar &amp; Rajan, 2020). </w:t>
      </w:r>
    </w:p>
    <w:p w14:paraId="46C540FF" w14:textId="0F2C7D3D" w:rsidR="006917C9" w:rsidRPr="006917C9" w:rsidRDefault="006917C9" w:rsidP="006917C9">
      <w:pPr>
        <w:pStyle w:val="ListParagraph"/>
        <w:numPr>
          <w:ilvl w:val="0"/>
          <w:numId w:val="35"/>
        </w:numPr>
        <w:rPr>
          <w:rFonts w:ascii="Arial" w:hAnsi="Arial" w:cs="Arial"/>
          <w:lang w:eastAsia="en-GB"/>
        </w:rPr>
      </w:pPr>
      <w:r w:rsidRPr="006917C9">
        <w:rPr>
          <w:rStyle w:val="hoverbg-blue-100"/>
          <w:rFonts w:ascii="Arial" w:hAnsi="Arial" w:cs="Arial"/>
        </w:rPr>
        <w:t>Blue Thread Ltd could benefit from financial performance analysis on an ongoing basis while aligning their operations with their target of clearing their overdraft in six months by adopting a rolling budget.</w:t>
      </w:r>
    </w:p>
    <w:p w14:paraId="1CFCBD35" w14:textId="21C40B6F" w:rsidR="00BD3D31" w:rsidRPr="00BD3D31" w:rsidRDefault="00BD3D31" w:rsidP="00BD3D31">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lastRenderedPageBreak/>
        <w:t>2</w:t>
      </w:r>
      <w:r w:rsidRPr="00BD3D31">
        <w:rPr>
          <w:rFonts w:ascii="Arial" w:eastAsia="Times New Roman" w:hAnsi="Arial" w:cs="Arial"/>
          <w:b/>
          <w:bCs/>
          <w:sz w:val="32"/>
          <w:szCs w:val="32"/>
          <w:lang w:eastAsia="en-GB"/>
        </w:rPr>
        <w:t>.2 Zero-Based Budgeting (ZBB)</w:t>
      </w:r>
    </w:p>
    <w:p w14:paraId="26F35CF1" w14:textId="77777777" w:rsidR="00BD3D31" w:rsidRPr="00BD3D31" w:rsidRDefault="00BD3D31" w:rsidP="00BD3D31">
      <w:pPr>
        <w:spacing w:before="100" w:beforeAutospacing="1" w:after="100" w:afterAutospacing="1" w:line="240" w:lineRule="auto"/>
        <w:rPr>
          <w:rFonts w:ascii="Arial" w:eastAsia="Times New Roman" w:hAnsi="Arial" w:cs="Arial"/>
          <w:kern w:val="0"/>
          <w:lang w:eastAsia="en-GB"/>
          <w14:ligatures w14:val="none"/>
        </w:rPr>
      </w:pPr>
      <w:r w:rsidRPr="00BD3D31">
        <w:rPr>
          <w:rFonts w:ascii="Arial" w:eastAsia="Times New Roman" w:hAnsi="Arial" w:cs="Arial"/>
          <w:kern w:val="0"/>
          <w:lang w:eastAsia="en-GB"/>
          <w14:ligatures w14:val="none"/>
        </w:rPr>
        <w:t>ZBB requires businesses to justify all expenses for each budgeting period, rather than simply adjusting previous budgets. This method ensures that every financial decision aligns with strategic priorities (CIMA, 2019).</w:t>
      </w:r>
    </w:p>
    <w:p w14:paraId="6141565A" w14:textId="77777777" w:rsidR="00BD3D31" w:rsidRPr="00BD3D31" w:rsidRDefault="00BD3D31" w:rsidP="00BD3D31">
      <w:pPr>
        <w:spacing w:before="100" w:beforeAutospacing="1" w:after="100" w:afterAutospacing="1" w:line="240" w:lineRule="auto"/>
        <w:outlineLvl w:val="3"/>
        <w:rPr>
          <w:rFonts w:ascii="Arial" w:eastAsia="Times New Roman" w:hAnsi="Arial" w:cs="Arial"/>
          <w:b/>
          <w:bCs/>
          <w:kern w:val="0"/>
          <w:lang w:eastAsia="en-GB"/>
          <w14:ligatures w14:val="none"/>
        </w:rPr>
      </w:pPr>
      <w:r w:rsidRPr="00BD3D31">
        <w:rPr>
          <w:rFonts w:ascii="Arial" w:eastAsia="Times New Roman" w:hAnsi="Arial" w:cs="Arial"/>
          <w:b/>
          <w:bCs/>
          <w:kern w:val="0"/>
          <w:lang w:eastAsia="en-GB"/>
          <w14:ligatures w14:val="none"/>
        </w:rPr>
        <w:t>Advantages:</w:t>
      </w:r>
    </w:p>
    <w:p w14:paraId="229A9B81" w14:textId="77777777" w:rsidR="00BD3D31" w:rsidRPr="00BD3D31" w:rsidRDefault="00BD3D31" w:rsidP="00BD3D31">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BD3D31">
        <w:rPr>
          <w:rFonts w:ascii="Arial" w:eastAsia="Times New Roman" w:hAnsi="Arial" w:cs="Arial"/>
          <w:kern w:val="0"/>
          <w:lang w:eastAsia="en-GB"/>
          <w14:ligatures w14:val="none"/>
        </w:rPr>
        <w:t>Eliminates unnecessary expenditures, promoting cost efficiency.</w:t>
      </w:r>
    </w:p>
    <w:p w14:paraId="204C716B" w14:textId="77777777" w:rsidR="00BD3D31" w:rsidRPr="00BD3D31" w:rsidRDefault="00BD3D31" w:rsidP="00BD3D31">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BD3D31">
        <w:rPr>
          <w:rFonts w:ascii="Arial" w:eastAsia="Times New Roman" w:hAnsi="Arial" w:cs="Arial"/>
          <w:kern w:val="0"/>
          <w:lang w:eastAsia="en-GB"/>
          <w14:ligatures w14:val="none"/>
        </w:rPr>
        <w:t>Encourages accountability, as every department must justify its budget allocations.</w:t>
      </w:r>
    </w:p>
    <w:p w14:paraId="2FA7C946" w14:textId="77777777" w:rsidR="00BD3D31" w:rsidRPr="00BD3D31" w:rsidRDefault="00BD3D31" w:rsidP="00BD3D31">
      <w:pPr>
        <w:numPr>
          <w:ilvl w:val="0"/>
          <w:numId w:val="11"/>
        </w:numPr>
        <w:spacing w:before="100" w:beforeAutospacing="1" w:after="100" w:afterAutospacing="1" w:line="240" w:lineRule="auto"/>
        <w:rPr>
          <w:rFonts w:ascii="Arial" w:eastAsia="Times New Roman" w:hAnsi="Arial" w:cs="Arial"/>
          <w:kern w:val="0"/>
          <w:lang w:eastAsia="en-GB"/>
          <w14:ligatures w14:val="none"/>
        </w:rPr>
      </w:pPr>
      <w:r w:rsidRPr="00BD3D31">
        <w:rPr>
          <w:rFonts w:ascii="Arial" w:eastAsia="Times New Roman" w:hAnsi="Arial" w:cs="Arial"/>
          <w:kern w:val="0"/>
          <w:lang w:eastAsia="en-GB"/>
          <w14:ligatures w14:val="none"/>
        </w:rPr>
        <w:t>Enhances resource allocation, directing funds to high-priority activities (Drury, 2018).</w:t>
      </w:r>
    </w:p>
    <w:p w14:paraId="52E14D22" w14:textId="77777777" w:rsidR="00BD3D31" w:rsidRPr="00BD3D31" w:rsidRDefault="00BD3D31" w:rsidP="00BD3D31">
      <w:pPr>
        <w:spacing w:before="100" w:beforeAutospacing="1" w:after="100" w:afterAutospacing="1" w:line="240" w:lineRule="auto"/>
        <w:outlineLvl w:val="3"/>
        <w:rPr>
          <w:rFonts w:ascii="Arial" w:eastAsia="Times New Roman" w:hAnsi="Arial" w:cs="Arial"/>
          <w:b/>
          <w:bCs/>
          <w:kern w:val="0"/>
          <w:lang w:eastAsia="en-GB"/>
          <w14:ligatures w14:val="none"/>
        </w:rPr>
      </w:pPr>
      <w:r w:rsidRPr="00BD3D31">
        <w:rPr>
          <w:rFonts w:ascii="Arial" w:eastAsia="Times New Roman" w:hAnsi="Arial" w:cs="Arial"/>
          <w:b/>
          <w:bCs/>
          <w:kern w:val="0"/>
          <w:lang w:eastAsia="en-GB"/>
          <w14:ligatures w14:val="none"/>
        </w:rPr>
        <w:t>Challenges:</w:t>
      </w:r>
    </w:p>
    <w:p w14:paraId="2858EEDD" w14:textId="77777777" w:rsidR="00BD3D31" w:rsidRPr="00BD3D31" w:rsidRDefault="00BD3D31" w:rsidP="00BD3D31">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BD3D31">
        <w:rPr>
          <w:rFonts w:ascii="Arial" w:eastAsia="Times New Roman" w:hAnsi="Arial" w:cs="Arial"/>
          <w:kern w:val="0"/>
          <w:lang w:eastAsia="en-GB"/>
          <w14:ligatures w14:val="none"/>
        </w:rPr>
        <w:t>Time-consuming, as it requires extensive analysis and documentation.</w:t>
      </w:r>
    </w:p>
    <w:p w14:paraId="76D06222" w14:textId="77777777" w:rsidR="00BD3D31" w:rsidRPr="00BD3D31" w:rsidRDefault="00BD3D31" w:rsidP="00BD3D31">
      <w:pPr>
        <w:numPr>
          <w:ilvl w:val="0"/>
          <w:numId w:val="12"/>
        </w:numPr>
        <w:spacing w:before="100" w:beforeAutospacing="1" w:after="100" w:afterAutospacing="1" w:line="240" w:lineRule="auto"/>
        <w:rPr>
          <w:rFonts w:ascii="Arial" w:eastAsia="Times New Roman" w:hAnsi="Arial" w:cs="Arial"/>
          <w:kern w:val="0"/>
          <w:lang w:eastAsia="en-GB"/>
          <w14:ligatures w14:val="none"/>
        </w:rPr>
      </w:pPr>
      <w:r w:rsidRPr="00BD3D31">
        <w:rPr>
          <w:rFonts w:ascii="Arial" w:eastAsia="Times New Roman" w:hAnsi="Arial" w:cs="Arial"/>
          <w:kern w:val="0"/>
          <w:lang w:eastAsia="en-GB"/>
          <w14:ligatures w14:val="none"/>
        </w:rPr>
        <w:t>May be complex for businesses with stable cost structures.</w:t>
      </w:r>
    </w:p>
    <w:p w14:paraId="3351A7FD" w14:textId="77777777" w:rsidR="00BD3D31" w:rsidRPr="00BD3D31" w:rsidRDefault="00BD3D31" w:rsidP="00BD3D31">
      <w:pPr>
        <w:spacing w:before="100" w:beforeAutospacing="1" w:after="100" w:afterAutospacing="1" w:line="240" w:lineRule="auto"/>
        <w:rPr>
          <w:rFonts w:ascii="Arial" w:eastAsia="Times New Roman" w:hAnsi="Arial" w:cs="Arial"/>
          <w:kern w:val="0"/>
          <w:lang w:eastAsia="en-GB"/>
          <w14:ligatures w14:val="none"/>
        </w:rPr>
      </w:pPr>
      <w:r w:rsidRPr="00BD3D31">
        <w:rPr>
          <w:rFonts w:ascii="Arial" w:eastAsia="Times New Roman" w:hAnsi="Arial" w:cs="Arial"/>
          <w:kern w:val="0"/>
          <w:lang w:eastAsia="en-GB"/>
          <w14:ligatures w14:val="none"/>
        </w:rPr>
        <w:t>For Blue Thread Ltd, implementing ZBB could improve cost control by ensuring that all expenses contribute directly to financial recovery and growth.</w:t>
      </w:r>
    </w:p>
    <w:p w14:paraId="5EA675A4" w14:textId="6FED1564" w:rsidR="00BD3D31" w:rsidRDefault="00946F61" w:rsidP="00BD3D31">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2</w:t>
      </w:r>
      <w:r w:rsidR="00BD3D31" w:rsidRPr="00BD3D31">
        <w:rPr>
          <w:rFonts w:ascii="Arial" w:eastAsia="Times New Roman" w:hAnsi="Arial" w:cs="Arial"/>
          <w:b/>
          <w:bCs/>
          <w:sz w:val="32"/>
          <w:szCs w:val="32"/>
          <w:lang w:eastAsia="en-GB"/>
        </w:rPr>
        <w:t>.3 Activity-Based Budgeting (ABB)</w:t>
      </w:r>
    </w:p>
    <w:p w14:paraId="29D5AECB" w14:textId="77777777" w:rsidR="00024885" w:rsidRDefault="00024885" w:rsidP="00024885">
      <w:pPr>
        <w:rPr>
          <w:rStyle w:val="text-black"/>
          <w:rFonts w:ascii="Arial" w:hAnsi="Arial" w:cs="Arial"/>
          <w:b/>
          <w:bCs/>
        </w:rPr>
      </w:pPr>
      <w:r w:rsidRPr="00024885">
        <w:rPr>
          <w:rStyle w:val="hoverbg-blue-100"/>
          <w:rFonts w:ascii="Arial" w:hAnsi="Arial" w:cs="Arial"/>
        </w:rPr>
        <w:t xml:space="preserve">ABB determines resource allocation through business operations that generate costs instead of previous spending trends. The method connects budget allocations directly to operational drivers which leads to improved cost efficiency according to Kaplan &amp; Anderson (2020). </w:t>
      </w:r>
      <w:r w:rsidRPr="00024885">
        <w:rPr>
          <w:rFonts w:ascii="Arial" w:hAnsi="Arial" w:cs="Arial"/>
        </w:rPr>
        <w:br/>
      </w:r>
      <w:r w:rsidRPr="00024885">
        <w:rPr>
          <w:rStyle w:val="text-black"/>
          <w:rFonts w:ascii="Arial" w:hAnsi="Arial" w:cs="Arial"/>
          <w:b/>
          <w:bCs/>
        </w:rPr>
        <w:t xml:space="preserve">Advantages: </w:t>
      </w:r>
    </w:p>
    <w:p w14:paraId="3F0AB886" w14:textId="1955B344" w:rsidR="00024885" w:rsidRDefault="00024885" w:rsidP="00024885">
      <w:pPr>
        <w:pStyle w:val="ListParagraph"/>
        <w:numPr>
          <w:ilvl w:val="0"/>
          <w:numId w:val="37"/>
        </w:numPr>
        <w:rPr>
          <w:rStyle w:val="hoverbg-blue-100"/>
          <w:rFonts w:ascii="Arial" w:hAnsi="Arial" w:cs="Arial"/>
        </w:rPr>
      </w:pPr>
      <w:r w:rsidRPr="00024885">
        <w:rPr>
          <w:rStyle w:val="hoverbg-blue-100"/>
          <w:rFonts w:ascii="Arial" w:hAnsi="Arial" w:cs="Arial"/>
        </w:rPr>
        <w:t>This approach delivers a more transparent view of cost structures and drivers for the organization.</w:t>
      </w:r>
    </w:p>
    <w:p w14:paraId="63F48016" w14:textId="77777777" w:rsidR="00024885" w:rsidRDefault="00024885" w:rsidP="00024885">
      <w:pPr>
        <w:pStyle w:val="ListParagraph"/>
        <w:numPr>
          <w:ilvl w:val="0"/>
          <w:numId w:val="37"/>
        </w:numPr>
        <w:rPr>
          <w:rStyle w:val="hoverbg-blue-100"/>
          <w:rFonts w:ascii="Arial" w:hAnsi="Arial" w:cs="Arial"/>
        </w:rPr>
      </w:pPr>
      <w:r w:rsidRPr="00024885">
        <w:rPr>
          <w:rStyle w:val="hoverbg-blue-100"/>
          <w:rFonts w:ascii="Arial" w:hAnsi="Arial" w:cs="Arial"/>
        </w:rPr>
        <w:t xml:space="preserve"> It helps to improve efficiency through the identification of possible cost reduction opportunities. </w:t>
      </w:r>
    </w:p>
    <w:p w14:paraId="3A638782" w14:textId="35E2AE73" w:rsidR="00024885" w:rsidRPr="00024885" w:rsidRDefault="00024885" w:rsidP="00024885">
      <w:pPr>
        <w:pStyle w:val="ListParagraph"/>
        <w:numPr>
          <w:ilvl w:val="0"/>
          <w:numId w:val="37"/>
        </w:numPr>
        <w:rPr>
          <w:rStyle w:val="hoverbg-blue-100"/>
          <w:rFonts w:ascii="Arial" w:hAnsi="Arial" w:cs="Arial"/>
        </w:rPr>
      </w:pPr>
      <w:r w:rsidRPr="00024885">
        <w:rPr>
          <w:rStyle w:val="hoverbg-blue-100"/>
          <w:rFonts w:ascii="Arial" w:hAnsi="Arial" w:cs="Arial"/>
        </w:rPr>
        <w:t>Strategic planning improves when budgets match business operations.</w:t>
      </w:r>
    </w:p>
    <w:p w14:paraId="763F3108" w14:textId="77777777" w:rsidR="00024885" w:rsidRDefault="00024885" w:rsidP="00024885">
      <w:pPr>
        <w:rPr>
          <w:rStyle w:val="text-black"/>
          <w:rFonts w:ascii="Arial" w:hAnsi="Arial" w:cs="Arial"/>
        </w:rPr>
      </w:pPr>
      <w:r w:rsidRPr="00024885">
        <w:rPr>
          <w:rStyle w:val="hoverbg-blue-100"/>
          <w:rFonts w:ascii="Arial" w:hAnsi="Arial" w:cs="Arial"/>
        </w:rPr>
        <w:t xml:space="preserve"> </w:t>
      </w:r>
      <w:r w:rsidRPr="00024885">
        <w:rPr>
          <w:rFonts w:ascii="Arial" w:hAnsi="Arial" w:cs="Arial"/>
        </w:rPr>
        <w:br/>
      </w:r>
      <w:r w:rsidRPr="00024885">
        <w:rPr>
          <w:rStyle w:val="text-black"/>
          <w:rFonts w:ascii="Arial" w:hAnsi="Arial" w:cs="Arial"/>
          <w:b/>
          <w:bCs/>
        </w:rPr>
        <w:t>Challenges:</w:t>
      </w:r>
      <w:r w:rsidRPr="00024885">
        <w:rPr>
          <w:rStyle w:val="text-black"/>
          <w:rFonts w:ascii="Arial" w:hAnsi="Arial" w:cs="Arial"/>
        </w:rPr>
        <w:t xml:space="preserve"> </w:t>
      </w:r>
      <w:r w:rsidRPr="00024885">
        <w:rPr>
          <w:rFonts w:ascii="Arial" w:hAnsi="Arial" w:cs="Arial"/>
        </w:rPr>
        <w:br/>
      </w:r>
    </w:p>
    <w:p w14:paraId="0641121F" w14:textId="77777777" w:rsidR="00024885" w:rsidRPr="00024885" w:rsidRDefault="00024885" w:rsidP="00024885">
      <w:pPr>
        <w:pStyle w:val="ListParagraph"/>
        <w:numPr>
          <w:ilvl w:val="0"/>
          <w:numId w:val="38"/>
        </w:numPr>
        <w:rPr>
          <w:rStyle w:val="text-black"/>
          <w:rFonts w:ascii="Arial" w:hAnsi="Arial" w:cs="Arial"/>
          <w:b/>
          <w:bCs/>
        </w:rPr>
      </w:pPr>
      <w:r w:rsidRPr="00024885">
        <w:rPr>
          <w:rStyle w:val="text-black"/>
          <w:rFonts w:ascii="Arial" w:hAnsi="Arial" w:cs="Arial"/>
        </w:rPr>
        <w:t xml:space="preserve">Requires detailed data collection and analysis. </w:t>
      </w:r>
    </w:p>
    <w:p w14:paraId="08C0A59C" w14:textId="77777777" w:rsidR="00024885" w:rsidRPr="00024885" w:rsidRDefault="00024885" w:rsidP="00024885">
      <w:pPr>
        <w:pStyle w:val="ListParagraph"/>
        <w:numPr>
          <w:ilvl w:val="0"/>
          <w:numId w:val="38"/>
        </w:numPr>
        <w:rPr>
          <w:rStyle w:val="hoverbg-blue-100"/>
          <w:rFonts w:ascii="Arial" w:hAnsi="Arial" w:cs="Arial"/>
          <w:b/>
          <w:bCs/>
        </w:rPr>
      </w:pPr>
      <w:r w:rsidRPr="00024885">
        <w:rPr>
          <w:rStyle w:val="hoverbg-blue-100"/>
          <w:rFonts w:ascii="Arial" w:hAnsi="Arial" w:cs="Arial"/>
        </w:rPr>
        <w:t xml:space="preserve">Smaller businesses often find the implementation process complex (Horngren, Datar &amp; Rajan, 2020). </w:t>
      </w:r>
    </w:p>
    <w:p w14:paraId="51FB0428" w14:textId="619E188D" w:rsidR="00024885" w:rsidRPr="00024885" w:rsidRDefault="00024885" w:rsidP="00024885">
      <w:pPr>
        <w:pStyle w:val="ListParagraph"/>
        <w:numPr>
          <w:ilvl w:val="0"/>
          <w:numId w:val="38"/>
        </w:numPr>
        <w:rPr>
          <w:rFonts w:ascii="Arial" w:hAnsi="Arial" w:cs="Arial"/>
          <w:b/>
          <w:bCs/>
        </w:rPr>
      </w:pPr>
      <w:r w:rsidRPr="00024885">
        <w:rPr>
          <w:rStyle w:val="hoverbg-blue-100"/>
          <w:rFonts w:ascii="Arial" w:hAnsi="Arial" w:cs="Arial"/>
        </w:rPr>
        <w:t>The most cost-intensive areas of operation at Blue Thread Ltd can be identified through ABB which will allow them to optimize their resource allocation.</w:t>
      </w:r>
    </w:p>
    <w:p w14:paraId="4FBCA2E4" w14:textId="2D18A1A9" w:rsidR="00BD3D31" w:rsidRPr="00BD3D31" w:rsidRDefault="00946F61" w:rsidP="00BD3D31">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2</w:t>
      </w:r>
      <w:r w:rsidR="00BD3D31" w:rsidRPr="00BD3D31">
        <w:rPr>
          <w:rFonts w:ascii="Arial" w:eastAsia="Times New Roman" w:hAnsi="Arial" w:cs="Arial"/>
          <w:b/>
          <w:bCs/>
          <w:sz w:val="32"/>
          <w:szCs w:val="32"/>
          <w:lang w:eastAsia="en-GB"/>
        </w:rPr>
        <w:t>.4 Recommendation</w:t>
      </w:r>
    </w:p>
    <w:p w14:paraId="46D98603" w14:textId="77777777" w:rsidR="00024885" w:rsidRPr="00024885" w:rsidRDefault="00024885" w:rsidP="00024885">
      <w:pPr>
        <w:spacing w:after="0" w:line="240" w:lineRule="auto"/>
        <w:rPr>
          <w:rFonts w:ascii="Arial" w:eastAsia="Times New Roman" w:hAnsi="Arial" w:cs="Arial"/>
          <w:kern w:val="0"/>
          <w:lang w:eastAsia="en-GB"/>
          <w14:ligatures w14:val="none"/>
        </w:rPr>
      </w:pPr>
      <w:r w:rsidRPr="00024885">
        <w:rPr>
          <w:rFonts w:ascii="Arial" w:eastAsia="Times New Roman" w:hAnsi="Arial" w:cs="Arial"/>
          <w:kern w:val="0"/>
          <w:lang w:eastAsia="en-GB"/>
          <w14:ligatures w14:val="none"/>
        </w:rPr>
        <w:t xml:space="preserve">To achieve financial stability for the company a combined method using rolling budgets and activity-based budgeting stands out as the optimal solution. The rolling budget system enables management to adapt financial plans to changing requirements while ABB aligns budget allocations directly with essential cost drivers. Implementing this strategy will strengthen financial planning capabilities and boost cost control measures while helping to eliminate overdraft situations. </w:t>
      </w:r>
    </w:p>
    <w:p w14:paraId="1431A23B" w14:textId="77777777" w:rsidR="00117567" w:rsidRDefault="00117567">
      <w:pPr>
        <w:rPr>
          <w:rFonts w:ascii="Arial" w:eastAsia="Times New Roman" w:hAnsi="Arial" w:cs="Arial"/>
          <w:kern w:val="0"/>
          <w:lang w:eastAsia="en-GB"/>
          <w14:ligatures w14:val="none"/>
        </w:rPr>
      </w:pPr>
      <w:r>
        <w:rPr>
          <w:rFonts w:ascii="Arial" w:eastAsia="Times New Roman" w:hAnsi="Arial" w:cs="Arial"/>
          <w:kern w:val="0"/>
          <w:lang w:eastAsia="en-GB"/>
          <w14:ligatures w14:val="none"/>
        </w:rPr>
        <w:br w:type="page"/>
      </w:r>
    </w:p>
    <w:p w14:paraId="4D8D19ED" w14:textId="54F2FE37" w:rsidR="00117567" w:rsidRDefault="00946F61" w:rsidP="00117567">
      <w:pPr>
        <w:pStyle w:val="Heading1"/>
        <w:rPr>
          <w:rFonts w:eastAsia="Times New Roman"/>
          <w:b/>
          <w:bCs/>
          <w:sz w:val="36"/>
          <w:szCs w:val="36"/>
          <w:lang w:eastAsia="en-GB"/>
        </w:rPr>
      </w:pPr>
      <w:r>
        <w:rPr>
          <w:rFonts w:eastAsia="Times New Roman"/>
          <w:b/>
          <w:bCs/>
          <w:sz w:val="36"/>
          <w:szCs w:val="36"/>
          <w:lang w:eastAsia="en-GB"/>
        </w:rPr>
        <w:lastRenderedPageBreak/>
        <w:t>3</w:t>
      </w:r>
      <w:r w:rsidR="00117567" w:rsidRPr="00117567">
        <w:rPr>
          <w:rFonts w:eastAsia="Times New Roman"/>
          <w:b/>
          <w:bCs/>
          <w:sz w:val="36"/>
          <w:szCs w:val="36"/>
          <w:lang w:eastAsia="en-GB"/>
        </w:rPr>
        <w:t xml:space="preserve">. </w:t>
      </w:r>
      <w:r w:rsidR="00117567" w:rsidRPr="00117567">
        <w:rPr>
          <w:rFonts w:eastAsia="Times New Roman"/>
          <w:b/>
          <w:bCs/>
          <w:sz w:val="36"/>
          <w:szCs w:val="36"/>
          <w:lang w:eastAsia="en-GB"/>
        </w:rPr>
        <w:t>Behavioural</w:t>
      </w:r>
      <w:r w:rsidR="00117567" w:rsidRPr="00117567">
        <w:rPr>
          <w:rFonts w:eastAsia="Times New Roman"/>
          <w:b/>
          <w:bCs/>
          <w:sz w:val="36"/>
          <w:szCs w:val="36"/>
          <w:lang w:eastAsia="en-GB"/>
        </w:rPr>
        <w:t xml:space="preserve"> and Organizational Considerations in Budgeting</w:t>
      </w:r>
    </w:p>
    <w:p w14:paraId="2A18A7CC" w14:textId="26D222D7" w:rsidR="00024885" w:rsidRPr="00024885" w:rsidRDefault="00024885" w:rsidP="00024885">
      <w:pPr>
        <w:rPr>
          <w:rFonts w:ascii="Arial" w:hAnsi="Arial" w:cs="Arial"/>
          <w:lang w:eastAsia="en-GB"/>
        </w:rPr>
      </w:pPr>
      <w:r w:rsidRPr="00024885">
        <w:rPr>
          <w:rStyle w:val="hoverbg-blue-100"/>
          <w:rFonts w:ascii="Arial" w:hAnsi="Arial" w:cs="Arial"/>
        </w:rPr>
        <w:t>Budgeting represents more than just a financial operation because its effectiveness depends on behavioural and organizational dynamics. Success or failure of the budgeting process depends on how employees and managers work through their interactions with it. The section examines important organizational and behavioural elements of budgeting such as motivation and goal congruence alongside participation and resistance to change.</w:t>
      </w:r>
    </w:p>
    <w:p w14:paraId="5DBD4AA7" w14:textId="2E75089E" w:rsidR="00117567" w:rsidRDefault="00946F61" w:rsidP="00117567">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3</w:t>
      </w:r>
      <w:r w:rsidR="00117567" w:rsidRPr="00117567">
        <w:rPr>
          <w:rFonts w:ascii="Arial" w:eastAsia="Times New Roman" w:hAnsi="Arial" w:cs="Arial"/>
          <w:b/>
          <w:bCs/>
          <w:sz w:val="32"/>
          <w:szCs w:val="32"/>
          <w:lang w:eastAsia="en-GB"/>
        </w:rPr>
        <w:t>.1 Motivation and Budgetary Control</w:t>
      </w:r>
    </w:p>
    <w:p w14:paraId="68E75742" w14:textId="5C34F674" w:rsidR="00024885" w:rsidRPr="00024885" w:rsidRDefault="00024885" w:rsidP="00024885">
      <w:pPr>
        <w:rPr>
          <w:rFonts w:ascii="Arial" w:hAnsi="Arial" w:cs="Arial"/>
          <w:lang w:eastAsia="en-GB"/>
        </w:rPr>
      </w:pPr>
      <w:r w:rsidRPr="00024885">
        <w:rPr>
          <w:rStyle w:val="hoverbg-blue-100"/>
          <w:rFonts w:ascii="Arial" w:hAnsi="Arial" w:cs="Arial"/>
        </w:rPr>
        <w:t xml:space="preserve">A properly structured budgeting system functions as an employee motivation tool through the establishment of performance expectations combined with incentive offerings. Drury (2018) explains that budgets act as performance benchmarks which have the potential to motivate employees or induce stress based on their implementation. According to Vroom's expectancy theory (1964) employees become more motivated when they see a direct connection between their effort and their performance with the resultant rewards they receive. </w:t>
      </w:r>
      <w:r w:rsidRPr="00024885">
        <w:rPr>
          <w:rFonts w:ascii="Arial" w:hAnsi="Arial" w:cs="Arial"/>
        </w:rPr>
        <w:br/>
      </w:r>
      <w:r w:rsidRPr="00024885">
        <w:rPr>
          <w:rStyle w:val="hoverbg-blue-100"/>
          <w:rFonts w:ascii="Arial" w:hAnsi="Arial" w:cs="Arial"/>
        </w:rPr>
        <w:t xml:space="preserve">Unrealistic budget targets cause demotivation among employees and lead to </w:t>
      </w:r>
      <w:r w:rsidRPr="00024885">
        <w:rPr>
          <w:rStyle w:val="hoverbg-blue-100"/>
          <w:rFonts w:ascii="Arial" w:hAnsi="Arial" w:cs="Arial"/>
        </w:rPr>
        <w:t>behaviours</w:t>
      </w:r>
      <w:r w:rsidRPr="00024885">
        <w:rPr>
          <w:rStyle w:val="hoverbg-blue-100"/>
          <w:rFonts w:ascii="Arial" w:hAnsi="Arial" w:cs="Arial"/>
        </w:rPr>
        <w:t xml:space="preserve"> like budgetary slack which involves managers intentionally misrepresenting financial figures to simplify their targets (Atrill &amp; McLaney, 2021). Blue Thread Ltd needs to establish realistic but demanding targets that inspire performance and uphold fair treatment.</w:t>
      </w:r>
    </w:p>
    <w:p w14:paraId="22FDE8BE" w14:textId="38B530EC" w:rsidR="00117567" w:rsidRDefault="00946F61" w:rsidP="00117567">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3</w:t>
      </w:r>
      <w:r w:rsidR="00117567" w:rsidRPr="00117567">
        <w:rPr>
          <w:rFonts w:ascii="Arial" w:eastAsia="Times New Roman" w:hAnsi="Arial" w:cs="Arial"/>
          <w:b/>
          <w:bCs/>
          <w:sz w:val="32"/>
          <w:szCs w:val="32"/>
          <w:lang w:eastAsia="en-GB"/>
        </w:rPr>
        <w:t>.2 Participation in Budgeting</w:t>
      </w:r>
    </w:p>
    <w:p w14:paraId="6A5D51FC" w14:textId="095944B9" w:rsidR="00024885" w:rsidRPr="00024885" w:rsidRDefault="00024885" w:rsidP="00024885">
      <w:pPr>
        <w:rPr>
          <w:rFonts w:ascii="Arial" w:hAnsi="Arial" w:cs="Arial"/>
          <w:lang w:eastAsia="en-GB"/>
        </w:rPr>
      </w:pPr>
      <w:r w:rsidRPr="00024885">
        <w:rPr>
          <w:rStyle w:val="hoverbg-blue-100"/>
          <w:rFonts w:ascii="Arial" w:hAnsi="Arial" w:cs="Arial"/>
        </w:rPr>
        <w:t xml:space="preserve">When employees take part in the budgeting process their commitment and sense of ownership towards organizational goals improves. Argyris (1952) found that employee involvement in creating budgets leads to increased acceptance and pursuit of budgetary objectives. Through participative budgeting employees inject valuable insights which results in budget estimates that better reflect reality according to Horngren, Datar &amp; Rajan (2020). </w:t>
      </w:r>
      <w:r w:rsidRPr="00024885">
        <w:rPr>
          <w:rFonts w:ascii="Arial" w:hAnsi="Arial" w:cs="Arial"/>
        </w:rPr>
        <w:br/>
      </w:r>
      <w:r w:rsidRPr="00024885">
        <w:rPr>
          <w:rStyle w:val="hoverbg-blue-100"/>
          <w:rFonts w:ascii="Arial" w:hAnsi="Arial" w:cs="Arial"/>
        </w:rPr>
        <w:t>Blue Thread Ltd can improve engagement and lower budgetary control resistance by involving department managers and staff in participation. Decision-making becomes sluggish and conflict emerges when too many participants are involved especially when departments compete for financial resources.</w:t>
      </w:r>
    </w:p>
    <w:p w14:paraId="7A75613E" w14:textId="402CF0EF" w:rsidR="00117567" w:rsidRDefault="00946F61" w:rsidP="00117567">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3</w:t>
      </w:r>
      <w:r w:rsidR="00117567" w:rsidRPr="00117567">
        <w:rPr>
          <w:rFonts w:ascii="Arial" w:eastAsia="Times New Roman" w:hAnsi="Arial" w:cs="Arial"/>
          <w:b/>
          <w:bCs/>
          <w:sz w:val="32"/>
          <w:szCs w:val="32"/>
          <w:lang w:eastAsia="en-GB"/>
        </w:rPr>
        <w:t>.3 Goal Congruence and Budget Alignment</w:t>
      </w:r>
    </w:p>
    <w:p w14:paraId="258B95B9" w14:textId="5F71C48F" w:rsidR="00024885" w:rsidRPr="00024885" w:rsidRDefault="00024885" w:rsidP="00024885">
      <w:pPr>
        <w:rPr>
          <w:rFonts w:ascii="Arial" w:hAnsi="Arial" w:cs="Arial"/>
          <w:lang w:eastAsia="en-GB"/>
        </w:rPr>
      </w:pPr>
      <w:r w:rsidRPr="00024885">
        <w:rPr>
          <w:rStyle w:val="hoverbg-blue-100"/>
          <w:rFonts w:ascii="Arial" w:hAnsi="Arial" w:cs="Arial"/>
        </w:rPr>
        <w:t xml:space="preserve">Budgeting must combine personal and organizational goals to make sure all employees focus on achieving corporate financial targets. Agency theory from Jensen &amp; Meckling (1976) states that conflicts can develop when managers focus on their personal objectives instead of organizational targets. Managers sometimes use budget padding to gain extra resources which conflicts with the company’s requirement for cost efficiency. </w:t>
      </w:r>
      <w:r w:rsidRPr="00024885">
        <w:rPr>
          <w:rFonts w:ascii="Arial" w:hAnsi="Arial" w:cs="Arial"/>
        </w:rPr>
        <w:br/>
      </w:r>
      <w:r w:rsidRPr="00024885">
        <w:rPr>
          <w:rStyle w:val="hoverbg-blue-100"/>
          <w:rFonts w:ascii="Arial" w:hAnsi="Arial" w:cs="Arial"/>
        </w:rPr>
        <w:t>Blue Thread Ltd must establish a reward framework that connects employee incentives with organizational success to achieve goal congruence. Organizations that link bonuses and recognition to budgetary achievements motivate managers to prioritize company welfare as recommended by Merchant &amp; Van der Stede (2017).</w:t>
      </w:r>
    </w:p>
    <w:p w14:paraId="13630252" w14:textId="560CB77B" w:rsidR="00117567" w:rsidRDefault="00946F61" w:rsidP="00117567">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lastRenderedPageBreak/>
        <w:t>3</w:t>
      </w:r>
      <w:r w:rsidR="00117567" w:rsidRPr="00117567">
        <w:rPr>
          <w:rFonts w:ascii="Arial" w:eastAsia="Times New Roman" w:hAnsi="Arial" w:cs="Arial"/>
          <w:b/>
          <w:bCs/>
          <w:sz w:val="32"/>
          <w:szCs w:val="32"/>
          <w:lang w:eastAsia="en-GB"/>
        </w:rPr>
        <w:t>.4 Resistance to Change and Budget Implementation</w:t>
      </w:r>
    </w:p>
    <w:p w14:paraId="685AFB53" w14:textId="32B1D666" w:rsidR="00024885" w:rsidRPr="00024885" w:rsidRDefault="00024885" w:rsidP="00024885">
      <w:pPr>
        <w:rPr>
          <w:rFonts w:ascii="Arial" w:hAnsi="Arial" w:cs="Arial"/>
          <w:lang w:eastAsia="en-GB"/>
        </w:rPr>
      </w:pPr>
      <w:r w:rsidRPr="00024885">
        <w:rPr>
          <w:rStyle w:val="hoverbg-blue-100"/>
          <w:rFonts w:ascii="Arial" w:hAnsi="Arial" w:cs="Arial"/>
        </w:rPr>
        <w:t xml:space="preserve">Workers display resistance to new budgeting methods because they feel uncertain and lack comprehension while fearing the potential rise in accountability (Shields &amp; Shields, 1998). People may show resistance through intentional poor performance or refusal to cooperate and in extreme cases by sabotaging budgetary controls. </w:t>
      </w:r>
      <w:r w:rsidRPr="00024885">
        <w:rPr>
          <w:rFonts w:ascii="Arial" w:hAnsi="Arial" w:cs="Arial"/>
        </w:rPr>
        <w:br/>
      </w:r>
      <w:r w:rsidRPr="00024885">
        <w:rPr>
          <w:rStyle w:val="hoverbg-blue-100"/>
          <w:rFonts w:ascii="Arial" w:hAnsi="Arial" w:cs="Arial"/>
        </w:rPr>
        <w:t>Blue Thread Ltd must conduct thorough training on new budgeting methods while highlighting the advantages of maintaining budgetary discipline to eliminate resistance. The company can implement new budgeting processes effectively by following change management models like Kotter’s 8-Step Model (Kotter, 1996) which emphasize clear communication between leadership and employees.</w:t>
      </w:r>
    </w:p>
    <w:p w14:paraId="03E15168" w14:textId="1689BA40" w:rsidR="00117567" w:rsidRPr="00117567" w:rsidRDefault="00946F61" w:rsidP="00117567">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3</w:t>
      </w:r>
      <w:r w:rsidR="00117567" w:rsidRPr="00117567">
        <w:rPr>
          <w:rFonts w:ascii="Arial" w:eastAsia="Times New Roman" w:hAnsi="Arial" w:cs="Arial"/>
          <w:b/>
          <w:bCs/>
          <w:sz w:val="32"/>
          <w:szCs w:val="32"/>
          <w:lang w:eastAsia="en-GB"/>
        </w:rPr>
        <w:t>.5 Conclusion</w:t>
      </w:r>
    </w:p>
    <w:p w14:paraId="160ABDDF" w14:textId="3F1FB055" w:rsidR="00BD3D31" w:rsidRPr="00BD3D31" w:rsidRDefault="00181282" w:rsidP="00BD3D31">
      <w:pPr>
        <w:spacing w:before="100" w:beforeAutospacing="1" w:after="100" w:afterAutospacing="1" w:line="240" w:lineRule="auto"/>
        <w:rPr>
          <w:rFonts w:ascii="Arial" w:eastAsia="Times New Roman" w:hAnsi="Arial" w:cs="Arial"/>
          <w:kern w:val="0"/>
          <w:sz w:val="20"/>
          <w:szCs w:val="20"/>
          <w:lang w:eastAsia="en-GB"/>
          <w14:ligatures w14:val="none"/>
        </w:rPr>
      </w:pPr>
      <w:r w:rsidRPr="00181282">
        <w:rPr>
          <w:rStyle w:val="hoverbg-blue-100"/>
          <w:rFonts w:ascii="Arial" w:hAnsi="Arial" w:cs="Arial"/>
        </w:rPr>
        <w:t xml:space="preserve">Organizational and </w:t>
      </w:r>
      <w:r w:rsidRPr="00181282">
        <w:rPr>
          <w:rStyle w:val="hoverbg-blue-100"/>
          <w:rFonts w:ascii="Arial" w:hAnsi="Arial" w:cs="Arial"/>
        </w:rPr>
        <w:t>behavioural</w:t>
      </w:r>
      <w:r w:rsidRPr="00181282">
        <w:rPr>
          <w:rStyle w:val="hoverbg-blue-100"/>
          <w:rFonts w:ascii="Arial" w:hAnsi="Arial" w:cs="Arial"/>
        </w:rPr>
        <w:t xml:space="preserve"> elements determine the success of budgeting systems. Blue Thread Ltd stands to improve its budgeting effectiveness through motivation promotion and participation encouragement while maintaining goal congruence and change resistance management. Combining employee engagement with financial discipline will establish a more effective and sustainable budgeting process.</w:t>
      </w:r>
    </w:p>
    <w:p w14:paraId="5349D456" w14:textId="5263C401" w:rsidR="00181282" w:rsidRPr="00181282" w:rsidRDefault="00946F61" w:rsidP="00181282">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4</w:t>
      </w:r>
      <w:r w:rsidRPr="00946F61">
        <w:rPr>
          <w:rFonts w:ascii="Arial" w:eastAsia="Times New Roman" w:hAnsi="Arial" w:cs="Arial"/>
          <w:b/>
          <w:bCs/>
          <w:sz w:val="32"/>
          <w:szCs w:val="32"/>
          <w:lang w:eastAsia="en-GB"/>
        </w:rPr>
        <w:t>. Implementation Plan for Budgeting Improvements</w:t>
      </w:r>
    </w:p>
    <w:p w14:paraId="3C0E40BB" w14:textId="7841C6BE" w:rsidR="00181282" w:rsidRPr="00181282" w:rsidRDefault="00181282" w:rsidP="00181282">
      <w:pPr>
        <w:rPr>
          <w:rFonts w:ascii="Arial" w:hAnsi="Arial" w:cs="Arial"/>
          <w:lang w:eastAsia="en-GB"/>
        </w:rPr>
      </w:pPr>
      <w:r w:rsidRPr="00181282">
        <w:rPr>
          <w:rStyle w:val="hoverbg-blue-100"/>
          <w:rFonts w:ascii="Arial" w:hAnsi="Arial" w:cs="Arial"/>
        </w:rPr>
        <w:t>Budgeting improvements require a successful implementation plan that follows a structured and strategic approach. This section describes the essential steps needed for Blue Thread Ltd to implement successful budgeting practices. To achieve ongoing company sustainability this plan aims to upgrade financial management practices and strengthen cost control measures while adopting alternative budgeting methods.</w:t>
      </w:r>
    </w:p>
    <w:p w14:paraId="1B323733" w14:textId="74C1C78D" w:rsidR="00946F61" w:rsidRDefault="00946F61" w:rsidP="00946F61">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4</w:t>
      </w:r>
      <w:r w:rsidRPr="00946F61">
        <w:rPr>
          <w:rFonts w:ascii="Arial" w:eastAsia="Times New Roman" w:hAnsi="Arial" w:cs="Arial"/>
          <w:b/>
          <w:bCs/>
          <w:sz w:val="32"/>
          <w:szCs w:val="32"/>
          <w:lang w:eastAsia="en-GB"/>
        </w:rPr>
        <w:t>.1 Establishing a Budgeting Framework</w:t>
      </w:r>
    </w:p>
    <w:p w14:paraId="0E2D2FC0" w14:textId="77777777" w:rsidR="00181282" w:rsidRPr="00181282" w:rsidRDefault="00181282" w:rsidP="00181282">
      <w:pPr>
        <w:rPr>
          <w:rStyle w:val="hoverbg-blue-100"/>
          <w:rFonts w:ascii="Arial" w:hAnsi="Arial" w:cs="Arial"/>
        </w:rPr>
      </w:pPr>
      <w:r w:rsidRPr="00181282">
        <w:rPr>
          <w:rStyle w:val="hoverbg-blue-100"/>
          <w:rFonts w:ascii="Arial" w:hAnsi="Arial" w:cs="Arial"/>
        </w:rPr>
        <w:t>The initial action required to advance budgeting processes involves developing a precise budgeting framework. The framework must incorporate precise financial objectives along with budgetary guidelines and key performance indicators (KPIs) to evaluate success according to Atrill &amp; McLaney (2021).</w:t>
      </w:r>
    </w:p>
    <w:p w14:paraId="0BDE6868" w14:textId="77777777" w:rsidR="00181282" w:rsidRPr="00181282" w:rsidRDefault="00181282" w:rsidP="00181282">
      <w:pPr>
        <w:pStyle w:val="ListParagraph"/>
        <w:numPr>
          <w:ilvl w:val="0"/>
          <w:numId w:val="39"/>
        </w:numPr>
        <w:rPr>
          <w:rStyle w:val="hoverbg-blue-100"/>
          <w:rFonts w:ascii="Arial" w:hAnsi="Arial" w:cs="Arial"/>
          <w:lang w:eastAsia="en-GB"/>
        </w:rPr>
      </w:pPr>
      <w:r w:rsidRPr="00181282">
        <w:rPr>
          <w:rStyle w:val="hoverbg-blue-100"/>
          <w:rFonts w:ascii="Arial" w:hAnsi="Arial" w:cs="Arial"/>
        </w:rPr>
        <w:t>Objective Setting: The main goal requires eliminating the £25,000 overdraft within six months and achieving positive cash flow during this period. Optimizing stock levels along with reducing unnecessary expenses and boosting profitability serve as secondary objectives.</w:t>
      </w:r>
    </w:p>
    <w:p w14:paraId="3AE456AE" w14:textId="77777777" w:rsidR="00181282" w:rsidRPr="00181282" w:rsidRDefault="00181282" w:rsidP="00181282">
      <w:pPr>
        <w:pStyle w:val="ListParagraph"/>
        <w:numPr>
          <w:ilvl w:val="0"/>
          <w:numId w:val="39"/>
        </w:numPr>
        <w:rPr>
          <w:rStyle w:val="hoverbg-blue-100"/>
          <w:rFonts w:ascii="Arial" w:hAnsi="Arial" w:cs="Arial"/>
          <w:lang w:eastAsia="en-GB"/>
        </w:rPr>
      </w:pPr>
      <w:r w:rsidRPr="00181282">
        <w:rPr>
          <w:rStyle w:val="hoverbg-blue-100"/>
          <w:rFonts w:ascii="Arial" w:hAnsi="Arial" w:cs="Arial"/>
        </w:rPr>
        <w:t xml:space="preserve"> Budgeting Guidelines: The organization needs to establish a budget that permits regular financial performance-based modifications. The organization needs to establish spending limits across different departments while conducting regular cash flow checks. </w:t>
      </w:r>
    </w:p>
    <w:p w14:paraId="05D2C3CF" w14:textId="716E9E19" w:rsidR="00181282" w:rsidRPr="00181282" w:rsidRDefault="00181282" w:rsidP="00181282">
      <w:pPr>
        <w:pStyle w:val="ListParagraph"/>
        <w:numPr>
          <w:ilvl w:val="0"/>
          <w:numId w:val="39"/>
        </w:numPr>
        <w:rPr>
          <w:rFonts w:ascii="Arial" w:hAnsi="Arial" w:cs="Arial"/>
          <w:lang w:eastAsia="en-GB"/>
        </w:rPr>
      </w:pPr>
      <w:r w:rsidRPr="00181282">
        <w:rPr>
          <w:rStyle w:val="hoverbg-blue-100"/>
          <w:rFonts w:ascii="Arial" w:hAnsi="Arial" w:cs="Arial"/>
        </w:rPr>
        <w:t>KPIs for Success: Critical performance metrics consist of cash flow levels along with profit margins, inventory turnover rates, and how well financial plans are followed.</w:t>
      </w:r>
    </w:p>
    <w:p w14:paraId="1D598A32" w14:textId="4D9EBC23" w:rsidR="00946F61" w:rsidRDefault="006713B2" w:rsidP="006713B2">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4</w:t>
      </w:r>
      <w:r w:rsidR="00946F61" w:rsidRPr="006713B2">
        <w:rPr>
          <w:rFonts w:ascii="Arial" w:eastAsia="Times New Roman" w:hAnsi="Arial" w:cs="Arial"/>
          <w:b/>
          <w:bCs/>
          <w:sz w:val="32"/>
          <w:szCs w:val="32"/>
          <w:lang w:eastAsia="en-GB"/>
        </w:rPr>
        <w:t>.2 Alternative Budgeting Approaches</w:t>
      </w:r>
    </w:p>
    <w:p w14:paraId="4B50F61E" w14:textId="19E35CEB" w:rsidR="00181282" w:rsidRPr="00181282" w:rsidRDefault="00181282" w:rsidP="00181282">
      <w:pPr>
        <w:rPr>
          <w:rFonts w:ascii="Arial" w:hAnsi="Arial" w:cs="Arial"/>
          <w:lang w:eastAsia="en-GB"/>
        </w:rPr>
      </w:pPr>
      <w:r w:rsidRPr="00181282">
        <w:rPr>
          <w:rStyle w:val="hoverbg-blue-100"/>
          <w:rFonts w:ascii="Arial" w:hAnsi="Arial" w:cs="Arial"/>
        </w:rPr>
        <w:t>Blue Thread Ltd needs to explore different budgeting strategies to enhance their financial planning and resource allocation processes. By adopting these approaches organizations gain enhanced adaptability while achieving improved business performance outcomes.</w:t>
      </w:r>
    </w:p>
    <w:p w14:paraId="11E1535A" w14:textId="051FFF5E" w:rsidR="00946F61" w:rsidRDefault="006713B2" w:rsidP="006713B2">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lastRenderedPageBreak/>
        <w:t>4</w:t>
      </w:r>
      <w:r w:rsidR="00946F61" w:rsidRPr="006713B2">
        <w:rPr>
          <w:rFonts w:ascii="Arial" w:eastAsia="Times New Roman" w:hAnsi="Arial" w:cs="Arial"/>
          <w:b/>
          <w:bCs/>
          <w:sz w:val="32"/>
          <w:szCs w:val="32"/>
          <w:lang w:eastAsia="en-GB"/>
        </w:rPr>
        <w:t>.2.1 Zero-Based Budgeting (ZBB)</w:t>
      </w:r>
    </w:p>
    <w:p w14:paraId="5DF8B02A" w14:textId="77777777" w:rsidR="00181282" w:rsidRPr="00181282" w:rsidRDefault="00181282" w:rsidP="00181282">
      <w:pPr>
        <w:rPr>
          <w:rStyle w:val="text-black"/>
          <w:rFonts w:ascii="Arial" w:hAnsi="Arial" w:cs="Arial"/>
          <w:lang w:eastAsia="en-GB"/>
        </w:rPr>
      </w:pPr>
      <w:r w:rsidRPr="00181282">
        <w:rPr>
          <w:rStyle w:val="hoverbg-blue-100"/>
          <w:rFonts w:ascii="Arial" w:hAnsi="Arial" w:cs="Arial"/>
        </w:rPr>
        <w:t xml:space="preserve">Zero-based budgeting demands that all departmental expenses receive full justification from the beginning instead of relying on past budget allocations according to Pyhrr (1977). Cost management improves while resource distribution becomes more effective through this approach. </w:t>
      </w:r>
      <w:r w:rsidRPr="00181282">
        <w:rPr>
          <w:rFonts w:ascii="Arial" w:hAnsi="Arial" w:cs="Arial"/>
        </w:rPr>
        <w:br/>
      </w:r>
      <w:r w:rsidRPr="00181282">
        <w:rPr>
          <w:rStyle w:val="text-black"/>
          <w:rFonts w:ascii="Arial" w:hAnsi="Arial" w:cs="Arial"/>
          <w:b/>
          <w:bCs/>
        </w:rPr>
        <w:t xml:space="preserve">Implementation Steps: </w:t>
      </w:r>
    </w:p>
    <w:p w14:paraId="44E6DE10" w14:textId="77777777" w:rsidR="00181282" w:rsidRDefault="00181282" w:rsidP="00181282">
      <w:pPr>
        <w:pStyle w:val="ListParagraph"/>
        <w:numPr>
          <w:ilvl w:val="0"/>
          <w:numId w:val="40"/>
        </w:numPr>
        <w:rPr>
          <w:rStyle w:val="hoverbg-blue-100"/>
          <w:rFonts w:ascii="Arial" w:hAnsi="Arial" w:cs="Arial"/>
          <w:lang w:eastAsia="en-GB"/>
        </w:rPr>
      </w:pPr>
      <w:r w:rsidRPr="00181282">
        <w:rPr>
          <w:rStyle w:val="hoverbg-blue-100"/>
          <w:rFonts w:ascii="Arial" w:hAnsi="Arial" w:cs="Arial"/>
        </w:rPr>
        <w:t xml:space="preserve">Organize educational sessions to teach managers about ZBB principles. </w:t>
      </w:r>
      <w:r w:rsidRPr="00181282">
        <w:rPr>
          <w:rFonts w:ascii="Arial" w:hAnsi="Arial" w:cs="Arial"/>
        </w:rPr>
        <w:br/>
      </w:r>
      <w:r w:rsidRPr="00181282">
        <w:rPr>
          <w:rStyle w:val="hoverbg-blue-100"/>
          <w:rFonts w:ascii="Arial" w:hAnsi="Arial" w:cs="Arial"/>
        </w:rPr>
        <w:t>Each department must prepare comprehensive budget proposals that explain all expenses.</w:t>
      </w:r>
    </w:p>
    <w:p w14:paraId="55233F13" w14:textId="67E1DCF5" w:rsidR="00181282" w:rsidRPr="00181282" w:rsidRDefault="00181282" w:rsidP="00181282">
      <w:pPr>
        <w:pStyle w:val="ListParagraph"/>
        <w:numPr>
          <w:ilvl w:val="0"/>
          <w:numId w:val="40"/>
        </w:numPr>
        <w:rPr>
          <w:rFonts w:ascii="Arial" w:hAnsi="Arial" w:cs="Arial"/>
          <w:lang w:eastAsia="en-GB"/>
        </w:rPr>
      </w:pPr>
      <w:r w:rsidRPr="00181282">
        <w:rPr>
          <w:rStyle w:val="hoverbg-blue-100"/>
          <w:rFonts w:ascii="Arial" w:hAnsi="Arial" w:cs="Arial"/>
        </w:rPr>
        <w:t xml:space="preserve"> The approval of budgets should be guided by strategic priorities and a thorough cost-benefit analysis.</w:t>
      </w:r>
    </w:p>
    <w:p w14:paraId="629ADC06" w14:textId="544045FC" w:rsidR="00946F61" w:rsidRDefault="006713B2" w:rsidP="006713B2">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4</w:t>
      </w:r>
      <w:r w:rsidR="00946F61" w:rsidRPr="006713B2">
        <w:rPr>
          <w:rFonts w:ascii="Arial" w:eastAsia="Times New Roman" w:hAnsi="Arial" w:cs="Arial"/>
          <w:b/>
          <w:bCs/>
          <w:sz w:val="32"/>
          <w:szCs w:val="32"/>
          <w:lang w:eastAsia="en-GB"/>
        </w:rPr>
        <w:t>.2.2 Rolling Budgets</w:t>
      </w:r>
    </w:p>
    <w:p w14:paraId="7F00D5B4" w14:textId="77777777" w:rsidR="00181282" w:rsidRDefault="00181282" w:rsidP="00181282">
      <w:pPr>
        <w:rPr>
          <w:rStyle w:val="text-black"/>
          <w:rFonts w:ascii="Arial" w:hAnsi="Arial" w:cs="Arial"/>
          <w:b/>
          <w:bCs/>
        </w:rPr>
      </w:pPr>
      <w:r w:rsidRPr="00181282">
        <w:rPr>
          <w:rStyle w:val="hoverbg-blue-100"/>
          <w:rFonts w:ascii="Arial" w:hAnsi="Arial" w:cs="Arial"/>
        </w:rPr>
        <w:t xml:space="preserve">The rolling budget system requires regular updates to financial plans using current data instead of sticking to a fixed yearly budget. This technique enhances an organization's ability to adapt to market fluctuations (Hope &amp; Fraser, 2013). </w:t>
      </w:r>
      <w:r w:rsidRPr="00181282">
        <w:rPr>
          <w:rFonts w:ascii="Arial" w:hAnsi="Arial" w:cs="Arial"/>
        </w:rPr>
        <w:br/>
      </w:r>
      <w:r w:rsidRPr="00181282">
        <w:rPr>
          <w:rStyle w:val="text-black"/>
          <w:rFonts w:ascii="Arial" w:hAnsi="Arial" w:cs="Arial"/>
          <w:b/>
          <w:bCs/>
        </w:rPr>
        <w:t xml:space="preserve">Implementation Steps: </w:t>
      </w:r>
    </w:p>
    <w:p w14:paraId="1B5A9988" w14:textId="77777777" w:rsidR="00181282" w:rsidRDefault="00181282" w:rsidP="00181282">
      <w:pPr>
        <w:pStyle w:val="ListParagraph"/>
        <w:numPr>
          <w:ilvl w:val="0"/>
          <w:numId w:val="42"/>
        </w:numPr>
        <w:rPr>
          <w:rStyle w:val="hoverbg-blue-100"/>
          <w:rFonts w:ascii="Arial" w:hAnsi="Arial" w:cs="Arial"/>
          <w:lang w:eastAsia="en-GB"/>
        </w:rPr>
      </w:pPr>
      <w:r w:rsidRPr="00181282">
        <w:rPr>
          <w:rStyle w:val="hoverbg-blue-100"/>
          <w:rFonts w:ascii="Arial" w:hAnsi="Arial" w:cs="Arial"/>
        </w:rPr>
        <w:t>Establish a system of quarterly budget reviews to adapt financial allocations according to performance results.</w:t>
      </w:r>
    </w:p>
    <w:p w14:paraId="708F505B" w14:textId="77777777" w:rsidR="00181282" w:rsidRDefault="00181282" w:rsidP="00181282">
      <w:pPr>
        <w:pStyle w:val="ListParagraph"/>
        <w:numPr>
          <w:ilvl w:val="0"/>
          <w:numId w:val="42"/>
        </w:numPr>
        <w:rPr>
          <w:rStyle w:val="hoverbg-blue-100"/>
          <w:rFonts w:ascii="Arial" w:hAnsi="Arial" w:cs="Arial"/>
          <w:lang w:eastAsia="en-GB"/>
        </w:rPr>
      </w:pPr>
      <w:r w:rsidRPr="00181282">
        <w:rPr>
          <w:rStyle w:val="hoverbg-blue-100"/>
          <w:rFonts w:ascii="Arial" w:hAnsi="Arial" w:cs="Arial"/>
        </w:rPr>
        <w:t xml:space="preserve"> Forecasting tools should be used to project future cash flow patterns and sales revenue trends. </w:t>
      </w:r>
    </w:p>
    <w:p w14:paraId="57ACCBDF" w14:textId="450AA8FF" w:rsidR="00181282" w:rsidRPr="00181282" w:rsidRDefault="00181282" w:rsidP="00181282">
      <w:pPr>
        <w:pStyle w:val="ListParagraph"/>
        <w:numPr>
          <w:ilvl w:val="0"/>
          <w:numId w:val="42"/>
        </w:numPr>
        <w:rPr>
          <w:rFonts w:ascii="Arial" w:hAnsi="Arial" w:cs="Arial"/>
          <w:lang w:eastAsia="en-GB"/>
        </w:rPr>
      </w:pPr>
      <w:r w:rsidRPr="00181282">
        <w:rPr>
          <w:rStyle w:val="hoverbg-blue-100"/>
          <w:rFonts w:ascii="Arial" w:hAnsi="Arial" w:cs="Arial"/>
        </w:rPr>
        <w:t>Financial analysts should examine budget proposals and provide recommendations for necessary adjustments.</w:t>
      </w:r>
    </w:p>
    <w:p w14:paraId="3D8155A9" w14:textId="16FCBD91" w:rsidR="00946F61" w:rsidRDefault="006713B2" w:rsidP="006713B2">
      <w:pPr>
        <w:pStyle w:val="Heading1"/>
        <w:rPr>
          <w:rFonts w:ascii="Arial" w:eastAsia="Times New Roman" w:hAnsi="Arial" w:cs="Arial"/>
          <w:b/>
          <w:bCs/>
          <w:sz w:val="32"/>
          <w:szCs w:val="32"/>
          <w:lang w:eastAsia="en-GB"/>
        </w:rPr>
      </w:pPr>
      <w:r w:rsidRPr="006713B2">
        <w:rPr>
          <w:rFonts w:ascii="Arial" w:eastAsia="Times New Roman" w:hAnsi="Arial" w:cs="Arial"/>
          <w:b/>
          <w:bCs/>
          <w:sz w:val="32"/>
          <w:szCs w:val="32"/>
          <w:lang w:eastAsia="en-GB"/>
        </w:rPr>
        <w:t>4</w:t>
      </w:r>
      <w:r w:rsidR="00946F61" w:rsidRPr="006713B2">
        <w:rPr>
          <w:rFonts w:ascii="Arial" w:eastAsia="Times New Roman" w:hAnsi="Arial" w:cs="Arial"/>
          <w:b/>
          <w:bCs/>
          <w:sz w:val="32"/>
          <w:szCs w:val="32"/>
          <w:lang w:eastAsia="en-GB"/>
        </w:rPr>
        <w:t>.2.3 Activity-Based Budgeting (ABB)</w:t>
      </w:r>
    </w:p>
    <w:p w14:paraId="5FEA3578" w14:textId="77777777" w:rsidR="00181282" w:rsidRDefault="00181282" w:rsidP="00181282">
      <w:pPr>
        <w:rPr>
          <w:rStyle w:val="text-black"/>
          <w:rFonts w:ascii="Arial" w:hAnsi="Arial" w:cs="Arial"/>
        </w:rPr>
      </w:pPr>
      <w:r w:rsidRPr="00181282">
        <w:rPr>
          <w:rStyle w:val="hoverbg-blue-100"/>
          <w:rFonts w:ascii="Arial" w:hAnsi="Arial" w:cs="Arial"/>
        </w:rPr>
        <w:t xml:space="preserve">ABB </w:t>
      </w:r>
      <w:r w:rsidRPr="00181282">
        <w:rPr>
          <w:rStyle w:val="hoverbg-blue-100"/>
          <w:rFonts w:ascii="Arial" w:hAnsi="Arial" w:cs="Arial"/>
        </w:rPr>
        <w:t>analyses</w:t>
      </w:r>
      <w:r w:rsidRPr="00181282">
        <w:rPr>
          <w:rStyle w:val="hoverbg-blue-100"/>
          <w:rFonts w:ascii="Arial" w:hAnsi="Arial" w:cs="Arial"/>
        </w:rPr>
        <w:t xml:space="preserve"> business activity cost drivers to properly distribute resources. This budgeting methodology directs funds according to actual business requirements instead of past spending patterns (Drury, 2018). </w:t>
      </w:r>
      <w:r w:rsidRPr="00181282">
        <w:rPr>
          <w:rFonts w:ascii="Arial" w:hAnsi="Arial" w:cs="Arial"/>
        </w:rPr>
        <w:br/>
      </w:r>
      <w:r w:rsidRPr="00181282">
        <w:rPr>
          <w:rStyle w:val="text-black"/>
          <w:rFonts w:ascii="Arial" w:hAnsi="Arial" w:cs="Arial"/>
          <w:b/>
          <w:bCs/>
        </w:rPr>
        <w:t>Implementation Steps:</w:t>
      </w:r>
      <w:r w:rsidRPr="00181282">
        <w:rPr>
          <w:rStyle w:val="text-black"/>
          <w:rFonts w:ascii="Arial" w:hAnsi="Arial" w:cs="Arial"/>
        </w:rPr>
        <w:t xml:space="preserve"> </w:t>
      </w:r>
    </w:p>
    <w:p w14:paraId="2112667C" w14:textId="77777777" w:rsidR="00181282" w:rsidRDefault="00181282" w:rsidP="00181282">
      <w:pPr>
        <w:pStyle w:val="ListParagraph"/>
        <w:numPr>
          <w:ilvl w:val="0"/>
          <w:numId w:val="43"/>
        </w:numPr>
        <w:rPr>
          <w:rStyle w:val="hoverbg-blue-100"/>
          <w:rFonts w:ascii="Arial" w:hAnsi="Arial" w:cs="Arial"/>
          <w:lang w:eastAsia="en-GB"/>
        </w:rPr>
      </w:pPr>
      <w:r w:rsidRPr="00181282">
        <w:rPr>
          <w:rStyle w:val="hoverbg-blue-100"/>
          <w:rFonts w:ascii="Arial" w:hAnsi="Arial" w:cs="Arial"/>
        </w:rPr>
        <w:t xml:space="preserve">Perform a business activity analysis to determine the key operations that generate costs. </w:t>
      </w:r>
    </w:p>
    <w:p w14:paraId="279BE427" w14:textId="77777777" w:rsidR="00181282" w:rsidRDefault="00181282" w:rsidP="00181282">
      <w:pPr>
        <w:pStyle w:val="ListParagraph"/>
        <w:numPr>
          <w:ilvl w:val="0"/>
          <w:numId w:val="43"/>
        </w:numPr>
        <w:rPr>
          <w:rStyle w:val="hoverbg-blue-100"/>
          <w:rFonts w:ascii="Arial" w:hAnsi="Arial" w:cs="Arial"/>
          <w:lang w:eastAsia="en-GB"/>
        </w:rPr>
      </w:pPr>
      <w:r w:rsidRPr="00181282">
        <w:rPr>
          <w:rStyle w:val="hoverbg-blue-100"/>
          <w:rFonts w:ascii="Arial" w:hAnsi="Arial" w:cs="Arial"/>
        </w:rPr>
        <w:t xml:space="preserve">Assign budgetary resources by evaluating the efficiency of activities and their impact on profitability. </w:t>
      </w:r>
    </w:p>
    <w:p w14:paraId="5027F884" w14:textId="228C6C89" w:rsidR="00181282" w:rsidRPr="00181282" w:rsidRDefault="00181282" w:rsidP="00181282">
      <w:pPr>
        <w:pStyle w:val="ListParagraph"/>
        <w:numPr>
          <w:ilvl w:val="0"/>
          <w:numId w:val="43"/>
        </w:numPr>
        <w:rPr>
          <w:rFonts w:ascii="Arial" w:hAnsi="Arial" w:cs="Arial"/>
          <w:lang w:eastAsia="en-GB"/>
        </w:rPr>
      </w:pPr>
      <w:r w:rsidRPr="00181282">
        <w:rPr>
          <w:rStyle w:val="hoverbg-blue-100"/>
          <w:rFonts w:ascii="Arial" w:hAnsi="Arial" w:cs="Arial"/>
        </w:rPr>
        <w:t>Develop cost-control strategies that focus on reducing expenses in high-cost areas without compromising operational effectiveness.</w:t>
      </w:r>
    </w:p>
    <w:p w14:paraId="3F8D67C2" w14:textId="3E27E12C" w:rsidR="00946F61" w:rsidRDefault="006713B2" w:rsidP="006713B2">
      <w:pPr>
        <w:pStyle w:val="Heading1"/>
        <w:rPr>
          <w:rFonts w:ascii="Arial" w:eastAsia="Times New Roman" w:hAnsi="Arial" w:cs="Arial"/>
          <w:b/>
          <w:bCs/>
          <w:sz w:val="32"/>
          <w:szCs w:val="32"/>
          <w:lang w:eastAsia="en-GB"/>
        </w:rPr>
      </w:pPr>
      <w:r w:rsidRPr="006713B2">
        <w:rPr>
          <w:rFonts w:ascii="Arial" w:eastAsia="Times New Roman" w:hAnsi="Arial" w:cs="Arial"/>
          <w:b/>
          <w:bCs/>
          <w:sz w:val="32"/>
          <w:szCs w:val="32"/>
          <w:lang w:eastAsia="en-GB"/>
        </w:rPr>
        <w:t>4</w:t>
      </w:r>
      <w:r w:rsidR="00946F61" w:rsidRPr="006713B2">
        <w:rPr>
          <w:rFonts w:ascii="Arial" w:eastAsia="Times New Roman" w:hAnsi="Arial" w:cs="Arial"/>
          <w:b/>
          <w:bCs/>
          <w:sz w:val="32"/>
          <w:szCs w:val="32"/>
          <w:lang w:eastAsia="en-GB"/>
        </w:rPr>
        <w:t>.3 Enhancing Cost Control Measures</w:t>
      </w:r>
    </w:p>
    <w:p w14:paraId="56D27186" w14:textId="77777777" w:rsidR="00946184" w:rsidRDefault="00946184" w:rsidP="00181282">
      <w:pPr>
        <w:rPr>
          <w:rStyle w:val="hoverbg-blue-100"/>
          <w:rFonts w:ascii="Arial" w:hAnsi="Arial" w:cs="Arial"/>
        </w:rPr>
      </w:pPr>
      <w:r w:rsidRPr="00946184">
        <w:rPr>
          <w:rStyle w:val="hoverbg-blue-100"/>
          <w:rFonts w:ascii="Arial" w:hAnsi="Arial" w:cs="Arial"/>
        </w:rPr>
        <w:t xml:space="preserve">The proper management of cash flow enables Blue Thread Ltd to </w:t>
      </w:r>
      <w:r w:rsidRPr="00946184">
        <w:rPr>
          <w:rStyle w:val="hoverbg-blue-100"/>
          <w:rFonts w:ascii="Arial" w:hAnsi="Arial" w:cs="Arial"/>
        </w:rPr>
        <w:t>fulfil</w:t>
      </w:r>
      <w:r w:rsidRPr="00946184">
        <w:rPr>
          <w:rStyle w:val="hoverbg-blue-100"/>
          <w:rFonts w:ascii="Arial" w:hAnsi="Arial" w:cs="Arial"/>
        </w:rPr>
        <w:t xml:space="preserve"> financial commitments and seize growth investment possibilities. Achieving financial stability requires effective management of costs. Blue Thread Ltd must adopt strategies that minimize wasteful expenses and boost operational performance. </w:t>
      </w:r>
    </w:p>
    <w:p w14:paraId="1A2FDAAF" w14:textId="4972816A" w:rsidR="00946184" w:rsidRDefault="00946184" w:rsidP="00946184">
      <w:pPr>
        <w:pStyle w:val="ListParagraph"/>
        <w:numPr>
          <w:ilvl w:val="0"/>
          <w:numId w:val="44"/>
        </w:numPr>
        <w:rPr>
          <w:rStyle w:val="hoverbg-blue-100"/>
          <w:rFonts w:ascii="Arial" w:hAnsi="Arial" w:cs="Arial"/>
          <w:lang w:eastAsia="en-GB"/>
        </w:rPr>
      </w:pPr>
      <w:r w:rsidRPr="00946184">
        <w:rPr>
          <w:rStyle w:val="hoverbg-blue-100"/>
          <w:rFonts w:ascii="Arial" w:hAnsi="Arial" w:cs="Arial"/>
        </w:rPr>
        <w:t>Supplier Negotiations: Through supplier negotiations Blue Thread Ltd can improve cash flow by obtaining better credit terms and discounts.</w:t>
      </w:r>
    </w:p>
    <w:p w14:paraId="651EBA0B" w14:textId="66D414E8" w:rsidR="00946184" w:rsidRDefault="00946184" w:rsidP="00946184">
      <w:pPr>
        <w:pStyle w:val="ListParagraph"/>
        <w:numPr>
          <w:ilvl w:val="0"/>
          <w:numId w:val="44"/>
        </w:numPr>
        <w:rPr>
          <w:rStyle w:val="hoverbg-blue-100"/>
          <w:rFonts w:ascii="Arial" w:hAnsi="Arial" w:cs="Arial"/>
          <w:lang w:eastAsia="en-GB"/>
        </w:rPr>
      </w:pPr>
      <w:r w:rsidRPr="00946184">
        <w:rPr>
          <w:rStyle w:val="hoverbg-blue-100"/>
          <w:rFonts w:ascii="Arial" w:hAnsi="Arial" w:cs="Arial"/>
        </w:rPr>
        <w:lastRenderedPageBreak/>
        <w:t xml:space="preserve">Expense Tracking System: The adoption of real-time expense monitoring through automation provides essential insights into potential savings opportunities. </w:t>
      </w:r>
    </w:p>
    <w:p w14:paraId="45129B9E" w14:textId="55EFA1CB" w:rsidR="00181282" w:rsidRPr="00946184" w:rsidRDefault="00946184" w:rsidP="00946184">
      <w:pPr>
        <w:pStyle w:val="ListParagraph"/>
        <w:numPr>
          <w:ilvl w:val="0"/>
          <w:numId w:val="44"/>
        </w:numPr>
        <w:rPr>
          <w:rFonts w:ascii="Arial" w:hAnsi="Arial" w:cs="Arial"/>
          <w:lang w:eastAsia="en-GB"/>
        </w:rPr>
      </w:pPr>
      <w:r w:rsidRPr="00946184">
        <w:rPr>
          <w:rStyle w:val="hoverbg-blue-100"/>
          <w:rFonts w:ascii="Arial" w:hAnsi="Arial" w:cs="Arial"/>
        </w:rPr>
        <w:t>Energy and Resource Efficiency: Lowering utility expenses and reducing operational waste leads to total financial savings (Horngren et al., 2020).</w:t>
      </w:r>
    </w:p>
    <w:p w14:paraId="27CF9581" w14:textId="76DC7A30" w:rsidR="006713B2" w:rsidRDefault="006F305C" w:rsidP="006713B2">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4</w:t>
      </w:r>
      <w:r w:rsidR="006713B2" w:rsidRPr="006713B2">
        <w:rPr>
          <w:rFonts w:ascii="Arial" w:eastAsia="Times New Roman" w:hAnsi="Arial" w:cs="Arial"/>
          <w:b/>
          <w:bCs/>
          <w:sz w:val="32"/>
          <w:szCs w:val="32"/>
          <w:lang w:eastAsia="en-GB"/>
        </w:rPr>
        <w:t>.4 Improving Cash Flow Management</w:t>
      </w:r>
    </w:p>
    <w:p w14:paraId="67DE5085" w14:textId="77777777" w:rsidR="00946184" w:rsidRPr="00946184" w:rsidRDefault="00946184" w:rsidP="006713B2">
      <w:pPr>
        <w:rPr>
          <w:rStyle w:val="hoverbg-blue-100"/>
          <w:rFonts w:ascii="Arial" w:hAnsi="Arial" w:cs="Arial"/>
        </w:rPr>
      </w:pPr>
      <w:r w:rsidRPr="00946184">
        <w:rPr>
          <w:rStyle w:val="hoverbg-blue-100"/>
          <w:rFonts w:ascii="Arial" w:hAnsi="Arial" w:cs="Arial"/>
        </w:rPr>
        <w:t xml:space="preserve">Effective cash flow management allows Blue Thread Ltd to </w:t>
      </w:r>
      <w:r w:rsidRPr="00946184">
        <w:rPr>
          <w:rStyle w:val="hoverbg-blue-100"/>
          <w:rFonts w:ascii="Arial" w:hAnsi="Arial" w:cs="Arial"/>
        </w:rPr>
        <w:t>fulfil</w:t>
      </w:r>
      <w:r w:rsidRPr="00946184">
        <w:rPr>
          <w:rStyle w:val="hoverbg-blue-100"/>
          <w:rFonts w:ascii="Arial" w:hAnsi="Arial" w:cs="Arial"/>
        </w:rPr>
        <w:t xml:space="preserve"> its financial duties and pursue expansion opportunities.</w:t>
      </w:r>
    </w:p>
    <w:p w14:paraId="7855CA39" w14:textId="77777777" w:rsidR="00946184" w:rsidRPr="00946184" w:rsidRDefault="00946184" w:rsidP="00946184">
      <w:pPr>
        <w:pStyle w:val="ListParagraph"/>
        <w:numPr>
          <w:ilvl w:val="0"/>
          <w:numId w:val="45"/>
        </w:numPr>
        <w:rPr>
          <w:rStyle w:val="hoverbg-blue-100"/>
          <w:rFonts w:ascii="Arial" w:hAnsi="Arial" w:cs="Arial"/>
          <w:lang w:eastAsia="en-GB"/>
        </w:rPr>
      </w:pPr>
      <w:r w:rsidRPr="00946184">
        <w:rPr>
          <w:rStyle w:val="hoverbg-blue-100"/>
          <w:rFonts w:ascii="Arial" w:hAnsi="Arial" w:cs="Arial"/>
        </w:rPr>
        <w:t xml:space="preserve">Receivables Management: By enforcing stricter credit rules and providing payment incentives companies can speed up their cash inflow process. </w:t>
      </w:r>
    </w:p>
    <w:p w14:paraId="4F116E25" w14:textId="77777777" w:rsidR="00946184" w:rsidRPr="00946184" w:rsidRDefault="00946184" w:rsidP="00946184">
      <w:pPr>
        <w:pStyle w:val="ListParagraph"/>
        <w:numPr>
          <w:ilvl w:val="0"/>
          <w:numId w:val="45"/>
        </w:numPr>
        <w:rPr>
          <w:rStyle w:val="hoverbg-blue-100"/>
          <w:rFonts w:ascii="Arial" w:hAnsi="Arial" w:cs="Arial"/>
          <w:lang w:eastAsia="en-GB"/>
        </w:rPr>
      </w:pPr>
      <w:r w:rsidRPr="00946184">
        <w:rPr>
          <w:rStyle w:val="hoverbg-blue-100"/>
          <w:rFonts w:ascii="Arial" w:hAnsi="Arial" w:cs="Arial"/>
        </w:rPr>
        <w:t xml:space="preserve"> Inventory Optimization: The implementation of just-in-time (JIT) inventory management leads to reduced holding costs while releasing cash reserves.</w:t>
      </w:r>
    </w:p>
    <w:p w14:paraId="39C84C30" w14:textId="0BEA14CC" w:rsidR="006713B2" w:rsidRPr="00946184" w:rsidRDefault="00946184" w:rsidP="00946184">
      <w:pPr>
        <w:pStyle w:val="ListParagraph"/>
        <w:numPr>
          <w:ilvl w:val="0"/>
          <w:numId w:val="45"/>
        </w:numPr>
        <w:rPr>
          <w:rFonts w:ascii="Arial" w:hAnsi="Arial" w:cs="Arial"/>
          <w:lang w:eastAsia="en-GB"/>
        </w:rPr>
      </w:pPr>
      <w:r w:rsidRPr="00946184">
        <w:rPr>
          <w:rStyle w:val="hoverbg-blue-100"/>
          <w:rFonts w:ascii="Arial" w:hAnsi="Arial" w:cs="Arial"/>
        </w:rPr>
        <w:t xml:space="preserve"> Short-Term Financing Options: Blue Thread Ltd can access additional funds during tight cash periods by evaluating short-term financing options like invoice factoring or bank overdrafts (Brealey, Myers &amp; Allen, 2020).</w:t>
      </w:r>
    </w:p>
    <w:p w14:paraId="6A0CED24" w14:textId="0DF2334B" w:rsidR="00946F61" w:rsidRPr="006713B2" w:rsidRDefault="006F305C" w:rsidP="006713B2">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4</w:t>
      </w:r>
      <w:r w:rsidR="00946F61" w:rsidRPr="006713B2">
        <w:rPr>
          <w:rFonts w:ascii="Arial" w:eastAsia="Times New Roman" w:hAnsi="Arial" w:cs="Arial"/>
          <w:b/>
          <w:bCs/>
          <w:sz w:val="32"/>
          <w:szCs w:val="32"/>
          <w:lang w:eastAsia="en-GB"/>
        </w:rPr>
        <w:t xml:space="preserve">.5 </w:t>
      </w:r>
      <w:r w:rsidR="006713B2" w:rsidRPr="006713B2">
        <w:rPr>
          <w:rFonts w:ascii="Arial" w:eastAsia="Times New Roman" w:hAnsi="Arial" w:cs="Arial"/>
          <w:b/>
          <w:bCs/>
          <w:sz w:val="32"/>
          <w:szCs w:val="32"/>
          <w:lang w:eastAsia="en-GB"/>
        </w:rPr>
        <w:t>Behavioural</w:t>
      </w:r>
      <w:r w:rsidR="00946F61" w:rsidRPr="006713B2">
        <w:rPr>
          <w:rFonts w:ascii="Arial" w:eastAsia="Times New Roman" w:hAnsi="Arial" w:cs="Arial"/>
          <w:b/>
          <w:bCs/>
          <w:sz w:val="32"/>
          <w:szCs w:val="32"/>
          <w:lang w:eastAsia="en-GB"/>
        </w:rPr>
        <w:t xml:space="preserve"> and Organizational Considerations in Budgeting</w:t>
      </w:r>
    </w:p>
    <w:p w14:paraId="4761EC89" w14:textId="77777777" w:rsidR="00946184" w:rsidRPr="00946184" w:rsidRDefault="00946184" w:rsidP="006F305C">
      <w:pPr>
        <w:spacing w:before="100" w:beforeAutospacing="1" w:after="100" w:afterAutospacing="1" w:line="240" w:lineRule="auto"/>
        <w:rPr>
          <w:rStyle w:val="hoverbg-blue-100"/>
          <w:rFonts w:ascii="Arial" w:hAnsi="Arial" w:cs="Arial"/>
        </w:rPr>
      </w:pPr>
      <w:r w:rsidRPr="00946184">
        <w:rPr>
          <w:rStyle w:val="hoverbg-blue-100"/>
          <w:rFonts w:ascii="Arial" w:hAnsi="Arial" w:cs="Arial"/>
        </w:rPr>
        <w:t xml:space="preserve">Organizational culture and employee </w:t>
      </w:r>
      <w:r w:rsidRPr="00946184">
        <w:rPr>
          <w:rStyle w:val="hoverbg-blue-100"/>
          <w:rFonts w:ascii="Arial" w:hAnsi="Arial" w:cs="Arial"/>
        </w:rPr>
        <w:t>behaviour</w:t>
      </w:r>
      <w:r w:rsidRPr="00946184">
        <w:rPr>
          <w:rStyle w:val="hoverbg-blue-100"/>
          <w:rFonts w:ascii="Arial" w:hAnsi="Arial" w:cs="Arial"/>
        </w:rPr>
        <w:t xml:space="preserve"> determine how effective any budgeting system will be. All stakeholders must understand and participate actively in the budgeting process.</w:t>
      </w:r>
    </w:p>
    <w:p w14:paraId="04A5B0D5" w14:textId="77777777" w:rsidR="00946184" w:rsidRPr="00946184" w:rsidRDefault="00946184" w:rsidP="00946184">
      <w:pPr>
        <w:pStyle w:val="ListParagraph"/>
        <w:numPr>
          <w:ilvl w:val="0"/>
          <w:numId w:val="46"/>
        </w:numPr>
        <w:spacing w:before="100" w:beforeAutospacing="1" w:after="100" w:afterAutospacing="1" w:line="240" w:lineRule="auto"/>
        <w:rPr>
          <w:rStyle w:val="hoverbg-blue-100"/>
          <w:rFonts w:ascii="Arial" w:eastAsia="Times New Roman" w:hAnsi="Arial" w:cs="Arial"/>
          <w:kern w:val="0"/>
          <w:lang w:eastAsia="en-GB"/>
          <w14:ligatures w14:val="none"/>
        </w:rPr>
      </w:pPr>
      <w:r w:rsidRPr="00946184">
        <w:rPr>
          <w:rStyle w:val="hoverbg-blue-100"/>
          <w:rFonts w:ascii="Arial" w:hAnsi="Arial" w:cs="Arial"/>
        </w:rPr>
        <w:t xml:space="preserve">Behavioural Aspects of Budgeting: Employees often show resistance towards budget changes when they consider these new measures restrictive or punishing. Effective communication combined with proper training serves as key solutions for resolving concerns according to Argyris (1952). </w:t>
      </w:r>
    </w:p>
    <w:p w14:paraId="2CAF3D1A" w14:textId="77777777" w:rsidR="00946184" w:rsidRPr="00946184" w:rsidRDefault="00946184" w:rsidP="00946184">
      <w:pPr>
        <w:pStyle w:val="ListParagraph"/>
        <w:numPr>
          <w:ilvl w:val="0"/>
          <w:numId w:val="46"/>
        </w:numPr>
        <w:spacing w:before="100" w:beforeAutospacing="1" w:after="100" w:afterAutospacing="1" w:line="240" w:lineRule="auto"/>
        <w:rPr>
          <w:rStyle w:val="hoverbg-blue-100"/>
          <w:rFonts w:ascii="Arial" w:eastAsia="Times New Roman" w:hAnsi="Arial" w:cs="Arial"/>
          <w:kern w:val="0"/>
          <w:lang w:eastAsia="en-GB"/>
          <w14:ligatures w14:val="none"/>
        </w:rPr>
      </w:pPr>
      <w:r w:rsidRPr="00946184">
        <w:rPr>
          <w:rStyle w:val="hoverbg-blue-100"/>
          <w:rFonts w:ascii="Arial" w:hAnsi="Arial" w:cs="Arial"/>
        </w:rPr>
        <w:t>Participation and Accountability: Budget planning which includes department managers in the budget creation process enhances their dedication and adherence.</w:t>
      </w:r>
    </w:p>
    <w:p w14:paraId="274377CA" w14:textId="536F225E" w:rsidR="006F305C" w:rsidRPr="00946184" w:rsidRDefault="00946184" w:rsidP="00946184">
      <w:pPr>
        <w:pStyle w:val="ListParagraph"/>
        <w:numPr>
          <w:ilvl w:val="0"/>
          <w:numId w:val="46"/>
        </w:numPr>
        <w:spacing w:before="100" w:beforeAutospacing="1" w:after="100" w:afterAutospacing="1" w:line="240" w:lineRule="auto"/>
        <w:rPr>
          <w:rFonts w:ascii="Arial" w:eastAsia="Times New Roman" w:hAnsi="Arial" w:cs="Arial"/>
          <w:kern w:val="0"/>
          <w:lang w:eastAsia="en-GB"/>
          <w14:ligatures w14:val="none"/>
        </w:rPr>
      </w:pPr>
      <w:r w:rsidRPr="00946184">
        <w:rPr>
          <w:rStyle w:val="hoverbg-blue-100"/>
          <w:rFonts w:ascii="Arial" w:hAnsi="Arial" w:cs="Arial"/>
        </w:rPr>
        <w:t xml:space="preserve"> Budgetary Slack and Ethical Considerations: Managers often deliberately inflate expense forecasts to generate budgetary slack. Ethical guidelines alongside regular audits must be implemented to stop such practices.</w:t>
      </w:r>
    </w:p>
    <w:p w14:paraId="48531ABD" w14:textId="77777777" w:rsidR="006F305C" w:rsidRPr="00946F61" w:rsidRDefault="006F305C" w:rsidP="006F305C">
      <w:pPr>
        <w:spacing w:before="100" w:beforeAutospacing="1" w:after="100" w:afterAutospacing="1" w:line="240" w:lineRule="auto"/>
        <w:rPr>
          <w:rFonts w:ascii="Arial" w:eastAsia="Times New Roman" w:hAnsi="Arial" w:cs="Arial"/>
          <w:kern w:val="0"/>
          <w:lang w:eastAsia="en-GB"/>
          <w14:ligatures w14:val="none"/>
        </w:rPr>
      </w:pPr>
    </w:p>
    <w:p w14:paraId="485C7FDF" w14:textId="18B7CD11" w:rsidR="00946F61" w:rsidRPr="006713B2" w:rsidRDefault="006F305C" w:rsidP="006713B2">
      <w:pPr>
        <w:pStyle w:val="Heading1"/>
        <w:rPr>
          <w:rFonts w:ascii="Arial" w:eastAsia="Times New Roman" w:hAnsi="Arial" w:cs="Arial"/>
          <w:b/>
          <w:bCs/>
          <w:sz w:val="32"/>
          <w:szCs w:val="32"/>
          <w:lang w:eastAsia="en-GB"/>
        </w:rPr>
      </w:pPr>
      <w:r>
        <w:rPr>
          <w:rFonts w:ascii="Arial" w:eastAsia="Times New Roman" w:hAnsi="Arial" w:cs="Arial"/>
          <w:b/>
          <w:bCs/>
          <w:sz w:val="32"/>
          <w:szCs w:val="32"/>
          <w:lang w:eastAsia="en-GB"/>
        </w:rPr>
        <w:t>4</w:t>
      </w:r>
      <w:r w:rsidR="00946F61" w:rsidRPr="006713B2">
        <w:rPr>
          <w:rFonts w:ascii="Arial" w:eastAsia="Times New Roman" w:hAnsi="Arial" w:cs="Arial"/>
          <w:b/>
          <w:bCs/>
          <w:sz w:val="32"/>
          <w:szCs w:val="32"/>
          <w:lang w:eastAsia="en-GB"/>
        </w:rPr>
        <w:t>.</w:t>
      </w:r>
      <w:r>
        <w:rPr>
          <w:rFonts w:ascii="Arial" w:eastAsia="Times New Roman" w:hAnsi="Arial" w:cs="Arial"/>
          <w:b/>
          <w:bCs/>
          <w:sz w:val="32"/>
          <w:szCs w:val="32"/>
          <w:lang w:eastAsia="en-GB"/>
        </w:rPr>
        <w:t>6</w:t>
      </w:r>
      <w:r w:rsidR="00946F61" w:rsidRPr="006713B2">
        <w:rPr>
          <w:rFonts w:ascii="Arial" w:eastAsia="Times New Roman" w:hAnsi="Arial" w:cs="Arial"/>
          <w:b/>
          <w:bCs/>
          <w:sz w:val="32"/>
          <w:szCs w:val="32"/>
          <w:lang w:eastAsia="en-GB"/>
        </w:rPr>
        <w:t xml:space="preserve"> Timeline for Implementation</w:t>
      </w:r>
    </w:p>
    <w:p w14:paraId="4D8B3322" w14:textId="77777777" w:rsidR="00946184" w:rsidRPr="00946184" w:rsidRDefault="00946184" w:rsidP="00946184">
      <w:pPr>
        <w:spacing w:before="100" w:beforeAutospacing="1" w:after="100" w:afterAutospacing="1" w:line="240" w:lineRule="auto"/>
        <w:rPr>
          <w:rStyle w:val="text-black"/>
          <w:rFonts w:ascii="Arial" w:eastAsia="Times New Roman" w:hAnsi="Arial" w:cs="Arial"/>
          <w:kern w:val="0"/>
          <w:lang w:eastAsia="en-GB"/>
          <w14:ligatures w14:val="none"/>
        </w:rPr>
      </w:pPr>
      <w:r w:rsidRPr="00946184">
        <w:rPr>
          <w:rStyle w:val="hoverbg-blue-100"/>
          <w:rFonts w:ascii="Arial" w:hAnsi="Arial" w:cs="Arial"/>
        </w:rPr>
        <w:t xml:space="preserve">To reach budgeting enhancements before the six-month deadline teams need to follow a structured implementation timeline. </w:t>
      </w:r>
      <w:r w:rsidRPr="00946184">
        <w:rPr>
          <w:rStyle w:val="text-black"/>
          <w:rFonts w:ascii="Arial" w:hAnsi="Arial" w:cs="Arial"/>
        </w:rPr>
        <w:t>The proposed timeline is as follows:</w:t>
      </w:r>
    </w:p>
    <w:p w14:paraId="387DAE5C" w14:textId="77777777" w:rsidR="00946184" w:rsidRPr="00946184" w:rsidRDefault="00946184" w:rsidP="00946184">
      <w:pPr>
        <w:pStyle w:val="ListParagraph"/>
        <w:numPr>
          <w:ilvl w:val="0"/>
          <w:numId w:val="47"/>
        </w:numPr>
        <w:spacing w:before="100" w:beforeAutospacing="1" w:after="100" w:afterAutospacing="1" w:line="240" w:lineRule="auto"/>
        <w:rPr>
          <w:rStyle w:val="hoverbg-blue-100"/>
          <w:rFonts w:ascii="Arial" w:eastAsia="Times New Roman" w:hAnsi="Arial" w:cs="Arial"/>
          <w:kern w:val="0"/>
          <w:lang w:eastAsia="en-GB"/>
          <w14:ligatures w14:val="none"/>
        </w:rPr>
      </w:pPr>
      <w:r w:rsidRPr="00946184">
        <w:rPr>
          <w:rStyle w:val="text-black"/>
          <w:rFonts w:ascii="Arial" w:hAnsi="Arial" w:cs="Arial"/>
        </w:rPr>
        <w:t xml:space="preserve"> </w:t>
      </w:r>
      <w:r w:rsidRPr="00946184">
        <w:rPr>
          <w:rStyle w:val="hoverbg-blue-100"/>
          <w:rFonts w:ascii="Arial" w:hAnsi="Arial" w:cs="Arial"/>
        </w:rPr>
        <w:t>Month 1: Create budgeting framework and set objectives while conducting employee training sessions.</w:t>
      </w:r>
    </w:p>
    <w:p w14:paraId="45EF717C" w14:textId="77777777" w:rsidR="00946184" w:rsidRPr="00946184" w:rsidRDefault="00946184" w:rsidP="00946184">
      <w:pPr>
        <w:pStyle w:val="ListParagraph"/>
        <w:numPr>
          <w:ilvl w:val="0"/>
          <w:numId w:val="47"/>
        </w:numPr>
        <w:spacing w:before="100" w:beforeAutospacing="1" w:after="100" w:afterAutospacing="1" w:line="240" w:lineRule="auto"/>
        <w:rPr>
          <w:rStyle w:val="text-black"/>
          <w:rFonts w:ascii="Arial" w:eastAsia="Times New Roman" w:hAnsi="Arial" w:cs="Arial"/>
          <w:kern w:val="0"/>
          <w:lang w:eastAsia="en-GB"/>
          <w14:ligatures w14:val="none"/>
        </w:rPr>
      </w:pPr>
      <w:r w:rsidRPr="00946184">
        <w:rPr>
          <w:rStyle w:val="hoverbg-blue-100"/>
          <w:rFonts w:ascii="Arial" w:hAnsi="Arial" w:cs="Arial"/>
        </w:rPr>
        <w:t xml:space="preserve"> </w:t>
      </w:r>
      <w:r w:rsidRPr="00946184">
        <w:rPr>
          <w:rStyle w:val="text-black"/>
          <w:rFonts w:ascii="Arial" w:hAnsi="Arial" w:cs="Arial"/>
        </w:rPr>
        <w:t xml:space="preserve"> Month 2: Implement rolling budgets and activity-based budgeting. </w:t>
      </w:r>
    </w:p>
    <w:p w14:paraId="4C2039F0" w14:textId="77777777" w:rsidR="00946184" w:rsidRPr="00946184" w:rsidRDefault="00946184" w:rsidP="00946184">
      <w:pPr>
        <w:pStyle w:val="ListParagraph"/>
        <w:numPr>
          <w:ilvl w:val="0"/>
          <w:numId w:val="47"/>
        </w:numPr>
        <w:spacing w:before="100" w:beforeAutospacing="1" w:after="100" w:afterAutospacing="1" w:line="240" w:lineRule="auto"/>
        <w:rPr>
          <w:rStyle w:val="hoverbg-blue-100"/>
          <w:rFonts w:ascii="Arial" w:eastAsia="Times New Roman" w:hAnsi="Arial" w:cs="Arial"/>
          <w:kern w:val="0"/>
          <w:lang w:eastAsia="en-GB"/>
          <w14:ligatures w14:val="none"/>
        </w:rPr>
      </w:pPr>
      <w:r w:rsidRPr="00946184">
        <w:rPr>
          <w:rStyle w:val="hoverbg-blue-100"/>
          <w:rFonts w:ascii="Arial" w:hAnsi="Arial" w:cs="Arial"/>
        </w:rPr>
        <w:t xml:space="preserve">Month 3: Strengthen cost control measures during the third month while negotiating supplier contracts. </w:t>
      </w:r>
    </w:p>
    <w:p w14:paraId="13163DE5" w14:textId="77777777" w:rsidR="00946184" w:rsidRPr="00946184" w:rsidRDefault="00946184" w:rsidP="00946184">
      <w:pPr>
        <w:pStyle w:val="ListParagraph"/>
        <w:numPr>
          <w:ilvl w:val="0"/>
          <w:numId w:val="47"/>
        </w:numPr>
        <w:spacing w:before="100" w:beforeAutospacing="1" w:after="100" w:afterAutospacing="1" w:line="240" w:lineRule="auto"/>
        <w:rPr>
          <w:rStyle w:val="hoverbg-blue-100"/>
          <w:rFonts w:ascii="Arial" w:eastAsia="Times New Roman" w:hAnsi="Arial" w:cs="Arial"/>
          <w:kern w:val="0"/>
          <w:lang w:eastAsia="en-GB"/>
          <w14:ligatures w14:val="none"/>
        </w:rPr>
      </w:pPr>
      <w:r w:rsidRPr="00946184">
        <w:rPr>
          <w:rStyle w:val="hoverbg-blue-100"/>
          <w:rFonts w:ascii="Arial" w:hAnsi="Arial" w:cs="Arial"/>
        </w:rPr>
        <w:t xml:space="preserve">Month 4: Improve cash flow management while bringing incentive programs into operation. </w:t>
      </w:r>
    </w:p>
    <w:p w14:paraId="33400810" w14:textId="77777777" w:rsidR="00946184" w:rsidRPr="00946184" w:rsidRDefault="00946184" w:rsidP="00946184">
      <w:pPr>
        <w:pStyle w:val="ListParagraph"/>
        <w:numPr>
          <w:ilvl w:val="0"/>
          <w:numId w:val="47"/>
        </w:numPr>
        <w:spacing w:before="100" w:beforeAutospacing="1" w:after="100" w:afterAutospacing="1" w:line="240" w:lineRule="auto"/>
        <w:rPr>
          <w:rStyle w:val="text-black"/>
          <w:rFonts w:ascii="Arial" w:eastAsia="Times New Roman" w:hAnsi="Arial" w:cs="Arial"/>
          <w:kern w:val="0"/>
          <w:lang w:eastAsia="en-GB"/>
          <w14:ligatures w14:val="none"/>
        </w:rPr>
      </w:pPr>
      <w:r w:rsidRPr="00946184">
        <w:rPr>
          <w:rStyle w:val="text-black"/>
          <w:rFonts w:ascii="Arial" w:hAnsi="Arial" w:cs="Arial"/>
        </w:rPr>
        <w:t xml:space="preserve">Month 5: Integrate budgeting software and conduct variance analysis. </w:t>
      </w:r>
    </w:p>
    <w:p w14:paraId="40125980" w14:textId="2BE7DDFC" w:rsidR="006713B2" w:rsidRPr="00946184" w:rsidRDefault="00946184" w:rsidP="00946184">
      <w:pPr>
        <w:pStyle w:val="ListParagraph"/>
        <w:numPr>
          <w:ilvl w:val="0"/>
          <w:numId w:val="47"/>
        </w:numPr>
        <w:spacing w:before="100" w:beforeAutospacing="1" w:after="100" w:afterAutospacing="1" w:line="240" w:lineRule="auto"/>
        <w:rPr>
          <w:rFonts w:ascii="Arial" w:eastAsia="Times New Roman" w:hAnsi="Arial" w:cs="Arial"/>
          <w:kern w:val="0"/>
          <w:lang w:eastAsia="en-GB"/>
          <w14:ligatures w14:val="none"/>
        </w:rPr>
      </w:pPr>
      <w:r w:rsidRPr="00946184">
        <w:rPr>
          <w:rStyle w:val="hoverbg-blue-100"/>
          <w:rFonts w:ascii="Arial" w:hAnsi="Arial" w:cs="Arial"/>
        </w:rPr>
        <w:lastRenderedPageBreak/>
        <w:t xml:space="preserve"> Month 6: Conduct the final budget review and make necessary adjustments according to evaluation outcomes. </w:t>
      </w:r>
      <w:r w:rsidR="006713B2" w:rsidRPr="00946184">
        <w:rPr>
          <w:rFonts w:ascii="Arial" w:eastAsia="Times New Roman" w:hAnsi="Arial" w:cs="Arial"/>
          <w:kern w:val="0"/>
          <w:lang w:eastAsia="en-GB"/>
          <w14:ligatures w14:val="none"/>
        </w:rPr>
        <w:br w:type="page"/>
      </w:r>
    </w:p>
    <w:p w14:paraId="1B14B97F" w14:textId="77777777" w:rsidR="006713B2" w:rsidRDefault="006713B2" w:rsidP="006713B2">
      <w:pPr>
        <w:pStyle w:val="Heading1"/>
        <w:jc w:val="center"/>
        <w:rPr>
          <w:rFonts w:ascii="Arial" w:eastAsia="Times New Roman" w:hAnsi="Arial" w:cs="Arial"/>
          <w:b/>
          <w:bCs/>
          <w:sz w:val="32"/>
          <w:szCs w:val="32"/>
          <w:lang w:eastAsia="en-GB"/>
        </w:rPr>
      </w:pPr>
      <w:r w:rsidRPr="006713B2">
        <w:rPr>
          <w:rFonts w:ascii="Arial" w:eastAsia="Times New Roman" w:hAnsi="Arial" w:cs="Arial"/>
          <w:b/>
          <w:bCs/>
          <w:sz w:val="32"/>
          <w:szCs w:val="32"/>
          <w:lang w:eastAsia="en-GB"/>
        </w:rPr>
        <w:lastRenderedPageBreak/>
        <w:t>Conclusion</w:t>
      </w:r>
    </w:p>
    <w:p w14:paraId="07DB74F8" w14:textId="77777777" w:rsidR="00946184" w:rsidRPr="00946184" w:rsidRDefault="00946184" w:rsidP="00946184">
      <w:pPr>
        <w:rPr>
          <w:lang w:eastAsia="en-GB"/>
        </w:rPr>
      </w:pPr>
    </w:p>
    <w:p w14:paraId="2186FD80" w14:textId="2EB91414" w:rsidR="006F305C" w:rsidRPr="00946184" w:rsidRDefault="00946184">
      <w:pPr>
        <w:rPr>
          <w:rFonts w:ascii="Arial" w:eastAsia="Times New Roman" w:hAnsi="Arial" w:cs="Arial"/>
          <w:kern w:val="0"/>
          <w:lang w:eastAsia="en-GB"/>
          <w14:ligatures w14:val="none"/>
        </w:rPr>
      </w:pPr>
      <w:r w:rsidRPr="00946184">
        <w:rPr>
          <w:rStyle w:val="hoverbg-blue-100"/>
          <w:rFonts w:ascii="Arial" w:hAnsi="Arial" w:cs="Arial"/>
        </w:rPr>
        <w:t xml:space="preserve">Blue Thread Ltd must implement budgeting improvements to secure financial stability and ensure long-term sustainability. Through the implementation of a structured framework which integrates alternative budgeting methods alongside cost control practices and technology solutions the organization will be able to improve its financial outcomes while sustaining its operational effectiveness. </w:t>
      </w:r>
      <w:r w:rsidRPr="00946184">
        <w:rPr>
          <w:rFonts w:ascii="Arial" w:hAnsi="Arial" w:cs="Arial"/>
        </w:rPr>
        <w:br/>
      </w:r>
      <w:r w:rsidRPr="00946184">
        <w:rPr>
          <w:rStyle w:val="hoverbg-blue-100"/>
          <w:rFonts w:ascii="Arial" w:hAnsi="Arial" w:cs="Arial"/>
        </w:rPr>
        <w:t xml:space="preserve">The company aims to clear the £25,000 overdraft within a six-month timeframe. Blue Thread Ltd needs to create a strong budgeting structure that includes clear financial goals and guidelines along with essential performance indicators (KPIs). Financial resource allocation will align with business priorities </w:t>
      </w:r>
      <w:r w:rsidRPr="00946184">
        <w:rPr>
          <w:rStyle w:val="hoverbg-blue-100"/>
          <w:rFonts w:ascii="Arial" w:hAnsi="Arial" w:cs="Arial"/>
        </w:rPr>
        <w:t>using</w:t>
      </w:r>
      <w:r w:rsidRPr="00946184">
        <w:rPr>
          <w:rStyle w:val="hoverbg-blue-100"/>
          <w:rFonts w:ascii="Arial" w:hAnsi="Arial" w:cs="Arial"/>
        </w:rPr>
        <w:t xml:space="preserve"> alternative budgeting methods like Zero-Based Budgeting (ZBB), Rolling Budgets and Activity-Based Budgeting (ABB). These approaches create both flexibility and cost efficiency which allows the company to adjust to shifts in market circumstances. </w:t>
      </w:r>
      <w:r w:rsidRPr="00946184">
        <w:rPr>
          <w:rFonts w:ascii="Arial" w:hAnsi="Arial" w:cs="Arial"/>
        </w:rPr>
        <w:br/>
      </w:r>
      <w:r w:rsidRPr="00946184">
        <w:rPr>
          <w:rStyle w:val="hoverbg-blue-100"/>
          <w:rFonts w:ascii="Arial" w:hAnsi="Arial" w:cs="Arial"/>
        </w:rPr>
        <w:t xml:space="preserve">Financial discipline will be reinforced by implementing cost control measures through supplier negotiation strategies and expense monitoring along with energy efficiency programs. Optimized receivables management alongside inventory management improvements and strategic short-term financing will produce liquidity and enhance financial resilience. </w:t>
      </w:r>
      <w:r w:rsidRPr="00946184">
        <w:rPr>
          <w:rFonts w:ascii="Arial" w:hAnsi="Arial" w:cs="Arial"/>
        </w:rPr>
        <w:br/>
      </w:r>
      <w:r w:rsidRPr="00946184">
        <w:rPr>
          <w:rStyle w:val="hoverbg-blue-100"/>
          <w:rFonts w:ascii="Arial" w:hAnsi="Arial" w:cs="Arial"/>
        </w:rPr>
        <w:t xml:space="preserve">Effective budgeting requires addressing </w:t>
      </w:r>
      <w:r w:rsidRPr="00946184">
        <w:rPr>
          <w:rStyle w:val="hoverbg-blue-100"/>
          <w:rFonts w:ascii="Arial" w:hAnsi="Arial" w:cs="Arial"/>
        </w:rPr>
        <w:t>behavioural</w:t>
      </w:r>
      <w:r w:rsidRPr="00946184">
        <w:rPr>
          <w:rStyle w:val="hoverbg-blue-100"/>
          <w:rFonts w:ascii="Arial" w:hAnsi="Arial" w:cs="Arial"/>
        </w:rPr>
        <w:t xml:space="preserve"> and organizational elements that facilitate stakeholder engagement and compliance beyond traditional financial methods. Building a culture of accountability requires employee involvement in budget processes coupled with transparent financial decisions and ethical management of budgetary slack. </w:t>
      </w:r>
      <w:r w:rsidRPr="00946184">
        <w:rPr>
          <w:rFonts w:ascii="Arial" w:hAnsi="Arial" w:cs="Arial"/>
        </w:rPr>
        <w:br/>
      </w:r>
      <w:r w:rsidRPr="00946184">
        <w:rPr>
          <w:rStyle w:val="hoverbg-blue-100"/>
          <w:rFonts w:ascii="Arial" w:hAnsi="Arial" w:cs="Arial"/>
        </w:rPr>
        <w:t xml:space="preserve">Technology integration improves budgeting through increased accuracy and operational efficiency. The deployment of financial management software alongside data analytics and automated expense reporting will optimize processes and enable data-dependent decision-making. Using a defined implementation timeline enables systematic execution of strategies while continuous monitoring and evaluation track progress. </w:t>
      </w:r>
      <w:r w:rsidRPr="00946184">
        <w:rPr>
          <w:rFonts w:ascii="Arial" w:hAnsi="Arial" w:cs="Arial"/>
        </w:rPr>
        <w:br/>
      </w:r>
      <w:r w:rsidRPr="00946184">
        <w:rPr>
          <w:rStyle w:val="hoverbg-blue-100"/>
          <w:rFonts w:ascii="Arial" w:hAnsi="Arial" w:cs="Arial"/>
        </w:rPr>
        <w:t xml:space="preserve">Blue Thread Ltd will resolve its financial deficit and strengthen cash flow through this comprehensive plan while creating a solid foundation for sustainable growth in the retail market. The effectiveness of Blue Thread </w:t>
      </w:r>
      <w:r w:rsidRPr="00946184">
        <w:rPr>
          <w:rStyle w:val="hoverbg-blue-100"/>
          <w:rFonts w:ascii="Arial" w:hAnsi="Arial" w:cs="Arial"/>
        </w:rPr>
        <w:t>Ltd.’s</w:t>
      </w:r>
      <w:r w:rsidRPr="00946184">
        <w:rPr>
          <w:rStyle w:val="hoverbg-blue-100"/>
          <w:rFonts w:ascii="Arial" w:hAnsi="Arial" w:cs="Arial"/>
        </w:rPr>
        <w:t xml:space="preserve"> improvements will rely on their ability to maintain steady execution efforts while remaining adaptable and committed to strict financial management. </w:t>
      </w:r>
      <w:r w:rsidR="006F305C" w:rsidRPr="00946184">
        <w:rPr>
          <w:rFonts w:ascii="Arial" w:eastAsia="Times New Roman" w:hAnsi="Arial" w:cs="Arial"/>
          <w:kern w:val="0"/>
          <w:lang w:eastAsia="en-GB"/>
          <w14:ligatures w14:val="none"/>
        </w:rPr>
        <w:br w:type="page"/>
      </w:r>
    </w:p>
    <w:p w14:paraId="0440655D" w14:textId="40EA1DDA" w:rsidR="006713B2" w:rsidRDefault="006F305C" w:rsidP="006F305C">
      <w:pPr>
        <w:pStyle w:val="Heading1"/>
        <w:jc w:val="center"/>
        <w:rPr>
          <w:rFonts w:ascii="Arial" w:eastAsia="Times New Roman" w:hAnsi="Arial" w:cs="Arial"/>
          <w:b/>
          <w:bCs/>
          <w:sz w:val="32"/>
          <w:szCs w:val="32"/>
          <w:lang w:eastAsia="en-GB"/>
        </w:rPr>
      </w:pPr>
      <w:r w:rsidRPr="006F305C">
        <w:rPr>
          <w:rFonts w:ascii="Arial" w:eastAsia="Times New Roman" w:hAnsi="Arial" w:cs="Arial"/>
          <w:b/>
          <w:bCs/>
          <w:sz w:val="32"/>
          <w:szCs w:val="32"/>
          <w:lang w:eastAsia="en-GB"/>
        </w:rPr>
        <w:lastRenderedPageBreak/>
        <w:t>References</w:t>
      </w:r>
    </w:p>
    <w:p w14:paraId="6A34A3A6" w14:textId="77777777" w:rsidR="006F305C" w:rsidRPr="006F305C" w:rsidRDefault="006F305C" w:rsidP="006F305C">
      <w:pPr>
        <w:rPr>
          <w:lang w:eastAsia="en-GB"/>
        </w:rPr>
      </w:pPr>
    </w:p>
    <w:p w14:paraId="73F94C8C" w14:textId="756A0D07" w:rsidR="006F305C" w:rsidRPr="006F305C" w:rsidRDefault="006F305C" w:rsidP="006F305C">
      <w:pPr>
        <w:rPr>
          <w:rFonts w:ascii="Arial" w:hAnsi="Arial" w:cs="Arial"/>
          <w:lang w:eastAsia="en-GB"/>
        </w:rPr>
      </w:pPr>
      <w:r w:rsidRPr="006F305C">
        <w:rPr>
          <w:rFonts w:ascii="Arial" w:hAnsi="Arial" w:cs="Arial"/>
          <w:lang w:eastAsia="en-GB"/>
        </w:rPr>
        <w:t xml:space="preserve">Argyris, C. (1952). </w:t>
      </w:r>
      <w:r w:rsidRPr="006F305C">
        <w:rPr>
          <w:rFonts w:ascii="Arial" w:hAnsi="Arial" w:cs="Arial"/>
          <w:i/>
          <w:iCs/>
          <w:lang w:eastAsia="en-GB"/>
        </w:rPr>
        <w:t>The Impact of Budgets on People</w:t>
      </w:r>
      <w:r w:rsidRPr="006F305C">
        <w:rPr>
          <w:rFonts w:ascii="Arial" w:hAnsi="Arial" w:cs="Arial"/>
          <w:lang w:eastAsia="en-GB"/>
        </w:rPr>
        <w:t>. Cornell University Press.</w:t>
      </w:r>
    </w:p>
    <w:p w14:paraId="3DFA7F16" w14:textId="6156FEC6" w:rsidR="006F305C" w:rsidRPr="006F305C" w:rsidRDefault="006F305C" w:rsidP="006F305C">
      <w:pPr>
        <w:rPr>
          <w:rFonts w:ascii="Arial" w:hAnsi="Arial" w:cs="Arial"/>
          <w:lang w:eastAsia="en-GB"/>
        </w:rPr>
      </w:pPr>
      <w:r w:rsidRPr="006F305C">
        <w:rPr>
          <w:rFonts w:ascii="Arial" w:hAnsi="Arial" w:cs="Arial"/>
          <w:lang w:eastAsia="en-GB"/>
        </w:rPr>
        <w:t xml:space="preserve">Atrill, P. and McLaney, E. (2021). </w:t>
      </w:r>
      <w:r w:rsidRPr="006F305C">
        <w:rPr>
          <w:rFonts w:ascii="Arial" w:hAnsi="Arial" w:cs="Arial"/>
          <w:i/>
          <w:iCs/>
          <w:lang w:eastAsia="en-GB"/>
        </w:rPr>
        <w:t>Accounting and Finance for Non-Specialists</w:t>
      </w:r>
      <w:r w:rsidRPr="006F305C">
        <w:rPr>
          <w:rFonts w:ascii="Arial" w:hAnsi="Arial" w:cs="Arial"/>
          <w:lang w:eastAsia="en-GB"/>
        </w:rPr>
        <w:t>. 12th ed. Pearson.</w:t>
      </w:r>
    </w:p>
    <w:p w14:paraId="4DEA3BF1" w14:textId="48BDF8CE" w:rsidR="006F305C" w:rsidRPr="006F305C" w:rsidRDefault="006F305C" w:rsidP="006F305C">
      <w:pPr>
        <w:rPr>
          <w:rFonts w:ascii="Arial" w:hAnsi="Arial" w:cs="Arial"/>
          <w:lang w:eastAsia="en-GB"/>
        </w:rPr>
      </w:pPr>
      <w:r w:rsidRPr="006F305C">
        <w:rPr>
          <w:rFonts w:ascii="Arial" w:hAnsi="Arial" w:cs="Arial"/>
          <w:lang w:eastAsia="en-GB"/>
        </w:rPr>
        <w:t xml:space="preserve">Brealey, R.A., Myers, S.C., and Allen, F. (2020). </w:t>
      </w:r>
      <w:r w:rsidRPr="006F305C">
        <w:rPr>
          <w:rFonts w:ascii="Arial" w:hAnsi="Arial" w:cs="Arial"/>
          <w:i/>
          <w:iCs/>
          <w:lang w:eastAsia="en-GB"/>
        </w:rPr>
        <w:t>Principles of Corporate Finance</w:t>
      </w:r>
      <w:r w:rsidRPr="006F305C">
        <w:rPr>
          <w:rFonts w:ascii="Arial" w:hAnsi="Arial" w:cs="Arial"/>
          <w:lang w:eastAsia="en-GB"/>
        </w:rPr>
        <w:t>. 13th ed. McGraw-Hill.</w:t>
      </w:r>
    </w:p>
    <w:p w14:paraId="2E0A7B4C" w14:textId="43061072" w:rsidR="006F305C" w:rsidRPr="006F305C" w:rsidRDefault="006F305C" w:rsidP="006F305C">
      <w:pPr>
        <w:rPr>
          <w:rFonts w:ascii="Arial" w:hAnsi="Arial" w:cs="Arial"/>
          <w:lang w:eastAsia="en-GB"/>
        </w:rPr>
      </w:pPr>
      <w:r w:rsidRPr="006F305C">
        <w:rPr>
          <w:rFonts w:ascii="Arial" w:hAnsi="Arial" w:cs="Arial"/>
          <w:lang w:eastAsia="en-GB"/>
        </w:rPr>
        <w:t xml:space="preserve">Brigham, E.F. and Ehrhardt, M.C. (2019). </w:t>
      </w:r>
      <w:r w:rsidRPr="006F305C">
        <w:rPr>
          <w:rFonts w:ascii="Arial" w:hAnsi="Arial" w:cs="Arial"/>
          <w:i/>
          <w:iCs/>
          <w:lang w:eastAsia="en-GB"/>
        </w:rPr>
        <w:t>Financial Management: Theory &amp; Practice</w:t>
      </w:r>
      <w:r w:rsidRPr="006F305C">
        <w:rPr>
          <w:rFonts w:ascii="Arial" w:hAnsi="Arial" w:cs="Arial"/>
          <w:lang w:eastAsia="en-GB"/>
        </w:rPr>
        <w:t>. 16th ed. Cengage Learning.</w:t>
      </w:r>
    </w:p>
    <w:p w14:paraId="6328D7EB" w14:textId="792E510B" w:rsidR="006F305C" w:rsidRPr="006F305C" w:rsidRDefault="006F305C" w:rsidP="006F305C">
      <w:pPr>
        <w:rPr>
          <w:rFonts w:ascii="Arial" w:hAnsi="Arial" w:cs="Arial"/>
          <w:lang w:eastAsia="en-GB"/>
        </w:rPr>
      </w:pPr>
      <w:r w:rsidRPr="006F305C">
        <w:rPr>
          <w:rFonts w:ascii="Arial" w:hAnsi="Arial" w:cs="Arial"/>
          <w:lang w:eastAsia="en-GB"/>
        </w:rPr>
        <w:t xml:space="preserve">Burns, J. and Scapens, R. (2000). </w:t>
      </w:r>
      <w:r w:rsidRPr="006F305C">
        <w:rPr>
          <w:rFonts w:ascii="Arial" w:hAnsi="Arial" w:cs="Arial"/>
          <w:i/>
          <w:iCs/>
          <w:lang w:eastAsia="en-GB"/>
        </w:rPr>
        <w:t>Conceptualizing Management Accounting Change: An Institutional Framework</w:t>
      </w:r>
      <w:r w:rsidRPr="006F305C">
        <w:rPr>
          <w:rFonts w:ascii="Arial" w:hAnsi="Arial" w:cs="Arial"/>
          <w:lang w:eastAsia="en-GB"/>
        </w:rPr>
        <w:t>. Management Accounting Research, pp.3-25.</w:t>
      </w:r>
    </w:p>
    <w:p w14:paraId="30F02CE3" w14:textId="39D2A21D" w:rsidR="006F305C" w:rsidRPr="006F305C" w:rsidRDefault="006F305C" w:rsidP="006F305C">
      <w:pPr>
        <w:rPr>
          <w:rFonts w:ascii="Arial" w:hAnsi="Arial" w:cs="Arial"/>
          <w:lang w:eastAsia="en-GB"/>
        </w:rPr>
      </w:pPr>
      <w:r w:rsidRPr="006F305C">
        <w:rPr>
          <w:rFonts w:ascii="Arial" w:hAnsi="Arial" w:cs="Arial"/>
          <w:lang w:eastAsia="en-GB"/>
        </w:rPr>
        <w:t xml:space="preserve">CIMA (2020). </w:t>
      </w:r>
      <w:r w:rsidRPr="006F305C">
        <w:rPr>
          <w:rFonts w:ascii="Arial" w:hAnsi="Arial" w:cs="Arial"/>
          <w:i/>
          <w:iCs/>
          <w:lang w:eastAsia="en-GB"/>
        </w:rPr>
        <w:t>Budgeting Fundamentals</w:t>
      </w:r>
      <w:r w:rsidRPr="006F305C">
        <w:rPr>
          <w:rFonts w:ascii="Arial" w:hAnsi="Arial" w:cs="Arial"/>
          <w:lang w:eastAsia="en-GB"/>
        </w:rPr>
        <w:t>. Chartered Institute of Management Accountants.</w:t>
      </w:r>
    </w:p>
    <w:p w14:paraId="08F6C421" w14:textId="49653A99" w:rsidR="006F305C" w:rsidRPr="006F305C" w:rsidRDefault="006F305C" w:rsidP="006F305C">
      <w:pPr>
        <w:rPr>
          <w:rFonts w:ascii="Arial" w:hAnsi="Arial" w:cs="Arial"/>
          <w:lang w:eastAsia="en-GB"/>
        </w:rPr>
      </w:pPr>
      <w:r w:rsidRPr="006F305C">
        <w:rPr>
          <w:rFonts w:ascii="Arial" w:hAnsi="Arial" w:cs="Arial"/>
          <w:lang w:eastAsia="en-GB"/>
        </w:rPr>
        <w:t xml:space="preserve">Drury, C. (2018). </w:t>
      </w:r>
      <w:r w:rsidRPr="006F305C">
        <w:rPr>
          <w:rFonts w:ascii="Arial" w:hAnsi="Arial" w:cs="Arial"/>
          <w:i/>
          <w:iCs/>
          <w:lang w:eastAsia="en-GB"/>
        </w:rPr>
        <w:t>Management and Cost Accounting</w:t>
      </w:r>
      <w:r w:rsidRPr="006F305C">
        <w:rPr>
          <w:rFonts w:ascii="Arial" w:hAnsi="Arial" w:cs="Arial"/>
          <w:lang w:eastAsia="en-GB"/>
        </w:rPr>
        <w:t>. 10th ed. Cengage Learning.</w:t>
      </w:r>
    </w:p>
    <w:p w14:paraId="7DCEDA49" w14:textId="20B5291E" w:rsidR="006F305C" w:rsidRPr="006F305C" w:rsidRDefault="006F305C" w:rsidP="006F305C">
      <w:pPr>
        <w:rPr>
          <w:rFonts w:ascii="Arial" w:hAnsi="Arial" w:cs="Arial"/>
          <w:lang w:eastAsia="en-GB"/>
        </w:rPr>
      </w:pPr>
      <w:r w:rsidRPr="006F305C">
        <w:rPr>
          <w:rFonts w:ascii="Arial" w:hAnsi="Arial" w:cs="Arial"/>
          <w:lang w:eastAsia="en-GB"/>
        </w:rPr>
        <w:t xml:space="preserve">Finkler, S.A., Smith, D.L., Calabrese, T.D. and Purtell, R.M. (2022). </w:t>
      </w:r>
      <w:r w:rsidRPr="006F305C">
        <w:rPr>
          <w:rFonts w:ascii="Arial" w:hAnsi="Arial" w:cs="Arial"/>
          <w:i/>
          <w:iCs/>
          <w:lang w:eastAsia="en-GB"/>
        </w:rPr>
        <w:t>Financial Management for Public, Health, and Not-for-Profit Organizations</w:t>
      </w:r>
      <w:r w:rsidRPr="006F305C">
        <w:rPr>
          <w:rFonts w:ascii="Arial" w:hAnsi="Arial" w:cs="Arial"/>
          <w:lang w:eastAsia="en-GB"/>
        </w:rPr>
        <w:t>. 6th ed. CQ Press.</w:t>
      </w:r>
    </w:p>
    <w:p w14:paraId="03991A7C" w14:textId="71EBDF1C" w:rsidR="006F305C" w:rsidRPr="006F305C" w:rsidRDefault="006F305C" w:rsidP="006F305C">
      <w:pPr>
        <w:rPr>
          <w:rFonts w:ascii="Arial" w:hAnsi="Arial" w:cs="Arial"/>
          <w:lang w:eastAsia="en-GB"/>
        </w:rPr>
      </w:pPr>
      <w:r w:rsidRPr="006F305C">
        <w:rPr>
          <w:rFonts w:ascii="Arial" w:hAnsi="Arial" w:cs="Arial"/>
          <w:lang w:eastAsia="en-GB"/>
        </w:rPr>
        <w:t xml:space="preserve">Hansen, S.C., Otley, D.T. and Van der Stede, W.A. (2003). </w:t>
      </w:r>
      <w:r w:rsidRPr="006F305C">
        <w:rPr>
          <w:rFonts w:ascii="Arial" w:hAnsi="Arial" w:cs="Arial"/>
          <w:i/>
          <w:iCs/>
          <w:lang w:eastAsia="en-GB"/>
        </w:rPr>
        <w:t>Practice Developments in Budgeting: An Overview and Research Perspective</w:t>
      </w:r>
      <w:r w:rsidRPr="006F305C">
        <w:rPr>
          <w:rFonts w:ascii="Arial" w:hAnsi="Arial" w:cs="Arial"/>
          <w:lang w:eastAsia="en-GB"/>
        </w:rPr>
        <w:t>. Journal of Management Accounting Research</w:t>
      </w:r>
      <w:r w:rsidR="00946184">
        <w:rPr>
          <w:rFonts w:ascii="Arial" w:hAnsi="Arial" w:cs="Arial"/>
          <w:lang w:eastAsia="en-GB"/>
        </w:rPr>
        <w:t>.</w:t>
      </w:r>
    </w:p>
    <w:p w14:paraId="2399B32F" w14:textId="1BC952B8" w:rsidR="006F305C" w:rsidRPr="006F305C" w:rsidRDefault="006F305C" w:rsidP="006F305C">
      <w:pPr>
        <w:rPr>
          <w:rFonts w:ascii="Arial" w:hAnsi="Arial" w:cs="Arial"/>
          <w:lang w:eastAsia="en-GB"/>
        </w:rPr>
      </w:pPr>
      <w:r w:rsidRPr="006F305C">
        <w:rPr>
          <w:rFonts w:ascii="Arial" w:hAnsi="Arial" w:cs="Arial"/>
          <w:lang w:eastAsia="en-GB"/>
        </w:rPr>
        <w:t xml:space="preserve">Hilton, R.W. and Platt, D.E. (2020). </w:t>
      </w:r>
      <w:r w:rsidRPr="006F305C">
        <w:rPr>
          <w:rFonts w:ascii="Arial" w:hAnsi="Arial" w:cs="Arial"/>
          <w:i/>
          <w:iCs/>
          <w:lang w:eastAsia="en-GB"/>
        </w:rPr>
        <w:t>Managerial Accounting: Creating Value in a Dynamic Business Environment</w:t>
      </w:r>
      <w:r w:rsidRPr="006F305C">
        <w:rPr>
          <w:rFonts w:ascii="Arial" w:hAnsi="Arial" w:cs="Arial"/>
          <w:lang w:eastAsia="en-GB"/>
        </w:rPr>
        <w:t>. 12th ed. McGraw-Hill.</w:t>
      </w:r>
    </w:p>
    <w:p w14:paraId="5A7BC506" w14:textId="2CCDBD06" w:rsidR="006F305C" w:rsidRPr="006F305C" w:rsidRDefault="006F305C" w:rsidP="006F305C">
      <w:pPr>
        <w:rPr>
          <w:rFonts w:ascii="Arial" w:hAnsi="Arial" w:cs="Arial"/>
          <w:lang w:eastAsia="en-GB"/>
        </w:rPr>
      </w:pPr>
      <w:r w:rsidRPr="006F305C">
        <w:rPr>
          <w:rFonts w:ascii="Arial" w:hAnsi="Arial" w:cs="Arial"/>
          <w:lang w:eastAsia="en-GB"/>
        </w:rPr>
        <w:t xml:space="preserve">Hope, J. and Fraser, R. (2013). </w:t>
      </w:r>
      <w:r w:rsidRPr="006F305C">
        <w:rPr>
          <w:rFonts w:ascii="Arial" w:hAnsi="Arial" w:cs="Arial"/>
          <w:i/>
          <w:iCs/>
          <w:lang w:eastAsia="en-GB"/>
        </w:rPr>
        <w:t>Beyond Budgeting: How Managers Can Break Free from the Annual Performance Trap</w:t>
      </w:r>
      <w:r w:rsidRPr="006F305C">
        <w:rPr>
          <w:rFonts w:ascii="Arial" w:hAnsi="Arial" w:cs="Arial"/>
          <w:lang w:eastAsia="en-GB"/>
        </w:rPr>
        <w:t>. Harvard Business Review Press.</w:t>
      </w:r>
    </w:p>
    <w:p w14:paraId="594264CC" w14:textId="07DD8302" w:rsidR="006F305C" w:rsidRPr="006F305C" w:rsidRDefault="006F305C" w:rsidP="006F305C">
      <w:pPr>
        <w:rPr>
          <w:rFonts w:ascii="Arial" w:hAnsi="Arial" w:cs="Arial"/>
          <w:lang w:eastAsia="en-GB"/>
        </w:rPr>
      </w:pPr>
      <w:r w:rsidRPr="006F305C">
        <w:rPr>
          <w:rFonts w:ascii="Arial" w:hAnsi="Arial" w:cs="Arial"/>
          <w:lang w:eastAsia="en-GB"/>
        </w:rPr>
        <w:t xml:space="preserve">Horngren, C., Datar, S. and Rajan, M. (2020). </w:t>
      </w:r>
      <w:r w:rsidRPr="006F305C">
        <w:rPr>
          <w:rFonts w:ascii="Arial" w:hAnsi="Arial" w:cs="Arial"/>
          <w:i/>
          <w:iCs/>
          <w:lang w:eastAsia="en-GB"/>
        </w:rPr>
        <w:t>Cost Accounting: A Managerial Emphasis</w:t>
      </w:r>
      <w:r w:rsidRPr="006F305C">
        <w:rPr>
          <w:rFonts w:ascii="Arial" w:hAnsi="Arial" w:cs="Arial"/>
          <w:lang w:eastAsia="en-GB"/>
        </w:rPr>
        <w:t>. 16th ed. Pearson.</w:t>
      </w:r>
    </w:p>
    <w:p w14:paraId="6321DC58" w14:textId="21471324" w:rsidR="006F305C" w:rsidRPr="006F305C" w:rsidRDefault="006F305C" w:rsidP="006F305C">
      <w:pPr>
        <w:rPr>
          <w:rFonts w:ascii="Arial" w:hAnsi="Arial" w:cs="Arial"/>
          <w:lang w:eastAsia="en-GB"/>
        </w:rPr>
      </w:pPr>
      <w:r w:rsidRPr="006F305C">
        <w:rPr>
          <w:rFonts w:ascii="Arial" w:hAnsi="Arial" w:cs="Arial"/>
          <w:lang w:eastAsia="en-GB"/>
        </w:rPr>
        <w:t xml:space="preserve">Kaplan, R.S. and Norton, D.P. (1996). </w:t>
      </w:r>
      <w:r w:rsidRPr="006F305C">
        <w:rPr>
          <w:rFonts w:ascii="Arial" w:hAnsi="Arial" w:cs="Arial"/>
          <w:i/>
          <w:iCs/>
          <w:lang w:eastAsia="en-GB"/>
        </w:rPr>
        <w:t>The Balanced Scorecard: Translating Strategy into Action</w:t>
      </w:r>
      <w:r w:rsidRPr="006F305C">
        <w:rPr>
          <w:rFonts w:ascii="Arial" w:hAnsi="Arial" w:cs="Arial"/>
          <w:lang w:eastAsia="en-GB"/>
        </w:rPr>
        <w:t>. Harvard Business Press.</w:t>
      </w:r>
    </w:p>
    <w:p w14:paraId="250F0DF0" w14:textId="4096CFE8" w:rsidR="006F305C" w:rsidRPr="006F305C" w:rsidRDefault="006F305C" w:rsidP="006F305C">
      <w:pPr>
        <w:rPr>
          <w:rFonts w:ascii="Arial" w:hAnsi="Arial" w:cs="Arial"/>
          <w:lang w:eastAsia="en-GB"/>
        </w:rPr>
      </w:pPr>
      <w:r w:rsidRPr="006F305C">
        <w:rPr>
          <w:rFonts w:ascii="Arial" w:hAnsi="Arial" w:cs="Arial"/>
          <w:lang w:eastAsia="en-GB"/>
        </w:rPr>
        <w:t xml:space="preserve">Merchant, K.A. and Van der Stede, W.A. (2017). </w:t>
      </w:r>
      <w:r w:rsidRPr="006F305C">
        <w:rPr>
          <w:rFonts w:ascii="Arial" w:hAnsi="Arial" w:cs="Arial"/>
          <w:i/>
          <w:iCs/>
          <w:lang w:eastAsia="en-GB"/>
        </w:rPr>
        <w:t>Management Control Systems: Performance Measurement, Evaluation and Incentives</w:t>
      </w:r>
      <w:r w:rsidRPr="006F305C">
        <w:rPr>
          <w:rFonts w:ascii="Arial" w:hAnsi="Arial" w:cs="Arial"/>
          <w:lang w:eastAsia="en-GB"/>
        </w:rPr>
        <w:t>. 4th ed. Pearson.</w:t>
      </w:r>
    </w:p>
    <w:p w14:paraId="4D966E3A" w14:textId="6F14C89A" w:rsidR="006F305C" w:rsidRPr="006F305C" w:rsidRDefault="006F305C" w:rsidP="006F305C">
      <w:pPr>
        <w:rPr>
          <w:rFonts w:ascii="Arial" w:hAnsi="Arial" w:cs="Arial"/>
          <w:lang w:eastAsia="en-GB"/>
        </w:rPr>
      </w:pPr>
      <w:r w:rsidRPr="006F305C">
        <w:rPr>
          <w:rFonts w:ascii="Arial" w:hAnsi="Arial" w:cs="Arial"/>
          <w:lang w:eastAsia="en-GB"/>
        </w:rPr>
        <w:t xml:space="preserve">Mintzberg, H. (1994). </w:t>
      </w:r>
      <w:r w:rsidRPr="006F305C">
        <w:rPr>
          <w:rFonts w:ascii="Arial" w:hAnsi="Arial" w:cs="Arial"/>
          <w:i/>
          <w:iCs/>
          <w:lang w:eastAsia="en-GB"/>
        </w:rPr>
        <w:t>The Rise and Fall of Strategic Planning</w:t>
      </w:r>
      <w:r w:rsidRPr="006F305C">
        <w:rPr>
          <w:rFonts w:ascii="Arial" w:hAnsi="Arial" w:cs="Arial"/>
          <w:lang w:eastAsia="en-GB"/>
        </w:rPr>
        <w:t>. Harvard Business Review</w:t>
      </w:r>
      <w:r w:rsidR="00946184">
        <w:rPr>
          <w:rFonts w:ascii="Arial" w:hAnsi="Arial" w:cs="Arial"/>
          <w:lang w:eastAsia="en-GB"/>
        </w:rPr>
        <w:t>.</w:t>
      </w:r>
    </w:p>
    <w:p w14:paraId="1F0F9032" w14:textId="19528D3A" w:rsidR="006F305C" w:rsidRPr="006F305C" w:rsidRDefault="006F305C" w:rsidP="006F305C">
      <w:pPr>
        <w:rPr>
          <w:rFonts w:ascii="Arial" w:hAnsi="Arial" w:cs="Arial"/>
          <w:lang w:eastAsia="en-GB"/>
        </w:rPr>
      </w:pPr>
      <w:r w:rsidRPr="006F305C">
        <w:rPr>
          <w:rFonts w:ascii="Arial" w:hAnsi="Arial" w:cs="Arial"/>
          <w:lang w:eastAsia="en-GB"/>
        </w:rPr>
        <w:t xml:space="preserve">Nixon, B. and Burns, J. (2012). </w:t>
      </w:r>
      <w:r w:rsidRPr="006F305C">
        <w:rPr>
          <w:rFonts w:ascii="Arial" w:hAnsi="Arial" w:cs="Arial"/>
          <w:i/>
          <w:iCs/>
          <w:lang w:eastAsia="en-GB"/>
        </w:rPr>
        <w:t>The paradox of strategic management accounting</w:t>
      </w:r>
      <w:r w:rsidRPr="006F305C">
        <w:rPr>
          <w:rFonts w:ascii="Arial" w:hAnsi="Arial" w:cs="Arial"/>
          <w:lang w:eastAsia="en-GB"/>
        </w:rPr>
        <w:t>. Management Accounting Research</w:t>
      </w:r>
      <w:r w:rsidR="00946184">
        <w:rPr>
          <w:rFonts w:ascii="Arial" w:hAnsi="Arial" w:cs="Arial"/>
          <w:lang w:eastAsia="en-GB"/>
        </w:rPr>
        <w:t>.</w:t>
      </w:r>
    </w:p>
    <w:p w14:paraId="331BA1EF" w14:textId="2704A5E2" w:rsidR="006F305C" w:rsidRPr="006F305C" w:rsidRDefault="006F305C" w:rsidP="006F305C">
      <w:pPr>
        <w:rPr>
          <w:rFonts w:ascii="Arial" w:hAnsi="Arial" w:cs="Arial"/>
          <w:lang w:eastAsia="en-GB"/>
        </w:rPr>
      </w:pPr>
      <w:r w:rsidRPr="006F305C">
        <w:rPr>
          <w:rFonts w:ascii="Arial" w:hAnsi="Arial" w:cs="Arial"/>
          <w:lang w:eastAsia="en-GB"/>
        </w:rPr>
        <w:t xml:space="preserve">Otley, D. (1999). </w:t>
      </w:r>
      <w:r w:rsidRPr="006F305C">
        <w:rPr>
          <w:rFonts w:ascii="Arial" w:hAnsi="Arial" w:cs="Arial"/>
          <w:i/>
          <w:iCs/>
          <w:lang w:eastAsia="en-GB"/>
        </w:rPr>
        <w:t>Performance management: a framework for management control systems research</w:t>
      </w:r>
      <w:r w:rsidRPr="006F305C">
        <w:rPr>
          <w:rFonts w:ascii="Arial" w:hAnsi="Arial" w:cs="Arial"/>
          <w:lang w:eastAsia="en-GB"/>
        </w:rPr>
        <w:t>. Management Accounting Research</w:t>
      </w:r>
      <w:r w:rsidR="00946184">
        <w:rPr>
          <w:rFonts w:ascii="Arial" w:hAnsi="Arial" w:cs="Arial"/>
          <w:lang w:eastAsia="en-GB"/>
        </w:rPr>
        <w:t>.</w:t>
      </w:r>
    </w:p>
    <w:p w14:paraId="46202A83" w14:textId="78153372" w:rsidR="006F305C" w:rsidRPr="006F305C" w:rsidRDefault="006F305C" w:rsidP="006F305C">
      <w:pPr>
        <w:rPr>
          <w:rFonts w:ascii="Arial" w:hAnsi="Arial" w:cs="Arial"/>
          <w:lang w:eastAsia="en-GB"/>
        </w:rPr>
      </w:pPr>
      <w:r w:rsidRPr="006F305C">
        <w:rPr>
          <w:rFonts w:ascii="Arial" w:hAnsi="Arial" w:cs="Arial"/>
          <w:lang w:eastAsia="en-GB"/>
        </w:rPr>
        <w:t xml:space="preserve">Porter, M.E. (2008). </w:t>
      </w:r>
      <w:r w:rsidRPr="006F305C">
        <w:rPr>
          <w:rFonts w:ascii="Arial" w:hAnsi="Arial" w:cs="Arial"/>
          <w:i/>
          <w:iCs/>
          <w:lang w:eastAsia="en-GB"/>
        </w:rPr>
        <w:t>The Five Competitive Forces That Shape Strategy</w:t>
      </w:r>
      <w:r w:rsidRPr="006F305C">
        <w:rPr>
          <w:rFonts w:ascii="Arial" w:hAnsi="Arial" w:cs="Arial"/>
          <w:lang w:eastAsia="en-GB"/>
        </w:rPr>
        <w:t>. Harvard Business Review, 86(1), pp.78-93.</w:t>
      </w:r>
    </w:p>
    <w:p w14:paraId="5B0BB184" w14:textId="2F5B34D3" w:rsidR="006F305C" w:rsidRPr="006F305C" w:rsidRDefault="006F305C" w:rsidP="006F305C">
      <w:pPr>
        <w:rPr>
          <w:rFonts w:ascii="Arial" w:hAnsi="Arial" w:cs="Arial"/>
          <w:lang w:eastAsia="en-GB"/>
        </w:rPr>
      </w:pPr>
      <w:r w:rsidRPr="006F305C">
        <w:rPr>
          <w:rFonts w:ascii="Arial" w:hAnsi="Arial" w:cs="Arial"/>
          <w:lang w:eastAsia="en-GB"/>
        </w:rPr>
        <w:t xml:space="preserve">Pyhrr, P. (1977). </w:t>
      </w:r>
      <w:r w:rsidRPr="006F305C">
        <w:rPr>
          <w:rFonts w:ascii="Arial" w:hAnsi="Arial" w:cs="Arial"/>
          <w:i/>
          <w:iCs/>
          <w:lang w:eastAsia="en-GB"/>
        </w:rPr>
        <w:t>Zero-Based Budgeting: A Practical Management Tool for Evaluating Expenses</w:t>
      </w:r>
      <w:r w:rsidRPr="006F305C">
        <w:rPr>
          <w:rFonts w:ascii="Arial" w:hAnsi="Arial" w:cs="Arial"/>
          <w:lang w:eastAsia="en-GB"/>
        </w:rPr>
        <w:t>. Wiley.</w:t>
      </w:r>
    </w:p>
    <w:p w14:paraId="6AA5EB31" w14:textId="5FB1ADBB" w:rsidR="006F305C" w:rsidRPr="006F305C" w:rsidRDefault="006F305C" w:rsidP="006F305C">
      <w:pPr>
        <w:rPr>
          <w:rFonts w:ascii="Arial" w:hAnsi="Arial" w:cs="Arial"/>
          <w:lang w:eastAsia="en-GB"/>
        </w:rPr>
      </w:pPr>
      <w:r w:rsidRPr="006F305C">
        <w:rPr>
          <w:rFonts w:ascii="Arial" w:hAnsi="Arial" w:cs="Arial"/>
          <w:lang w:eastAsia="en-GB"/>
        </w:rPr>
        <w:lastRenderedPageBreak/>
        <w:t xml:space="preserve">Ross, S.A., Westerfield, R.W., Jaffe, J. and Jordan, B.D. (2021). </w:t>
      </w:r>
      <w:r w:rsidRPr="006F305C">
        <w:rPr>
          <w:rFonts w:ascii="Arial" w:hAnsi="Arial" w:cs="Arial"/>
          <w:i/>
          <w:iCs/>
          <w:lang w:eastAsia="en-GB"/>
        </w:rPr>
        <w:t>Corporate Finance</w:t>
      </w:r>
      <w:r w:rsidRPr="006F305C">
        <w:rPr>
          <w:rFonts w:ascii="Arial" w:hAnsi="Arial" w:cs="Arial"/>
          <w:lang w:eastAsia="en-GB"/>
        </w:rPr>
        <w:t>. 13th ed. McGraw-Hill.</w:t>
      </w:r>
    </w:p>
    <w:p w14:paraId="7A3CB99F" w14:textId="6C1C88F2" w:rsidR="006F305C" w:rsidRPr="006F305C" w:rsidRDefault="006F305C" w:rsidP="006F305C">
      <w:pPr>
        <w:rPr>
          <w:rFonts w:ascii="Arial" w:hAnsi="Arial" w:cs="Arial"/>
          <w:lang w:eastAsia="en-GB"/>
        </w:rPr>
      </w:pPr>
      <w:r w:rsidRPr="006F305C">
        <w:rPr>
          <w:rFonts w:ascii="Arial" w:hAnsi="Arial" w:cs="Arial"/>
          <w:lang w:eastAsia="en-GB"/>
        </w:rPr>
        <w:t xml:space="preserve">Ryan, B., Scapens, R.W. and Theobald, M. (2019). </w:t>
      </w:r>
      <w:r w:rsidRPr="006F305C">
        <w:rPr>
          <w:rFonts w:ascii="Arial" w:hAnsi="Arial" w:cs="Arial"/>
          <w:i/>
          <w:iCs/>
          <w:lang w:eastAsia="en-GB"/>
        </w:rPr>
        <w:t>Research Method and Methodology in Finance and Accounting</w:t>
      </w:r>
      <w:r w:rsidRPr="006F305C">
        <w:rPr>
          <w:rFonts w:ascii="Arial" w:hAnsi="Arial" w:cs="Arial"/>
          <w:lang w:eastAsia="en-GB"/>
        </w:rPr>
        <w:t>. 3rd ed. Cengage Learning.</w:t>
      </w:r>
    </w:p>
    <w:p w14:paraId="06AA0E83" w14:textId="1A6B0BE4" w:rsidR="006F305C" w:rsidRPr="006F305C" w:rsidRDefault="006F305C" w:rsidP="006F305C">
      <w:pPr>
        <w:rPr>
          <w:rFonts w:ascii="Arial" w:hAnsi="Arial" w:cs="Arial"/>
          <w:lang w:eastAsia="en-GB"/>
        </w:rPr>
      </w:pPr>
      <w:r w:rsidRPr="006F305C">
        <w:rPr>
          <w:rFonts w:ascii="Arial" w:hAnsi="Arial" w:cs="Arial"/>
          <w:lang w:eastAsia="en-GB"/>
        </w:rPr>
        <w:t xml:space="preserve">Simons, R. (1995). </w:t>
      </w:r>
      <w:r w:rsidRPr="006F305C">
        <w:rPr>
          <w:rFonts w:ascii="Arial" w:hAnsi="Arial" w:cs="Arial"/>
          <w:i/>
          <w:iCs/>
          <w:lang w:eastAsia="en-GB"/>
        </w:rPr>
        <w:t>Levers of Control: How Managers Use Innovative Control Systems to Drive Strategic Renewal</w:t>
      </w:r>
      <w:r w:rsidRPr="006F305C">
        <w:rPr>
          <w:rFonts w:ascii="Arial" w:hAnsi="Arial" w:cs="Arial"/>
          <w:lang w:eastAsia="en-GB"/>
        </w:rPr>
        <w:t>. Harvard Business Press.</w:t>
      </w:r>
    </w:p>
    <w:p w14:paraId="44FB73E8" w14:textId="054D3214" w:rsidR="006F305C" w:rsidRPr="006F305C" w:rsidRDefault="006F305C" w:rsidP="006F305C">
      <w:pPr>
        <w:rPr>
          <w:rFonts w:ascii="Arial" w:hAnsi="Arial" w:cs="Arial"/>
          <w:lang w:eastAsia="en-GB"/>
        </w:rPr>
      </w:pPr>
      <w:r w:rsidRPr="006F305C">
        <w:rPr>
          <w:rFonts w:ascii="Arial" w:hAnsi="Arial" w:cs="Arial"/>
          <w:lang w:eastAsia="en-GB"/>
        </w:rPr>
        <w:t xml:space="preserve">Uyar, A. and Kuzey, C. (2016). </w:t>
      </w:r>
      <w:r w:rsidRPr="006F305C">
        <w:rPr>
          <w:rFonts w:ascii="Arial" w:hAnsi="Arial" w:cs="Arial"/>
          <w:i/>
          <w:iCs/>
          <w:lang w:eastAsia="en-GB"/>
        </w:rPr>
        <w:t>Impact of budgetary participation and environmental uncertainty on managerial performance</w:t>
      </w:r>
      <w:r w:rsidRPr="006F305C">
        <w:rPr>
          <w:rFonts w:ascii="Arial" w:hAnsi="Arial" w:cs="Arial"/>
          <w:lang w:eastAsia="en-GB"/>
        </w:rPr>
        <w:t>. Journal of Business Research, 69(12), pp.5402-5413.</w:t>
      </w:r>
    </w:p>
    <w:p w14:paraId="7D9A6D95" w14:textId="1A14FAA6" w:rsidR="006F305C" w:rsidRPr="006F305C" w:rsidRDefault="006F305C" w:rsidP="006F305C">
      <w:pPr>
        <w:rPr>
          <w:rFonts w:ascii="Arial" w:hAnsi="Arial" w:cs="Arial"/>
          <w:lang w:eastAsia="en-GB"/>
        </w:rPr>
      </w:pPr>
      <w:r w:rsidRPr="006F305C">
        <w:rPr>
          <w:rFonts w:ascii="Arial" w:hAnsi="Arial" w:cs="Arial"/>
          <w:lang w:eastAsia="en-GB"/>
        </w:rPr>
        <w:t xml:space="preserve">Warren, C.S., Reeve, J.M. and Duchac, J. (2019). </w:t>
      </w:r>
      <w:r w:rsidRPr="006F305C">
        <w:rPr>
          <w:rFonts w:ascii="Arial" w:hAnsi="Arial" w:cs="Arial"/>
          <w:i/>
          <w:iCs/>
          <w:lang w:eastAsia="en-GB"/>
        </w:rPr>
        <w:t>Financial and Managerial Accounting</w:t>
      </w:r>
      <w:r w:rsidRPr="006F305C">
        <w:rPr>
          <w:rFonts w:ascii="Arial" w:hAnsi="Arial" w:cs="Arial"/>
          <w:lang w:eastAsia="en-GB"/>
        </w:rPr>
        <w:t>. 14th ed. Cengage Learning.</w:t>
      </w:r>
    </w:p>
    <w:p w14:paraId="286AF952" w14:textId="71E693BE" w:rsidR="006F305C" w:rsidRPr="006F305C" w:rsidRDefault="006F305C" w:rsidP="006F305C">
      <w:pPr>
        <w:rPr>
          <w:rFonts w:ascii="Arial" w:hAnsi="Arial" w:cs="Arial"/>
          <w:lang w:eastAsia="en-GB"/>
        </w:rPr>
      </w:pPr>
      <w:r w:rsidRPr="006F305C">
        <w:rPr>
          <w:rFonts w:ascii="Arial" w:hAnsi="Arial" w:cs="Arial"/>
          <w:lang w:eastAsia="en-GB"/>
        </w:rPr>
        <w:t xml:space="preserve">Zimmerman, J.L. (2017). </w:t>
      </w:r>
      <w:r w:rsidRPr="006F305C">
        <w:rPr>
          <w:rFonts w:ascii="Arial" w:hAnsi="Arial" w:cs="Arial"/>
          <w:i/>
          <w:iCs/>
          <w:lang w:eastAsia="en-GB"/>
        </w:rPr>
        <w:t>Accounting for Decision Making and Control</w:t>
      </w:r>
      <w:r w:rsidRPr="006F305C">
        <w:rPr>
          <w:rFonts w:ascii="Arial" w:hAnsi="Arial" w:cs="Arial"/>
          <w:lang w:eastAsia="en-GB"/>
        </w:rPr>
        <w:t>. 9th ed. McGraw-Hill.</w:t>
      </w:r>
    </w:p>
    <w:p w14:paraId="589907B8" w14:textId="77777777" w:rsidR="00946F61" w:rsidRPr="00946F61" w:rsidRDefault="00946F61" w:rsidP="00946F61">
      <w:pPr>
        <w:spacing w:before="100" w:beforeAutospacing="1" w:after="100" w:afterAutospacing="1" w:line="240" w:lineRule="auto"/>
        <w:rPr>
          <w:rFonts w:ascii="Arial" w:eastAsia="Times New Roman" w:hAnsi="Arial" w:cs="Arial"/>
          <w:kern w:val="0"/>
          <w:lang w:eastAsia="en-GB"/>
          <w14:ligatures w14:val="none"/>
        </w:rPr>
      </w:pPr>
    </w:p>
    <w:p w14:paraId="4988F6EB" w14:textId="77777777" w:rsidR="00604069" w:rsidRPr="00604069" w:rsidRDefault="00604069" w:rsidP="00604069"/>
    <w:sectPr w:rsidR="00604069" w:rsidRPr="0060406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Narrow">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1F13BF"/>
    <w:multiLevelType w:val="hybridMultilevel"/>
    <w:tmpl w:val="99A4C6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466480"/>
    <w:multiLevelType w:val="multilevel"/>
    <w:tmpl w:val="877C1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FD87C8C"/>
    <w:multiLevelType w:val="multilevel"/>
    <w:tmpl w:val="CA5CC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0042BF0"/>
    <w:multiLevelType w:val="hybridMultilevel"/>
    <w:tmpl w:val="C428D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2B72720"/>
    <w:multiLevelType w:val="multilevel"/>
    <w:tmpl w:val="7AA21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DE0271"/>
    <w:multiLevelType w:val="hybridMultilevel"/>
    <w:tmpl w:val="BB72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CC0C9B"/>
    <w:multiLevelType w:val="multilevel"/>
    <w:tmpl w:val="8F1A49B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75D6F29"/>
    <w:multiLevelType w:val="multilevel"/>
    <w:tmpl w:val="7258FB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DA5532"/>
    <w:multiLevelType w:val="hybridMultilevel"/>
    <w:tmpl w:val="36E200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C145171"/>
    <w:multiLevelType w:val="multilevel"/>
    <w:tmpl w:val="6B7010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4D2710"/>
    <w:multiLevelType w:val="hybridMultilevel"/>
    <w:tmpl w:val="A5B81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FC90932"/>
    <w:multiLevelType w:val="hybridMultilevel"/>
    <w:tmpl w:val="CB66C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3011128"/>
    <w:multiLevelType w:val="hybridMultilevel"/>
    <w:tmpl w:val="BAE0D6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4A61CB6"/>
    <w:multiLevelType w:val="hybridMultilevel"/>
    <w:tmpl w:val="48E86672"/>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abstractNum w:abstractNumId="14" w15:restartNumberingAfterBreak="0">
    <w:nsid w:val="251562D4"/>
    <w:multiLevelType w:val="multilevel"/>
    <w:tmpl w:val="589A7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690284C"/>
    <w:multiLevelType w:val="hybridMultilevel"/>
    <w:tmpl w:val="32A06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564AEE"/>
    <w:multiLevelType w:val="multilevel"/>
    <w:tmpl w:val="9C283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27AE7DC1"/>
    <w:multiLevelType w:val="hybridMultilevel"/>
    <w:tmpl w:val="5F92C78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A163DAF"/>
    <w:multiLevelType w:val="hybridMultilevel"/>
    <w:tmpl w:val="5ACE24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AFB22B3"/>
    <w:multiLevelType w:val="multilevel"/>
    <w:tmpl w:val="A83CA44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2C0F6E87"/>
    <w:multiLevelType w:val="multilevel"/>
    <w:tmpl w:val="02501D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344D2F39"/>
    <w:multiLevelType w:val="hybridMultilevel"/>
    <w:tmpl w:val="AAEED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6260BE0"/>
    <w:multiLevelType w:val="multilevel"/>
    <w:tmpl w:val="6E38E6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86E0EB5"/>
    <w:multiLevelType w:val="multilevel"/>
    <w:tmpl w:val="D3EA4B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87467F3"/>
    <w:multiLevelType w:val="multilevel"/>
    <w:tmpl w:val="29249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3A1024C0"/>
    <w:multiLevelType w:val="hybridMultilevel"/>
    <w:tmpl w:val="2AEAD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AB74550"/>
    <w:multiLevelType w:val="hybridMultilevel"/>
    <w:tmpl w:val="8FAEA7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D15051E"/>
    <w:multiLevelType w:val="multilevel"/>
    <w:tmpl w:val="199E4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3EB86014"/>
    <w:multiLevelType w:val="multilevel"/>
    <w:tmpl w:val="7576C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3FFE2836"/>
    <w:multiLevelType w:val="multilevel"/>
    <w:tmpl w:val="C400A742"/>
    <w:lvl w:ilvl="0">
      <w:start w:val="1"/>
      <w:numFmt w:val="decimal"/>
      <w:lvlText w:val="%1.0"/>
      <w:lvlJc w:val="left"/>
      <w:pPr>
        <w:ind w:left="1080" w:hanging="360"/>
      </w:pPr>
      <w:rPr>
        <w:rFonts w:hint="default"/>
      </w:rPr>
    </w:lvl>
    <w:lvl w:ilvl="1">
      <w:start w:val="1"/>
      <w:numFmt w:val="decimal"/>
      <w:lvlText w:val="%1.%2"/>
      <w:lvlJc w:val="left"/>
      <w:pPr>
        <w:ind w:left="180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8280" w:hanging="1800"/>
      </w:pPr>
      <w:rPr>
        <w:rFonts w:hint="default"/>
      </w:rPr>
    </w:lvl>
  </w:abstractNum>
  <w:abstractNum w:abstractNumId="30" w15:restartNumberingAfterBreak="0">
    <w:nsid w:val="43350045"/>
    <w:multiLevelType w:val="hybridMultilevel"/>
    <w:tmpl w:val="F76CB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AF0297C"/>
    <w:multiLevelType w:val="multilevel"/>
    <w:tmpl w:val="6E6C8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2E327AE"/>
    <w:multiLevelType w:val="hybridMultilevel"/>
    <w:tmpl w:val="037886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541445A2"/>
    <w:multiLevelType w:val="multilevel"/>
    <w:tmpl w:val="3D8686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53A47C7"/>
    <w:multiLevelType w:val="multilevel"/>
    <w:tmpl w:val="E42621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5BB3325D"/>
    <w:multiLevelType w:val="hybridMultilevel"/>
    <w:tmpl w:val="459CDB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D926DD0"/>
    <w:multiLevelType w:val="hybridMultilevel"/>
    <w:tmpl w:val="0C34A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1BF2E76"/>
    <w:multiLevelType w:val="multilevel"/>
    <w:tmpl w:val="43E07B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62983450"/>
    <w:multiLevelType w:val="hybridMultilevel"/>
    <w:tmpl w:val="3B8A65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2CD2924"/>
    <w:multiLevelType w:val="multilevel"/>
    <w:tmpl w:val="0250FD5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4782D01"/>
    <w:multiLevelType w:val="multilevel"/>
    <w:tmpl w:val="8A102F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1" w15:restartNumberingAfterBreak="0">
    <w:nsid w:val="6C0D0FBA"/>
    <w:multiLevelType w:val="hybridMultilevel"/>
    <w:tmpl w:val="191E1E2A"/>
    <w:lvl w:ilvl="0" w:tplc="08090001">
      <w:start w:val="1"/>
      <w:numFmt w:val="bullet"/>
      <w:lvlText w:val=""/>
      <w:lvlJc w:val="left"/>
      <w:pPr>
        <w:ind w:left="792" w:hanging="360"/>
      </w:pPr>
      <w:rPr>
        <w:rFonts w:ascii="Symbol" w:hAnsi="Symbol" w:hint="default"/>
      </w:rPr>
    </w:lvl>
    <w:lvl w:ilvl="1" w:tplc="08090003" w:tentative="1">
      <w:start w:val="1"/>
      <w:numFmt w:val="bullet"/>
      <w:lvlText w:val="o"/>
      <w:lvlJc w:val="left"/>
      <w:pPr>
        <w:ind w:left="1512" w:hanging="360"/>
      </w:pPr>
      <w:rPr>
        <w:rFonts w:ascii="Courier New" w:hAnsi="Courier New" w:cs="Courier New" w:hint="default"/>
      </w:rPr>
    </w:lvl>
    <w:lvl w:ilvl="2" w:tplc="08090005" w:tentative="1">
      <w:start w:val="1"/>
      <w:numFmt w:val="bullet"/>
      <w:lvlText w:val=""/>
      <w:lvlJc w:val="left"/>
      <w:pPr>
        <w:ind w:left="2232" w:hanging="360"/>
      </w:pPr>
      <w:rPr>
        <w:rFonts w:ascii="Wingdings" w:hAnsi="Wingdings" w:hint="default"/>
      </w:rPr>
    </w:lvl>
    <w:lvl w:ilvl="3" w:tplc="08090001" w:tentative="1">
      <w:start w:val="1"/>
      <w:numFmt w:val="bullet"/>
      <w:lvlText w:val=""/>
      <w:lvlJc w:val="left"/>
      <w:pPr>
        <w:ind w:left="2952" w:hanging="360"/>
      </w:pPr>
      <w:rPr>
        <w:rFonts w:ascii="Symbol" w:hAnsi="Symbol" w:hint="default"/>
      </w:rPr>
    </w:lvl>
    <w:lvl w:ilvl="4" w:tplc="08090003" w:tentative="1">
      <w:start w:val="1"/>
      <w:numFmt w:val="bullet"/>
      <w:lvlText w:val="o"/>
      <w:lvlJc w:val="left"/>
      <w:pPr>
        <w:ind w:left="3672" w:hanging="360"/>
      </w:pPr>
      <w:rPr>
        <w:rFonts w:ascii="Courier New" w:hAnsi="Courier New" w:cs="Courier New" w:hint="default"/>
      </w:rPr>
    </w:lvl>
    <w:lvl w:ilvl="5" w:tplc="08090005" w:tentative="1">
      <w:start w:val="1"/>
      <w:numFmt w:val="bullet"/>
      <w:lvlText w:val=""/>
      <w:lvlJc w:val="left"/>
      <w:pPr>
        <w:ind w:left="4392" w:hanging="360"/>
      </w:pPr>
      <w:rPr>
        <w:rFonts w:ascii="Wingdings" w:hAnsi="Wingdings" w:hint="default"/>
      </w:rPr>
    </w:lvl>
    <w:lvl w:ilvl="6" w:tplc="08090001" w:tentative="1">
      <w:start w:val="1"/>
      <w:numFmt w:val="bullet"/>
      <w:lvlText w:val=""/>
      <w:lvlJc w:val="left"/>
      <w:pPr>
        <w:ind w:left="5112" w:hanging="360"/>
      </w:pPr>
      <w:rPr>
        <w:rFonts w:ascii="Symbol" w:hAnsi="Symbol" w:hint="default"/>
      </w:rPr>
    </w:lvl>
    <w:lvl w:ilvl="7" w:tplc="08090003" w:tentative="1">
      <w:start w:val="1"/>
      <w:numFmt w:val="bullet"/>
      <w:lvlText w:val="o"/>
      <w:lvlJc w:val="left"/>
      <w:pPr>
        <w:ind w:left="5832" w:hanging="360"/>
      </w:pPr>
      <w:rPr>
        <w:rFonts w:ascii="Courier New" w:hAnsi="Courier New" w:cs="Courier New" w:hint="default"/>
      </w:rPr>
    </w:lvl>
    <w:lvl w:ilvl="8" w:tplc="08090005" w:tentative="1">
      <w:start w:val="1"/>
      <w:numFmt w:val="bullet"/>
      <w:lvlText w:val=""/>
      <w:lvlJc w:val="left"/>
      <w:pPr>
        <w:ind w:left="6552" w:hanging="360"/>
      </w:pPr>
      <w:rPr>
        <w:rFonts w:ascii="Wingdings" w:hAnsi="Wingdings" w:hint="default"/>
      </w:rPr>
    </w:lvl>
  </w:abstractNum>
  <w:abstractNum w:abstractNumId="42" w15:restartNumberingAfterBreak="0">
    <w:nsid w:val="717F66D1"/>
    <w:multiLevelType w:val="hybridMultilevel"/>
    <w:tmpl w:val="60E80D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5B272A0"/>
    <w:multiLevelType w:val="multilevel"/>
    <w:tmpl w:val="55E0C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6380DE0"/>
    <w:multiLevelType w:val="hybridMultilevel"/>
    <w:tmpl w:val="E4D6930C"/>
    <w:lvl w:ilvl="0" w:tplc="C64E10E4">
      <w:start w:val="1"/>
      <w:numFmt w:val="decimal"/>
      <w:lvlText w:val="%1."/>
      <w:lvlJc w:val="left"/>
      <w:pPr>
        <w:ind w:left="720" w:hanging="360"/>
      </w:pPr>
      <w:rPr>
        <w:rFonts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E736868"/>
    <w:multiLevelType w:val="multilevel"/>
    <w:tmpl w:val="419687BA"/>
    <w:lvl w:ilvl="0">
      <w:start w:val="1"/>
      <w:numFmt w:val="decimal"/>
      <w:lvlText w:val="%1.0"/>
      <w:lvlJc w:val="left"/>
      <w:pPr>
        <w:ind w:left="528" w:hanging="528"/>
      </w:pPr>
      <w:rPr>
        <w:rFonts w:hint="default"/>
      </w:rPr>
    </w:lvl>
    <w:lvl w:ilvl="1">
      <w:start w:val="1"/>
      <w:numFmt w:val="decimal"/>
      <w:lvlText w:val="%1.%2"/>
      <w:lvlJc w:val="left"/>
      <w:pPr>
        <w:ind w:left="1248" w:hanging="528"/>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6" w15:restartNumberingAfterBreak="0">
    <w:nsid w:val="7EF67A38"/>
    <w:multiLevelType w:val="multilevel"/>
    <w:tmpl w:val="25767F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0119873">
    <w:abstractNumId w:val="4"/>
  </w:num>
  <w:num w:numId="2" w16cid:durableId="350884189">
    <w:abstractNumId w:val="14"/>
  </w:num>
  <w:num w:numId="3" w16cid:durableId="1965885509">
    <w:abstractNumId w:val="44"/>
  </w:num>
  <w:num w:numId="4" w16cid:durableId="432556967">
    <w:abstractNumId w:val="29"/>
  </w:num>
  <w:num w:numId="5" w16cid:durableId="1321544750">
    <w:abstractNumId w:val="2"/>
  </w:num>
  <w:num w:numId="6" w16cid:durableId="1537304909">
    <w:abstractNumId w:val="23"/>
  </w:num>
  <w:num w:numId="7" w16cid:durableId="1390881600">
    <w:abstractNumId w:val="24"/>
  </w:num>
  <w:num w:numId="8" w16cid:durableId="371882965">
    <w:abstractNumId w:val="9"/>
  </w:num>
  <w:num w:numId="9" w16cid:durableId="198207620">
    <w:abstractNumId w:val="43"/>
  </w:num>
  <w:num w:numId="10" w16cid:durableId="2092198044">
    <w:abstractNumId w:val="34"/>
  </w:num>
  <w:num w:numId="11" w16cid:durableId="1395421979">
    <w:abstractNumId w:val="46"/>
  </w:num>
  <w:num w:numId="12" w16cid:durableId="1939214110">
    <w:abstractNumId w:val="20"/>
  </w:num>
  <w:num w:numId="13" w16cid:durableId="17854703">
    <w:abstractNumId w:val="22"/>
  </w:num>
  <w:num w:numId="14" w16cid:durableId="409890980">
    <w:abstractNumId w:val="33"/>
  </w:num>
  <w:num w:numId="15" w16cid:durableId="702947757">
    <w:abstractNumId w:val="31"/>
  </w:num>
  <w:num w:numId="16" w16cid:durableId="1724476302">
    <w:abstractNumId w:val="19"/>
  </w:num>
  <w:num w:numId="17" w16cid:durableId="1641616455">
    <w:abstractNumId w:val="39"/>
  </w:num>
  <w:num w:numId="18" w16cid:durableId="993217508">
    <w:abstractNumId w:val="6"/>
  </w:num>
  <w:num w:numId="19" w16cid:durableId="1486630703">
    <w:abstractNumId w:val="27"/>
  </w:num>
  <w:num w:numId="20" w16cid:durableId="350495896">
    <w:abstractNumId w:val="37"/>
  </w:num>
  <w:num w:numId="21" w16cid:durableId="1822185792">
    <w:abstractNumId w:val="1"/>
  </w:num>
  <w:num w:numId="22" w16cid:durableId="381834826">
    <w:abstractNumId w:val="28"/>
  </w:num>
  <w:num w:numId="23" w16cid:durableId="1743064545">
    <w:abstractNumId w:val="7"/>
  </w:num>
  <w:num w:numId="24" w16cid:durableId="914123742">
    <w:abstractNumId w:val="16"/>
  </w:num>
  <w:num w:numId="25" w16cid:durableId="790057257">
    <w:abstractNumId w:val="40"/>
  </w:num>
  <w:num w:numId="26" w16cid:durableId="1489861873">
    <w:abstractNumId w:val="3"/>
  </w:num>
  <w:num w:numId="27" w16cid:durableId="1157646420">
    <w:abstractNumId w:val="45"/>
  </w:num>
  <w:num w:numId="28" w16cid:durableId="1075904772">
    <w:abstractNumId w:val="18"/>
  </w:num>
  <w:num w:numId="29" w16cid:durableId="1953315458">
    <w:abstractNumId w:val="25"/>
  </w:num>
  <w:num w:numId="30" w16cid:durableId="950160129">
    <w:abstractNumId w:val="21"/>
  </w:num>
  <w:num w:numId="31" w16cid:durableId="890116453">
    <w:abstractNumId w:val="38"/>
  </w:num>
  <w:num w:numId="32" w16cid:durableId="129368901">
    <w:abstractNumId w:val="17"/>
  </w:num>
  <w:num w:numId="33" w16cid:durableId="1031027245">
    <w:abstractNumId w:val="5"/>
  </w:num>
  <w:num w:numId="34" w16cid:durableId="1016230728">
    <w:abstractNumId w:val="36"/>
  </w:num>
  <w:num w:numId="35" w16cid:durableId="1816944154">
    <w:abstractNumId w:val="35"/>
  </w:num>
  <w:num w:numId="36" w16cid:durableId="231046285">
    <w:abstractNumId w:val="0"/>
  </w:num>
  <w:num w:numId="37" w16cid:durableId="1323117431">
    <w:abstractNumId w:val="26"/>
  </w:num>
  <w:num w:numId="38" w16cid:durableId="572354227">
    <w:abstractNumId w:val="10"/>
  </w:num>
  <w:num w:numId="39" w16cid:durableId="1009989474">
    <w:abstractNumId w:val="41"/>
  </w:num>
  <w:num w:numId="40" w16cid:durableId="551187622">
    <w:abstractNumId w:val="30"/>
  </w:num>
  <w:num w:numId="41" w16cid:durableId="2085446409">
    <w:abstractNumId w:val="15"/>
  </w:num>
  <w:num w:numId="42" w16cid:durableId="1483699603">
    <w:abstractNumId w:val="32"/>
  </w:num>
  <w:num w:numId="43" w16cid:durableId="1516923047">
    <w:abstractNumId w:val="8"/>
  </w:num>
  <w:num w:numId="44" w16cid:durableId="1992783156">
    <w:abstractNumId w:val="12"/>
  </w:num>
  <w:num w:numId="45" w16cid:durableId="1589803874">
    <w:abstractNumId w:val="13"/>
  </w:num>
  <w:num w:numId="46" w16cid:durableId="719985996">
    <w:abstractNumId w:val="11"/>
  </w:num>
  <w:num w:numId="47" w16cid:durableId="182939818">
    <w:abstractNumId w:val="4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60BC"/>
    <w:rsid w:val="00024885"/>
    <w:rsid w:val="000B7EE2"/>
    <w:rsid w:val="000E6CBB"/>
    <w:rsid w:val="00117567"/>
    <w:rsid w:val="00181282"/>
    <w:rsid w:val="0018337F"/>
    <w:rsid w:val="004047FC"/>
    <w:rsid w:val="00482401"/>
    <w:rsid w:val="00604069"/>
    <w:rsid w:val="006713B2"/>
    <w:rsid w:val="006917C9"/>
    <w:rsid w:val="006F305C"/>
    <w:rsid w:val="00752318"/>
    <w:rsid w:val="008860BC"/>
    <w:rsid w:val="008B0113"/>
    <w:rsid w:val="00946184"/>
    <w:rsid w:val="00946F61"/>
    <w:rsid w:val="00AD6E4A"/>
    <w:rsid w:val="00BD3D31"/>
    <w:rsid w:val="00BF58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364BD5"/>
  <w15:chartTrackingRefBased/>
  <w15:docId w15:val="{17D332C5-369C-4642-A99A-0CA523A91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60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60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60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60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60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60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60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60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60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60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60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60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60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60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60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60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60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60BC"/>
    <w:rPr>
      <w:rFonts w:eastAsiaTheme="majorEastAsia" w:cstheme="majorBidi"/>
      <w:color w:val="272727" w:themeColor="text1" w:themeTint="D8"/>
    </w:rPr>
  </w:style>
  <w:style w:type="paragraph" w:styleId="Title">
    <w:name w:val="Title"/>
    <w:basedOn w:val="Normal"/>
    <w:next w:val="Normal"/>
    <w:link w:val="TitleChar"/>
    <w:uiPriority w:val="10"/>
    <w:qFormat/>
    <w:rsid w:val="008860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60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60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60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60BC"/>
    <w:pPr>
      <w:spacing w:before="160"/>
      <w:jc w:val="center"/>
    </w:pPr>
    <w:rPr>
      <w:i/>
      <w:iCs/>
      <w:color w:val="404040" w:themeColor="text1" w:themeTint="BF"/>
    </w:rPr>
  </w:style>
  <w:style w:type="character" w:customStyle="1" w:styleId="QuoteChar">
    <w:name w:val="Quote Char"/>
    <w:basedOn w:val="DefaultParagraphFont"/>
    <w:link w:val="Quote"/>
    <w:uiPriority w:val="29"/>
    <w:rsid w:val="008860BC"/>
    <w:rPr>
      <w:i/>
      <w:iCs/>
      <w:color w:val="404040" w:themeColor="text1" w:themeTint="BF"/>
    </w:rPr>
  </w:style>
  <w:style w:type="paragraph" w:styleId="ListParagraph">
    <w:name w:val="List Paragraph"/>
    <w:basedOn w:val="Normal"/>
    <w:uiPriority w:val="34"/>
    <w:qFormat/>
    <w:rsid w:val="008860BC"/>
    <w:pPr>
      <w:ind w:left="720"/>
      <w:contextualSpacing/>
    </w:pPr>
  </w:style>
  <w:style w:type="character" w:styleId="IntenseEmphasis">
    <w:name w:val="Intense Emphasis"/>
    <w:basedOn w:val="DefaultParagraphFont"/>
    <w:uiPriority w:val="21"/>
    <w:qFormat/>
    <w:rsid w:val="008860BC"/>
    <w:rPr>
      <w:i/>
      <w:iCs/>
      <w:color w:val="0F4761" w:themeColor="accent1" w:themeShade="BF"/>
    </w:rPr>
  </w:style>
  <w:style w:type="paragraph" w:styleId="IntenseQuote">
    <w:name w:val="Intense Quote"/>
    <w:basedOn w:val="Normal"/>
    <w:next w:val="Normal"/>
    <w:link w:val="IntenseQuoteChar"/>
    <w:uiPriority w:val="30"/>
    <w:qFormat/>
    <w:rsid w:val="008860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60BC"/>
    <w:rPr>
      <w:i/>
      <w:iCs/>
      <w:color w:val="0F4761" w:themeColor="accent1" w:themeShade="BF"/>
    </w:rPr>
  </w:style>
  <w:style w:type="character" w:styleId="IntenseReference">
    <w:name w:val="Intense Reference"/>
    <w:basedOn w:val="DefaultParagraphFont"/>
    <w:uiPriority w:val="32"/>
    <w:qFormat/>
    <w:rsid w:val="008860BC"/>
    <w:rPr>
      <w:b/>
      <w:bCs/>
      <w:smallCaps/>
      <w:color w:val="0F4761" w:themeColor="accent1" w:themeShade="BF"/>
      <w:spacing w:val="5"/>
    </w:rPr>
  </w:style>
  <w:style w:type="paragraph" w:styleId="NormalWeb">
    <w:name w:val="Normal (Web)"/>
    <w:basedOn w:val="Normal"/>
    <w:uiPriority w:val="99"/>
    <w:unhideWhenUsed/>
    <w:rsid w:val="008860B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6713B2"/>
    <w:rPr>
      <w:b/>
      <w:bCs/>
    </w:rPr>
  </w:style>
  <w:style w:type="paragraph" w:styleId="NoSpacing">
    <w:name w:val="No Spacing"/>
    <w:uiPriority w:val="1"/>
    <w:qFormat/>
    <w:rsid w:val="006F305C"/>
    <w:pPr>
      <w:spacing w:after="0" w:line="240" w:lineRule="auto"/>
    </w:pPr>
  </w:style>
  <w:style w:type="character" w:customStyle="1" w:styleId="hoverbg-blue-100">
    <w:name w:val="hover:bg-blue-100"/>
    <w:basedOn w:val="DefaultParagraphFont"/>
    <w:rsid w:val="008B0113"/>
  </w:style>
  <w:style w:type="character" w:customStyle="1" w:styleId="text-black">
    <w:name w:val="text-black"/>
    <w:basedOn w:val="DefaultParagraphFont"/>
    <w:rsid w:val="006917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939965">
      <w:bodyDiv w:val="1"/>
      <w:marLeft w:val="0"/>
      <w:marRight w:val="0"/>
      <w:marTop w:val="0"/>
      <w:marBottom w:val="0"/>
      <w:divBdr>
        <w:top w:val="none" w:sz="0" w:space="0" w:color="auto"/>
        <w:left w:val="none" w:sz="0" w:space="0" w:color="auto"/>
        <w:bottom w:val="none" w:sz="0" w:space="0" w:color="auto"/>
        <w:right w:val="none" w:sz="0" w:space="0" w:color="auto"/>
      </w:divBdr>
    </w:div>
    <w:div w:id="99035083">
      <w:bodyDiv w:val="1"/>
      <w:marLeft w:val="0"/>
      <w:marRight w:val="0"/>
      <w:marTop w:val="0"/>
      <w:marBottom w:val="0"/>
      <w:divBdr>
        <w:top w:val="none" w:sz="0" w:space="0" w:color="auto"/>
        <w:left w:val="none" w:sz="0" w:space="0" w:color="auto"/>
        <w:bottom w:val="none" w:sz="0" w:space="0" w:color="auto"/>
        <w:right w:val="none" w:sz="0" w:space="0" w:color="auto"/>
      </w:divBdr>
    </w:div>
    <w:div w:id="118765524">
      <w:bodyDiv w:val="1"/>
      <w:marLeft w:val="0"/>
      <w:marRight w:val="0"/>
      <w:marTop w:val="0"/>
      <w:marBottom w:val="0"/>
      <w:divBdr>
        <w:top w:val="none" w:sz="0" w:space="0" w:color="auto"/>
        <w:left w:val="none" w:sz="0" w:space="0" w:color="auto"/>
        <w:bottom w:val="none" w:sz="0" w:space="0" w:color="auto"/>
        <w:right w:val="none" w:sz="0" w:space="0" w:color="auto"/>
      </w:divBdr>
    </w:div>
    <w:div w:id="130250572">
      <w:bodyDiv w:val="1"/>
      <w:marLeft w:val="0"/>
      <w:marRight w:val="0"/>
      <w:marTop w:val="0"/>
      <w:marBottom w:val="0"/>
      <w:divBdr>
        <w:top w:val="none" w:sz="0" w:space="0" w:color="auto"/>
        <w:left w:val="none" w:sz="0" w:space="0" w:color="auto"/>
        <w:bottom w:val="none" w:sz="0" w:space="0" w:color="auto"/>
        <w:right w:val="none" w:sz="0" w:space="0" w:color="auto"/>
      </w:divBdr>
      <w:divsChild>
        <w:div w:id="161749672">
          <w:marLeft w:val="0"/>
          <w:marRight w:val="0"/>
          <w:marTop w:val="0"/>
          <w:marBottom w:val="0"/>
          <w:divBdr>
            <w:top w:val="none" w:sz="0" w:space="0" w:color="auto"/>
            <w:left w:val="none" w:sz="0" w:space="0" w:color="auto"/>
            <w:bottom w:val="none" w:sz="0" w:space="0" w:color="auto"/>
            <w:right w:val="none" w:sz="0" w:space="0" w:color="auto"/>
          </w:divBdr>
        </w:div>
        <w:div w:id="835848501">
          <w:marLeft w:val="0"/>
          <w:marRight w:val="0"/>
          <w:marTop w:val="0"/>
          <w:marBottom w:val="0"/>
          <w:divBdr>
            <w:top w:val="none" w:sz="0" w:space="0" w:color="auto"/>
            <w:left w:val="none" w:sz="0" w:space="0" w:color="auto"/>
            <w:bottom w:val="none" w:sz="0" w:space="0" w:color="auto"/>
            <w:right w:val="none" w:sz="0" w:space="0" w:color="auto"/>
          </w:divBdr>
        </w:div>
        <w:div w:id="342821045">
          <w:marLeft w:val="0"/>
          <w:marRight w:val="0"/>
          <w:marTop w:val="0"/>
          <w:marBottom w:val="0"/>
          <w:divBdr>
            <w:top w:val="none" w:sz="0" w:space="0" w:color="auto"/>
            <w:left w:val="none" w:sz="0" w:space="0" w:color="auto"/>
            <w:bottom w:val="none" w:sz="0" w:space="0" w:color="auto"/>
            <w:right w:val="none" w:sz="0" w:space="0" w:color="auto"/>
          </w:divBdr>
          <w:divsChild>
            <w:div w:id="964652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1027699">
      <w:bodyDiv w:val="1"/>
      <w:marLeft w:val="0"/>
      <w:marRight w:val="0"/>
      <w:marTop w:val="0"/>
      <w:marBottom w:val="0"/>
      <w:divBdr>
        <w:top w:val="none" w:sz="0" w:space="0" w:color="auto"/>
        <w:left w:val="none" w:sz="0" w:space="0" w:color="auto"/>
        <w:bottom w:val="none" w:sz="0" w:space="0" w:color="auto"/>
        <w:right w:val="none" w:sz="0" w:space="0" w:color="auto"/>
      </w:divBdr>
    </w:div>
    <w:div w:id="166527911">
      <w:bodyDiv w:val="1"/>
      <w:marLeft w:val="0"/>
      <w:marRight w:val="0"/>
      <w:marTop w:val="0"/>
      <w:marBottom w:val="0"/>
      <w:divBdr>
        <w:top w:val="none" w:sz="0" w:space="0" w:color="auto"/>
        <w:left w:val="none" w:sz="0" w:space="0" w:color="auto"/>
        <w:bottom w:val="none" w:sz="0" w:space="0" w:color="auto"/>
        <w:right w:val="none" w:sz="0" w:space="0" w:color="auto"/>
      </w:divBdr>
    </w:div>
    <w:div w:id="187453838">
      <w:bodyDiv w:val="1"/>
      <w:marLeft w:val="0"/>
      <w:marRight w:val="0"/>
      <w:marTop w:val="0"/>
      <w:marBottom w:val="0"/>
      <w:divBdr>
        <w:top w:val="none" w:sz="0" w:space="0" w:color="auto"/>
        <w:left w:val="none" w:sz="0" w:space="0" w:color="auto"/>
        <w:bottom w:val="none" w:sz="0" w:space="0" w:color="auto"/>
        <w:right w:val="none" w:sz="0" w:space="0" w:color="auto"/>
      </w:divBdr>
    </w:div>
    <w:div w:id="230316142">
      <w:bodyDiv w:val="1"/>
      <w:marLeft w:val="0"/>
      <w:marRight w:val="0"/>
      <w:marTop w:val="0"/>
      <w:marBottom w:val="0"/>
      <w:divBdr>
        <w:top w:val="none" w:sz="0" w:space="0" w:color="auto"/>
        <w:left w:val="none" w:sz="0" w:space="0" w:color="auto"/>
        <w:bottom w:val="none" w:sz="0" w:space="0" w:color="auto"/>
        <w:right w:val="none" w:sz="0" w:space="0" w:color="auto"/>
      </w:divBdr>
    </w:div>
    <w:div w:id="371350992">
      <w:bodyDiv w:val="1"/>
      <w:marLeft w:val="0"/>
      <w:marRight w:val="0"/>
      <w:marTop w:val="0"/>
      <w:marBottom w:val="0"/>
      <w:divBdr>
        <w:top w:val="none" w:sz="0" w:space="0" w:color="auto"/>
        <w:left w:val="none" w:sz="0" w:space="0" w:color="auto"/>
        <w:bottom w:val="none" w:sz="0" w:space="0" w:color="auto"/>
        <w:right w:val="none" w:sz="0" w:space="0" w:color="auto"/>
      </w:divBdr>
    </w:div>
    <w:div w:id="622536977">
      <w:bodyDiv w:val="1"/>
      <w:marLeft w:val="0"/>
      <w:marRight w:val="0"/>
      <w:marTop w:val="0"/>
      <w:marBottom w:val="0"/>
      <w:divBdr>
        <w:top w:val="none" w:sz="0" w:space="0" w:color="auto"/>
        <w:left w:val="none" w:sz="0" w:space="0" w:color="auto"/>
        <w:bottom w:val="none" w:sz="0" w:space="0" w:color="auto"/>
        <w:right w:val="none" w:sz="0" w:space="0" w:color="auto"/>
      </w:divBdr>
    </w:div>
    <w:div w:id="647513246">
      <w:bodyDiv w:val="1"/>
      <w:marLeft w:val="0"/>
      <w:marRight w:val="0"/>
      <w:marTop w:val="0"/>
      <w:marBottom w:val="0"/>
      <w:divBdr>
        <w:top w:val="none" w:sz="0" w:space="0" w:color="auto"/>
        <w:left w:val="none" w:sz="0" w:space="0" w:color="auto"/>
        <w:bottom w:val="none" w:sz="0" w:space="0" w:color="auto"/>
        <w:right w:val="none" w:sz="0" w:space="0" w:color="auto"/>
      </w:divBdr>
    </w:div>
    <w:div w:id="714277807">
      <w:bodyDiv w:val="1"/>
      <w:marLeft w:val="0"/>
      <w:marRight w:val="0"/>
      <w:marTop w:val="0"/>
      <w:marBottom w:val="0"/>
      <w:divBdr>
        <w:top w:val="none" w:sz="0" w:space="0" w:color="auto"/>
        <w:left w:val="none" w:sz="0" w:space="0" w:color="auto"/>
        <w:bottom w:val="none" w:sz="0" w:space="0" w:color="auto"/>
        <w:right w:val="none" w:sz="0" w:space="0" w:color="auto"/>
      </w:divBdr>
    </w:div>
    <w:div w:id="770272420">
      <w:bodyDiv w:val="1"/>
      <w:marLeft w:val="0"/>
      <w:marRight w:val="0"/>
      <w:marTop w:val="0"/>
      <w:marBottom w:val="0"/>
      <w:divBdr>
        <w:top w:val="none" w:sz="0" w:space="0" w:color="auto"/>
        <w:left w:val="none" w:sz="0" w:space="0" w:color="auto"/>
        <w:bottom w:val="none" w:sz="0" w:space="0" w:color="auto"/>
        <w:right w:val="none" w:sz="0" w:space="0" w:color="auto"/>
      </w:divBdr>
    </w:div>
    <w:div w:id="792869676">
      <w:bodyDiv w:val="1"/>
      <w:marLeft w:val="0"/>
      <w:marRight w:val="0"/>
      <w:marTop w:val="0"/>
      <w:marBottom w:val="0"/>
      <w:divBdr>
        <w:top w:val="none" w:sz="0" w:space="0" w:color="auto"/>
        <w:left w:val="none" w:sz="0" w:space="0" w:color="auto"/>
        <w:bottom w:val="none" w:sz="0" w:space="0" w:color="auto"/>
        <w:right w:val="none" w:sz="0" w:space="0" w:color="auto"/>
      </w:divBdr>
    </w:div>
    <w:div w:id="883908393">
      <w:bodyDiv w:val="1"/>
      <w:marLeft w:val="0"/>
      <w:marRight w:val="0"/>
      <w:marTop w:val="0"/>
      <w:marBottom w:val="0"/>
      <w:divBdr>
        <w:top w:val="none" w:sz="0" w:space="0" w:color="auto"/>
        <w:left w:val="none" w:sz="0" w:space="0" w:color="auto"/>
        <w:bottom w:val="none" w:sz="0" w:space="0" w:color="auto"/>
        <w:right w:val="none" w:sz="0" w:space="0" w:color="auto"/>
      </w:divBdr>
      <w:divsChild>
        <w:div w:id="1081222305">
          <w:marLeft w:val="0"/>
          <w:marRight w:val="0"/>
          <w:marTop w:val="0"/>
          <w:marBottom w:val="0"/>
          <w:divBdr>
            <w:top w:val="none" w:sz="0" w:space="0" w:color="auto"/>
            <w:left w:val="none" w:sz="0" w:space="0" w:color="auto"/>
            <w:bottom w:val="none" w:sz="0" w:space="0" w:color="auto"/>
            <w:right w:val="none" w:sz="0" w:space="0" w:color="auto"/>
          </w:divBdr>
        </w:div>
      </w:divsChild>
    </w:div>
    <w:div w:id="906110635">
      <w:bodyDiv w:val="1"/>
      <w:marLeft w:val="0"/>
      <w:marRight w:val="0"/>
      <w:marTop w:val="0"/>
      <w:marBottom w:val="0"/>
      <w:divBdr>
        <w:top w:val="none" w:sz="0" w:space="0" w:color="auto"/>
        <w:left w:val="none" w:sz="0" w:space="0" w:color="auto"/>
        <w:bottom w:val="none" w:sz="0" w:space="0" w:color="auto"/>
        <w:right w:val="none" w:sz="0" w:space="0" w:color="auto"/>
      </w:divBdr>
    </w:div>
    <w:div w:id="926573618">
      <w:bodyDiv w:val="1"/>
      <w:marLeft w:val="0"/>
      <w:marRight w:val="0"/>
      <w:marTop w:val="0"/>
      <w:marBottom w:val="0"/>
      <w:divBdr>
        <w:top w:val="none" w:sz="0" w:space="0" w:color="auto"/>
        <w:left w:val="none" w:sz="0" w:space="0" w:color="auto"/>
        <w:bottom w:val="none" w:sz="0" w:space="0" w:color="auto"/>
        <w:right w:val="none" w:sz="0" w:space="0" w:color="auto"/>
      </w:divBdr>
    </w:div>
    <w:div w:id="962081015">
      <w:bodyDiv w:val="1"/>
      <w:marLeft w:val="0"/>
      <w:marRight w:val="0"/>
      <w:marTop w:val="0"/>
      <w:marBottom w:val="0"/>
      <w:divBdr>
        <w:top w:val="none" w:sz="0" w:space="0" w:color="auto"/>
        <w:left w:val="none" w:sz="0" w:space="0" w:color="auto"/>
        <w:bottom w:val="none" w:sz="0" w:space="0" w:color="auto"/>
        <w:right w:val="none" w:sz="0" w:space="0" w:color="auto"/>
      </w:divBdr>
      <w:divsChild>
        <w:div w:id="766972717">
          <w:marLeft w:val="0"/>
          <w:marRight w:val="0"/>
          <w:marTop w:val="0"/>
          <w:marBottom w:val="0"/>
          <w:divBdr>
            <w:top w:val="none" w:sz="0" w:space="0" w:color="auto"/>
            <w:left w:val="none" w:sz="0" w:space="0" w:color="auto"/>
            <w:bottom w:val="none" w:sz="0" w:space="0" w:color="auto"/>
            <w:right w:val="none" w:sz="0" w:space="0" w:color="auto"/>
          </w:divBdr>
        </w:div>
      </w:divsChild>
    </w:div>
    <w:div w:id="1038434931">
      <w:bodyDiv w:val="1"/>
      <w:marLeft w:val="0"/>
      <w:marRight w:val="0"/>
      <w:marTop w:val="0"/>
      <w:marBottom w:val="0"/>
      <w:divBdr>
        <w:top w:val="none" w:sz="0" w:space="0" w:color="auto"/>
        <w:left w:val="none" w:sz="0" w:space="0" w:color="auto"/>
        <w:bottom w:val="none" w:sz="0" w:space="0" w:color="auto"/>
        <w:right w:val="none" w:sz="0" w:space="0" w:color="auto"/>
      </w:divBdr>
    </w:div>
    <w:div w:id="1168987021">
      <w:bodyDiv w:val="1"/>
      <w:marLeft w:val="0"/>
      <w:marRight w:val="0"/>
      <w:marTop w:val="0"/>
      <w:marBottom w:val="0"/>
      <w:divBdr>
        <w:top w:val="none" w:sz="0" w:space="0" w:color="auto"/>
        <w:left w:val="none" w:sz="0" w:space="0" w:color="auto"/>
        <w:bottom w:val="none" w:sz="0" w:space="0" w:color="auto"/>
        <w:right w:val="none" w:sz="0" w:space="0" w:color="auto"/>
      </w:divBdr>
      <w:divsChild>
        <w:div w:id="2101951373">
          <w:marLeft w:val="0"/>
          <w:marRight w:val="0"/>
          <w:marTop w:val="0"/>
          <w:marBottom w:val="0"/>
          <w:divBdr>
            <w:top w:val="none" w:sz="0" w:space="0" w:color="auto"/>
            <w:left w:val="none" w:sz="0" w:space="0" w:color="auto"/>
            <w:bottom w:val="none" w:sz="0" w:space="0" w:color="auto"/>
            <w:right w:val="none" w:sz="0" w:space="0" w:color="auto"/>
          </w:divBdr>
        </w:div>
        <w:div w:id="469906671">
          <w:marLeft w:val="0"/>
          <w:marRight w:val="0"/>
          <w:marTop w:val="0"/>
          <w:marBottom w:val="0"/>
          <w:divBdr>
            <w:top w:val="none" w:sz="0" w:space="0" w:color="auto"/>
            <w:left w:val="none" w:sz="0" w:space="0" w:color="auto"/>
            <w:bottom w:val="none" w:sz="0" w:space="0" w:color="auto"/>
            <w:right w:val="none" w:sz="0" w:space="0" w:color="auto"/>
          </w:divBdr>
        </w:div>
        <w:div w:id="2038508764">
          <w:marLeft w:val="0"/>
          <w:marRight w:val="0"/>
          <w:marTop w:val="0"/>
          <w:marBottom w:val="0"/>
          <w:divBdr>
            <w:top w:val="none" w:sz="0" w:space="0" w:color="auto"/>
            <w:left w:val="none" w:sz="0" w:space="0" w:color="auto"/>
            <w:bottom w:val="none" w:sz="0" w:space="0" w:color="auto"/>
            <w:right w:val="none" w:sz="0" w:space="0" w:color="auto"/>
          </w:divBdr>
        </w:div>
      </w:divsChild>
    </w:div>
    <w:div w:id="1403019559">
      <w:bodyDiv w:val="1"/>
      <w:marLeft w:val="0"/>
      <w:marRight w:val="0"/>
      <w:marTop w:val="0"/>
      <w:marBottom w:val="0"/>
      <w:divBdr>
        <w:top w:val="none" w:sz="0" w:space="0" w:color="auto"/>
        <w:left w:val="none" w:sz="0" w:space="0" w:color="auto"/>
        <w:bottom w:val="none" w:sz="0" w:space="0" w:color="auto"/>
        <w:right w:val="none" w:sz="0" w:space="0" w:color="auto"/>
      </w:divBdr>
    </w:div>
    <w:div w:id="1595213122">
      <w:bodyDiv w:val="1"/>
      <w:marLeft w:val="0"/>
      <w:marRight w:val="0"/>
      <w:marTop w:val="0"/>
      <w:marBottom w:val="0"/>
      <w:divBdr>
        <w:top w:val="none" w:sz="0" w:space="0" w:color="auto"/>
        <w:left w:val="none" w:sz="0" w:space="0" w:color="auto"/>
        <w:bottom w:val="none" w:sz="0" w:space="0" w:color="auto"/>
        <w:right w:val="none" w:sz="0" w:space="0" w:color="auto"/>
      </w:divBdr>
    </w:div>
    <w:div w:id="1706252419">
      <w:bodyDiv w:val="1"/>
      <w:marLeft w:val="0"/>
      <w:marRight w:val="0"/>
      <w:marTop w:val="0"/>
      <w:marBottom w:val="0"/>
      <w:divBdr>
        <w:top w:val="none" w:sz="0" w:space="0" w:color="auto"/>
        <w:left w:val="none" w:sz="0" w:space="0" w:color="auto"/>
        <w:bottom w:val="none" w:sz="0" w:space="0" w:color="auto"/>
        <w:right w:val="none" w:sz="0" w:space="0" w:color="auto"/>
      </w:divBdr>
    </w:div>
    <w:div w:id="1877043664">
      <w:bodyDiv w:val="1"/>
      <w:marLeft w:val="0"/>
      <w:marRight w:val="0"/>
      <w:marTop w:val="0"/>
      <w:marBottom w:val="0"/>
      <w:divBdr>
        <w:top w:val="none" w:sz="0" w:space="0" w:color="auto"/>
        <w:left w:val="none" w:sz="0" w:space="0" w:color="auto"/>
        <w:bottom w:val="none" w:sz="0" w:space="0" w:color="auto"/>
        <w:right w:val="none" w:sz="0" w:space="0" w:color="auto"/>
      </w:divBdr>
    </w:div>
    <w:div w:id="1933508881">
      <w:bodyDiv w:val="1"/>
      <w:marLeft w:val="0"/>
      <w:marRight w:val="0"/>
      <w:marTop w:val="0"/>
      <w:marBottom w:val="0"/>
      <w:divBdr>
        <w:top w:val="none" w:sz="0" w:space="0" w:color="auto"/>
        <w:left w:val="none" w:sz="0" w:space="0" w:color="auto"/>
        <w:bottom w:val="none" w:sz="0" w:space="0" w:color="auto"/>
        <w:right w:val="none" w:sz="0" w:space="0" w:color="auto"/>
      </w:divBdr>
      <w:divsChild>
        <w:div w:id="85930503">
          <w:marLeft w:val="0"/>
          <w:marRight w:val="0"/>
          <w:marTop w:val="0"/>
          <w:marBottom w:val="0"/>
          <w:divBdr>
            <w:top w:val="none" w:sz="0" w:space="0" w:color="auto"/>
            <w:left w:val="none" w:sz="0" w:space="0" w:color="auto"/>
            <w:bottom w:val="none" w:sz="0" w:space="0" w:color="auto"/>
            <w:right w:val="none" w:sz="0" w:space="0" w:color="auto"/>
          </w:divBdr>
        </w:div>
        <w:div w:id="1355840144">
          <w:marLeft w:val="0"/>
          <w:marRight w:val="0"/>
          <w:marTop w:val="0"/>
          <w:marBottom w:val="0"/>
          <w:divBdr>
            <w:top w:val="none" w:sz="0" w:space="0" w:color="auto"/>
            <w:left w:val="none" w:sz="0" w:space="0" w:color="auto"/>
            <w:bottom w:val="none" w:sz="0" w:space="0" w:color="auto"/>
            <w:right w:val="none" w:sz="0" w:space="0" w:color="auto"/>
          </w:divBdr>
        </w:div>
        <w:div w:id="1632638597">
          <w:marLeft w:val="0"/>
          <w:marRight w:val="0"/>
          <w:marTop w:val="0"/>
          <w:marBottom w:val="0"/>
          <w:divBdr>
            <w:top w:val="none" w:sz="0" w:space="0" w:color="auto"/>
            <w:left w:val="none" w:sz="0" w:space="0" w:color="auto"/>
            <w:bottom w:val="none" w:sz="0" w:space="0" w:color="auto"/>
            <w:right w:val="none" w:sz="0" w:space="0" w:color="auto"/>
          </w:divBdr>
          <w:divsChild>
            <w:div w:id="228468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870573">
      <w:bodyDiv w:val="1"/>
      <w:marLeft w:val="0"/>
      <w:marRight w:val="0"/>
      <w:marTop w:val="0"/>
      <w:marBottom w:val="0"/>
      <w:divBdr>
        <w:top w:val="none" w:sz="0" w:space="0" w:color="auto"/>
        <w:left w:val="none" w:sz="0" w:space="0" w:color="auto"/>
        <w:bottom w:val="none" w:sz="0" w:space="0" w:color="auto"/>
        <w:right w:val="none" w:sz="0" w:space="0" w:color="auto"/>
      </w:divBdr>
    </w:div>
    <w:div w:id="2003463329">
      <w:bodyDiv w:val="1"/>
      <w:marLeft w:val="0"/>
      <w:marRight w:val="0"/>
      <w:marTop w:val="0"/>
      <w:marBottom w:val="0"/>
      <w:divBdr>
        <w:top w:val="none" w:sz="0" w:space="0" w:color="auto"/>
        <w:left w:val="none" w:sz="0" w:space="0" w:color="auto"/>
        <w:bottom w:val="none" w:sz="0" w:space="0" w:color="auto"/>
        <w:right w:val="none" w:sz="0" w:space="0" w:color="auto"/>
      </w:divBdr>
    </w:div>
    <w:div w:id="2061857230">
      <w:bodyDiv w:val="1"/>
      <w:marLeft w:val="0"/>
      <w:marRight w:val="0"/>
      <w:marTop w:val="0"/>
      <w:marBottom w:val="0"/>
      <w:divBdr>
        <w:top w:val="none" w:sz="0" w:space="0" w:color="auto"/>
        <w:left w:val="none" w:sz="0" w:space="0" w:color="auto"/>
        <w:bottom w:val="none" w:sz="0" w:space="0" w:color="auto"/>
        <w:right w:val="none" w:sz="0" w:space="0" w:color="auto"/>
      </w:divBdr>
    </w:div>
    <w:div w:id="210622473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2674</TotalTime>
  <Pages>17</Pages>
  <Words>4689</Words>
  <Characters>26732</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Pawel Grzybowski (2232319)</dc:creator>
  <cp:keywords/>
  <dc:description/>
  <cp:lastModifiedBy>Pawel Grzybowski (2232319)</cp:lastModifiedBy>
  <cp:revision>3</cp:revision>
  <dcterms:created xsi:type="dcterms:W3CDTF">2025-03-26T11:48:00Z</dcterms:created>
  <dcterms:modified xsi:type="dcterms:W3CDTF">2025-03-28T08:23:00Z</dcterms:modified>
</cp:coreProperties>
</file>