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8B28F4" w14:textId="67661110" w:rsidR="00BD1B7B" w:rsidRDefault="00BD1B7B" w:rsidP="00BD1B7B">
      <w:r>
        <w:t>Graeme Guthrie</w:t>
      </w:r>
    </w:p>
    <w:p w14:paraId="51A98AC6" w14:textId="01DDD264" w:rsidR="00BD1B7B" w:rsidRDefault="00BD1B7B" w:rsidP="00BD1B7B">
      <w:r>
        <w:t xml:space="preserve">Student </w:t>
      </w:r>
      <w:r w:rsidR="009351D6">
        <w:t>no. 1805312</w:t>
      </w:r>
    </w:p>
    <w:p w14:paraId="35DD0A70" w14:textId="4B84F5A0" w:rsidR="009351D6" w:rsidRPr="00BD1B7B" w:rsidRDefault="009351D6" w:rsidP="00BD1B7B">
      <w:r>
        <w:t>May 2021</w:t>
      </w:r>
    </w:p>
    <w:p w14:paraId="5C677301" w14:textId="77777777" w:rsidR="00BD1B7B" w:rsidRDefault="00BD1B7B" w:rsidP="00A00986">
      <w:pPr>
        <w:jc w:val="center"/>
        <w:rPr>
          <w:sz w:val="32"/>
          <w:szCs w:val="32"/>
        </w:rPr>
      </w:pPr>
    </w:p>
    <w:p w14:paraId="558E6DD3" w14:textId="49AF128C" w:rsidR="00C65962" w:rsidRPr="00BD1B7B" w:rsidRDefault="00AF4679" w:rsidP="00A00986">
      <w:pPr>
        <w:jc w:val="center"/>
        <w:rPr>
          <w:sz w:val="32"/>
          <w:szCs w:val="32"/>
        </w:rPr>
      </w:pPr>
      <w:r w:rsidRPr="00BD1B7B">
        <w:rPr>
          <w:sz w:val="32"/>
          <w:szCs w:val="32"/>
        </w:rPr>
        <w:t xml:space="preserve">We meet God as three </w:t>
      </w:r>
      <w:r w:rsidR="00542614" w:rsidRPr="00BD1B7B">
        <w:rPr>
          <w:sz w:val="32"/>
          <w:szCs w:val="32"/>
        </w:rPr>
        <w:t xml:space="preserve">only </w:t>
      </w:r>
      <w:r w:rsidRPr="00BD1B7B">
        <w:rPr>
          <w:sz w:val="32"/>
          <w:szCs w:val="32"/>
        </w:rPr>
        <w:t>when we m</w:t>
      </w:r>
      <w:r w:rsidR="00383207" w:rsidRPr="00BD1B7B">
        <w:rPr>
          <w:sz w:val="32"/>
          <w:szCs w:val="32"/>
        </w:rPr>
        <w:t>e</w:t>
      </w:r>
      <w:r w:rsidRPr="00BD1B7B">
        <w:rPr>
          <w:sz w:val="32"/>
          <w:szCs w:val="32"/>
        </w:rPr>
        <w:t>et God in Christ. What does this mean for the immanent Trinity?</w:t>
      </w:r>
    </w:p>
    <w:p w14:paraId="248DD042" w14:textId="77777777" w:rsidR="00BD1B7B" w:rsidRDefault="00BD1B7B" w:rsidP="00A00986">
      <w:pPr>
        <w:rPr>
          <w:i/>
          <w:iCs/>
        </w:rPr>
      </w:pPr>
    </w:p>
    <w:p w14:paraId="11BC6D12" w14:textId="77777777" w:rsidR="00A00986" w:rsidRDefault="00A00986"/>
    <w:p w14:paraId="490E8C7E" w14:textId="591F2CE5" w:rsidR="009E1B9D" w:rsidRPr="00154C32" w:rsidRDefault="00383207">
      <w:pPr>
        <w:rPr>
          <w:rFonts w:ascii="Times New Roman" w:eastAsia="Times New Roman" w:hAnsi="Times New Roman" w:cs="Times New Roman"/>
          <w:lang w:eastAsia="en-GB"/>
        </w:rPr>
      </w:pPr>
      <w:r>
        <w:t xml:space="preserve">For the purpose of this </w:t>
      </w:r>
      <w:proofErr w:type="gramStart"/>
      <w:r>
        <w:t>essay</w:t>
      </w:r>
      <w:proofErr w:type="gramEnd"/>
      <w:r>
        <w:t xml:space="preserve"> I have chosen to</w:t>
      </w:r>
      <w:r w:rsidR="00E026D3">
        <w:t xml:space="preserve"> reflect on </w:t>
      </w:r>
      <w:r w:rsidR="00154C32" w:rsidRPr="00154C32">
        <w:rPr>
          <w:rFonts w:eastAsia="Times New Roman" w:cstheme="minorHAnsi"/>
          <w:color w:val="202122"/>
          <w:lang w:eastAsia="en-GB"/>
        </w:rPr>
        <w:t>Jürgen</w:t>
      </w:r>
      <w:r w:rsidR="00154C32">
        <w:rPr>
          <w:rFonts w:ascii="Times New Roman" w:eastAsia="Times New Roman" w:hAnsi="Times New Roman" w:cs="Times New Roman"/>
          <w:lang w:eastAsia="en-GB"/>
        </w:rPr>
        <w:t xml:space="preserve"> </w:t>
      </w:r>
      <w:r w:rsidR="00E026D3">
        <w:t xml:space="preserve">Moltmann’s </w:t>
      </w:r>
      <w:r w:rsidR="000965AD">
        <w:t>T</w:t>
      </w:r>
      <w:r w:rsidR="00E026D3">
        <w:t xml:space="preserve">rinitarian theology of the cross as set forth in </w:t>
      </w:r>
      <w:r w:rsidR="00E026D3">
        <w:rPr>
          <w:i/>
          <w:iCs/>
        </w:rPr>
        <w:t>The Crucified God</w:t>
      </w:r>
      <w:r w:rsidR="00295F7B">
        <w:rPr>
          <w:i/>
          <w:iCs/>
        </w:rPr>
        <w:t xml:space="preserve"> </w:t>
      </w:r>
      <w:r w:rsidR="00295F7B">
        <w:t xml:space="preserve">with an emphasis on the question of divine impassibilty. </w:t>
      </w:r>
      <w:r w:rsidR="00E026D3">
        <w:t xml:space="preserve">I shall structure the essay as follows: first, an overview </w:t>
      </w:r>
      <w:r w:rsidR="00295F7B">
        <w:t xml:space="preserve">of Moltmann’s methodology and </w:t>
      </w:r>
      <w:r w:rsidR="000965AD">
        <w:t>T</w:t>
      </w:r>
      <w:r w:rsidR="00295F7B">
        <w:t xml:space="preserve">rinitarian theology; second, some reflections on implications for the immanent </w:t>
      </w:r>
      <w:r w:rsidR="000965AD">
        <w:t>T</w:t>
      </w:r>
      <w:r w:rsidR="00295F7B">
        <w:t>rinity</w:t>
      </w:r>
      <w:r w:rsidR="000965AD">
        <w:t>,</w:t>
      </w:r>
      <w:r w:rsidR="00295F7B">
        <w:t xml:space="preserve"> and finally a critique of Moltmann</w:t>
      </w:r>
      <w:r w:rsidR="009E1B9D">
        <w:t>’s appr</w:t>
      </w:r>
      <w:r w:rsidR="000965AD">
        <w:t>oach</w:t>
      </w:r>
      <w:r w:rsidR="00295F7B">
        <w:t>, drawing upon the work of Thomas Weinandy.</w:t>
      </w:r>
      <w:r w:rsidR="009E1B9D">
        <w:t xml:space="preserve"> For the purpose of this essay I assume a </w:t>
      </w:r>
      <w:r w:rsidR="0065542D">
        <w:t xml:space="preserve">simple </w:t>
      </w:r>
      <w:r w:rsidR="00EE1674">
        <w:t>definition</w:t>
      </w:r>
      <w:r w:rsidR="009E1B9D">
        <w:t xml:space="preserve"> of the immanent Trinity as who God is in Himself outside of history, as opposed to the </w:t>
      </w:r>
      <w:r w:rsidR="0065542D">
        <w:t>“</w:t>
      </w:r>
      <w:r w:rsidR="009E1B9D">
        <w:t>economic</w:t>
      </w:r>
      <w:r w:rsidR="0065542D">
        <w:t>”</w:t>
      </w:r>
      <w:r w:rsidR="009E1B9D">
        <w:t xml:space="preserve"> Trinity </w:t>
      </w:r>
      <w:r w:rsidR="0065542D">
        <w:t>(</w:t>
      </w:r>
      <w:r w:rsidR="009E1B9D">
        <w:t>what God does within history).</w:t>
      </w:r>
      <w:r w:rsidR="009E1B9D">
        <w:rPr>
          <w:rStyle w:val="FootnoteReference"/>
        </w:rPr>
        <w:footnoteReference w:id="1"/>
      </w:r>
      <w:r w:rsidR="00BD1B7B">
        <w:t xml:space="preserve"> </w:t>
      </w:r>
    </w:p>
    <w:p w14:paraId="4BDD2692" w14:textId="77777777" w:rsidR="00201A67" w:rsidRPr="00E026D3" w:rsidRDefault="00201A67"/>
    <w:p w14:paraId="76B3E046" w14:textId="6DAFCEB9" w:rsidR="00383207" w:rsidRDefault="00383207"/>
    <w:p w14:paraId="2C570A2A" w14:textId="11253964" w:rsidR="009E1B9D" w:rsidRPr="009E1B9D" w:rsidRDefault="009E1B9D" w:rsidP="009E1B9D">
      <w:pPr>
        <w:pStyle w:val="ListParagraph"/>
        <w:numPr>
          <w:ilvl w:val="0"/>
          <w:numId w:val="4"/>
        </w:numPr>
        <w:rPr>
          <w:i/>
          <w:iCs/>
        </w:rPr>
      </w:pPr>
      <w:r>
        <w:rPr>
          <w:i/>
          <w:iCs/>
        </w:rPr>
        <w:t>The Trinity and the Cross in Moltmann’s Crucified God.</w:t>
      </w:r>
    </w:p>
    <w:p w14:paraId="5138FBE2" w14:textId="77777777" w:rsidR="009E1B9D" w:rsidRDefault="009E1B9D" w:rsidP="009D4C3F"/>
    <w:p w14:paraId="0F93F086" w14:textId="52FC3EF5" w:rsidR="00155459" w:rsidRDefault="009D4C3F" w:rsidP="009D4C3F">
      <w:r>
        <w:t xml:space="preserve">Moltmann </w:t>
      </w:r>
      <w:r w:rsidR="00AD4D34">
        <w:t xml:space="preserve">begins with </w:t>
      </w:r>
      <w:r>
        <w:t>the premise that the cross is the criteria by which Christian theology is measured, “the test of everything which deserves to be called Christian”.</w:t>
      </w:r>
      <w:r>
        <w:rPr>
          <w:rStyle w:val="FootnoteReference"/>
        </w:rPr>
        <w:footnoteReference w:id="2"/>
      </w:r>
      <w:r>
        <w:t xml:space="preserve"> </w:t>
      </w:r>
      <w:r w:rsidR="00884189">
        <w:t xml:space="preserve">It is the starting point (not the result) of reflection on the doctrine of God, </w:t>
      </w:r>
      <w:r w:rsidR="009E1B9D">
        <w:t xml:space="preserve">thus </w:t>
      </w:r>
      <w:r w:rsidR="00884189">
        <w:t>the historical event of the crucified Jesus</w:t>
      </w:r>
      <w:r w:rsidR="009E1B9D">
        <w:t xml:space="preserve"> </w:t>
      </w:r>
      <w:r w:rsidR="00884189">
        <w:t xml:space="preserve">must </w:t>
      </w:r>
      <w:r w:rsidR="00130008">
        <w:t xml:space="preserve">determine </w:t>
      </w:r>
      <w:r w:rsidR="009E1B9D">
        <w:t xml:space="preserve">any </w:t>
      </w:r>
      <w:r w:rsidR="00130008">
        <w:t xml:space="preserve">understanding of the Trinity. Moltmann does not begin his thesis with a doctrine of the Trinity and then consider how the death </w:t>
      </w:r>
      <w:r w:rsidR="000965AD">
        <w:t>of</w:t>
      </w:r>
      <w:r w:rsidR="00130008">
        <w:t xml:space="preserve"> Jesus can be worked into the schema; rather</w:t>
      </w:r>
      <w:r w:rsidR="000965AD">
        <w:t>,</w:t>
      </w:r>
      <w:r w:rsidR="00130008">
        <w:t xml:space="preserve"> he </w:t>
      </w:r>
      <w:r w:rsidR="00A00986">
        <w:t>argues</w:t>
      </w:r>
      <w:r w:rsidR="00130008">
        <w:t xml:space="preserve"> </w:t>
      </w:r>
      <w:r w:rsidR="00A00986">
        <w:t>for a</w:t>
      </w:r>
      <w:r w:rsidR="005C6A77">
        <w:t xml:space="preserve"> </w:t>
      </w:r>
      <w:r w:rsidR="00130008">
        <w:t>“revelation in the opposite”.</w:t>
      </w:r>
      <w:r w:rsidR="00AD4D34">
        <w:rPr>
          <w:rStyle w:val="FootnoteReference"/>
        </w:rPr>
        <w:footnoteReference w:id="3"/>
      </w:r>
      <w:r w:rsidR="00130008">
        <w:t xml:space="preserve"> Against the axiom that like is </w:t>
      </w:r>
      <w:r w:rsidR="00A00986">
        <w:t>“</w:t>
      </w:r>
      <w:r w:rsidR="00130008">
        <w:t>known by like</w:t>
      </w:r>
      <w:r w:rsidR="00A00986">
        <w:t>”</w:t>
      </w:r>
      <w:r w:rsidR="00130008">
        <w:t xml:space="preserve">, he requires a revelation of </w:t>
      </w:r>
      <w:r w:rsidR="00A00986">
        <w:t>G</w:t>
      </w:r>
      <w:r w:rsidR="00130008">
        <w:t xml:space="preserve">od to be manifest in that which is “not </w:t>
      </w:r>
      <w:r w:rsidR="00A00986">
        <w:t>G</w:t>
      </w:r>
      <w:r w:rsidR="00130008">
        <w:t xml:space="preserve">od”, otherwise God (being divine and heavenly) would not be </w:t>
      </w:r>
      <w:r w:rsidR="00A00986">
        <w:t xml:space="preserve">able to be </w:t>
      </w:r>
      <w:r w:rsidR="00130008">
        <w:t xml:space="preserve">recognised by </w:t>
      </w:r>
      <w:r w:rsidR="00A00986">
        <w:t xml:space="preserve">sinful </w:t>
      </w:r>
      <w:r w:rsidR="00130008">
        <w:t xml:space="preserve">humanity. </w:t>
      </w:r>
      <w:r w:rsidR="00A00986">
        <w:t xml:space="preserve">As </w:t>
      </w:r>
      <w:r w:rsidR="007C3524">
        <w:t>goodness</w:t>
      </w:r>
      <w:r w:rsidR="00A00986">
        <w:t xml:space="preserve"> can only be understood </w:t>
      </w:r>
      <w:r w:rsidR="007C3524">
        <w:t xml:space="preserve">in contrast to </w:t>
      </w:r>
      <w:r w:rsidR="00A00986">
        <w:t xml:space="preserve">evil, </w:t>
      </w:r>
      <w:r w:rsidR="007C3524">
        <w:t>and unity in contrast to conflict, likewise</w:t>
      </w:r>
      <w:r w:rsidR="00130008">
        <w:t xml:space="preserve"> the fullest revelation of God requires </w:t>
      </w:r>
      <w:r w:rsidR="000965AD">
        <w:t>h</w:t>
      </w:r>
      <w:r w:rsidR="00130008">
        <w:t xml:space="preserve">im to be revealed in </w:t>
      </w:r>
      <w:r w:rsidR="000965AD">
        <w:t>h</w:t>
      </w:r>
      <w:r w:rsidR="00130008">
        <w:t>is opposite</w:t>
      </w:r>
      <w:r w:rsidR="007C3524">
        <w:t xml:space="preserve">, the </w:t>
      </w:r>
      <w:r w:rsidR="00130008">
        <w:t>“godlessness and abandonment by God”</w:t>
      </w:r>
      <w:r w:rsidR="00AD4D34">
        <w:t>.</w:t>
      </w:r>
      <w:r w:rsidR="00AD4D34">
        <w:rPr>
          <w:rStyle w:val="FootnoteReference"/>
        </w:rPr>
        <w:footnoteReference w:id="4"/>
      </w:r>
      <w:r w:rsidR="007C3524">
        <w:t xml:space="preserve"> For Moltmann this is fully manifest only in Christ crucified.</w:t>
      </w:r>
    </w:p>
    <w:p w14:paraId="4400B616" w14:textId="77777777" w:rsidR="00AD4D34" w:rsidRDefault="00AD4D34" w:rsidP="009D4C3F"/>
    <w:p w14:paraId="21A12CF6" w14:textId="20136519" w:rsidR="006B1E7E" w:rsidRDefault="00AD4D34" w:rsidP="009D4C3F">
      <w:r>
        <w:t xml:space="preserve">He is critical of </w:t>
      </w:r>
      <w:r w:rsidR="00155459">
        <w:t xml:space="preserve">the </w:t>
      </w:r>
      <w:r w:rsidR="000965AD">
        <w:t>P</w:t>
      </w:r>
      <w:r w:rsidR="00155459">
        <w:t xml:space="preserve">atristic doctrine of the two natures of Christ, which he sees as </w:t>
      </w:r>
      <w:r w:rsidR="00C1684B">
        <w:t>verging on</w:t>
      </w:r>
      <w:r w:rsidR="00155459">
        <w:t xml:space="preserve"> </w:t>
      </w:r>
      <w:r w:rsidR="005906DF">
        <w:t>Docetism</w:t>
      </w:r>
      <w:r w:rsidR="00155459">
        <w:t>.</w:t>
      </w:r>
      <w:r>
        <w:rPr>
          <w:rStyle w:val="FootnoteReference"/>
        </w:rPr>
        <w:footnoteReference w:id="5"/>
      </w:r>
      <w:r w:rsidR="00155459">
        <w:t xml:space="preserve"> The </w:t>
      </w:r>
      <w:r w:rsidR="00C1684B">
        <w:t xml:space="preserve">church </w:t>
      </w:r>
      <w:r w:rsidR="00155459">
        <w:t xml:space="preserve">fathers were drawing upon the dualism of </w:t>
      </w:r>
      <w:r w:rsidR="007C3524">
        <w:t xml:space="preserve">contemporary Greek </w:t>
      </w:r>
      <w:r w:rsidR="000965AD">
        <w:t>p</w:t>
      </w:r>
      <w:r w:rsidR="00155459">
        <w:t xml:space="preserve">latonic </w:t>
      </w:r>
      <w:r w:rsidR="007C3524">
        <w:t>philosophy</w:t>
      </w:r>
      <w:r w:rsidR="00155459">
        <w:t xml:space="preserve">, </w:t>
      </w:r>
      <w:r w:rsidR="00C1684B">
        <w:t>with its metaphysical presupposition that</w:t>
      </w:r>
      <w:r>
        <w:t xml:space="preserve"> creation</w:t>
      </w:r>
      <w:r w:rsidR="00155459">
        <w:t xml:space="preserve"> </w:t>
      </w:r>
      <w:r w:rsidR="00C1684B">
        <w:t>is</w:t>
      </w:r>
      <w:r w:rsidR="00155459">
        <w:t xml:space="preserve"> temporal, changeable and passible. </w:t>
      </w:r>
      <w:r w:rsidR="00C1684B">
        <w:t xml:space="preserve">By contrast </w:t>
      </w:r>
      <w:r w:rsidR="00155459">
        <w:t xml:space="preserve">the </w:t>
      </w:r>
      <w:r w:rsidR="00E9593E">
        <w:t>d</w:t>
      </w:r>
      <w:r w:rsidR="00155459">
        <w:t xml:space="preserve">ivine (defined as </w:t>
      </w:r>
      <w:r w:rsidR="00EA29B9">
        <w:t xml:space="preserve">the negation of the finite qualities of </w:t>
      </w:r>
      <w:r w:rsidR="00155459">
        <w:t xml:space="preserve">creation) must be eternal, immutable and impassible. Whilst </w:t>
      </w:r>
      <w:r w:rsidR="007C3524">
        <w:t xml:space="preserve">he </w:t>
      </w:r>
      <w:r w:rsidR="00EA29B9">
        <w:t xml:space="preserve">specifically affirms the </w:t>
      </w:r>
      <w:r w:rsidR="00B55444">
        <w:t>Nic</w:t>
      </w:r>
      <w:r w:rsidR="00C1684B">
        <w:t xml:space="preserve">ene </w:t>
      </w:r>
      <w:r w:rsidR="007C3524">
        <w:t>doctrine</w:t>
      </w:r>
      <w:r w:rsidR="00EA29B9">
        <w:t xml:space="preserve"> </w:t>
      </w:r>
      <w:r w:rsidR="00B55444">
        <w:t xml:space="preserve">that God is not changeable, he sees this as a relative term: God </w:t>
      </w:r>
      <w:r w:rsidR="00B55444">
        <w:lastRenderedPageBreak/>
        <w:t xml:space="preserve">is not passively </w:t>
      </w:r>
      <w:r w:rsidR="00C1684B">
        <w:t>prone to change</w:t>
      </w:r>
      <w:r w:rsidR="007C3524">
        <w:t xml:space="preserve"> in</w:t>
      </w:r>
      <w:r w:rsidR="00EA29B9">
        <w:t xml:space="preserve"> the </w:t>
      </w:r>
      <w:r w:rsidR="007C3524">
        <w:t xml:space="preserve">same </w:t>
      </w:r>
      <w:r w:rsidR="00EA29B9">
        <w:t xml:space="preserve">way </w:t>
      </w:r>
      <w:r w:rsidR="007C3524">
        <w:t xml:space="preserve">as </w:t>
      </w:r>
      <w:r w:rsidR="00EA29B9">
        <w:t>creation and humanity</w:t>
      </w:r>
      <w:r w:rsidR="00B55444">
        <w:t>, but this does not equate to him being “intrinsically unchangeable”.</w:t>
      </w:r>
      <w:r>
        <w:rPr>
          <w:rStyle w:val="FootnoteReference"/>
        </w:rPr>
        <w:footnoteReference w:id="6"/>
      </w:r>
      <w:r w:rsidR="00B55444">
        <w:t xml:space="preserve"> As God</w:t>
      </w:r>
      <w:r w:rsidR="00C1684B">
        <w:t>,</w:t>
      </w:r>
      <w:r w:rsidR="00B55444">
        <w:t xml:space="preserve"> </w:t>
      </w:r>
      <w:r w:rsidR="000965AD">
        <w:t>h</w:t>
      </w:r>
      <w:r w:rsidR="00B55444">
        <w:t xml:space="preserve">e is free to communicate </w:t>
      </w:r>
      <w:r w:rsidR="000965AD">
        <w:t>h</w:t>
      </w:r>
      <w:r w:rsidR="00B55444">
        <w:t xml:space="preserve">imself as </w:t>
      </w:r>
      <w:r w:rsidR="000965AD">
        <w:t>h</w:t>
      </w:r>
      <w:r w:rsidR="00B55444">
        <w:t xml:space="preserve">e wills, including </w:t>
      </w:r>
      <w:r w:rsidR="00EA29B9">
        <w:t xml:space="preserve">the </w:t>
      </w:r>
      <w:r w:rsidR="00B55444">
        <w:t>free</w:t>
      </w:r>
      <w:r w:rsidR="007C3524">
        <w:t>dom</w:t>
      </w:r>
      <w:r w:rsidR="00B55444">
        <w:t xml:space="preserve"> to change </w:t>
      </w:r>
      <w:r w:rsidR="000965AD">
        <w:t>h</w:t>
      </w:r>
      <w:r w:rsidR="00C1684B">
        <w:t xml:space="preserve">imself </w:t>
      </w:r>
      <w:r w:rsidR="00B55444">
        <w:t>and even be changed by others “of his own free will”.</w:t>
      </w:r>
      <w:r>
        <w:rPr>
          <w:rStyle w:val="FootnoteReference"/>
        </w:rPr>
        <w:footnoteReference w:id="7"/>
      </w:r>
      <w:r w:rsidR="00B55444">
        <w:t xml:space="preserve"> Similarly, Moltmann rejects the mainstream doctrine of divine impassibilty. God cannot suffer as finite creatures do, but </w:t>
      </w:r>
      <w:r w:rsidR="000965AD">
        <w:t>h</w:t>
      </w:r>
      <w:r w:rsidR="00B55444">
        <w:t xml:space="preserve">e is </w:t>
      </w:r>
      <w:r w:rsidR="00C1684B">
        <w:t>free</w:t>
      </w:r>
      <w:r w:rsidR="00B55444">
        <w:t xml:space="preserve"> to choose the </w:t>
      </w:r>
      <w:r w:rsidR="00C1684B">
        <w:t>“</w:t>
      </w:r>
      <w:r w:rsidR="00B55444">
        <w:t>suffering of love</w:t>
      </w:r>
      <w:r w:rsidR="00C1684B">
        <w:t>”.</w:t>
      </w:r>
      <w:r>
        <w:rPr>
          <w:rStyle w:val="FootnoteReference"/>
        </w:rPr>
        <w:footnoteReference w:id="8"/>
      </w:r>
      <w:r>
        <w:t xml:space="preserve"> </w:t>
      </w:r>
      <w:r w:rsidR="00C1684B">
        <w:t>It is Moltmann’s explication of</w:t>
      </w:r>
      <w:r w:rsidR="007C3524">
        <w:t xml:space="preserve"> </w:t>
      </w:r>
      <w:r w:rsidR="00E9593E">
        <w:t>divine</w:t>
      </w:r>
      <w:r w:rsidR="00C1684B">
        <w:t xml:space="preserve"> love</w:t>
      </w:r>
      <w:r w:rsidR="00FF75DA">
        <w:t xml:space="preserve"> that demands God be capable of suffering: “A God who cannot suffer is poorer than any man…if </w:t>
      </w:r>
      <w:r w:rsidR="000965AD">
        <w:t>h</w:t>
      </w:r>
      <w:r w:rsidR="00FF75DA">
        <w:t xml:space="preserve">e cannot suffer </w:t>
      </w:r>
      <w:r w:rsidR="000965AD">
        <w:t>h</w:t>
      </w:r>
      <w:r w:rsidR="00FF75DA">
        <w:t>e cannot love”.</w:t>
      </w:r>
      <w:r w:rsidR="00FF75DA">
        <w:rPr>
          <w:rStyle w:val="FootnoteReference"/>
        </w:rPr>
        <w:footnoteReference w:id="9"/>
      </w:r>
      <w:r w:rsidR="00FF75DA">
        <w:t xml:space="preserve"> </w:t>
      </w:r>
      <w:r w:rsidR="006B1E7E">
        <w:t>By way of excursus</w:t>
      </w:r>
      <w:r w:rsidR="007C3524">
        <w:t xml:space="preserve"> and to strengthen his thesis</w:t>
      </w:r>
      <w:r w:rsidR="006B1E7E">
        <w:t>, he notes the suffering of God is a theme present throughout the Hebrew bible</w:t>
      </w:r>
      <w:r w:rsidR="007C3524">
        <w:t xml:space="preserve"> and predates Christianity</w:t>
      </w:r>
      <w:r w:rsidR="006B1E7E">
        <w:t>, drawing attention to the w</w:t>
      </w:r>
      <w:r w:rsidR="00E9593E">
        <w:t>ork</w:t>
      </w:r>
      <w:r w:rsidR="006B1E7E">
        <w:t xml:space="preserve"> of Jewish theologian Abraham Heschel, particularly his insights into the “pathos” of God </w:t>
      </w:r>
      <w:r w:rsidR="00FD64B7">
        <w:t xml:space="preserve">demonstrated throughout </w:t>
      </w:r>
      <w:r w:rsidR="006B1E7E">
        <w:t xml:space="preserve">the Hebrew </w:t>
      </w:r>
      <w:r w:rsidR="000965AD">
        <w:t>p</w:t>
      </w:r>
      <w:r w:rsidR="006B1E7E">
        <w:t>rophets.</w:t>
      </w:r>
      <w:r w:rsidR="00FF75DA">
        <w:rPr>
          <w:rStyle w:val="FootnoteReference"/>
        </w:rPr>
        <w:footnoteReference w:id="10"/>
      </w:r>
      <w:r w:rsidR="006B1E7E">
        <w:t xml:space="preserve"> </w:t>
      </w:r>
    </w:p>
    <w:p w14:paraId="3B0BB5A6" w14:textId="77777777" w:rsidR="00FF75DA" w:rsidRDefault="00FF75DA" w:rsidP="009D4C3F"/>
    <w:p w14:paraId="192BD59C" w14:textId="01F1E725" w:rsidR="006E4222" w:rsidRDefault="005906DF" w:rsidP="009D4C3F">
      <w:r>
        <w:t>Thus,</w:t>
      </w:r>
      <w:r w:rsidR="00FD64B7">
        <w:t xml:space="preserve"> </w:t>
      </w:r>
      <w:r w:rsidR="00927539">
        <w:t>Moltmann can speak of God suffering,</w:t>
      </w:r>
      <w:r w:rsidR="00FD64B7">
        <w:t xml:space="preserve"> and </w:t>
      </w:r>
      <w:r w:rsidR="00927539">
        <w:t>reject</w:t>
      </w:r>
      <w:r w:rsidR="00FD64B7">
        <w:t>s</w:t>
      </w:r>
      <w:r w:rsidR="00927539">
        <w:t xml:space="preserve"> the patristic understanding of the suffering of Jesus being limited to the human nature of Christ only. Two biblical texts are crucial for </w:t>
      </w:r>
      <w:r w:rsidR="00FD64B7">
        <w:t>his</w:t>
      </w:r>
      <w:r w:rsidR="00927539">
        <w:t xml:space="preserve"> thesis: </w:t>
      </w:r>
      <w:r w:rsidR="007D20F4">
        <w:t>2</w:t>
      </w:r>
      <w:r w:rsidR="00927539">
        <w:t xml:space="preserve"> Cor </w:t>
      </w:r>
      <w:r w:rsidR="007D20F4">
        <w:t>5:19</w:t>
      </w:r>
      <w:r w:rsidR="007D20F4">
        <w:rPr>
          <w:rStyle w:val="FootnoteReference"/>
        </w:rPr>
        <w:footnoteReference w:id="11"/>
      </w:r>
      <w:r w:rsidR="00927539">
        <w:t xml:space="preserve"> and </w:t>
      </w:r>
      <w:r w:rsidR="007D20F4">
        <w:t>Mark 15:34.</w:t>
      </w:r>
      <w:r w:rsidR="007D20F4">
        <w:rPr>
          <w:rStyle w:val="FootnoteReference"/>
        </w:rPr>
        <w:footnoteReference w:id="12"/>
      </w:r>
      <w:r w:rsidR="007D20F4">
        <w:t xml:space="preserve"> </w:t>
      </w:r>
      <w:r w:rsidR="00F50294">
        <w:t>That God “was in Christ</w:t>
      </w:r>
      <w:r w:rsidR="006E4222">
        <w:t>”</w:t>
      </w:r>
      <w:r w:rsidR="00F50294">
        <w:t xml:space="preserve"> on the cross means that God suffered in the person of the Son</w:t>
      </w:r>
      <w:r w:rsidR="00407FA6">
        <w:t xml:space="preserve">. This </w:t>
      </w:r>
      <w:r w:rsidR="00F50294">
        <w:t xml:space="preserve">not </w:t>
      </w:r>
      <w:r w:rsidR="00E9593E">
        <w:t xml:space="preserve">limited </w:t>
      </w:r>
      <w:r w:rsidR="007D20F4">
        <w:t xml:space="preserve">exclusively </w:t>
      </w:r>
      <w:r w:rsidR="00E9593E">
        <w:t xml:space="preserve">to </w:t>
      </w:r>
      <w:r w:rsidR="00F50294">
        <w:t xml:space="preserve">the human nature </w:t>
      </w:r>
      <w:r w:rsidR="0009542A">
        <w:t>of Christ</w:t>
      </w:r>
      <w:r w:rsidR="00F50294">
        <w:t xml:space="preserve">, but as the </w:t>
      </w:r>
      <w:r w:rsidR="0009542A">
        <w:t>suffering and death of the Son of God</w:t>
      </w:r>
      <w:r w:rsidR="00E9593E">
        <w:t xml:space="preserve"> </w:t>
      </w:r>
      <w:r w:rsidR="000965AD">
        <w:t>h</w:t>
      </w:r>
      <w:r w:rsidR="00E9593E">
        <w:t>imself</w:t>
      </w:r>
      <w:r w:rsidR="0009542A">
        <w:t>. Simultaneously</w:t>
      </w:r>
      <w:r w:rsidR="006E4222">
        <w:t xml:space="preserve">, </w:t>
      </w:r>
      <w:r w:rsidR="0009542A">
        <w:t xml:space="preserve">God the Father </w:t>
      </w:r>
      <w:r w:rsidR="006E4222">
        <w:t>suffers the loss of the Son in his death:</w:t>
      </w:r>
    </w:p>
    <w:p w14:paraId="4CB3FEC1" w14:textId="77777777" w:rsidR="007D20F4" w:rsidRDefault="007D20F4" w:rsidP="009D4C3F"/>
    <w:p w14:paraId="532A039A" w14:textId="3E74664B" w:rsidR="005906DF" w:rsidRDefault="00FD64B7" w:rsidP="009D4C3F">
      <w:r>
        <w:t xml:space="preserve">“In the passion of the Son, the Father </w:t>
      </w:r>
      <w:r w:rsidR="000965AD">
        <w:t>h</w:t>
      </w:r>
      <w:r>
        <w:t xml:space="preserve">imself suffers the pain of abandonment. In the death of the Son, death comes upon God </w:t>
      </w:r>
      <w:r w:rsidR="000965AD">
        <w:t>h</w:t>
      </w:r>
      <w:r>
        <w:t>imself and the Father suffers the death of his love for forsaken man”.</w:t>
      </w:r>
      <w:r>
        <w:rPr>
          <w:rStyle w:val="FootnoteReference"/>
        </w:rPr>
        <w:footnoteReference w:id="13"/>
      </w:r>
    </w:p>
    <w:p w14:paraId="4C7F89C6" w14:textId="77777777" w:rsidR="007D20F4" w:rsidRDefault="007D20F4" w:rsidP="009D4C3F"/>
    <w:p w14:paraId="4B36E2CE" w14:textId="52538170" w:rsidR="002E41E2" w:rsidRDefault="0009542A" w:rsidP="009D4C3F">
      <w:r>
        <w:t xml:space="preserve">With regards to </w:t>
      </w:r>
      <w:r w:rsidR="007D20F4">
        <w:t xml:space="preserve">Jesus’ cry of dereliction, </w:t>
      </w:r>
      <w:r>
        <w:t xml:space="preserve">Moltmann develops a theology of God’s identification </w:t>
      </w:r>
      <w:r w:rsidR="002E41E2">
        <w:t>with</w:t>
      </w:r>
      <w:r w:rsidR="00407FA6">
        <w:t xml:space="preserve"> </w:t>
      </w:r>
      <w:r w:rsidR="006E4222">
        <w:t>all those who suffe</w:t>
      </w:r>
      <w:r>
        <w:t>.</w:t>
      </w:r>
      <w:r w:rsidR="007D20F4">
        <w:rPr>
          <w:rStyle w:val="FootnoteReference"/>
        </w:rPr>
        <w:footnoteReference w:id="14"/>
      </w:r>
      <w:r>
        <w:t xml:space="preserve"> </w:t>
      </w:r>
      <w:r w:rsidR="00E44157">
        <w:t>As t</w:t>
      </w:r>
      <w:r w:rsidR="00E9593E">
        <w:t>he</w:t>
      </w:r>
      <w:r w:rsidR="002E41E2">
        <w:t xml:space="preserve"> Son suffers the abandonment of the </w:t>
      </w:r>
      <w:r w:rsidR="00E9593E">
        <w:t>F</w:t>
      </w:r>
      <w:r w:rsidR="002E41E2">
        <w:t xml:space="preserve">ather, </w:t>
      </w:r>
      <w:r w:rsidR="000965AD">
        <w:t>h</w:t>
      </w:r>
      <w:r w:rsidR="002E41E2">
        <w:t xml:space="preserve">e </w:t>
      </w:r>
      <w:r w:rsidR="006E4222">
        <w:t>part</w:t>
      </w:r>
      <w:r w:rsidR="00201A67">
        <w:t>akes</w:t>
      </w:r>
      <w:r w:rsidR="006E4222">
        <w:t xml:space="preserve"> in the suffering</w:t>
      </w:r>
      <w:r w:rsidR="00407FA6">
        <w:t xml:space="preserve"> </w:t>
      </w:r>
      <w:r w:rsidR="000965AD">
        <w:t xml:space="preserve">of </w:t>
      </w:r>
      <w:r w:rsidR="00E44157">
        <w:t xml:space="preserve">all those </w:t>
      </w:r>
      <w:r w:rsidR="002E41E2">
        <w:t>aban</w:t>
      </w:r>
      <w:r w:rsidR="00E9593E">
        <w:t>d</w:t>
      </w:r>
      <w:r w:rsidR="002E41E2">
        <w:t xml:space="preserve">oned </w:t>
      </w:r>
      <w:r w:rsidR="00E44157">
        <w:t xml:space="preserve">throughout history. </w:t>
      </w:r>
    </w:p>
    <w:p w14:paraId="5825D633" w14:textId="77777777" w:rsidR="00201A67" w:rsidRDefault="00201A67" w:rsidP="009D4C3F"/>
    <w:p w14:paraId="36351CCC" w14:textId="2F94B16F" w:rsidR="007248BF" w:rsidRDefault="007248BF" w:rsidP="009D4C3F">
      <w:r>
        <w:t>Crucially</w:t>
      </w:r>
      <w:r w:rsidR="006E4222">
        <w:t xml:space="preserve">, </w:t>
      </w:r>
      <w:r>
        <w:t xml:space="preserve">Moltmann understands </w:t>
      </w:r>
      <w:r w:rsidR="00407FA6">
        <w:t xml:space="preserve">all of the above </w:t>
      </w:r>
      <w:r>
        <w:t>as an “event” that is taken up into the very life of the eternal Trinity,</w:t>
      </w:r>
      <w:r w:rsidR="00587063">
        <w:t xml:space="preserve"> or </w:t>
      </w:r>
      <w:r>
        <w:t xml:space="preserve">the “history of God”: </w:t>
      </w:r>
    </w:p>
    <w:p w14:paraId="15CC09B1" w14:textId="77777777" w:rsidR="006E4222" w:rsidRDefault="006E4222" w:rsidP="00E9593E"/>
    <w:p w14:paraId="19C04AF2" w14:textId="7667C7BD" w:rsidR="00E9593E" w:rsidRDefault="007248BF" w:rsidP="00E9593E">
      <w:r>
        <w:t>“All human history…is taken up into this “history of God”, i.e. into the Trinity, and integrated into the future of the “history of God”. There is no suffering which in this history of God is not God’s suffering…”</w:t>
      </w:r>
      <w:r>
        <w:rPr>
          <w:rStyle w:val="FootnoteReference"/>
        </w:rPr>
        <w:footnoteReference w:id="15"/>
      </w:r>
      <w:r>
        <w:t xml:space="preserve"> </w:t>
      </w:r>
      <w:r w:rsidR="006E4222">
        <w:t xml:space="preserve">. The cross is </w:t>
      </w:r>
      <w:r w:rsidR="00587063">
        <w:t xml:space="preserve">thus </w:t>
      </w:r>
      <w:r w:rsidR="006E4222">
        <w:t xml:space="preserve">not so much an </w:t>
      </w:r>
      <w:r w:rsidR="00587063">
        <w:t>occasion</w:t>
      </w:r>
      <w:r w:rsidR="006E4222">
        <w:t xml:space="preserve"> in the world but an event within God </w:t>
      </w:r>
      <w:r w:rsidR="00AC2EB4">
        <w:t>h</w:t>
      </w:r>
      <w:r w:rsidR="006E4222">
        <w:t>imself.</w:t>
      </w:r>
      <w:r w:rsidR="006E4222">
        <w:rPr>
          <w:rStyle w:val="FootnoteReference"/>
        </w:rPr>
        <w:footnoteReference w:id="16"/>
      </w:r>
    </w:p>
    <w:p w14:paraId="06668464" w14:textId="77777777" w:rsidR="00407FA6" w:rsidRDefault="00407FA6" w:rsidP="00E9593E"/>
    <w:p w14:paraId="669F7B1A" w14:textId="0F428E5B" w:rsidR="006E4222" w:rsidRDefault="006E4222" w:rsidP="00E9593E"/>
    <w:p w14:paraId="55AFBFAB" w14:textId="77777777" w:rsidR="00252519" w:rsidRDefault="00252519" w:rsidP="00E9593E"/>
    <w:p w14:paraId="51AD09F8" w14:textId="77777777" w:rsidR="00201A67" w:rsidRPr="00201A67" w:rsidRDefault="00201A67" w:rsidP="00201A67">
      <w:pPr>
        <w:pStyle w:val="ListParagraph"/>
        <w:numPr>
          <w:ilvl w:val="0"/>
          <w:numId w:val="4"/>
        </w:numPr>
        <w:rPr>
          <w:i/>
          <w:iCs/>
        </w:rPr>
      </w:pPr>
      <w:r w:rsidRPr="00201A67">
        <w:rPr>
          <w:i/>
          <w:iCs/>
        </w:rPr>
        <w:lastRenderedPageBreak/>
        <w:t>The Crucified God and the Immanent Trinity.</w:t>
      </w:r>
    </w:p>
    <w:p w14:paraId="34854960" w14:textId="77777777" w:rsidR="00201A67" w:rsidRDefault="00201A67" w:rsidP="00201A67"/>
    <w:p w14:paraId="075C00D8" w14:textId="69B08904" w:rsidR="006E4222" w:rsidRDefault="006E4222" w:rsidP="00201A67">
      <w:r>
        <w:t xml:space="preserve">In considering the implications of Moltamnn’s thesis for the immanent Trinity, </w:t>
      </w:r>
      <w:r w:rsidR="00587063">
        <w:t>I propose the following reflections can be made:</w:t>
      </w:r>
    </w:p>
    <w:p w14:paraId="41253A0A" w14:textId="77777777" w:rsidR="00587063" w:rsidRDefault="00587063" w:rsidP="00E9593E"/>
    <w:p w14:paraId="70FC574E" w14:textId="5F5FC8D7" w:rsidR="005A4AB9" w:rsidRDefault="0066657C" w:rsidP="0066657C">
      <w:r>
        <w:t xml:space="preserve">Firstly, </w:t>
      </w:r>
      <w:r w:rsidR="00587063">
        <w:t xml:space="preserve">Moltmann affirms Karl Rahner’s famous maxim: “The economic Trinity </w:t>
      </w:r>
      <w:r w:rsidR="00587063" w:rsidRPr="00904E15">
        <w:rPr>
          <w:i/>
          <w:iCs/>
        </w:rPr>
        <w:t>is</w:t>
      </w:r>
      <w:r w:rsidR="00587063">
        <w:t xml:space="preserve"> the immanent Trinity, and</w:t>
      </w:r>
      <w:r w:rsidR="003260A3">
        <w:t xml:space="preserve"> the immanent Trinity </w:t>
      </w:r>
      <w:r w:rsidR="003260A3">
        <w:rPr>
          <w:i/>
          <w:iCs/>
        </w:rPr>
        <w:t xml:space="preserve">is </w:t>
      </w:r>
      <w:r w:rsidR="003260A3">
        <w:t>the economic Trinity</w:t>
      </w:r>
      <w:r w:rsidR="00587063">
        <w:t>”.</w:t>
      </w:r>
      <w:r w:rsidR="00587063">
        <w:rPr>
          <w:rStyle w:val="FootnoteReference"/>
        </w:rPr>
        <w:footnoteReference w:id="17"/>
      </w:r>
      <w:r w:rsidR="005A4AB9">
        <w:t xml:space="preserve"> For Moltmann, what is perceived of Father, Son and Spirit in the crucifixion is a revelation of the immanent Trinity is</w:t>
      </w:r>
      <w:r w:rsidR="00904E15">
        <w:t xml:space="preserve"> in itself</w:t>
      </w:r>
      <w:r w:rsidR="005A4AB9">
        <w:t>. “The place of the doctrine of the Trinity is not the “thinking of thought” but the cross of Jesus”.</w:t>
      </w:r>
      <w:r w:rsidR="005A4AB9">
        <w:rPr>
          <w:rStyle w:val="FootnoteReference"/>
        </w:rPr>
        <w:footnoteReference w:id="18"/>
      </w:r>
      <w:r w:rsidR="005A4AB9">
        <w:t xml:space="preserve"> This is evident in his methodology throughout </w:t>
      </w:r>
      <w:r w:rsidR="000611A1" w:rsidRPr="000611A1">
        <w:rPr>
          <w:i/>
          <w:iCs/>
        </w:rPr>
        <w:t xml:space="preserve">The </w:t>
      </w:r>
      <w:r w:rsidR="005A4AB9" w:rsidRPr="000611A1">
        <w:rPr>
          <w:i/>
          <w:iCs/>
        </w:rPr>
        <w:t>Crucified God</w:t>
      </w:r>
      <w:r w:rsidR="005A4AB9">
        <w:t xml:space="preserve">: he rejects a prior understanding of the </w:t>
      </w:r>
      <w:r w:rsidR="00407FA6">
        <w:t xml:space="preserve">Trinity </w:t>
      </w:r>
      <w:r w:rsidR="005A4AB9">
        <w:t>as a hermeneuti</w:t>
      </w:r>
      <w:r w:rsidR="00407FA6">
        <w:t xml:space="preserve">c </w:t>
      </w:r>
      <w:r w:rsidR="005A4AB9">
        <w:t>for the interpretation of the cross</w:t>
      </w:r>
      <w:r w:rsidR="00531513">
        <w:t>.</w:t>
      </w:r>
      <w:r w:rsidR="005A4AB9">
        <w:t xml:space="preserve"> </w:t>
      </w:r>
      <w:r w:rsidR="00531513">
        <w:t>R</w:t>
      </w:r>
      <w:r w:rsidR="005A4AB9">
        <w:t>ather</w:t>
      </w:r>
      <w:r w:rsidR="00531513">
        <w:t xml:space="preserve">, he </w:t>
      </w:r>
      <w:r w:rsidR="005A4AB9">
        <w:t>considers the nature of the death</w:t>
      </w:r>
      <w:r w:rsidR="003260A3">
        <w:t xml:space="preserve"> of the Son and the grief of the Father </w:t>
      </w:r>
      <w:r w:rsidR="00531513">
        <w:t xml:space="preserve">as the criteria by which the immanent Trinity can be </w:t>
      </w:r>
      <w:r w:rsidR="000611A1">
        <w:t>understood</w:t>
      </w:r>
      <w:r w:rsidR="00531513">
        <w:t xml:space="preserve">. </w:t>
      </w:r>
    </w:p>
    <w:p w14:paraId="034E26C5" w14:textId="77777777" w:rsidR="0066657C" w:rsidRDefault="0066657C" w:rsidP="0066657C"/>
    <w:p w14:paraId="7BBCD485" w14:textId="305754DD" w:rsidR="006E4222" w:rsidRDefault="0066657C" w:rsidP="0066657C">
      <w:r>
        <w:t>Secondly, i</w:t>
      </w:r>
      <w:r w:rsidR="00531513">
        <w:t xml:space="preserve">t follows that within the immanent Trinity there is </w:t>
      </w:r>
      <w:r w:rsidR="003260A3">
        <w:t xml:space="preserve">actual </w:t>
      </w:r>
      <w:r w:rsidR="00531513">
        <w:t>suffering</w:t>
      </w:r>
      <w:r w:rsidR="00407FA6">
        <w:t xml:space="preserve">, </w:t>
      </w:r>
      <w:r w:rsidR="00531513">
        <w:t xml:space="preserve">thus a rejection of divine impassability. The </w:t>
      </w:r>
      <w:r w:rsidR="00C63CD2">
        <w:t xml:space="preserve">Son of God </w:t>
      </w:r>
      <w:r w:rsidR="000611A1">
        <w:t xml:space="preserve">is </w:t>
      </w:r>
      <w:r w:rsidR="00C63CD2">
        <w:t>eternally the crucified Son, the “lamb that was slain”,</w:t>
      </w:r>
      <w:r w:rsidR="00C63CD2">
        <w:rPr>
          <w:rStyle w:val="FootnoteReference"/>
        </w:rPr>
        <w:footnoteReference w:id="19"/>
      </w:r>
      <w:r w:rsidR="00C63CD2">
        <w:t xml:space="preserve"> and the Father suffers the loss of the Son in “the infinite grief of love”.</w:t>
      </w:r>
      <w:r w:rsidR="00C63CD2">
        <w:rPr>
          <w:rStyle w:val="FootnoteReference"/>
        </w:rPr>
        <w:footnoteReference w:id="20"/>
      </w:r>
      <w:r w:rsidR="00C63CD2">
        <w:t xml:space="preserve"> </w:t>
      </w:r>
      <w:r w:rsidR="000611A1">
        <w:t>As noted, Moltmann rejects the idea that suffering necessitates an imperfection in God, but rather requires that a</w:t>
      </w:r>
      <w:r w:rsidR="003260A3">
        <w:t xml:space="preserve"> God of love must be a God who suffers</w:t>
      </w:r>
      <w:r w:rsidR="000611A1">
        <w:t xml:space="preserve">. </w:t>
      </w:r>
      <w:r w:rsidR="00531513">
        <w:t xml:space="preserve">Further, the suffering of fallen humanity itself is “taken up” into the divine life in the self-identification of Jesus with the </w:t>
      </w:r>
      <w:r w:rsidR="005906DF">
        <w:t>godforsaken</w:t>
      </w:r>
      <w:r w:rsidR="00531513">
        <w:t xml:space="preserve">. The suffering of the immanent Trinity </w:t>
      </w:r>
      <w:r w:rsidR="003260A3">
        <w:t xml:space="preserve">thus </w:t>
      </w:r>
      <w:r w:rsidR="00531513">
        <w:t xml:space="preserve">contains the suffering of all humanity, </w:t>
      </w:r>
      <w:r w:rsidR="007E4ED3">
        <w:t xml:space="preserve">thus </w:t>
      </w:r>
      <w:r w:rsidR="00C63CD2">
        <w:t>suffering humanity impinges upon the life of the Trinity.</w:t>
      </w:r>
    </w:p>
    <w:p w14:paraId="4908C325" w14:textId="77777777" w:rsidR="0066657C" w:rsidRDefault="0066657C" w:rsidP="0066657C"/>
    <w:p w14:paraId="46307071" w14:textId="7B7E90A5" w:rsidR="0018673A" w:rsidRDefault="0066657C" w:rsidP="0066657C">
      <w:r>
        <w:t xml:space="preserve">Finally, </w:t>
      </w:r>
      <w:r w:rsidR="000611A1">
        <w:t>t</w:t>
      </w:r>
      <w:r w:rsidR="00C63CD2">
        <w:t xml:space="preserve">he above </w:t>
      </w:r>
      <w:r w:rsidR="000611A1">
        <w:t>leads to</w:t>
      </w:r>
      <w:r>
        <w:t xml:space="preserve"> the </w:t>
      </w:r>
      <w:r w:rsidR="00C63CD2">
        <w:t>conclusion that</w:t>
      </w:r>
      <w:r w:rsidR="007E4ED3">
        <w:t xml:space="preserve"> </w:t>
      </w:r>
      <w:r w:rsidR="00C63CD2">
        <w:t>the immanent Trinity</w:t>
      </w:r>
      <w:r>
        <w:t xml:space="preserve"> </w:t>
      </w:r>
      <w:r w:rsidR="00C63CD2">
        <w:t>is</w:t>
      </w:r>
      <w:r w:rsidR="007E4ED3">
        <w:t xml:space="preserve"> </w:t>
      </w:r>
      <w:r>
        <w:t xml:space="preserve">open to change: “The cross of Jesus…reveals a change in God, a </w:t>
      </w:r>
      <w:r w:rsidRPr="0066657C">
        <w:rPr>
          <w:i/>
          <w:iCs/>
        </w:rPr>
        <w:t xml:space="preserve">stasis </w:t>
      </w:r>
      <w:r>
        <w:t xml:space="preserve">within the </w:t>
      </w:r>
      <w:proofErr w:type="gramStart"/>
      <w:r>
        <w:t>God-head</w:t>
      </w:r>
      <w:proofErr w:type="gramEnd"/>
      <w:r>
        <w:t>”</w:t>
      </w:r>
      <w:r>
        <w:rPr>
          <w:rStyle w:val="FootnoteReference"/>
        </w:rPr>
        <w:footnoteReference w:id="21"/>
      </w:r>
      <w:r>
        <w:t xml:space="preserve"> (I hesitate to use the term “subject to change”, as Moltmann is clear that God’s suffering is of </w:t>
      </w:r>
      <w:r w:rsidR="00AC2EB4">
        <w:t>h</w:t>
      </w:r>
      <w:r>
        <w:t>is own free will and not passive). Rather than describing the Trinity as a “closed circle”</w:t>
      </w:r>
      <w:r w:rsidR="007E4ED3">
        <w:t xml:space="preserve">, </w:t>
      </w:r>
      <w:r>
        <w:t xml:space="preserve">he </w:t>
      </w:r>
      <w:r w:rsidR="000611A1">
        <w:t>proposes</w:t>
      </w:r>
      <w:r>
        <w:t xml:space="preserve"> the </w:t>
      </w:r>
      <w:r w:rsidR="000611A1">
        <w:t>term</w:t>
      </w:r>
      <w:r>
        <w:t xml:space="preserve"> “dialectical event”, defined by the cross, by which the immanent Trinity remains “eschatologically open history”.</w:t>
      </w:r>
      <w:r>
        <w:rPr>
          <w:rStyle w:val="FootnoteReference"/>
        </w:rPr>
        <w:footnoteReference w:id="22"/>
      </w:r>
    </w:p>
    <w:p w14:paraId="37694C4C" w14:textId="77777777" w:rsidR="00252519" w:rsidRDefault="00252519" w:rsidP="0066657C"/>
    <w:p w14:paraId="76FE1A2F" w14:textId="6A657D8D" w:rsidR="009C6BBF" w:rsidRDefault="009C6BBF" w:rsidP="0066657C"/>
    <w:p w14:paraId="09304039" w14:textId="789DED13" w:rsidR="003260A3" w:rsidRPr="003260A3" w:rsidRDefault="003260A3" w:rsidP="003260A3">
      <w:pPr>
        <w:pStyle w:val="ListParagraph"/>
        <w:numPr>
          <w:ilvl w:val="0"/>
          <w:numId w:val="4"/>
        </w:numPr>
        <w:rPr>
          <w:i/>
          <w:iCs/>
        </w:rPr>
      </w:pPr>
      <w:r w:rsidRPr="003260A3">
        <w:rPr>
          <w:i/>
          <w:iCs/>
        </w:rPr>
        <w:t>Critical assessment of Moltmann’s approach.</w:t>
      </w:r>
    </w:p>
    <w:p w14:paraId="2D1C3A07" w14:textId="77777777" w:rsidR="003260A3" w:rsidRDefault="003260A3" w:rsidP="0066657C"/>
    <w:p w14:paraId="528E70B9" w14:textId="1C5C06D0" w:rsidR="009C6BBF" w:rsidRDefault="009C6BBF" w:rsidP="0066657C">
      <w:r>
        <w:t xml:space="preserve">Whilst a thorough critique of Moltmann’s </w:t>
      </w:r>
      <w:r w:rsidR="003260A3">
        <w:t>T</w:t>
      </w:r>
      <w:r>
        <w:t>rinitarian theology of the cross is beyond the scope of this essay, I wish to address two areas</w:t>
      </w:r>
      <w:r w:rsidR="003260A3">
        <w:t>.</w:t>
      </w:r>
    </w:p>
    <w:p w14:paraId="02B40610" w14:textId="4F595047" w:rsidR="009C6BBF" w:rsidRDefault="009C6BBF" w:rsidP="0066657C"/>
    <w:p w14:paraId="3069A40A" w14:textId="44A39A9C" w:rsidR="009C6BBF" w:rsidRDefault="007E4ED3" w:rsidP="0066657C">
      <w:r>
        <w:t xml:space="preserve">First, </w:t>
      </w:r>
      <w:r w:rsidR="009C6BBF">
        <w:t xml:space="preserve">the role of the Spirit in </w:t>
      </w:r>
      <w:r w:rsidR="009C6BBF" w:rsidRPr="009C6BBF">
        <w:rPr>
          <w:i/>
          <w:iCs/>
        </w:rPr>
        <w:t>The Crucified God</w:t>
      </w:r>
      <w:r w:rsidR="009C6BBF">
        <w:t xml:space="preserve"> is significantly </w:t>
      </w:r>
      <w:r w:rsidR="002017B5">
        <w:t xml:space="preserve">lacking. Whilst insisting throughout that the </w:t>
      </w:r>
      <w:r w:rsidR="005906DF">
        <w:t>crucifixion</w:t>
      </w:r>
      <w:r w:rsidR="002017B5">
        <w:t xml:space="preserve"> is a </w:t>
      </w:r>
      <w:r w:rsidR="003260A3">
        <w:t>fully</w:t>
      </w:r>
      <w:r w:rsidR="006B5F59">
        <w:t xml:space="preserve"> </w:t>
      </w:r>
      <w:r w:rsidR="003260A3">
        <w:t>T</w:t>
      </w:r>
      <w:r w:rsidR="002017B5">
        <w:t xml:space="preserve">rinitarian event, the </w:t>
      </w:r>
      <w:r w:rsidR="006B5F59">
        <w:t xml:space="preserve">particular </w:t>
      </w:r>
      <w:r w:rsidR="002017B5">
        <w:t xml:space="preserve">role of the Spirit remains unclear. Moltmann can speak of “the grief of the Father, the surrender of the Son </w:t>
      </w:r>
      <w:r w:rsidR="002017B5">
        <w:lastRenderedPageBreak/>
        <w:t>and the power of the Spirit”</w:t>
      </w:r>
      <w:r w:rsidR="002017B5">
        <w:rPr>
          <w:rStyle w:val="FootnoteReference"/>
        </w:rPr>
        <w:footnoteReference w:id="23"/>
      </w:r>
      <w:r w:rsidR="002017B5">
        <w:t xml:space="preserve"> and </w:t>
      </w:r>
      <w:r w:rsidR="00463F30">
        <w:t>“what proceeds from this event between Father and Son is the Spirit which justifies the godless”</w:t>
      </w:r>
      <w:r w:rsidR="00463F30">
        <w:rPr>
          <w:rStyle w:val="FootnoteReference"/>
        </w:rPr>
        <w:footnoteReference w:id="24"/>
      </w:r>
      <w:r w:rsidR="00463F30">
        <w:t xml:space="preserve">, but it is difficult to discern how the cross requires the distinct </w:t>
      </w:r>
      <w:r w:rsidR="003260A3">
        <w:t>P</w:t>
      </w:r>
      <w:r w:rsidR="00463F30">
        <w:t>ersonhood of the Spirit.</w:t>
      </w:r>
      <w:r w:rsidR="00463F30">
        <w:rPr>
          <w:rStyle w:val="FootnoteReference"/>
        </w:rPr>
        <w:footnoteReference w:id="25"/>
      </w:r>
      <w:r w:rsidR="00463F30">
        <w:t xml:space="preserve"> </w:t>
      </w:r>
      <w:r w:rsidR="00AC2EB4">
        <w:t>(</w:t>
      </w:r>
      <w:r w:rsidR="006B5F59">
        <w:t>His later works on pneumatology include the Spirit being capable of grief and suffering within creation</w:t>
      </w:r>
      <w:r w:rsidR="006B5F59">
        <w:rPr>
          <w:rStyle w:val="FootnoteReference"/>
        </w:rPr>
        <w:footnoteReference w:id="26"/>
      </w:r>
      <w:r w:rsidR="006B5F59">
        <w:t xml:space="preserve">, and the more fully </w:t>
      </w:r>
      <w:r w:rsidR="00704A65">
        <w:t>T</w:t>
      </w:r>
      <w:r w:rsidR="006B5F59">
        <w:t>rinitarian explication of the Spirit as the person who unites the Father and Son precisely in their moment of separation on the cross</w:t>
      </w:r>
      <w:r w:rsidR="00AC2EB4">
        <w:t>)</w:t>
      </w:r>
      <w:r w:rsidR="006B5F59">
        <w:t>.</w:t>
      </w:r>
      <w:r w:rsidR="006B5F59">
        <w:rPr>
          <w:rStyle w:val="FootnoteReference"/>
        </w:rPr>
        <w:footnoteReference w:id="27"/>
      </w:r>
    </w:p>
    <w:p w14:paraId="3B1F722D" w14:textId="406BEE55" w:rsidR="000C72A9" w:rsidRDefault="000C72A9" w:rsidP="0066657C"/>
    <w:p w14:paraId="07A2FF62" w14:textId="6B612C9F" w:rsidR="000C72A9" w:rsidRDefault="000C72A9" w:rsidP="0066657C">
      <w:r>
        <w:t>Secondly, Moltmann’s rejection of divine impassability</w:t>
      </w:r>
      <w:r w:rsidR="00C7274D">
        <w:t xml:space="preserve"> remains controversial and has drawn criticism, not least in the work of Roman Catholic theologian Thomas Weinandy</w:t>
      </w:r>
      <w:r w:rsidR="007E4ED3">
        <w:t>.</w:t>
      </w:r>
      <w:r w:rsidR="00C7274D">
        <w:t xml:space="preserve"> Unlike Moltmann, Weinandy begins with</w:t>
      </w:r>
      <w:r w:rsidR="007E4ED3">
        <w:t xml:space="preserve"> </w:t>
      </w:r>
      <w:r w:rsidR="00C7274D">
        <w:t xml:space="preserve">the Patristic doctrine of God, affirming that God is “wholly other” </w:t>
      </w:r>
      <w:r w:rsidR="00904E15">
        <w:t xml:space="preserve">and transcends </w:t>
      </w:r>
      <w:r w:rsidR="00C7274D">
        <w:t>creation</w:t>
      </w:r>
      <w:r w:rsidR="00904E15">
        <w:t xml:space="preserve"> </w:t>
      </w:r>
      <w:r w:rsidR="00C7274D">
        <w:t xml:space="preserve">thus cannot be affected by it from without </w:t>
      </w:r>
      <w:r w:rsidR="00AC2EB4">
        <w:t>h</w:t>
      </w:r>
      <w:r w:rsidR="00C7274D">
        <w:t>imself.</w:t>
      </w:r>
      <w:r w:rsidR="00C7274D">
        <w:rPr>
          <w:rStyle w:val="FootnoteReference"/>
        </w:rPr>
        <w:footnoteReference w:id="28"/>
      </w:r>
      <w:r w:rsidR="00C7274D">
        <w:t xml:space="preserve"> He maintains that the Persons of the Trinity </w:t>
      </w:r>
      <w:r w:rsidR="00DD42AA">
        <w:t>exist as utterly subsistent relations “fully in act”, in that they are wholly defined by their relationship to each other.</w:t>
      </w:r>
      <w:r w:rsidR="00DD42AA">
        <w:rPr>
          <w:rStyle w:val="FootnoteReference"/>
        </w:rPr>
        <w:footnoteReference w:id="29"/>
      </w:r>
      <w:r w:rsidR="00DD42AA">
        <w:t xml:space="preserve"> They cannot become more (or other) than they a</w:t>
      </w:r>
      <w:r w:rsidR="00704A65">
        <w:t>lready are</w:t>
      </w:r>
      <w:r w:rsidR="00DD42AA">
        <w:t>, as they eternally subsist in an inter-related act of</w:t>
      </w:r>
      <w:r w:rsidR="00904E15">
        <w:t xml:space="preserve"> </w:t>
      </w:r>
      <w:r w:rsidR="00DD42AA">
        <w:t xml:space="preserve">begetting </w:t>
      </w:r>
      <w:r w:rsidR="00904E15">
        <w:t>(Father)</w:t>
      </w:r>
      <w:r w:rsidR="00DD42AA">
        <w:t xml:space="preserve">, </w:t>
      </w:r>
      <w:r w:rsidR="00904E15">
        <w:t>being begotten (Son)</w:t>
      </w:r>
      <w:r w:rsidR="00DD42AA">
        <w:t>, and</w:t>
      </w:r>
      <w:r w:rsidR="00904E15">
        <w:t xml:space="preserve"> proceeding (Spirit)</w:t>
      </w:r>
      <w:r w:rsidR="00DD42AA">
        <w:t>.</w:t>
      </w:r>
      <w:r w:rsidR="00DD42AA">
        <w:rPr>
          <w:rStyle w:val="FootnoteReference"/>
        </w:rPr>
        <w:footnoteReference w:id="30"/>
      </w:r>
      <w:r w:rsidR="00DD42AA">
        <w:t xml:space="preserve"> </w:t>
      </w:r>
      <w:r w:rsidR="00904E15">
        <w:t xml:space="preserve">Being eternally all they can be excludes both </w:t>
      </w:r>
      <w:r w:rsidR="00DD42AA">
        <w:t>mutab</w:t>
      </w:r>
      <w:r w:rsidR="00904E15">
        <w:t>ility</w:t>
      </w:r>
      <w:r w:rsidR="00DD42AA">
        <w:t xml:space="preserve"> and </w:t>
      </w:r>
      <w:r w:rsidR="00904E15">
        <w:t>p</w:t>
      </w:r>
      <w:r w:rsidR="00704A65">
        <w:t>a</w:t>
      </w:r>
      <w:r w:rsidR="00904E15">
        <w:t>ssibility from the Trinity</w:t>
      </w:r>
      <w:r w:rsidR="00B64EA3">
        <w:t>. In considering the suffering of Jesus on the cross, Weinandy</w:t>
      </w:r>
      <w:r w:rsidR="00F25776">
        <w:t xml:space="preserve"> draws upon the writings of </w:t>
      </w:r>
      <w:r w:rsidR="00B64EA3">
        <w:t>Cyril of Alexandria as most successfully holding together the paradox of the “impassable suffering” of God</w:t>
      </w:r>
      <w:r w:rsidR="00CE6A70">
        <w:t>,</w:t>
      </w:r>
      <w:r w:rsidR="00B64EA3">
        <w:rPr>
          <w:rStyle w:val="FootnoteReference"/>
        </w:rPr>
        <w:footnoteReference w:id="31"/>
      </w:r>
      <w:r w:rsidR="00B64EA3">
        <w:t xml:space="preserve"> </w:t>
      </w:r>
      <w:r w:rsidR="00CE6A70">
        <w:t xml:space="preserve">(a position Moltmann views as intolerable despite the early fathers simply </w:t>
      </w:r>
      <w:r w:rsidR="00704A65">
        <w:t>“</w:t>
      </w:r>
      <w:r w:rsidR="00CE6A70">
        <w:t>letting the paradox stand</w:t>
      </w:r>
      <w:r w:rsidR="00704A65">
        <w:t>”</w:t>
      </w:r>
      <w:r w:rsidR="00CE6A70">
        <w:t>).</w:t>
      </w:r>
      <w:r w:rsidR="00CE6A70">
        <w:rPr>
          <w:rStyle w:val="FootnoteReference"/>
        </w:rPr>
        <w:footnoteReference w:id="32"/>
      </w:r>
      <w:r w:rsidR="00CE6A70">
        <w:t xml:space="preserve"> </w:t>
      </w:r>
      <w:r w:rsidR="00B64EA3">
        <w:t xml:space="preserve">Rather than considering which of the two natures </w:t>
      </w:r>
      <w:r w:rsidR="00F25776">
        <w:t xml:space="preserve">in </w:t>
      </w:r>
      <w:r w:rsidR="00B64EA3">
        <w:t>Christ suffered</w:t>
      </w:r>
      <w:r w:rsidR="00F25776">
        <w:t xml:space="preserve"> (</w:t>
      </w:r>
      <w:r w:rsidR="00B64EA3">
        <w:t xml:space="preserve">and rejecting the </w:t>
      </w:r>
      <w:r w:rsidR="00B64EA3">
        <w:rPr>
          <w:i/>
          <w:iCs/>
        </w:rPr>
        <w:t>tertium quid</w:t>
      </w:r>
      <w:r w:rsidR="00B64EA3">
        <w:t xml:space="preserve"> of a co-mingled nature</w:t>
      </w:r>
      <w:r w:rsidR="00F25776">
        <w:t>)</w:t>
      </w:r>
      <w:r w:rsidR="00B64EA3">
        <w:t xml:space="preserve">, Cyril </w:t>
      </w:r>
      <w:r w:rsidR="00704A65">
        <w:t>maintains</w:t>
      </w:r>
      <w:r w:rsidR="00DE25F6">
        <w:t xml:space="preserve"> that the human Christ is </w:t>
      </w:r>
      <w:r w:rsidR="00DE25F6">
        <w:rPr>
          <w:i/>
          <w:iCs/>
        </w:rPr>
        <w:t xml:space="preserve">mia physis </w:t>
      </w:r>
      <w:r w:rsidR="00DE25F6">
        <w:t>(one entity)</w:t>
      </w:r>
      <w:r w:rsidR="009C3C52">
        <w:t>.</w:t>
      </w:r>
      <w:r w:rsidR="00DE25F6">
        <w:rPr>
          <w:rStyle w:val="FootnoteReference"/>
        </w:rPr>
        <w:footnoteReference w:id="33"/>
      </w:r>
      <w:r w:rsidR="009C3C52">
        <w:t xml:space="preserve"> </w:t>
      </w:r>
      <w:r w:rsidR="00DE25F6">
        <w:t xml:space="preserve">In the Incarnation the Son takes on a new manner of existence </w:t>
      </w:r>
      <w:r w:rsidR="00F25776">
        <w:t xml:space="preserve"> as </w:t>
      </w:r>
      <w:r w:rsidR="00DE25F6">
        <w:t>man but with no change in His nature.</w:t>
      </w:r>
      <w:r w:rsidR="00DE25F6">
        <w:rPr>
          <w:rStyle w:val="FootnoteReference"/>
        </w:rPr>
        <w:footnoteReference w:id="34"/>
      </w:r>
      <w:r w:rsidR="00DE25F6">
        <w:t xml:space="preserve"> Thus the suffering of Jesus can truly be said to be the suffering of the Son of God </w:t>
      </w:r>
      <w:r w:rsidR="00DE25F6" w:rsidRPr="00704A65">
        <w:t>as man,</w:t>
      </w:r>
      <w:r w:rsidR="00DE25F6">
        <w:rPr>
          <w:i/>
          <w:iCs/>
        </w:rPr>
        <w:t xml:space="preserve"> but not as God.</w:t>
      </w:r>
      <w:r w:rsidR="00DE25F6">
        <w:rPr>
          <w:rStyle w:val="FootnoteReference"/>
          <w:i/>
          <w:iCs/>
        </w:rPr>
        <w:footnoteReference w:id="35"/>
      </w:r>
      <w:r w:rsidR="00DE25F6">
        <w:rPr>
          <w:i/>
          <w:iCs/>
        </w:rPr>
        <w:t xml:space="preserve"> </w:t>
      </w:r>
    </w:p>
    <w:p w14:paraId="4D7E642E" w14:textId="04D629EE" w:rsidR="00BA1F49" w:rsidRDefault="00BA1F49" w:rsidP="0066657C"/>
    <w:p w14:paraId="2713548C" w14:textId="00849BBB" w:rsidR="00BA1F49" w:rsidRDefault="00BA1F49" w:rsidP="0066657C">
      <w:r>
        <w:t>Whilst Weinandy does not explicitly refer to the economic or immanent Trinity</w:t>
      </w:r>
      <w:r w:rsidR="00F25776">
        <w:t xml:space="preserve"> </w:t>
      </w:r>
      <w:r w:rsidR="00F25776" w:rsidRPr="00F25776">
        <w:rPr>
          <w:i/>
          <w:iCs/>
        </w:rPr>
        <w:t>per se</w:t>
      </w:r>
      <w:r>
        <w:t xml:space="preserve">, he </w:t>
      </w:r>
      <w:r w:rsidR="007E4ED3">
        <w:t xml:space="preserve">clearly </w:t>
      </w:r>
      <w:r>
        <w:t xml:space="preserve">maintains a distinction between the two. The immanent Trinity is immutable, impassible and thus unaffected by the events of the cross. Conversely, the suffering of Christ is limited to the human Jesus and is no part of the immanent Trinity (other than an eternal knowledge of what </w:t>
      </w:r>
      <w:r w:rsidR="00F25776">
        <w:t xml:space="preserve">such </w:t>
      </w:r>
      <w:r>
        <w:t xml:space="preserve">suffering would entail). Against Moltamnn, </w:t>
      </w:r>
      <w:r w:rsidR="00F25776">
        <w:t xml:space="preserve">God the </w:t>
      </w:r>
      <w:r>
        <w:t xml:space="preserve">Father </w:t>
      </w:r>
      <w:r w:rsidR="00F25776">
        <w:t>does not</w:t>
      </w:r>
      <w:r>
        <w:t xml:space="preserve"> suffer in the event of the cross, as the Patristic doctrine of the impassible Trinity rejects this </w:t>
      </w:r>
      <w:r w:rsidRPr="00BA1F49">
        <w:rPr>
          <w:i/>
          <w:iCs/>
        </w:rPr>
        <w:t>a priori.</w:t>
      </w:r>
      <w:r w:rsidR="00F25776">
        <w:rPr>
          <w:i/>
          <w:iCs/>
        </w:rPr>
        <w:t xml:space="preserve"> </w:t>
      </w:r>
      <w:r w:rsidR="00F25776">
        <w:t>Weinandy stresses that God (and thus the immanent Trinity) is fully capable of emotions such as anger</w:t>
      </w:r>
      <w:r w:rsidR="007E4ED3">
        <w:t xml:space="preserve"> </w:t>
      </w:r>
      <w:r w:rsidR="00F25776">
        <w:t xml:space="preserve">and sorrow but only inasmuch as they are outward expressions of </w:t>
      </w:r>
      <w:r w:rsidR="00F25776">
        <w:lastRenderedPageBreak/>
        <w:t>his love towards a world corrupted by sin</w:t>
      </w:r>
      <w:r w:rsidR="00C513B8">
        <w:t>; they do not constitute direct suffering within the Godhead.</w:t>
      </w:r>
      <w:r w:rsidR="00C513B8">
        <w:rPr>
          <w:rStyle w:val="FootnoteReference"/>
        </w:rPr>
        <w:footnoteReference w:id="36"/>
      </w:r>
    </w:p>
    <w:p w14:paraId="75E4D33D" w14:textId="77777777" w:rsidR="009351D6" w:rsidRPr="00F25776" w:rsidRDefault="009351D6" w:rsidP="0066657C"/>
    <w:p w14:paraId="6716EAB8" w14:textId="77777777" w:rsidR="00C513B8" w:rsidRDefault="00C513B8" w:rsidP="0066657C">
      <w:pPr>
        <w:rPr>
          <w:i/>
          <w:iCs/>
        </w:rPr>
      </w:pPr>
    </w:p>
    <w:p w14:paraId="00C13260" w14:textId="63462E8E" w:rsidR="00BA1F49" w:rsidRPr="009B2595" w:rsidRDefault="00BA1F49" w:rsidP="009B2595">
      <w:pPr>
        <w:pStyle w:val="ListParagraph"/>
        <w:numPr>
          <w:ilvl w:val="0"/>
          <w:numId w:val="4"/>
        </w:numPr>
        <w:rPr>
          <w:i/>
          <w:iCs/>
        </w:rPr>
      </w:pPr>
      <w:r w:rsidRPr="009B2595">
        <w:rPr>
          <w:i/>
          <w:iCs/>
        </w:rPr>
        <w:t>Conclusions</w:t>
      </w:r>
    </w:p>
    <w:p w14:paraId="0301A034" w14:textId="706B8CFB" w:rsidR="00C513B8" w:rsidRDefault="00C513B8" w:rsidP="0066657C">
      <w:pPr>
        <w:rPr>
          <w:i/>
          <w:iCs/>
        </w:rPr>
      </w:pPr>
    </w:p>
    <w:p w14:paraId="5A50C8F6" w14:textId="4F9370DE" w:rsidR="005906DF" w:rsidRDefault="00C513B8" w:rsidP="0066657C">
      <w:r>
        <w:t xml:space="preserve">In </w:t>
      </w:r>
      <w:r w:rsidR="00271255">
        <w:t xml:space="preserve">contrasting Moltmann’s </w:t>
      </w:r>
      <w:r w:rsidR="00704A65">
        <w:t>T</w:t>
      </w:r>
      <w:r w:rsidR="00271255">
        <w:t xml:space="preserve">rinitarian theology of the cross with a </w:t>
      </w:r>
      <w:r w:rsidR="005C6A77">
        <w:t xml:space="preserve">more </w:t>
      </w:r>
      <w:r w:rsidR="00271255">
        <w:t xml:space="preserve">mainstream </w:t>
      </w:r>
      <w:r w:rsidR="005C6A77">
        <w:t xml:space="preserve">position </w:t>
      </w:r>
      <w:r w:rsidR="00271255">
        <w:t xml:space="preserve">such as </w:t>
      </w:r>
      <w:proofErr w:type="spellStart"/>
      <w:r w:rsidR="00271255">
        <w:t>Weinandy’s</w:t>
      </w:r>
      <w:proofErr w:type="spellEnd"/>
      <w:r w:rsidR="00271255">
        <w:t xml:space="preserve"> and the relevance for the immanent Trinity, I believe there are strengths and weakness</w:t>
      </w:r>
      <w:r w:rsidR="005C6A77">
        <w:t>es</w:t>
      </w:r>
      <w:r w:rsidR="00271255">
        <w:t xml:space="preserve"> in both approaches. I concur with Moltmann that if the cross represents the fullest revelation of who God is</w:t>
      </w:r>
      <w:r w:rsidR="00F14F30">
        <w:t xml:space="preserve"> </w:t>
      </w:r>
      <w:r w:rsidR="00F14F30" w:rsidRPr="00F14F30">
        <w:rPr>
          <w:i/>
          <w:iCs/>
        </w:rPr>
        <w:t xml:space="preserve">in </w:t>
      </w:r>
      <w:r w:rsidR="00F14F30">
        <w:rPr>
          <w:i/>
          <w:iCs/>
        </w:rPr>
        <w:t>H</w:t>
      </w:r>
      <w:r w:rsidR="00F14F30" w:rsidRPr="00F14F30">
        <w:rPr>
          <w:i/>
          <w:iCs/>
        </w:rPr>
        <w:t>imse</w:t>
      </w:r>
      <w:r w:rsidR="00F14F30">
        <w:rPr>
          <w:i/>
          <w:iCs/>
        </w:rPr>
        <w:t>l</w:t>
      </w:r>
      <w:r w:rsidR="00F14F30" w:rsidRPr="00F14F30">
        <w:rPr>
          <w:i/>
          <w:iCs/>
        </w:rPr>
        <w:t>f</w:t>
      </w:r>
      <w:r w:rsidR="00271255">
        <w:t xml:space="preserve">, then any doctrine of the </w:t>
      </w:r>
      <w:r w:rsidR="005C6A77">
        <w:t>T</w:t>
      </w:r>
      <w:r w:rsidR="00271255">
        <w:t>rinity must begin with what is revealed of God in Christ crucified</w:t>
      </w:r>
      <w:r w:rsidR="00F14F30">
        <w:t>, namely his self-giving love and suffering.</w:t>
      </w:r>
      <w:r w:rsidR="00F14F30">
        <w:rPr>
          <w:rStyle w:val="FootnoteReference"/>
        </w:rPr>
        <w:footnoteReference w:id="37"/>
      </w:r>
      <w:r w:rsidR="00F14F30">
        <w:t xml:space="preserve"> This then redefines our understanding of the immanent Trinity, and if Moltmann is correct that the cross becomes an event in the “history” of the Trinity itself, then the economic and immanent Trinity are equated and we must speak of actual suffering belonging to the Triune nature. </w:t>
      </w:r>
      <w:r w:rsidR="0025623D">
        <w:t>There is</w:t>
      </w:r>
      <w:r w:rsidR="00AC2EB4">
        <w:t xml:space="preserve"> certainly a </w:t>
      </w:r>
      <w:r w:rsidR="0025623D">
        <w:t>contemporary appeal and pastoral concern to his thesis; Moltmann wrote in the aftermath of World War Two and Auschwitz</w:t>
      </w:r>
      <w:r w:rsidR="00704A65">
        <w:t>.</w:t>
      </w:r>
      <w:r w:rsidR="0025623D">
        <w:rPr>
          <w:rStyle w:val="FootnoteReference"/>
        </w:rPr>
        <w:footnoteReference w:id="38"/>
      </w:r>
      <w:r w:rsidR="0025623D">
        <w:t xml:space="preserve"> The present day covid-19 pandemic has ensured questions of divine passibility remain relevant and actual. Where he is less convincing is the assertion of the suffering Father. Even if one accept</w:t>
      </w:r>
      <w:r w:rsidR="005C6A77">
        <w:t>s</w:t>
      </w:r>
      <w:r w:rsidR="0025623D">
        <w:t xml:space="preserve"> the </w:t>
      </w:r>
      <w:r w:rsidR="005906DF">
        <w:t xml:space="preserve">real </w:t>
      </w:r>
      <w:r w:rsidR="0025623D">
        <w:t>suffering of the Son</w:t>
      </w:r>
      <w:r w:rsidR="00AC2EB4">
        <w:t xml:space="preserve"> of God</w:t>
      </w:r>
      <w:r w:rsidR="0025623D">
        <w:t xml:space="preserve"> </w:t>
      </w:r>
      <w:r w:rsidR="00685915">
        <w:t xml:space="preserve">in the death of Jesus, to what extent we can speak of God the Father suffering is </w:t>
      </w:r>
      <w:r w:rsidR="005C6A77">
        <w:t xml:space="preserve">mere </w:t>
      </w:r>
      <w:r w:rsidR="00685915">
        <w:t>speculation.</w:t>
      </w:r>
    </w:p>
    <w:p w14:paraId="3BF64BD8" w14:textId="77777777" w:rsidR="00704A65" w:rsidRDefault="00704A65" w:rsidP="0066657C"/>
    <w:p w14:paraId="6E51B7A5" w14:textId="0D0602CE" w:rsidR="00154C32" w:rsidRDefault="00685915" w:rsidP="0066657C">
      <w:r>
        <w:t xml:space="preserve">In contrast, the more traditional method of Weinandy approaches the cross with the impassability of God as </w:t>
      </w:r>
      <w:r w:rsidR="005C6A77">
        <w:t xml:space="preserve">a </w:t>
      </w:r>
      <w:r>
        <w:t xml:space="preserve">pre-determined hermeneutic, which </w:t>
      </w:r>
      <w:r w:rsidR="005906DF">
        <w:t xml:space="preserve">then </w:t>
      </w:r>
      <w:r>
        <w:t>interprets Christ’s suffering rather than being defined by it. Consequently</w:t>
      </w:r>
      <w:r w:rsidR="005906DF">
        <w:t xml:space="preserve">, </w:t>
      </w:r>
      <w:r>
        <w:t xml:space="preserve">there is a distinction between the eternal, immanent Trinity and the temporal, economic Trinity. </w:t>
      </w:r>
      <w:r w:rsidR="002D5D7B">
        <w:t xml:space="preserve">His thorough treatment of the suffering of Christ being God’s suffering exclusively </w:t>
      </w:r>
      <w:r w:rsidR="002D5D7B" w:rsidRPr="005C6A77">
        <w:rPr>
          <w:i/>
          <w:iCs/>
        </w:rPr>
        <w:t>as man</w:t>
      </w:r>
      <w:r w:rsidR="007E4ED3">
        <w:t xml:space="preserve"> </w:t>
      </w:r>
      <w:r w:rsidR="002D5D7B">
        <w:t xml:space="preserve">can </w:t>
      </w:r>
      <w:r w:rsidR="005906DF">
        <w:t>simultaneously a</w:t>
      </w:r>
      <w:r w:rsidR="002D5D7B">
        <w:t xml:space="preserve">ffirm the suffering of the Son in the flesh and the impassibility of the immanent Trinity. However, I believe his thesis is weakened by </w:t>
      </w:r>
      <w:r w:rsidR="00704A65">
        <w:t xml:space="preserve">the prior </w:t>
      </w:r>
      <w:r w:rsidR="002D5D7B">
        <w:t>assum</w:t>
      </w:r>
      <w:r w:rsidR="00704A65">
        <w:t>ption of the impassibility of</w:t>
      </w:r>
      <w:r w:rsidR="002D5D7B">
        <w:t xml:space="preserve"> God, based on the creedal formulas and church Fathers, and then interpreting the </w:t>
      </w:r>
      <w:r w:rsidR="00704A65">
        <w:t>b</w:t>
      </w:r>
      <w:r w:rsidR="002D5D7B">
        <w:t xml:space="preserve">iblical revelation of God in light of this. </w:t>
      </w:r>
    </w:p>
    <w:p w14:paraId="00798468" w14:textId="50D92C8C" w:rsidR="00252519" w:rsidRDefault="00252519" w:rsidP="0066657C"/>
    <w:p w14:paraId="688C63E2" w14:textId="77777777" w:rsidR="00BD1B7B" w:rsidRDefault="00BD1B7B" w:rsidP="00A17235">
      <w:pPr>
        <w:rPr>
          <w:i/>
          <w:iCs/>
        </w:rPr>
      </w:pPr>
    </w:p>
    <w:p w14:paraId="087AE1FA" w14:textId="77777777" w:rsidR="00BD1B7B" w:rsidRDefault="00BD1B7B" w:rsidP="00A17235">
      <w:pPr>
        <w:rPr>
          <w:i/>
          <w:iCs/>
        </w:rPr>
      </w:pPr>
    </w:p>
    <w:p w14:paraId="2EE8977D" w14:textId="77777777" w:rsidR="00BD1B7B" w:rsidRDefault="00BD1B7B" w:rsidP="00A17235">
      <w:pPr>
        <w:rPr>
          <w:i/>
          <w:iCs/>
        </w:rPr>
      </w:pPr>
    </w:p>
    <w:p w14:paraId="58FB2D9D" w14:textId="77777777" w:rsidR="00BD1B7B" w:rsidRDefault="00BD1B7B" w:rsidP="00A17235">
      <w:pPr>
        <w:rPr>
          <w:i/>
          <w:iCs/>
        </w:rPr>
      </w:pPr>
    </w:p>
    <w:p w14:paraId="3F174C68" w14:textId="77777777" w:rsidR="00BD1B7B" w:rsidRDefault="00BD1B7B" w:rsidP="00A17235">
      <w:pPr>
        <w:rPr>
          <w:i/>
          <w:iCs/>
        </w:rPr>
      </w:pPr>
    </w:p>
    <w:p w14:paraId="1F310F3A" w14:textId="77777777" w:rsidR="00BD1B7B" w:rsidRDefault="00BD1B7B" w:rsidP="00A17235">
      <w:pPr>
        <w:rPr>
          <w:i/>
          <w:iCs/>
        </w:rPr>
      </w:pPr>
    </w:p>
    <w:p w14:paraId="2D2FC4A8" w14:textId="77777777" w:rsidR="009351D6" w:rsidRDefault="009351D6" w:rsidP="00A17235">
      <w:pPr>
        <w:rPr>
          <w:i/>
          <w:iCs/>
        </w:rPr>
      </w:pPr>
    </w:p>
    <w:p w14:paraId="13431AC9" w14:textId="77777777" w:rsidR="009351D6" w:rsidRDefault="009351D6" w:rsidP="00A17235">
      <w:pPr>
        <w:rPr>
          <w:i/>
          <w:iCs/>
        </w:rPr>
      </w:pPr>
    </w:p>
    <w:p w14:paraId="684AC4CF" w14:textId="77777777" w:rsidR="009351D6" w:rsidRDefault="009351D6" w:rsidP="00A17235">
      <w:pPr>
        <w:rPr>
          <w:i/>
          <w:iCs/>
        </w:rPr>
      </w:pPr>
    </w:p>
    <w:p w14:paraId="53E11A5B" w14:textId="77777777" w:rsidR="009351D6" w:rsidRDefault="009351D6" w:rsidP="00A17235">
      <w:pPr>
        <w:rPr>
          <w:i/>
          <w:iCs/>
        </w:rPr>
      </w:pPr>
    </w:p>
    <w:p w14:paraId="1BCCC814" w14:textId="77777777" w:rsidR="007E4ED3" w:rsidRDefault="007E4ED3" w:rsidP="00A17235">
      <w:pPr>
        <w:rPr>
          <w:i/>
          <w:iCs/>
        </w:rPr>
      </w:pPr>
    </w:p>
    <w:p w14:paraId="58C63B8E" w14:textId="3AA66065" w:rsidR="00141597" w:rsidRPr="00A336FD" w:rsidRDefault="00141597" w:rsidP="00A17235">
      <w:r w:rsidRPr="00154C32">
        <w:rPr>
          <w:i/>
          <w:iCs/>
        </w:rPr>
        <w:lastRenderedPageBreak/>
        <w:t>Bibliography</w:t>
      </w:r>
    </w:p>
    <w:p w14:paraId="5AD49A4B" w14:textId="77777777" w:rsidR="0023411C" w:rsidRDefault="0023411C" w:rsidP="00A17235"/>
    <w:p w14:paraId="0248F8DD" w14:textId="263B7820" w:rsidR="00154C32" w:rsidRDefault="00154C32" w:rsidP="00154C32">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Bauckham, R., </w:t>
      </w:r>
      <w:r w:rsidRPr="00154C32">
        <w:rPr>
          <w:rFonts w:eastAsia="Times New Roman" w:cstheme="minorHAnsi"/>
          <w:i/>
          <w:iCs/>
          <w:color w:val="222222"/>
          <w:shd w:val="clear" w:color="auto" w:fill="FFFFFF"/>
          <w:lang w:eastAsia="en-GB"/>
        </w:rPr>
        <w:t xml:space="preserve">The Theology of </w:t>
      </w:r>
      <w:r w:rsidR="009B2595" w:rsidRPr="009B2595">
        <w:rPr>
          <w:rFonts w:eastAsia="Times New Roman" w:cstheme="minorHAnsi"/>
          <w:i/>
          <w:iCs/>
          <w:color w:val="202122"/>
          <w:lang w:eastAsia="en-GB"/>
        </w:rPr>
        <w:t>Jürgen</w:t>
      </w:r>
      <w:r w:rsidR="009B2595">
        <w:rPr>
          <w:rFonts w:eastAsia="Times New Roman" w:cstheme="minorHAnsi"/>
          <w:i/>
          <w:iCs/>
          <w:color w:val="222222"/>
          <w:shd w:val="clear" w:color="auto" w:fill="FFFFFF"/>
          <w:lang w:eastAsia="en-GB"/>
        </w:rPr>
        <w:t xml:space="preserve"> </w:t>
      </w:r>
      <w:r w:rsidRPr="00154C32">
        <w:rPr>
          <w:rFonts w:eastAsia="Times New Roman" w:cstheme="minorHAnsi"/>
          <w:i/>
          <w:iCs/>
          <w:color w:val="222222"/>
          <w:shd w:val="clear" w:color="auto" w:fill="FFFFFF"/>
          <w:lang w:eastAsia="en-GB"/>
        </w:rPr>
        <w:t>Moltmann</w:t>
      </w:r>
      <w:r>
        <w:rPr>
          <w:rFonts w:eastAsia="Times New Roman" w:cstheme="minorHAnsi"/>
          <w:color w:val="222222"/>
          <w:shd w:val="clear" w:color="auto" w:fill="FFFFFF"/>
          <w:lang w:eastAsia="en-GB"/>
        </w:rPr>
        <w:t xml:space="preserve"> (London: T&amp;T Clark, 1995).</w:t>
      </w:r>
    </w:p>
    <w:p w14:paraId="131FD753" w14:textId="77777777" w:rsidR="00252519" w:rsidRDefault="00252519" w:rsidP="00A17235"/>
    <w:p w14:paraId="581B3CC6" w14:textId="39C5BB79" w:rsidR="00141597" w:rsidRDefault="0023411C" w:rsidP="00A17235">
      <w:r>
        <w:t xml:space="preserve">Bauckham, R., </w:t>
      </w:r>
      <w:r w:rsidRPr="0023411C">
        <w:rPr>
          <w:i/>
          <w:iCs/>
        </w:rPr>
        <w:t>Jesus and the God of Israel: ‘God Crucified’ and other Studies on the New Testament’s Christology of Divine Identity</w:t>
      </w:r>
      <w:r>
        <w:t xml:space="preserve"> (Milton Keyes: Paternoster, 2008).</w:t>
      </w:r>
    </w:p>
    <w:p w14:paraId="71B5D6F0" w14:textId="6803A80D" w:rsidR="00BD1B7B" w:rsidRDefault="00BD1B7B" w:rsidP="00A17235"/>
    <w:p w14:paraId="6F52E618" w14:textId="6D68E93C" w:rsidR="00BD1B7B" w:rsidRDefault="00BD1B7B" w:rsidP="00A17235">
      <w:proofErr w:type="spellStart"/>
      <w:r>
        <w:t>Gunton</w:t>
      </w:r>
      <w:proofErr w:type="spellEnd"/>
      <w:r>
        <w:t xml:space="preserve">, C. E., </w:t>
      </w:r>
      <w:r w:rsidRPr="00BD1B7B">
        <w:rPr>
          <w:i/>
          <w:iCs/>
        </w:rPr>
        <w:t>Father, Son and Holy Spirit: Essays Towards a Fully Trinitarian Theology</w:t>
      </w:r>
      <w:r>
        <w:rPr>
          <w:i/>
          <w:iCs/>
        </w:rPr>
        <w:t xml:space="preserve"> </w:t>
      </w:r>
      <w:r>
        <w:t>(London: T&amp;T Clark, 2003).</w:t>
      </w:r>
    </w:p>
    <w:p w14:paraId="1E7289CF" w14:textId="77777777" w:rsidR="00252519" w:rsidRDefault="00252519" w:rsidP="00154C32">
      <w:pPr>
        <w:rPr>
          <w:rFonts w:eastAsia="Times New Roman" w:cstheme="minorHAnsi"/>
          <w:color w:val="222222"/>
          <w:shd w:val="clear" w:color="auto" w:fill="FFFFFF"/>
          <w:lang w:eastAsia="en-GB"/>
        </w:rPr>
      </w:pPr>
    </w:p>
    <w:p w14:paraId="2C9E919E" w14:textId="479446F2" w:rsidR="00154C32" w:rsidRDefault="00154C32" w:rsidP="00154C32">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Heschel, A.J., </w:t>
      </w:r>
      <w:r w:rsidRPr="00FF75DA">
        <w:rPr>
          <w:rFonts w:eastAsia="Times New Roman" w:cstheme="minorHAnsi"/>
          <w:i/>
          <w:iCs/>
          <w:color w:val="222222"/>
          <w:shd w:val="clear" w:color="auto" w:fill="FFFFFF"/>
          <w:lang w:eastAsia="en-GB"/>
        </w:rPr>
        <w:t>The Prophets, Perennial Classics ed.</w:t>
      </w:r>
      <w:r>
        <w:rPr>
          <w:rFonts w:eastAsia="Times New Roman" w:cstheme="minorHAnsi"/>
          <w:color w:val="222222"/>
          <w:shd w:val="clear" w:color="auto" w:fill="FFFFFF"/>
          <w:lang w:eastAsia="en-GB"/>
        </w:rPr>
        <w:t xml:space="preserve"> (New York: Harper Collins, 2001).</w:t>
      </w:r>
    </w:p>
    <w:p w14:paraId="25CA0341" w14:textId="77777777" w:rsidR="00252519" w:rsidRDefault="00252519" w:rsidP="00154C32">
      <w:pPr>
        <w:rPr>
          <w:rFonts w:eastAsia="Times New Roman" w:cstheme="minorHAnsi"/>
          <w:color w:val="222222"/>
          <w:shd w:val="clear" w:color="auto" w:fill="FFFFFF"/>
          <w:lang w:eastAsia="en-GB"/>
        </w:rPr>
      </w:pPr>
    </w:p>
    <w:p w14:paraId="7B4473FB" w14:textId="2B1D8026" w:rsidR="00154C32" w:rsidRDefault="00154C32" w:rsidP="00154C32">
      <w:pPr>
        <w:rPr>
          <w:rFonts w:eastAsia="Times New Roman" w:cstheme="minorHAnsi"/>
          <w:color w:val="222222"/>
          <w:shd w:val="clear" w:color="auto" w:fill="FFFFFF"/>
          <w:lang w:eastAsia="en-GB"/>
        </w:rPr>
      </w:pPr>
      <w:r w:rsidRPr="00463F30">
        <w:rPr>
          <w:rFonts w:eastAsia="Times New Roman" w:cstheme="minorHAnsi"/>
          <w:color w:val="222222"/>
          <w:shd w:val="clear" w:color="auto" w:fill="FFFFFF"/>
          <w:lang w:eastAsia="en-GB"/>
        </w:rPr>
        <w:t xml:space="preserve">Jowers, Dennis W. "The Theology of the Cross as Theology of the Trinity: A Critique of </w:t>
      </w:r>
      <w:r w:rsidR="009B2595" w:rsidRPr="00154C32">
        <w:rPr>
          <w:rFonts w:eastAsia="Times New Roman" w:cstheme="minorHAnsi"/>
          <w:color w:val="202122"/>
          <w:lang w:eastAsia="en-GB"/>
        </w:rPr>
        <w:t>Jürgen</w:t>
      </w:r>
      <w:r w:rsidRPr="00463F30">
        <w:rPr>
          <w:rFonts w:eastAsia="Times New Roman" w:cstheme="minorHAnsi"/>
          <w:color w:val="222222"/>
          <w:shd w:val="clear" w:color="auto" w:fill="FFFFFF"/>
          <w:lang w:eastAsia="en-GB"/>
        </w:rPr>
        <w:t xml:space="preserve"> Moltmann's Staurocentric Trinitarianism." </w:t>
      </w:r>
      <w:r w:rsidRPr="00463F30">
        <w:rPr>
          <w:rFonts w:eastAsia="Times New Roman" w:cstheme="minorHAnsi"/>
          <w:i/>
          <w:iCs/>
          <w:color w:val="222222"/>
          <w:lang w:eastAsia="en-GB"/>
        </w:rPr>
        <w:t>Tyndale Bulletin</w:t>
      </w:r>
      <w:r w:rsidRPr="00463F30">
        <w:rPr>
          <w:rFonts w:eastAsia="Times New Roman" w:cstheme="minorHAnsi"/>
          <w:color w:val="222222"/>
          <w:shd w:val="clear" w:color="auto" w:fill="FFFFFF"/>
          <w:lang w:eastAsia="en-GB"/>
        </w:rPr>
        <w:t xml:space="preserve"> 52.2 (2001): </w:t>
      </w:r>
      <w:r>
        <w:rPr>
          <w:rFonts w:eastAsia="Times New Roman" w:cstheme="minorHAnsi"/>
          <w:color w:val="222222"/>
          <w:shd w:val="clear" w:color="auto" w:fill="FFFFFF"/>
          <w:lang w:eastAsia="en-GB"/>
        </w:rPr>
        <w:t>pp</w:t>
      </w:r>
      <w:r w:rsidRPr="00463F30">
        <w:rPr>
          <w:rFonts w:eastAsia="Times New Roman" w:cstheme="minorHAnsi"/>
          <w:color w:val="222222"/>
          <w:shd w:val="clear" w:color="auto" w:fill="FFFFFF"/>
          <w:lang w:eastAsia="en-GB"/>
        </w:rPr>
        <w:t>245-266.</w:t>
      </w:r>
    </w:p>
    <w:p w14:paraId="565D2EAB" w14:textId="77777777" w:rsidR="00252519" w:rsidRDefault="00252519" w:rsidP="00154C32">
      <w:pPr>
        <w:rPr>
          <w:rFonts w:eastAsia="Times New Roman" w:cstheme="minorHAnsi"/>
          <w:color w:val="222222"/>
          <w:shd w:val="clear" w:color="auto" w:fill="FFFFFF"/>
          <w:lang w:eastAsia="en-GB"/>
        </w:rPr>
      </w:pPr>
    </w:p>
    <w:p w14:paraId="2329CDBC" w14:textId="51EB9919" w:rsidR="00154C32" w:rsidRDefault="00154C32" w:rsidP="00154C32">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McGrath, A.E., </w:t>
      </w:r>
      <w:r w:rsidRPr="00154C32">
        <w:rPr>
          <w:rFonts w:eastAsia="Times New Roman" w:cstheme="minorHAnsi"/>
          <w:i/>
          <w:iCs/>
          <w:color w:val="222222"/>
          <w:shd w:val="clear" w:color="auto" w:fill="FFFFFF"/>
          <w:lang w:eastAsia="en-GB"/>
        </w:rPr>
        <w:t>Christian Theology: An Introduction, Sixth ed</w:t>
      </w:r>
      <w:r>
        <w:rPr>
          <w:rFonts w:eastAsia="Times New Roman" w:cstheme="minorHAnsi"/>
          <w:color w:val="222222"/>
          <w:shd w:val="clear" w:color="auto" w:fill="FFFFFF"/>
          <w:lang w:eastAsia="en-GB"/>
        </w:rPr>
        <w:t>. (Chichester: Blackwell, 2017).</w:t>
      </w:r>
    </w:p>
    <w:p w14:paraId="1DB8FA14" w14:textId="77777777" w:rsidR="00252519" w:rsidRDefault="00252519" w:rsidP="00154C32"/>
    <w:p w14:paraId="7BA70FA5" w14:textId="4FD4471D" w:rsidR="00154C32" w:rsidRDefault="00154C32" w:rsidP="00154C32">
      <w:r>
        <w:t xml:space="preserve">Moltmann, J., </w:t>
      </w:r>
      <w:r w:rsidRPr="00D2605B">
        <w:rPr>
          <w:i/>
          <w:iCs/>
        </w:rPr>
        <w:t>The Crucified God: The Cross of Christ as the Foundation and Criticism of Christian Theology</w:t>
      </w:r>
      <w:r>
        <w:t xml:space="preserve"> (London: SCM Press, 1974).</w:t>
      </w:r>
    </w:p>
    <w:p w14:paraId="35A92A10" w14:textId="77777777" w:rsidR="00252519" w:rsidRDefault="00252519" w:rsidP="00A17235"/>
    <w:p w14:paraId="57FCEDBC" w14:textId="5C5EA33C" w:rsidR="00141597" w:rsidRDefault="00141597" w:rsidP="00A17235">
      <w:r>
        <w:t xml:space="preserve">Moltmann, J., </w:t>
      </w:r>
      <w:r w:rsidRPr="0023411C">
        <w:rPr>
          <w:i/>
          <w:iCs/>
        </w:rPr>
        <w:t>God in Creation: An Ecological Doctrine of Creation</w:t>
      </w:r>
      <w:r>
        <w:t xml:space="preserve"> (London: SCM Press, 1985).</w:t>
      </w:r>
    </w:p>
    <w:p w14:paraId="0AA7C5D7" w14:textId="77777777" w:rsidR="00252519" w:rsidRDefault="00252519" w:rsidP="00A17235"/>
    <w:p w14:paraId="6F463E4D" w14:textId="7D59E1D9" w:rsidR="00D2605B" w:rsidRDefault="00D2605B" w:rsidP="00A17235">
      <w:r>
        <w:t>Moltm</w:t>
      </w:r>
      <w:r w:rsidR="00EE1674">
        <w:t>ann</w:t>
      </w:r>
      <w:r>
        <w:t xml:space="preserve">, J., </w:t>
      </w:r>
      <w:r w:rsidRPr="00154C32">
        <w:rPr>
          <w:i/>
          <w:iCs/>
        </w:rPr>
        <w:t xml:space="preserve">The Trinity and the Kingdom: The </w:t>
      </w:r>
      <w:r w:rsidR="009B2595">
        <w:rPr>
          <w:i/>
          <w:iCs/>
        </w:rPr>
        <w:t>D</w:t>
      </w:r>
      <w:r w:rsidRPr="00154C32">
        <w:rPr>
          <w:i/>
          <w:iCs/>
        </w:rPr>
        <w:t>octrine of God</w:t>
      </w:r>
      <w:r w:rsidR="009B2595">
        <w:t xml:space="preserve"> </w:t>
      </w:r>
      <w:r>
        <w:t>(Minneapolis: Fortress Press, 1993).</w:t>
      </w:r>
    </w:p>
    <w:p w14:paraId="191044F1" w14:textId="77777777" w:rsidR="00252519" w:rsidRDefault="00252519" w:rsidP="00463F30">
      <w:pPr>
        <w:rPr>
          <w:rFonts w:eastAsia="Times New Roman" w:cstheme="minorHAnsi"/>
          <w:color w:val="222222"/>
          <w:shd w:val="clear" w:color="auto" w:fill="FFFFFF"/>
          <w:lang w:eastAsia="en-GB"/>
        </w:rPr>
      </w:pPr>
    </w:p>
    <w:p w14:paraId="0E1B0F29" w14:textId="6CDA9843" w:rsidR="00CE6A70" w:rsidRDefault="00CE6A70" w:rsidP="00463F30">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Kasper, W., </w:t>
      </w:r>
      <w:r w:rsidRPr="00154C32">
        <w:rPr>
          <w:rFonts w:eastAsia="Times New Roman" w:cstheme="minorHAnsi"/>
          <w:i/>
          <w:iCs/>
          <w:color w:val="222222"/>
          <w:shd w:val="clear" w:color="auto" w:fill="FFFFFF"/>
          <w:lang w:eastAsia="en-GB"/>
        </w:rPr>
        <w:t>The God of Jesus Christ</w:t>
      </w:r>
      <w:r>
        <w:rPr>
          <w:rFonts w:eastAsia="Times New Roman" w:cstheme="minorHAnsi"/>
          <w:color w:val="222222"/>
          <w:shd w:val="clear" w:color="auto" w:fill="FFFFFF"/>
          <w:lang w:eastAsia="en-GB"/>
        </w:rPr>
        <w:t xml:space="preserve"> (London, Continuum, 2012).</w:t>
      </w:r>
    </w:p>
    <w:p w14:paraId="3B939EB2" w14:textId="77777777" w:rsidR="00252519" w:rsidRDefault="00252519" w:rsidP="00A17235"/>
    <w:p w14:paraId="7009F15C" w14:textId="099BDDAB" w:rsidR="00463F30" w:rsidRDefault="003260A3" w:rsidP="00A17235">
      <w:r>
        <w:t>Rahner, K</w:t>
      </w:r>
      <w:r w:rsidRPr="00154C32">
        <w:rPr>
          <w:i/>
          <w:iCs/>
        </w:rPr>
        <w:t xml:space="preserve">., The Trinity, </w:t>
      </w:r>
      <w:r w:rsidR="00154C32">
        <w:rPr>
          <w:i/>
          <w:iCs/>
        </w:rPr>
        <w:t>T</w:t>
      </w:r>
      <w:r w:rsidRPr="00154C32">
        <w:rPr>
          <w:i/>
          <w:iCs/>
        </w:rPr>
        <w:t>hird ed</w:t>
      </w:r>
      <w:r>
        <w:t>. (London: Continuum, 1</w:t>
      </w:r>
      <w:r w:rsidR="009B2595">
        <w:t>9</w:t>
      </w:r>
      <w:r>
        <w:t>86).</w:t>
      </w:r>
    </w:p>
    <w:p w14:paraId="7A320AF0" w14:textId="77777777" w:rsidR="00252519" w:rsidRDefault="00252519" w:rsidP="00154C32">
      <w:pPr>
        <w:rPr>
          <w:rFonts w:eastAsia="Times New Roman" w:cstheme="minorHAnsi"/>
          <w:color w:val="222222"/>
          <w:shd w:val="clear" w:color="auto" w:fill="FFFFFF"/>
          <w:lang w:eastAsia="en-GB"/>
        </w:rPr>
      </w:pPr>
    </w:p>
    <w:p w14:paraId="6117D467" w14:textId="293BE7A2" w:rsidR="00154C32" w:rsidRDefault="00154C32" w:rsidP="00154C32">
      <w:pPr>
        <w:rPr>
          <w:rFonts w:eastAsia="Times New Roman" w:cstheme="minorHAnsi"/>
          <w:color w:val="222222"/>
          <w:shd w:val="clear" w:color="auto" w:fill="FFFFFF"/>
          <w:lang w:eastAsia="en-GB"/>
        </w:rPr>
      </w:pPr>
      <w:r>
        <w:rPr>
          <w:rFonts w:eastAsia="Times New Roman" w:cstheme="minorHAnsi"/>
          <w:color w:val="222222"/>
          <w:shd w:val="clear" w:color="auto" w:fill="FFFFFF"/>
          <w:lang w:eastAsia="en-GB"/>
        </w:rPr>
        <w:t xml:space="preserve">Weinandy, T.G., </w:t>
      </w:r>
      <w:r>
        <w:rPr>
          <w:rFonts w:eastAsia="Times New Roman" w:cstheme="minorHAnsi"/>
          <w:i/>
          <w:iCs/>
          <w:color w:val="222222"/>
          <w:shd w:val="clear" w:color="auto" w:fill="FFFFFF"/>
          <w:lang w:eastAsia="en-GB"/>
        </w:rPr>
        <w:t xml:space="preserve">Does God Suffer? </w:t>
      </w:r>
      <w:r>
        <w:rPr>
          <w:rFonts w:eastAsia="Times New Roman" w:cstheme="minorHAnsi"/>
          <w:color w:val="222222"/>
          <w:shd w:val="clear" w:color="auto" w:fill="FFFFFF"/>
          <w:lang w:eastAsia="en-GB"/>
        </w:rPr>
        <w:t>(Edinburgh, T&amp;T Clark, 2000).</w:t>
      </w:r>
    </w:p>
    <w:p w14:paraId="3863A0AD" w14:textId="77777777" w:rsidR="00154C32" w:rsidRDefault="00154C32" w:rsidP="00A17235"/>
    <w:p w14:paraId="38C8DFC9" w14:textId="77777777" w:rsidR="00141597" w:rsidRPr="00A1498F" w:rsidRDefault="00141597" w:rsidP="00A17235"/>
    <w:p w14:paraId="35733B58" w14:textId="77777777" w:rsidR="00A17235" w:rsidRDefault="00A17235" w:rsidP="009D4C3F"/>
    <w:p w14:paraId="3E271D7B" w14:textId="77777777" w:rsidR="009D4C3F" w:rsidRPr="009D4C3F" w:rsidRDefault="009D4C3F" w:rsidP="009D4C3F"/>
    <w:p w14:paraId="4EAC06F9" w14:textId="77777777" w:rsidR="00A0088C" w:rsidRDefault="00A0088C" w:rsidP="00A0088C"/>
    <w:p w14:paraId="54C6EEF0" w14:textId="6EC95483" w:rsidR="00A0088C" w:rsidRDefault="00A0088C"/>
    <w:p w14:paraId="3CBC11F0" w14:textId="77777777" w:rsidR="00A0088C" w:rsidRDefault="00A0088C"/>
    <w:sectPr w:rsidR="00A008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987744" w14:textId="77777777" w:rsidR="00570DC5" w:rsidRDefault="00570DC5" w:rsidP="009D4C3F">
      <w:r>
        <w:separator/>
      </w:r>
    </w:p>
  </w:endnote>
  <w:endnote w:type="continuationSeparator" w:id="0">
    <w:p w14:paraId="72344937" w14:textId="77777777" w:rsidR="00570DC5" w:rsidRDefault="00570DC5" w:rsidP="009D4C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2E55B8" w14:textId="77777777" w:rsidR="00570DC5" w:rsidRDefault="00570DC5" w:rsidP="009D4C3F">
      <w:r>
        <w:separator/>
      </w:r>
    </w:p>
  </w:footnote>
  <w:footnote w:type="continuationSeparator" w:id="0">
    <w:p w14:paraId="0A9DC61E" w14:textId="77777777" w:rsidR="00570DC5" w:rsidRDefault="00570DC5" w:rsidP="009D4C3F">
      <w:r>
        <w:continuationSeparator/>
      </w:r>
    </w:p>
  </w:footnote>
  <w:footnote w:id="1">
    <w:p w14:paraId="57C21245" w14:textId="15102BEC" w:rsidR="009E1B9D" w:rsidRDefault="009E1B9D">
      <w:pPr>
        <w:pStyle w:val="FootnoteText"/>
      </w:pPr>
      <w:r>
        <w:rPr>
          <w:rStyle w:val="FootnoteReference"/>
        </w:rPr>
        <w:footnoteRef/>
      </w:r>
      <w:r>
        <w:t xml:space="preserve"> A. E. McGrath, </w:t>
      </w:r>
      <w:r w:rsidRPr="009E1B9D">
        <w:rPr>
          <w:i/>
          <w:iCs/>
        </w:rPr>
        <w:t>Christian Theology: An Introduction, sixth ed.</w:t>
      </w:r>
      <w:r>
        <w:t xml:space="preserve"> (Chichester: Blackwell, 2017), p.308</w:t>
      </w:r>
      <w:r w:rsidR="00407FA6">
        <w:t xml:space="preserve">; C. E. </w:t>
      </w:r>
      <w:proofErr w:type="spellStart"/>
      <w:r w:rsidR="00407FA6">
        <w:t>Gunton</w:t>
      </w:r>
      <w:proofErr w:type="spellEnd"/>
      <w:r w:rsidR="00407FA6">
        <w:t xml:space="preserve">, </w:t>
      </w:r>
      <w:r w:rsidR="00407FA6" w:rsidRPr="00BD1B7B">
        <w:rPr>
          <w:i/>
          <w:iCs/>
        </w:rPr>
        <w:t>Father, Son and Holy Spirit: Essays Towards a Fully Trinitarian Theology</w:t>
      </w:r>
      <w:r w:rsidR="00407FA6">
        <w:rPr>
          <w:i/>
          <w:iCs/>
        </w:rPr>
        <w:t xml:space="preserve"> </w:t>
      </w:r>
      <w:r w:rsidR="00407FA6">
        <w:t>(London: T&amp;T Clark, 2003), pp.40-43.</w:t>
      </w:r>
    </w:p>
  </w:footnote>
  <w:footnote w:id="2">
    <w:p w14:paraId="36335A0A" w14:textId="73A2E0D4" w:rsidR="009D4C3F" w:rsidRDefault="009D4C3F">
      <w:pPr>
        <w:pStyle w:val="FootnoteText"/>
      </w:pPr>
      <w:r>
        <w:rPr>
          <w:rStyle w:val="FootnoteReference"/>
        </w:rPr>
        <w:footnoteRef/>
      </w:r>
      <w:r>
        <w:t xml:space="preserve"> </w:t>
      </w:r>
      <w:r w:rsidR="00407FA6">
        <w:t xml:space="preserve">J. </w:t>
      </w:r>
      <w:r w:rsidR="00D2605B">
        <w:t>Moltmann</w:t>
      </w:r>
      <w:r>
        <w:t>,</w:t>
      </w:r>
      <w:r w:rsidR="00D2605B">
        <w:t xml:space="preserve"> </w:t>
      </w:r>
      <w:r w:rsidR="00407FA6">
        <w:rPr>
          <w:i/>
          <w:iCs/>
        </w:rPr>
        <w:t xml:space="preserve">The </w:t>
      </w:r>
      <w:r w:rsidR="00D2605B">
        <w:rPr>
          <w:i/>
          <w:iCs/>
        </w:rPr>
        <w:t>Crucified God</w:t>
      </w:r>
      <w:r w:rsidR="00407FA6">
        <w:rPr>
          <w:i/>
          <w:iCs/>
        </w:rPr>
        <w:t xml:space="preserve"> </w:t>
      </w:r>
      <w:r w:rsidR="00407FA6">
        <w:t xml:space="preserve">(London: SCM Press, 1974), </w:t>
      </w:r>
      <w:r>
        <w:t>p7.</w:t>
      </w:r>
    </w:p>
  </w:footnote>
  <w:footnote w:id="3">
    <w:p w14:paraId="7ACBB516" w14:textId="2E5F93FF" w:rsidR="00AD4D34" w:rsidRDefault="00AD4D34">
      <w:pPr>
        <w:pStyle w:val="FootnoteText"/>
      </w:pPr>
      <w:r>
        <w:rPr>
          <w:rStyle w:val="FootnoteReference"/>
        </w:rPr>
        <w:footnoteRef/>
      </w:r>
      <w:r>
        <w:t xml:space="preserve"> Ibid, p27.</w:t>
      </w:r>
    </w:p>
  </w:footnote>
  <w:footnote w:id="4">
    <w:p w14:paraId="3B748CE5" w14:textId="12B2AEC7" w:rsidR="00AD4D34" w:rsidRDefault="00AD4D34">
      <w:pPr>
        <w:pStyle w:val="FootnoteText"/>
      </w:pPr>
      <w:r>
        <w:rPr>
          <w:rStyle w:val="FootnoteReference"/>
        </w:rPr>
        <w:footnoteRef/>
      </w:r>
      <w:r>
        <w:t xml:space="preserve"> Ibid, p27.</w:t>
      </w:r>
    </w:p>
  </w:footnote>
  <w:footnote w:id="5">
    <w:p w14:paraId="370BA12A" w14:textId="09E7A81F" w:rsidR="00AD4D34" w:rsidRDefault="00AD4D34">
      <w:pPr>
        <w:pStyle w:val="FootnoteText"/>
      </w:pPr>
      <w:r>
        <w:rPr>
          <w:rStyle w:val="FootnoteReference"/>
        </w:rPr>
        <w:footnoteRef/>
      </w:r>
      <w:r>
        <w:t xml:space="preserve"> Ibid, p228-229.</w:t>
      </w:r>
    </w:p>
  </w:footnote>
  <w:footnote w:id="6">
    <w:p w14:paraId="5478EB1B" w14:textId="2038D88C" w:rsidR="00AD4D34" w:rsidRDefault="00AD4D34">
      <w:pPr>
        <w:pStyle w:val="FootnoteText"/>
      </w:pPr>
      <w:r>
        <w:rPr>
          <w:rStyle w:val="FootnoteReference"/>
        </w:rPr>
        <w:footnoteRef/>
      </w:r>
      <w:r>
        <w:t xml:space="preserve"> Ibid, p229.</w:t>
      </w:r>
    </w:p>
  </w:footnote>
  <w:footnote w:id="7">
    <w:p w14:paraId="03F4794B" w14:textId="2657DE0C" w:rsidR="00AD4D34" w:rsidRDefault="00AD4D34">
      <w:pPr>
        <w:pStyle w:val="FootnoteText"/>
      </w:pPr>
      <w:r>
        <w:rPr>
          <w:rStyle w:val="FootnoteReference"/>
        </w:rPr>
        <w:footnoteRef/>
      </w:r>
      <w:r>
        <w:t xml:space="preserve"> Ibid, p229.</w:t>
      </w:r>
    </w:p>
  </w:footnote>
  <w:footnote w:id="8">
    <w:p w14:paraId="182CE3DC" w14:textId="52D4F707" w:rsidR="00AD4D34" w:rsidRDefault="00AD4D34">
      <w:pPr>
        <w:pStyle w:val="FootnoteText"/>
      </w:pPr>
      <w:r>
        <w:rPr>
          <w:rStyle w:val="FootnoteReference"/>
        </w:rPr>
        <w:footnoteRef/>
      </w:r>
      <w:r>
        <w:t xml:space="preserve"> Ibid, 230.</w:t>
      </w:r>
    </w:p>
  </w:footnote>
  <w:footnote w:id="9">
    <w:p w14:paraId="1911F600" w14:textId="59412A95" w:rsidR="00FF75DA" w:rsidRDefault="00FF75DA">
      <w:pPr>
        <w:pStyle w:val="FootnoteText"/>
      </w:pPr>
      <w:r>
        <w:rPr>
          <w:rStyle w:val="FootnoteReference"/>
        </w:rPr>
        <w:footnoteRef/>
      </w:r>
      <w:r>
        <w:t xml:space="preserve"> Ibid, p222.</w:t>
      </w:r>
    </w:p>
  </w:footnote>
  <w:footnote w:id="10">
    <w:p w14:paraId="67F6C7A8" w14:textId="5D71C60B" w:rsidR="00FF75DA" w:rsidRDefault="00FF75DA">
      <w:pPr>
        <w:pStyle w:val="FootnoteText"/>
      </w:pPr>
      <w:r>
        <w:rPr>
          <w:rStyle w:val="FootnoteReference"/>
        </w:rPr>
        <w:footnoteRef/>
      </w:r>
      <w:r>
        <w:t xml:space="preserve"> Ibid, pp270-273; A.J. Heschel, </w:t>
      </w:r>
      <w:r w:rsidRPr="00FF75DA">
        <w:rPr>
          <w:i/>
          <w:iCs/>
        </w:rPr>
        <w:t>The Prophets</w:t>
      </w:r>
      <w:r>
        <w:rPr>
          <w:i/>
          <w:iCs/>
        </w:rPr>
        <w:t>, Perennial Classics ed.</w:t>
      </w:r>
      <w:r>
        <w:t xml:space="preserve"> (New York: Harper Collins), pp285-298.</w:t>
      </w:r>
    </w:p>
  </w:footnote>
  <w:footnote w:id="11">
    <w:p w14:paraId="386DC74B" w14:textId="0D54D4AC" w:rsidR="007D20F4" w:rsidRDefault="007D20F4">
      <w:pPr>
        <w:pStyle w:val="FootnoteText"/>
      </w:pPr>
      <w:r>
        <w:rPr>
          <w:rStyle w:val="FootnoteReference"/>
        </w:rPr>
        <w:footnoteRef/>
      </w:r>
      <w:r>
        <w:t xml:space="preserve"> “God was in Christ, reconciling the world to himself.”</w:t>
      </w:r>
    </w:p>
  </w:footnote>
  <w:footnote w:id="12">
    <w:p w14:paraId="7F00B843" w14:textId="006EC024" w:rsidR="007D20F4" w:rsidRDefault="007D20F4">
      <w:pPr>
        <w:pStyle w:val="FootnoteText"/>
      </w:pPr>
      <w:r>
        <w:rPr>
          <w:rStyle w:val="FootnoteReference"/>
        </w:rPr>
        <w:footnoteRef/>
      </w:r>
      <w:r>
        <w:t xml:space="preserve"> “My God, my God, why have you forsaken me?”</w:t>
      </w:r>
    </w:p>
  </w:footnote>
  <w:footnote w:id="13">
    <w:p w14:paraId="603B46D8" w14:textId="6FBC431E" w:rsidR="00FD64B7" w:rsidRDefault="00FD64B7">
      <w:pPr>
        <w:pStyle w:val="FootnoteText"/>
      </w:pPr>
      <w:r>
        <w:rPr>
          <w:rStyle w:val="FootnoteReference"/>
        </w:rPr>
        <w:footnoteRef/>
      </w:r>
      <w:r>
        <w:t xml:space="preserve"> </w:t>
      </w:r>
      <w:r w:rsidR="00D2605B">
        <w:t>Ibid, p</w:t>
      </w:r>
      <w:r>
        <w:t>192</w:t>
      </w:r>
      <w:r w:rsidR="00D2605B">
        <w:t>.</w:t>
      </w:r>
    </w:p>
  </w:footnote>
  <w:footnote w:id="14">
    <w:p w14:paraId="1F579C82" w14:textId="7EAEC6A3" w:rsidR="007D20F4" w:rsidRDefault="007D20F4">
      <w:pPr>
        <w:pStyle w:val="FootnoteText"/>
      </w:pPr>
      <w:r>
        <w:rPr>
          <w:rStyle w:val="FootnoteReference"/>
        </w:rPr>
        <w:footnoteRef/>
      </w:r>
      <w:r>
        <w:t xml:space="preserve"> </w:t>
      </w:r>
      <w:r w:rsidR="00EE1674">
        <w:t>Ibid</w:t>
      </w:r>
      <w:r>
        <w:t>, p145-147; R. Bauckham,</w:t>
      </w:r>
      <w:r w:rsidR="00201A67">
        <w:t xml:space="preserve"> </w:t>
      </w:r>
      <w:r w:rsidRPr="00605506">
        <w:rPr>
          <w:rFonts w:eastAsia="Times New Roman" w:cstheme="minorHAnsi"/>
          <w:i/>
          <w:iCs/>
          <w:color w:val="222222"/>
          <w:shd w:val="clear" w:color="auto" w:fill="FFFFFF"/>
          <w:lang w:eastAsia="en-GB"/>
        </w:rPr>
        <w:t xml:space="preserve">The Theology of </w:t>
      </w:r>
      <w:r w:rsidR="009B2595" w:rsidRPr="009B2595">
        <w:rPr>
          <w:rFonts w:eastAsia="Times New Roman" w:cstheme="minorHAnsi"/>
          <w:i/>
          <w:iCs/>
          <w:color w:val="202122"/>
          <w:lang w:eastAsia="en-GB"/>
        </w:rPr>
        <w:t>Jürgen</w:t>
      </w:r>
      <w:r w:rsidRPr="00605506">
        <w:rPr>
          <w:rFonts w:eastAsia="Times New Roman" w:cstheme="minorHAnsi"/>
          <w:i/>
          <w:iCs/>
          <w:color w:val="222222"/>
          <w:shd w:val="clear" w:color="auto" w:fill="FFFFFF"/>
          <w:lang w:eastAsia="en-GB"/>
        </w:rPr>
        <w:t xml:space="preserve"> Moltmann</w:t>
      </w:r>
      <w:r w:rsidRPr="00605506">
        <w:rPr>
          <w:rFonts w:eastAsia="Times New Roman" w:cstheme="minorHAnsi"/>
          <w:color w:val="222222"/>
          <w:shd w:val="clear" w:color="auto" w:fill="FFFFFF"/>
          <w:lang w:eastAsia="en-GB"/>
        </w:rPr>
        <w:t xml:space="preserve"> (London: T&amp;T Clark, 1995)</w:t>
      </w:r>
      <w:r>
        <w:rPr>
          <w:rFonts w:eastAsia="Times New Roman" w:cstheme="minorHAnsi"/>
          <w:color w:val="222222"/>
          <w:shd w:val="clear" w:color="auto" w:fill="FFFFFF"/>
          <w:lang w:eastAsia="en-GB"/>
        </w:rPr>
        <w:t xml:space="preserve">, </w:t>
      </w:r>
      <w:r w:rsidRPr="00605506">
        <w:rPr>
          <w:rFonts w:cstheme="minorHAnsi"/>
        </w:rPr>
        <w:t>pp</w:t>
      </w:r>
      <w:r w:rsidR="00201A67">
        <w:rPr>
          <w:rFonts w:cstheme="minorHAnsi"/>
        </w:rPr>
        <w:t>53-55</w:t>
      </w:r>
      <w:r w:rsidRPr="00605506">
        <w:rPr>
          <w:rFonts w:cstheme="minorHAnsi"/>
        </w:rPr>
        <w:t>.</w:t>
      </w:r>
    </w:p>
  </w:footnote>
  <w:footnote w:id="15">
    <w:p w14:paraId="27808074" w14:textId="790A7AFF" w:rsidR="007248BF" w:rsidRDefault="007248BF">
      <w:pPr>
        <w:pStyle w:val="FootnoteText"/>
      </w:pPr>
      <w:r>
        <w:rPr>
          <w:rStyle w:val="FootnoteReference"/>
        </w:rPr>
        <w:footnoteRef/>
      </w:r>
      <w:r>
        <w:t xml:space="preserve"> </w:t>
      </w:r>
      <w:r w:rsidR="00D2605B">
        <w:t xml:space="preserve">Ibid, </w:t>
      </w:r>
      <w:r>
        <w:t>p246</w:t>
      </w:r>
      <w:r w:rsidR="00D2605B">
        <w:t>.</w:t>
      </w:r>
    </w:p>
  </w:footnote>
  <w:footnote w:id="16">
    <w:p w14:paraId="608B9762" w14:textId="47D197D7" w:rsidR="006E4222" w:rsidRDefault="006E4222">
      <w:pPr>
        <w:pStyle w:val="FootnoteText"/>
      </w:pPr>
      <w:r>
        <w:rPr>
          <w:rStyle w:val="FootnoteReference"/>
        </w:rPr>
        <w:footnoteRef/>
      </w:r>
      <w:r>
        <w:t xml:space="preserve"> </w:t>
      </w:r>
      <w:r w:rsidR="00D2605B">
        <w:t>Ibid, p</w:t>
      </w:r>
      <w:r>
        <w:t>193.</w:t>
      </w:r>
    </w:p>
  </w:footnote>
  <w:footnote w:id="17">
    <w:p w14:paraId="1CFA45AC" w14:textId="0DFD0D6D" w:rsidR="00587063" w:rsidRDefault="00587063">
      <w:pPr>
        <w:pStyle w:val="FootnoteText"/>
      </w:pPr>
      <w:r>
        <w:rPr>
          <w:rStyle w:val="FootnoteReference"/>
        </w:rPr>
        <w:footnoteRef/>
      </w:r>
      <w:r>
        <w:t xml:space="preserve"> </w:t>
      </w:r>
      <w:r w:rsidR="00D2605B">
        <w:t>Ibid, p</w:t>
      </w:r>
      <w:r>
        <w:t xml:space="preserve">240; </w:t>
      </w:r>
      <w:r w:rsidR="00D2605B">
        <w:t xml:space="preserve">J. Moltmann, </w:t>
      </w:r>
      <w:r w:rsidR="00D2605B" w:rsidRPr="00D2605B">
        <w:rPr>
          <w:i/>
          <w:iCs/>
        </w:rPr>
        <w:t xml:space="preserve">The Trinity and the Kingdom: The </w:t>
      </w:r>
      <w:r w:rsidR="00D2605B">
        <w:rPr>
          <w:i/>
          <w:iCs/>
        </w:rPr>
        <w:t>D</w:t>
      </w:r>
      <w:r w:rsidR="00D2605B" w:rsidRPr="00D2605B">
        <w:rPr>
          <w:i/>
          <w:iCs/>
        </w:rPr>
        <w:t>octrine of God</w:t>
      </w:r>
      <w:r w:rsidR="00D2605B">
        <w:t xml:space="preserve"> (Minneapolis: Fortress Press, 1993), p</w:t>
      </w:r>
      <w:r>
        <w:t>160</w:t>
      </w:r>
      <w:r w:rsidR="00201A67">
        <w:t xml:space="preserve">; K. Rahner, </w:t>
      </w:r>
      <w:r w:rsidR="00201A67" w:rsidRPr="00201A67">
        <w:rPr>
          <w:i/>
          <w:iCs/>
        </w:rPr>
        <w:t>The Trinity, third ed.</w:t>
      </w:r>
      <w:r w:rsidR="00201A67">
        <w:t xml:space="preserve"> (London: Continuum, 1986), p22.</w:t>
      </w:r>
    </w:p>
  </w:footnote>
  <w:footnote w:id="18">
    <w:p w14:paraId="56067162" w14:textId="3D506045" w:rsidR="005A4AB9" w:rsidRDefault="005A4AB9">
      <w:pPr>
        <w:pStyle w:val="FootnoteText"/>
      </w:pPr>
      <w:r>
        <w:rPr>
          <w:rStyle w:val="FootnoteReference"/>
        </w:rPr>
        <w:footnoteRef/>
      </w:r>
      <w:r>
        <w:t xml:space="preserve"> </w:t>
      </w:r>
      <w:r w:rsidR="00D2605B">
        <w:t xml:space="preserve">Moltmann, </w:t>
      </w:r>
      <w:r w:rsidR="00D2605B">
        <w:rPr>
          <w:i/>
          <w:iCs/>
        </w:rPr>
        <w:t xml:space="preserve">Crucified God, </w:t>
      </w:r>
      <w:r w:rsidR="00D2605B">
        <w:t>p</w:t>
      </w:r>
      <w:r>
        <w:t>240.</w:t>
      </w:r>
    </w:p>
  </w:footnote>
  <w:footnote w:id="19">
    <w:p w14:paraId="6AA3653F" w14:textId="28EE54CA" w:rsidR="00C63CD2" w:rsidRDefault="00C63CD2">
      <w:pPr>
        <w:pStyle w:val="FootnoteText"/>
      </w:pPr>
      <w:r>
        <w:rPr>
          <w:rStyle w:val="FootnoteReference"/>
        </w:rPr>
        <w:footnoteRef/>
      </w:r>
      <w:r>
        <w:t xml:space="preserve"> </w:t>
      </w:r>
      <w:r w:rsidR="00D2605B">
        <w:t xml:space="preserve">Moltmann, </w:t>
      </w:r>
      <w:r w:rsidR="00D2605B">
        <w:rPr>
          <w:i/>
          <w:iCs/>
        </w:rPr>
        <w:t xml:space="preserve">Trinity, </w:t>
      </w:r>
      <w:r w:rsidR="00D2605B">
        <w:t>p</w:t>
      </w:r>
      <w:r>
        <w:t>159</w:t>
      </w:r>
      <w:r w:rsidR="00D2605B">
        <w:t>.</w:t>
      </w:r>
    </w:p>
  </w:footnote>
  <w:footnote w:id="20">
    <w:p w14:paraId="019F4364" w14:textId="7B7BF56F" w:rsidR="00C63CD2" w:rsidRDefault="00C63CD2">
      <w:pPr>
        <w:pStyle w:val="FootnoteText"/>
      </w:pPr>
      <w:r>
        <w:rPr>
          <w:rStyle w:val="FootnoteReference"/>
        </w:rPr>
        <w:footnoteRef/>
      </w:r>
      <w:r>
        <w:t xml:space="preserve"> </w:t>
      </w:r>
      <w:r w:rsidR="00D2605B">
        <w:t xml:space="preserve">Moltmann, </w:t>
      </w:r>
      <w:r w:rsidR="00D2605B">
        <w:rPr>
          <w:i/>
          <w:iCs/>
        </w:rPr>
        <w:t xml:space="preserve">Crucified God, </w:t>
      </w:r>
      <w:r w:rsidR="00D2605B">
        <w:t>p</w:t>
      </w:r>
      <w:r>
        <w:t>243</w:t>
      </w:r>
      <w:r w:rsidR="00D2605B">
        <w:t>.</w:t>
      </w:r>
    </w:p>
  </w:footnote>
  <w:footnote w:id="21">
    <w:p w14:paraId="0B65AB58" w14:textId="7F93E158" w:rsidR="0066657C" w:rsidRDefault="0066657C">
      <w:pPr>
        <w:pStyle w:val="FootnoteText"/>
      </w:pPr>
      <w:r>
        <w:rPr>
          <w:rStyle w:val="FootnoteReference"/>
        </w:rPr>
        <w:footnoteRef/>
      </w:r>
      <w:r>
        <w:t xml:space="preserve"> </w:t>
      </w:r>
      <w:r w:rsidR="00D2605B">
        <w:t>Ibid, p</w:t>
      </w:r>
      <w:r>
        <w:t>193</w:t>
      </w:r>
      <w:r w:rsidR="00D2605B">
        <w:t>.</w:t>
      </w:r>
      <w:r>
        <w:t xml:space="preserve"> </w:t>
      </w:r>
    </w:p>
  </w:footnote>
  <w:footnote w:id="22">
    <w:p w14:paraId="71E37816" w14:textId="0D236BD7" w:rsidR="0066657C" w:rsidRDefault="0066657C">
      <w:pPr>
        <w:pStyle w:val="FootnoteText"/>
      </w:pPr>
      <w:r>
        <w:rPr>
          <w:rStyle w:val="FootnoteReference"/>
        </w:rPr>
        <w:footnoteRef/>
      </w:r>
      <w:r>
        <w:t xml:space="preserve"> </w:t>
      </w:r>
      <w:r w:rsidR="00D2605B">
        <w:t>Ibid, p</w:t>
      </w:r>
      <w:r>
        <w:t>255</w:t>
      </w:r>
      <w:r w:rsidR="00D2605B">
        <w:t>.</w:t>
      </w:r>
    </w:p>
  </w:footnote>
  <w:footnote w:id="23">
    <w:p w14:paraId="7FA5AD86" w14:textId="1B0C8BE2" w:rsidR="002017B5" w:rsidRDefault="002017B5">
      <w:pPr>
        <w:pStyle w:val="FootnoteText"/>
      </w:pPr>
      <w:r>
        <w:rPr>
          <w:rStyle w:val="FootnoteReference"/>
        </w:rPr>
        <w:footnoteRef/>
      </w:r>
      <w:r>
        <w:t xml:space="preserve"> </w:t>
      </w:r>
      <w:r w:rsidR="00D2605B">
        <w:t>Ibid, p</w:t>
      </w:r>
      <w:r>
        <w:t>278</w:t>
      </w:r>
      <w:r w:rsidR="00D2605B">
        <w:t>.</w:t>
      </w:r>
      <w:r>
        <w:t xml:space="preserve"> </w:t>
      </w:r>
    </w:p>
  </w:footnote>
  <w:footnote w:id="24">
    <w:p w14:paraId="4A34B618" w14:textId="2750806D" w:rsidR="00463F30" w:rsidRDefault="00463F30">
      <w:pPr>
        <w:pStyle w:val="FootnoteText"/>
      </w:pPr>
      <w:r>
        <w:rPr>
          <w:rStyle w:val="FootnoteReference"/>
        </w:rPr>
        <w:footnoteRef/>
      </w:r>
      <w:r>
        <w:t xml:space="preserve"> </w:t>
      </w:r>
      <w:r w:rsidR="00D2605B">
        <w:t>Ibid, p</w:t>
      </w:r>
      <w:r>
        <w:t>244</w:t>
      </w:r>
      <w:r w:rsidR="00D2605B">
        <w:t>.</w:t>
      </w:r>
    </w:p>
  </w:footnote>
  <w:footnote w:id="25">
    <w:p w14:paraId="6803A909" w14:textId="5DB0E32B" w:rsidR="00463F30" w:rsidRPr="000556C9" w:rsidRDefault="00463F30" w:rsidP="000556C9">
      <w:pPr>
        <w:rPr>
          <w:rFonts w:eastAsia="Times New Roman" w:cstheme="minorHAnsi"/>
          <w:sz w:val="20"/>
          <w:szCs w:val="20"/>
          <w:lang w:eastAsia="en-GB"/>
        </w:rPr>
      </w:pPr>
      <w:r w:rsidRPr="000556C9">
        <w:rPr>
          <w:rStyle w:val="FootnoteReference"/>
          <w:rFonts w:cstheme="minorHAnsi"/>
          <w:sz w:val="20"/>
          <w:szCs w:val="20"/>
        </w:rPr>
        <w:footnoteRef/>
      </w:r>
      <w:r w:rsidRPr="000556C9">
        <w:rPr>
          <w:rFonts w:cstheme="minorHAnsi"/>
          <w:sz w:val="20"/>
          <w:szCs w:val="20"/>
        </w:rPr>
        <w:t xml:space="preserve"> </w:t>
      </w:r>
      <w:r w:rsidR="00D2605B" w:rsidRPr="000556C9">
        <w:rPr>
          <w:rFonts w:eastAsia="Times New Roman" w:cstheme="minorHAnsi"/>
          <w:color w:val="222222"/>
          <w:sz w:val="20"/>
          <w:szCs w:val="20"/>
          <w:shd w:val="clear" w:color="auto" w:fill="FFFFFF"/>
          <w:lang w:eastAsia="en-GB"/>
        </w:rPr>
        <w:t xml:space="preserve">D.W. Jowers, </w:t>
      </w:r>
      <w:r w:rsidRPr="000556C9">
        <w:rPr>
          <w:rFonts w:eastAsia="Times New Roman" w:cstheme="minorHAnsi"/>
          <w:color w:val="222222"/>
          <w:sz w:val="20"/>
          <w:szCs w:val="20"/>
          <w:shd w:val="clear" w:color="auto" w:fill="FFFFFF"/>
          <w:lang w:eastAsia="en-GB"/>
        </w:rPr>
        <w:t xml:space="preserve">"The Theology of the Cross as Theology of the Trinity: A Critique of </w:t>
      </w:r>
      <w:r w:rsidR="009B2595" w:rsidRPr="009B2595">
        <w:rPr>
          <w:rFonts w:eastAsia="Times New Roman" w:cstheme="minorHAnsi"/>
          <w:color w:val="202122"/>
          <w:sz w:val="20"/>
          <w:szCs w:val="20"/>
          <w:lang w:eastAsia="en-GB"/>
        </w:rPr>
        <w:t>Jürgen</w:t>
      </w:r>
      <w:r w:rsidRPr="000556C9">
        <w:rPr>
          <w:rFonts w:eastAsia="Times New Roman" w:cstheme="minorHAnsi"/>
          <w:color w:val="222222"/>
          <w:sz w:val="20"/>
          <w:szCs w:val="20"/>
          <w:shd w:val="clear" w:color="auto" w:fill="FFFFFF"/>
          <w:lang w:eastAsia="en-GB"/>
        </w:rPr>
        <w:t xml:space="preserve"> Moltmann's Staurocentric Trinitarianism." </w:t>
      </w:r>
      <w:r w:rsidRPr="000556C9">
        <w:rPr>
          <w:rFonts w:eastAsia="Times New Roman" w:cstheme="minorHAnsi"/>
          <w:i/>
          <w:iCs/>
          <w:color w:val="222222"/>
          <w:sz w:val="20"/>
          <w:szCs w:val="20"/>
          <w:lang w:eastAsia="en-GB"/>
        </w:rPr>
        <w:t>Tyndale Bulletin</w:t>
      </w:r>
      <w:r w:rsidRPr="000556C9">
        <w:rPr>
          <w:rFonts w:eastAsia="Times New Roman" w:cstheme="minorHAnsi"/>
          <w:color w:val="222222"/>
          <w:sz w:val="20"/>
          <w:szCs w:val="20"/>
          <w:shd w:val="clear" w:color="auto" w:fill="FFFFFF"/>
          <w:lang w:eastAsia="en-GB"/>
        </w:rPr>
        <w:t xml:space="preserve"> 52.2 (2001): </w:t>
      </w:r>
      <w:r w:rsidR="00D2605B" w:rsidRPr="000556C9">
        <w:rPr>
          <w:rFonts w:eastAsia="Times New Roman" w:cstheme="minorHAnsi"/>
          <w:color w:val="222222"/>
          <w:sz w:val="20"/>
          <w:szCs w:val="20"/>
          <w:shd w:val="clear" w:color="auto" w:fill="FFFFFF"/>
          <w:lang w:eastAsia="en-GB"/>
        </w:rPr>
        <w:t>pp</w:t>
      </w:r>
      <w:r w:rsidRPr="000556C9">
        <w:rPr>
          <w:rFonts w:eastAsia="Times New Roman" w:cstheme="minorHAnsi"/>
          <w:color w:val="222222"/>
          <w:sz w:val="20"/>
          <w:szCs w:val="20"/>
          <w:shd w:val="clear" w:color="auto" w:fill="FFFFFF"/>
          <w:lang w:eastAsia="en-GB"/>
        </w:rPr>
        <w:t>263-264.</w:t>
      </w:r>
    </w:p>
  </w:footnote>
  <w:footnote w:id="26">
    <w:p w14:paraId="6C0A79CA" w14:textId="52B7E40F" w:rsidR="006B5F59" w:rsidRDefault="006B5F59">
      <w:pPr>
        <w:pStyle w:val="FootnoteText"/>
      </w:pPr>
      <w:r>
        <w:rPr>
          <w:rStyle w:val="FootnoteReference"/>
        </w:rPr>
        <w:footnoteRef/>
      </w:r>
      <w:r>
        <w:t xml:space="preserve"> </w:t>
      </w:r>
      <w:r w:rsidR="009C3C52">
        <w:t xml:space="preserve">J. </w:t>
      </w:r>
      <w:r w:rsidR="00CE6A70">
        <w:t>Moltmann,</w:t>
      </w:r>
      <w:r w:rsidR="009C3C52">
        <w:t xml:space="preserve"> </w:t>
      </w:r>
      <w:r w:rsidR="009C3C52" w:rsidRPr="0023411C">
        <w:rPr>
          <w:i/>
          <w:iCs/>
        </w:rPr>
        <w:t>God in Creation: An Ecological Doctrine of Creation</w:t>
      </w:r>
      <w:r w:rsidR="009C3C52">
        <w:t xml:space="preserve"> (London: SCM Press, 1985), </w:t>
      </w:r>
      <w:r w:rsidR="00CE6A70">
        <w:t>pp</w:t>
      </w:r>
      <w:r>
        <w:t>96</w:t>
      </w:r>
      <w:r w:rsidR="00CE6A70">
        <w:t>-</w:t>
      </w:r>
      <w:r>
        <w:t>97</w:t>
      </w:r>
      <w:r w:rsidR="00CE6A70">
        <w:t>.</w:t>
      </w:r>
    </w:p>
  </w:footnote>
  <w:footnote w:id="27">
    <w:p w14:paraId="0000F734" w14:textId="11799583" w:rsidR="006B5F59" w:rsidRDefault="006B5F59">
      <w:pPr>
        <w:pStyle w:val="FootnoteText"/>
      </w:pPr>
      <w:r>
        <w:rPr>
          <w:rStyle w:val="FootnoteReference"/>
        </w:rPr>
        <w:footnoteRef/>
      </w:r>
      <w:r>
        <w:t xml:space="preserve"> </w:t>
      </w:r>
      <w:r w:rsidR="000556C9">
        <w:t xml:space="preserve">Moltmann, </w:t>
      </w:r>
      <w:r w:rsidR="000556C9">
        <w:rPr>
          <w:i/>
          <w:iCs/>
        </w:rPr>
        <w:t xml:space="preserve">Trinity, </w:t>
      </w:r>
      <w:r w:rsidR="000556C9">
        <w:t>p</w:t>
      </w:r>
      <w:r>
        <w:t>83</w:t>
      </w:r>
      <w:r w:rsidR="000556C9">
        <w:t>.</w:t>
      </w:r>
    </w:p>
  </w:footnote>
  <w:footnote w:id="28">
    <w:p w14:paraId="39FE4EFE" w14:textId="0DEB79B9" w:rsidR="00C7274D" w:rsidRPr="000556C9" w:rsidRDefault="00C7274D" w:rsidP="000556C9">
      <w:pPr>
        <w:rPr>
          <w:rFonts w:eastAsia="Times New Roman" w:cstheme="minorHAnsi"/>
          <w:color w:val="222222"/>
          <w:sz w:val="20"/>
          <w:szCs w:val="20"/>
          <w:shd w:val="clear" w:color="auto" w:fill="FFFFFF"/>
          <w:lang w:eastAsia="en-GB"/>
        </w:rPr>
      </w:pPr>
      <w:r w:rsidRPr="000556C9">
        <w:rPr>
          <w:rStyle w:val="FootnoteReference"/>
          <w:rFonts w:cstheme="minorHAnsi"/>
          <w:sz w:val="20"/>
          <w:szCs w:val="20"/>
        </w:rPr>
        <w:footnoteRef/>
      </w:r>
      <w:r w:rsidRPr="000556C9">
        <w:rPr>
          <w:rFonts w:cstheme="minorHAnsi"/>
          <w:sz w:val="20"/>
          <w:szCs w:val="20"/>
        </w:rPr>
        <w:t xml:space="preserve"> </w:t>
      </w:r>
      <w:r w:rsidR="000556C9" w:rsidRPr="000556C9">
        <w:rPr>
          <w:rFonts w:cstheme="minorHAnsi"/>
          <w:sz w:val="20"/>
          <w:szCs w:val="20"/>
        </w:rPr>
        <w:t xml:space="preserve">T.G. </w:t>
      </w:r>
      <w:r w:rsidR="000556C9" w:rsidRPr="000556C9">
        <w:rPr>
          <w:rFonts w:eastAsia="Times New Roman" w:cstheme="minorHAnsi"/>
          <w:color w:val="222222"/>
          <w:sz w:val="20"/>
          <w:szCs w:val="20"/>
          <w:shd w:val="clear" w:color="auto" w:fill="FFFFFF"/>
          <w:lang w:eastAsia="en-GB"/>
        </w:rPr>
        <w:t xml:space="preserve">Weinandy, </w:t>
      </w:r>
      <w:r w:rsidR="000556C9" w:rsidRPr="000556C9">
        <w:rPr>
          <w:rFonts w:eastAsia="Times New Roman" w:cstheme="minorHAnsi"/>
          <w:i/>
          <w:iCs/>
          <w:color w:val="222222"/>
          <w:sz w:val="20"/>
          <w:szCs w:val="20"/>
          <w:shd w:val="clear" w:color="auto" w:fill="FFFFFF"/>
          <w:lang w:eastAsia="en-GB"/>
        </w:rPr>
        <w:t xml:space="preserve">Does God Suffer? </w:t>
      </w:r>
      <w:r w:rsidR="000556C9" w:rsidRPr="000556C9">
        <w:rPr>
          <w:rFonts w:eastAsia="Times New Roman" w:cstheme="minorHAnsi"/>
          <w:color w:val="222222"/>
          <w:sz w:val="20"/>
          <w:szCs w:val="20"/>
          <w:shd w:val="clear" w:color="auto" w:fill="FFFFFF"/>
          <w:lang w:eastAsia="en-GB"/>
        </w:rPr>
        <w:t>(Edinburgh, T&amp;T Clark, 2000)</w:t>
      </w:r>
      <w:r w:rsidR="000556C9">
        <w:rPr>
          <w:rFonts w:eastAsia="Times New Roman" w:cstheme="minorHAnsi"/>
          <w:color w:val="222222"/>
          <w:sz w:val="20"/>
          <w:szCs w:val="20"/>
          <w:shd w:val="clear" w:color="auto" w:fill="FFFFFF"/>
          <w:lang w:eastAsia="en-GB"/>
        </w:rPr>
        <w:t xml:space="preserve">, </w:t>
      </w:r>
      <w:r w:rsidR="000556C9" w:rsidRPr="000556C9">
        <w:rPr>
          <w:rFonts w:eastAsia="Times New Roman" w:cstheme="minorHAnsi"/>
          <w:color w:val="222222"/>
          <w:sz w:val="20"/>
          <w:szCs w:val="20"/>
          <w:shd w:val="clear" w:color="auto" w:fill="FFFFFF"/>
          <w:lang w:eastAsia="en-GB"/>
        </w:rPr>
        <w:t>pp53-5.</w:t>
      </w:r>
    </w:p>
  </w:footnote>
  <w:footnote w:id="29">
    <w:p w14:paraId="5229515F" w14:textId="130A3DD9" w:rsidR="00DD42AA" w:rsidRDefault="00DD42AA">
      <w:pPr>
        <w:pStyle w:val="FootnoteText"/>
      </w:pPr>
      <w:r>
        <w:rPr>
          <w:rStyle w:val="FootnoteReference"/>
        </w:rPr>
        <w:footnoteRef/>
      </w:r>
      <w:r>
        <w:t xml:space="preserve"> </w:t>
      </w:r>
      <w:r w:rsidR="000556C9">
        <w:t xml:space="preserve">Weinandy, </w:t>
      </w:r>
      <w:r w:rsidR="000556C9">
        <w:rPr>
          <w:i/>
          <w:iCs/>
        </w:rPr>
        <w:t xml:space="preserve">Does God Suffer? </w:t>
      </w:r>
      <w:r w:rsidR="000556C9">
        <w:t>pp</w:t>
      </w:r>
      <w:r>
        <w:t>114-119</w:t>
      </w:r>
      <w:r w:rsidR="000556C9">
        <w:t>.</w:t>
      </w:r>
    </w:p>
  </w:footnote>
  <w:footnote w:id="30">
    <w:p w14:paraId="01522FBC" w14:textId="43C2A3E7" w:rsidR="00DD42AA" w:rsidRDefault="00DD42AA">
      <w:pPr>
        <w:pStyle w:val="FootnoteText"/>
      </w:pPr>
      <w:r>
        <w:rPr>
          <w:rStyle w:val="FootnoteReference"/>
        </w:rPr>
        <w:footnoteRef/>
      </w:r>
      <w:r>
        <w:t xml:space="preserve"> </w:t>
      </w:r>
      <w:r w:rsidR="000556C9">
        <w:t>Ibid, pp</w:t>
      </w:r>
      <w:r>
        <w:t>119-120</w:t>
      </w:r>
      <w:r w:rsidR="000556C9">
        <w:t>.</w:t>
      </w:r>
    </w:p>
  </w:footnote>
  <w:footnote w:id="31">
    <w:p w14:paraId="57A65526" w14:textId="46D2284C" w:rsidR="00B64EA3" w:rsidRDefault="00B64EA3">
      <w:pPr>
        <w:pStyle w:val="FootnoteText"/>
      </w:pPr>
      <w:r>
        <w:rPr>
          <w:rStyle w:val="FootnoteReference"/>
        </w:rPr>
        <w:footnoteRef/>
      </w:r>
      <w:r>
        <w:t xml:space="preserve"> </w:t>
      </w:r>
      <w:r w:rsidR="00CE6A70">
        <w:t>Ibid, 190-213.</w:t>
      </w:r>
    </w:p>
  </w:footnote>
  <w:footnote w:id="32">
    <w:p w14:paraId="4588BA8C" w14:textId="31884B73" w:rsidR="00CE6A70" w:rsidRPr="00CE6A70" w:rsidRDefault="00CE6A70" w:rsidP="00CE6A70">
      <w:pPr>
        <w:rPr>
          <w:rFonts w:eastAsia="Times New Roman" w:cstheme="minorHAnsi"/>
          <w:color w:val="222222"/>
          <w:sz w:val="20"/>
          <w:szCs w:val="20"/>
          <w:shd w:val="clear" w:color="auto" w:fill="FFFFFF"/>
          <w:lang w:eastAsia="en-GB"/>
        </w:rPr>
      </w:pPr>
      <w:r w:rsidRPr="00CE6A70">
        <w:rPr>
          <w:rStyle w:val="FootnoteReference"/>
          <w:rFonts w:cstheme="minorHAnsi"/>
          <w:sz w:val="20"/>
          <w:szCs w:val="20"/>
        </w:rPr>
        <w:footnoteRef/>
      </w:r>
      <w:r w:rsidRPr="00CE6A70">
        <w:rPr>
          <w:rFonts w:cstheme="minorHAnsi"/>
          <w:sz w:val="20"/>
          <w:szCs w:val="20"/>
        </w:rPr>
        <w:t xml:space="preserve"> Moltmann, </w:t>
      </w:r>
      <w:r w:rsidRPr="00CE6A70">
        <w:rPr>
          <w:rFonts w:cstheme="minorHAnsi"/>
          <w:i/>
          <w:iCs/>
          <w:sz w:val="20"/>
          <w:szCs w:val="20"/>
        </w:rPr>
        <w:t xml:space="preserve">Trinity, </w:t>
      </w:r>
      <w:r w:rsidRPr="00CE6A70">
        <w:rPr>
          <w:rFonts w:cstheme="minorHAnsi"/>
          <w:sz w:val="20"/>
          <w:szCs w:val="20"/>
        </w:rPr>
        <w:t xml:space="preserve">p22; W. </w:t>
      </w:r>
      <w:r w:rsidRPr="00CE6A70">
        <w:rPr>
          <w:rFonts w:eastAsia="Times New Roman" w:cstheme="minorHAnsi"/>
          <w:color w:val="222222"/>
          <w:sz w:val="20"/>
          <w:szCs w:val="20"/>
          <w:shd w:val="clear" w:color="auto" w:fill="FFFFFF"/>
          <w:lang w:eastAsia="en-GB"/>
        </w:rPr>
        <w:t xml:space="preserve">Kasper, </w:t>
      </w:r>
      <w:r w:rsidRPr="00CE6A70">
        <w:rPr>
          <w:rFonts w:eastAsia="Times New Roman" w:cstheme="minorHAnsi"/>
          <w:i/>
          <w:iCs/>
          <w:color w:val="222222"/>
          <w:sz w:val="20"/>
          <w:szCs w:val="20"/>
          <w:shd w:val="clear" w:color="auto" w:fill="FFFFFF"/>
          <w:lang w:eastAsia="en-GB"/>
        </w:rPr>
        <w:t>The God of Jesus Christ</w:t>
      </w:r>
      <w:r w:rsidRPr="00CE6A70">
        <w:rPr>
          <w:rFonts w:eastAsia="Times New Roman" w:cstheme="minorHAnsi"/>
          <w:color w:val="222222"/>
          <w:sz w:val="20"/>
          <w:szCs w:val="20"/>
          <w:shd w:val="clear" w:color="auto" w:fill="FFFFFF"/>
          <w:lang w:eastAsia="en-GB"/>
        </w:rPr>
        <w:t xml:space="preserve"> (London, Continuum, 2012), p190.</w:t>
      </w:r>
    </w:p>
  </w:footnote>
  <w:footnote w:id="33">
    <w:p w14:paraId="7CAC24D5" w14:textId="4266A2C6" w:rsidR="00DE25F6" w:rsidRDefault="00DE25F6">
      <w:pPr>
        <w:pStyle w:val="FootnoteText"/>
      </w:pPr>
      <w:r>
        <w:rPr>
          <w:rStyle w:val="FootnoteReference"/>
        </w:rPr>
        <w:footnoteRef/>
      </w:r>
      <w:r>
        <w:t xml:space="preserve"> </w:t>
      </w:r>
      <w:r w:rsidR="009C3C52">
        <w:t xml:space="preserve">Weinandy, </w:t>
      </w:r>
      <w:r w:rsidR="009C3C52">
        <w:rPr>
          <w:i/>
          <w:iCs/>
        </w:rPr>
        <w:t xml:space="preserve">Does God Suffer? </w:t>
      </w:r>
      <w:r w:rsidR="009C3C52">
        <w:t>pp</w:t>
      </w:r>
      <w:r>
        <w:t>193-195</w:t>
      </w:r>
      <w:r w:rsidR="009C3C52">
        <w:t>.</w:t>
      </w:r>
    </w:p>
  </w:footnote>
  <w:footnote w:id="34">
    <w:p w14:paraId="1FCAB148" w14:textId="697403E0" w:rsidR="00DE25F6" w:rsidRDefault="00DE25F6">
      <w:pPr>
        <w:pStyle w:val="FootnoteText"/>
      </w:pPr>
      <w:r>
        <w:rPr>
          <w:rStyle w:val="FootnoteReference"/>
        </w:rPr>
        <w:footnoteRef/>
      </w:r>
      <w:r>
        <w:t xml:space="preserve"> </w:t>
      </w:r>
      <w:r w:rsidR="009C3C52">
        <w:t>Idid, p</w:t>
      </w:r>
      <w:r>
        <w:t>197</w:t>
      </w:r>
      <w:r w:rsidR="009C3C52">
        <w:t>.</w:t>
      </w:r>
    </w:p>
  </w:footnote>
  <w:footnote w:id="35">
    <w:p w14:paraId="7899EB0B" w14:textId="0050F5D6" w:rsidR="00DE25F6" w:rsidRPr="00605506" w:rsidRDefault="00DE25F6" w:rsidP="00605506">
      <w:pPr>
        <w:rPr>
          <w:rFonts w:eastAsia="Times New Roman" w:cstheme="minorHAnsi"/>
          <w:i/>
          <w:iCs/>
          <w:color w:val="222222"/>
          <w:sz w:val="20"/>
          <w:szCs w:val="20"/>
          <w:shd w:val="clear" w:color="auto" w:fill="FFFFFF"/>
          <w:lang w:eastAsia="en-GB"/>
        </w:rPr>
      </w:pPr>
      <w:r w:rsidRPr="00605506">
        <w:rPr>
          <w:rStyle w:val="FootnoteReference"/>
          <w:rFonts w:cstheme="minorHAnsi"/>
          <w:sz w:val="20"/>
          <w:szCs w:val="20"/>
        </w:rPr>
        <w:footnoteRef/>
      </w:r>
      <w:r w:rsidRPr="00605506">
        <w:rPr>
          <w:rFonts w:cstheme="minorHAnsi"/>
          <w:sz w:val="20"/>
          <w:szCs w:val="20"/>
        </w:rPr>
        <w:t xml:space="preserve"> </w:t>
      </w:r>
      <w:r w:rsidR="009C3C52" w:rsidRPr="00605506">
        <w:rPr>
          <w:rFonts w:cstheme="minorHAnsi"/>
          <w:sz w:val="20"/>
          <w:szCs w:val="20"/>
        </w:rPr>
        <w:t>Ibid, pp</w:t>
      </w:r>
      <w:r w:rsidRPr="00605506">
        <w:rPr>
          <w:rFonts w:cstheme="minorHAnsi"/>
          <w:sz w:val="20"/>
          <w:szCs w:val="20"/>
        </w:rPr>
        <w:t xml:space="preserve">200-205. Richard Bauckham, who is largely sympathetic towards Moltmann’s theology, appears to </w:t>
      </w:r>
      <w:r w:rsidR="009C3C52" w:rsidRPr="00605506">
        <w:rPr>
          <w:rFonts w:cstheme="minorHAnsi"/>
          <w:sz w:val="20"/>
          <w:szCs w:val="20"/>
        </w:rPr>
        <w:t>agree</w:t>
      </w:r>
      <w:r w:rsidRPr="00605506">
        <w:rPr>
          <w:rFonts w:cstheme="minorHAnsi"/>
          <w:sz w:val="20"/>
          <w:szCs w:val="20"/>
        </w:rPr>
        <w:t xml:space="preserve"> with Weinandy on </w:t>
      </w:r>
      <w:r w:rsidR="00201A67">
        <w:rPr>
          <w:rFonts w:cstheme="minorHAnsi"/>
          <w:sz w:val="20"/>
          <w:szCs w:val="20"/>
        </w:rPr>
        <w:t xml:space="preserve">this </w:t>
      </w:r>
      <w:r w:rsidRPr="00605506">
        <w:rPr>
          <w:rFonts w:cstheme="minorHAnsi"/>
          <w:sz w:val="20"/>
          <w:szCs w:val="20"/>
        </w:rPr>
        <w:t xml:space="preserve">point. </w:t>
      </w:r>
      <w:r w:rsidR="00605506" w:rsidRPr="00605506">
        <w:rPr>
          <w:rFonts w:cstheme="minorHAnsi"/>
          <w:sz w:val="20"/>
          <w:szCs w:val="20"/>
        </w:rPr>
        <w:t>See</w:t>
      </w:r>
      <w:r w:rsidR="00201A67">
        <w:rPr>
          <w:rFonts w:cstheme="minorHAnsi"/>
          <w:sz w:val="20"/>
          <w:szCs w:val="20"/>
        </w:rPr>
        <w:t xml:space="preserve"> </w:t>
      </w:r>
      <w:r w:rsidR="00605506" w:rsidRPr="00605506">
        <w:rPr>
          <w:rFonts w:eastAsia="Times New Roman" w:cstheme="minorHAnsi"/>
          <w:color w:val="222222"/>
          <w:sz w:val="20"/>
          <w:szCs w:val="20"/>
          <w:shd w:val="clear" w:color="auto" w:fill="FFFFFF"/>
          <w:lang w:eastAsia="en-GB"/>
        </w:rPr>
        <w:t xml:space="preserve">Bauckham, </w:t>
      </w:r>
      <w:r w:rsidR="00605506" w:rsidRPr="00605506">
        <w:rPr>
          <w:rFonts w:eastAsia="Times New Roman" w:cstheme="minorHAnsi"/>
          <w:i/>
          <w:iCs/>
          <w:color w:val="222222"/>
          <w:sz w:val="20"/>
          <w:szCs w:val="20"/>
          <w:shd w:val="clear" w:color="auto" w:fill="FFFFFF"/>
          <w:lang w:eastAsia="en-GB"/>
        </w:rPr>
        <w:t xml:space="preserve">Theology of </w:t>
      </w:r>
      <w:r w:rsidR="009B2595" w:rsidRPr="009B2595">
        <w:rPr>
          <w:rFonts w:eastAsia="Times New Roman" w:cstheme="minorHAnsi"/>
          <w:i/>
          <w:iCs/>
          <w:color w:val="202122"/>
          <w:sz w:val="20"/>
          <w:szCs w:val="20"/>
          <w:lang w:eastAsia="en-GB"/>
        </w:rPr>
        <w:t>Jürgen</w:t>
      </w:r>
      <w:r w:rsidR="00605506" w:rsidRPr="00605506">
        <w:rPr>
          <w:rFonts w:eastAsia="Times New Roman" w:cstheme="minorHAnsi"/>
          <w:i/>
          <w:iCs/>
          <w:color w:val="222222"/>
          <w:sz w:val="20"/>
          <w:szCs w:val="20"/>
          <w:shd w:val="clear" w:color="auto" w:fill="FFFFFF"/>
          <w:lang w:eastAsia="en-GB"/>
        </w:rPr>
        <w:t xml:space="preserve"> Moltmann</w:t>
      </w:r>
      <w:r w:rsidR="00605506">
        <w:rPr>
          <w:rFonts w:eastAsia="Times New Roman" w:cstheme="minorHAnsi"/>
          <w:color w:val="222222"/>
          <w:sz w:val="20"/>
          <w:szCs w:val="20"/>
          <w:shd w:val="clear" w:color="auto" w:fill="FFFFFF"/>
          <w:lang w:eastAsia="en-GB"/>
        </w:rPr>
        <w:t xml:space="preserve">, </w:t>
      </w:r>
      <w:r w:rsidR="00605506" w:rsidRPr="00605506">
        <w:rPr>
          <w:rFonts w:cstheme="minorHAnsi"/>
          <w:sz w:val="20"/>
          <w:szCs w:val="20"/>
        </w:rPr>
        <w:t>pp63-64.</w:t>
      </w:r>
    </w:p>
  </w:footnote>
  <w:footnote w:id="36">
    <w:p w14:paraId="39F5F41C" w14:textId="50B8EA33" w:rsidR="00C513B8" w:rsidRDefault="00C513B8">
      <w:pPr>
        <w:pStyle w:val="FootnoteText"/>
      </w:pPr>
      <w:r>
        <w:rPr>
          <w:rStyle w:val="FootnoteReference"/>
        </w:rPr>
        <w:footnoteRef/>
      </w:r>
      <w:r>
        <w:t xml:space="preserve"> Weinandy</w:t>
      </w:r>
      <w:r w:rsidR="00605506">
        <w:t xml:space="preserve">, </w:t>
      </w:r>
      <w:r w:rsidR="00605506">
        <w:rPr>
          <w:i/>
          <w:iCs/>
        </w:rPr>
        <w:t xml:space="preserve">Does God Suffer? </w:t>
      </w:r>
      <w:r w:rsidR="00605506">
        <w:t>pp</w:t>
      </w:r>
      <w:r>
        <w:t>42-43;</w:t>
      </w:r>
      <w:r w:rsidR="00605506">
        <w:t xml:space="preserve"> </w:t>
      </w:r>
      <w:r>
        <w:t>168.</w:t>
      </w:r>
    </w:p>
  </w:footnote>
  <w:footnote w:id="37">
    <w:p w14:paraId="79084952" w14:textId="553D6412" w:rsidR="00F14F30" w:rsidRPr="00605506" w:rsidRDefault="00F14F30" w:rsidP="00605506">
      <w:pPr>
        <w:rPr>
          <w:rFonts w:cstheme="minorHAnsi"/>
          <w:sz w:val="20"/>
          <w:szCs w:val="20"/>
        </w:rPr>
      </w:pPr>
      <w:r w:rsidRPr="00605506">
        <w:rPr>
          <w:rStyle w:val="FootnoteReference"/>
          <w:rFonts w:cstheme="minorHAnsi"/>
          <w:sz w:val="20"/>
          <w:szCs w:val="20"/>
        </w:rPr>
        <w:footnoteRef/>
      </w:r>
      <w:r w:rsidRPr="00605506">
        <w:rPr>
          <w:rFonts w:cstheme="minorHAnsi"/>
          <w:sz w:val="20"/>
          <w:szCs w:val="20"/>
        </w:rPr>
        <w:t xml:space="preserve"> </w:t>
      </w:r>
      <w:r w:rsidR="00605506" w:rsidRPr="00605506">
        <w:rPr>
          <w:rFonts w:cstheme="minorHAnsi"/>
          <w:sz w:val="20"/>
          <w:szCs w:val="20"/>
        </w:rPr>
        <w:t xml:space="preserve">Bauckham and Kasper </w:t>
      </w:r>
      <w:r w:rsidRPr="00605506">
        <w:rPr>
          <w:rFonts w:cstheme="minorHAnsi"/>
          <w:sz w:val="20"/>
          <w:szCs w:val="20"/>
        </w:rPr>
        <w:t>agree with Moltmann on this point: Kasper</w:t>
      </w:r>
      <w:r w:rsidR="00605506" w:rsidRPr="00605506">
        <w:rPr>
          <w:rFonts w:cstheme="minorHAnsi"/>
          <w:sz w:val="20"/>
          <w:szCs w:val="20"/>
        </w:rPr>
        <w:t xml:space="preserve">, </w:t>
      </w:r>
      <w:r w:rsidR="00605506" w:rsidRPr="00605506">
        <w:rPr>
          <w:rFonts w:cstheme="minorHAnsi"/>
          <w:i/>
          <w:iCs/>
          <w:sz w:val="20"/>
          <w:szCs w:val="20"/>
        </w:rPr>
        <w:t xml:space="preserve">God of Jesus Christ, </w:t>
      </w:r>
      <w:r w:rsidR="00605506" w:rsidRPr="00605506">
        <w:rPr>
          <w:rFonts w:cstheme="minorHAnsi"/>
          <w:sz w:val="20"/>
          <w:szCs w:val="20"/>
        </w:rPr>
        <w:t>pp</w:t>
      </w:r>
      <w:r w:rsidRPr="00605506">
        <w:rPr>
          <w:rFonts w:cstheme="minorHAnsi"/>
          <w:sz w:val="20"/>
          <w:szCs w:val="20"/>
        </w:rPr>
        <w:t xml:space="preserve">194-195; </w:t>
      </w:r>
      <w:r w:rsidR="00605506" w:rsidRPr="00605506">
        <w:rPr>
          <w:rFonts w:cstheme="minorHAnsi"/>
          <w:sz w:val="20"/>
          <w:szCs w:val="20"/>
        </w:rPr>
        <w:t>R. Bauckham,</w:t>
      </w:r>
      <w:r w:rsidR="00605506">
        <w:rPr>
          <w:rFonts w:cstheme="minorHAnsi"/>
          <w:sz w:val="20"/>
          <w:szCs w:val="20"/>
        </w:rPr>
        <w:t xml:space="preserve"> </w:t>
      </w:r>
      <w:r w:rsidR="00605506" w:rsidRPr="00605506">
        <w:rPr>
          <w:rFonts w:cstheme="minorHAnsi"/>
          <w:i/>
          <w:iCs/>
          <w:sz w:val="20"/>
          <w:szCs w:val="20"/>
        </w:rPr>
        <w:t>Jesus and the God of Israel: ‘God Crucified’ and other Studies on the New Testament’s Christology of Divine Identity</w:t>
      </w:r>
      <w:r w:rsidR="00605506" w:rsidRPr="00605506">
        <w:rPr>
          <w:rFonts w:cstheme="minorHAnsi"/>
          <w:sz w:val="20"/>
          <w:szCs w:val="20"/>
        </w:rPr>
        <w:t xml:space="preserve"> (Milton Keyes: Paternoster, 2008)</w:t>
      </w:r>
      <w:r w:rsidR="00605506">
        <w:rPr>
          <w:rFonts w:cstheme="minorHAnsi"/>
          <w:sz w:val="20"/>
          <w:szCs w:val="20"/>
        </w:rPr>
        <w:t xml:space="preserve">, </w:t>
      </w:r>
      <w:r w:rsidRPr="00605506">
        <w:rPr>
          <w:sz w:val="20"/>
          <w:szCs w:val="20"/>
        </w:rPr>
        <w:t>p51</w:t>
      </w:r>
      <w:r w:rsidR="00605506" w:rsidRPr="00605506">
        <w:rPr>
          <w:sz w:val="20"/>
          <w:szCs w:val="20"/>
        </w:rPr>
        <w:t>.</w:t>
      </w:r>
    </w:p>
  </w:footnote>
  <w:footnote w:id="38">
    <w:p w14:paraId="247F6D8E" w14:textId="7467633D" w:rsidR="0025623D" w:rsidRPr="00605506" w:rsidRDefault="0025623D">
      <w:pPr>
        <w:pStyle w:val="FootnoteText"/>
        <w:rPr>
          <w:rFonts w:cstheme="minorHAnsi"/>
        </w:rPr>
      </w:pPr>
      <w:r w:rsidRPr="00605506">
        <w:rPr>
          <w:rStyle w:val="FootnoteReference"/>
          <w:rFonts w:cstheme="minorHAnsi"/>
        </w:rPr>
        <w:footnoteRef/>
      </w:r>
      <w:r w:rsidRPr="00605506">
        <w:rPr>
          <w:rFonts w:cstheme="minorHAnsi"/>
        </w:rPr>
        <w:t xml:space="preserve"> </w:t>
      </w:r>
      <w:r w:rsidR="00605506" w:rsidRPr="00605506">
        <w:rPr>
          <w:rFonts w:cstheme="minorHAnsi"/>
        </w:rPr>
        <w:t xml:space="preserve">Moltmann, </w:t>
      </w:r>
      <w:r w:rsidR="00605506" w:rsidRPr="00605506">
        <w:rPr>
          <w:rFonts w:cstheme="minorHAnsi"/>
          <w:i/>
          <w:iCs/>
        </w:rPr>
        <w:t xml:space="preserve">Crucified God, </w:t>
      </w:r>
      <w:r w:rsidR="00605506" w:rsidRPr="00605506">
        <w:rPr>
          <w:rFonts w:cstheme="minorHAnsi"/>
        </w:rPr>
        <w:t>pp1-2; 273-274.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96FDF"/>
    <w:multiLevelType w:val="hybridMultilevel"/>
    <w:tmpl w:val="B5A04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70A92"/>
    <w:multiLevelType w:val="hybridMultilevel"/>
    <w:tmpl w:val="88140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742C4F"/>
    <w:multiLevelType w:val="hybridMultilevel"/>
    <w:tmpl w:val="40960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5B6F41"/>
    <w:multiLevelType w:val="hybridMultilevel"/>
    <w:tmpl w:val="B60C5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679"/>
    <w:rsid w:val="000556C9"/>
    <w:rsid w:val="000611A1"/>
    <w:rsid w:val="00090D25"/>
    <w:rsid w:val="0009542A"/>
    <w:rsid w:val="000965AD"/>
    <w:rsid w:val="000C72A9"/>
    <w:rsid w:val="00130008"/>
    <w:rsid w:val="00141597"/>
    <w:rsid w:val="00154C32"/>
    <w:rsid w:val="00155459"/>
    <w:rsid w:val="00155579"/>
    <w:rsid w:val="0018673A"/>
    <w:rsid w:val="001C127F"/>
    <w:rsid w:val="002017B5"/>
    <w:rsid w:val="00201A67"/>
    <w:rsid w:val="0023411C"/>
    <w:rsid w:val="00252519"/>
    <w:rsid w:val="0025623D"/>
    <w:rsid w:val="00271255"/>
    <w:rsid w:val="002869CE"/>
    <w:rsid w:val="00287181"/>
    <w:rsid w:val="00293D1E"/>
    <w:rsid w:val="00295F7B"/>
    <w:rsid w:val="002B66D3"/>
    <w:rsid w:val="002D5D7B"/>
    <w:rsid w:val="002E41E2"/>
    <w:rsid w:val="003260A3"/>
    <w:rsid w:val="00383207"/>
    <w:rsid w:val="003C650A"/>
    <w:rsid w:val="00407FA6"/>
    <w:rsid w:val="00463F30"/>
    <w:rsid w:val="004A24A2"/>
    <w:rsid w:val="004E6EFF"/>
    <w:rsid w:val="00531513"/>
    <w:rsid w:val="00542614"/>
    <w:rsid w:val="00565DB4"/>
    <w:rsid w:val="00570DC5"/>
    <w:rsid w:val="00587063"/>
    <w:rsid w:val="005906DF"/>
    <w:rsid w:val="005A4AB9"/>
    <w:rsid w:val="005C6A77"/>
    <w:rsid w:val="00605506"/>
    <w:rsid w:val="0065542D"/>
    <w:rsid w:val="0066657C"/>
    <w:rsid w:val="00685915"/>
    <w:rsid w:val="006A22A3"/>
    <w:rsid w:val="006B1E7E"/>
    <w:rsid w:val="006B5F59"/>
    <w:rsid w:val="006E4222"/>
    <w:rsid w:val="006E73F8"/>
    <w:rsid w:val="00704A65"/>
    <w:rsid w:val="007248BF"/>
    <w:rsid w:val="007B1AAA"/>
    <w:rsid w:val="007C3524"/>
    <w:rsid w:val="007D20F4"/>
    <w:rsid w:val="007E4ED3"/>
    <w:rsid w:val="00872A76"/>
    <w:rsid w:val="00884189"/>
    <w:rsid w:val="00904E15"/>
    <w:rsid w:val="00923633"/>
    <w:rsid w:val="00927539"/>
    <w:rsid w:val="009351D6"/>
    <w:rsid w:val="0099406D"/>
    <w:rsid w:val="009B2595"/>
    <w:rsid w:val="009C3C52"/>
    <w:rsid w:val="009C6BBF"/>
    <w:rsid w:val="009D4C3F"/>
    <w:rsid w:val="009E1B9D"/>
    <w:rsid w:val="00A0088C"/>
    <w:rsid w:val="00A00986"/>
    <w:rsid w:val="00A1498F"/>
    <w:rsid w:val="00A15A9F"/>
    <w:rsid w:val="00A17235"/>
    <w:rsid w:val="00A336FD"/>
    <w:rsid w:val="00A43167"/>
    <w:rsid w:val="00AC2EB4"/>
    <w:rsid w:val="00AD4D34"/>
    <w:rsid w:val="00AF4679"/>
    <w:rsid w:val="00B47AB1"/>
    <w:rsid w:val="00B55444"/>
    <w:rsid w:val="00B560A9"/>
    <w:rsid w:val="00B64EA3"/>
    <w:rsid w:val="00B66257"/>
    <w:rsid w:val="00BA1F49"/>
    <w:rsid w:val="00BD1B7B"/>
    <w:rsid w:val="00C1684B"/>
    <w:rsid w:val="00C415DD"/>
    <w:rsid w:val="00C42D11"/>
    <w:rsid w:val="00C513B8"/>
    <w:rsid w:val="00C54714"/>
    <w:rsid w:val="00C63CD2"/>
    <w:rsid w:val="00C7274D"/>
    <w:rsid w:val="00CE6A70"/>
    <w:rsid w:val="00D2605B"/>
    <w:rsid w:val="00DA4652"/>
    <w:rsid w:val="00DD42AA"/>
    <w:rsid w:val="00DE25F6"/>
    <w:rsid w:val="00E026D3"/>
    <w:rsid w:val="00E226B6"/>
    <w:rsid w:val="00E42869"/>
    <w:rsid w:val="00E44157"/>
    <w:rsid w:val="00E56548"/>
    <w:rsid w:val="00E70DAB"/>
    <w:rsid w:val="00E71AF7"/>
    <w:rsid w:val="00E9593E"/>
    <w:rsid w:val="00EA29B9"/>
    <w:rsid w:val="00EE1674"/>
    <w:rsid w:val="00F14F30"/>
    <w:rsid w:val="00F25776"/>
    <w:rsid w:val="00F50294"/>
    <w:rsid w:val="00FD4D8B"/>
    <w:rsid w:val="00FD64B7"/>
    <w:rsid w:val="00FF7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E53AA0"/>
  <w15:chartTrackingRefBased/>
  <w15:docId w15:val="{1A30FA6D-6AA1-6740-B19E-AC2C0FA4F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88C"/>
    <w:pPr>
      <w:ind w:left="720"/>
      <w:contextualSpacing/>
    </w:pPr>
  </w:style>
  <w:style w:type="paragraph" w:styleId="FootnoteText">
    <w:name w:val="footnote text"/>
    <w:basedOn w:val="Normal"/>
    <w:link w:val="FootnoteTextChar"/>
    <w:uiPriority w:val="99"/>
    <w:semiHidden/>
    <w:unhideWhenUsed/>
    <w:rsid w:val="009D4C3F"/>
    <w:rPr>
      <w:sz w:val="20"/>
      <w:szCs w:val="20"/>
    </w:rPr>
  </w:style>
  <w:style w:type="character" w:customStyle="1" w:styleId="FootnoteTextChar">
    <w:name w:val="Footnote Text Char"/>
    <w:basedOn w:val="DefaultParagraphFont"/>
    <w:link w:val="FootnoteText"/>
    <w:uiPriority w:val="99"/>
    <w:semiHidden/>
    <w:rsid w:val="009D4C3F"/>
    <w:rPr>
      <w:sz w:val="20"/>
      <w:szCs w:val="20"/>
    </w:rPr>
  </w:style>
  <w:style w:type="character" w:styleId="FootnoteReference">
    <w:name w:val="footnote reference"/>
    <w:basedOn w:val="DefaultParagraphFont"/>
    <w:uiPriority w:val="99"/>
    <w:semiHidden/>
    <w:unhideWhenUsed/>
    <w:rsid w:val="009D4C3F"/>
    <w:rPr>
      <w:vertAlign w:val="superscript"/>
    </w:rPr>
  </w:style>
  <w:style w:type="character" w:customStyle="1" w:styleId="apple-converted-space">
    <w:name w:val="apple-converted-space"/>
    <w:basedOn w:val="DefaultParagraphFont"/>
    <w:rsid w:val="00463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348900">
      <w:bodyDiv w:val="1"/>
      <w:marLeft w:val="0"/>
      <w:marRight w:val="0"/>
      <w:marTop w:val="0"/>
      <w:marBottom w:val="0"/>
      <w:divBdr>
        <w:top w:val="none" w:sz="0" w:space="0" w:color="auto"/>
        <w:left w:val="none" w:sz="0" w:space="0" w:color="auto"/>
        <w:bottom w:val="none" w:sz="0" w:space="0" w:color="auto"/>
        <w:right w:val="none" w:sz="0" w:space="0" w:color="auto"/>
      </w:divBdr>
    </w:div>
    <w:div w:id="667439650">
      <w:bodyDiv w:val="1"/>
      <w:marLeft w:val="0"/>
      <w:marRight w:val="0"/>
      <w:marTop w:val="0"/>
      <w:marBottom w:val="0"/>
      <w:divBdr>
        <w:top w:val="none" w:sz="0" w:space="0" w:color="auto"/>
        <w:left w:val="none" w:sz="0" w:space="0" w:color="auto"/>
        <w:bottom w:val="none" w:sz="0" w:space="0" w:color="auto"/>
        <w:right w:val="none" w:sz="0" w:space="0" w:color="auto"/>
      </w:divBdr>
    </w:div>
    <w:div w:id="900948633">
      <w:bodyDiv w:val="1"/>
      <w:marLeft w:val="0"/>
      <w:marRight w:val="0"/>
      <w:marTop w:val="0"/>
      <w:marBottom w:val="0"/>
      <w:divBdr>
        <w:top w:val="none" w:sz="0" w:space="0" w:color="auto"/>
        <w:left w:val="none" w:sz="0" w:space="0" w:color="auto"/>
        <w:bottom w:val="none" w:sz="0" w:space="0" w:color="auto"/>
        <w:right w:val="none" w:sz="0" w:space="0" w:color="auto"/>
      </w:divBdr>
    </w:div>
    <w:div w:id="1623488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E7994-CAFF-2544-BA4E-AE02C1ED4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2006</Words>
  <Characters>11438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graeme guthrie</dc:creator>
  <cp:keywords/>
  <dc:description/>
  <cp:lastModifiedBy>graeme guthrie</cp:lastModifiedBy>
  <cp:revision>2</cp:revision>
  <dcterms:created xsi:type="dcterms:W3CDTF">2021-05-20T14:02:00Z</dcterms:created>
  <dcterms:modified xsi:type="dcterms:W3CDTF">2021-05-20T14:02:00Z</dcterms:modified>
</cp:coreProperties>
</file>