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69E8E" w14:textId="77777777" w:rsidR="00684223" w:rsidRDefault="00684223" w:rsidP="00684223">
      <w:pPr>
        <w:spacing w:line="360" w:lineRule="auto"/>
        <w:rPr>
          <w:rFonts w:ascii="Arial" w:hAnsi="Arial" w:cs="Arial"/>
        </w:rPr>
      </w:pPr>
      <w:r>
        <w:rPr>
          <w:noProof/>
        </w:rPr>
        <w:drawing>
          <wp:anchor distT="0" distB="0" distL="114300" distR="114300" simplePos="0" relativeHeight="251659264" behindDoc="0" locked="0" layoutInCell="1" allowOverlap="1" wp14:anchorId="6B59071D" wp14:editId="5172D0C8">
            <wp:simplePos x="0" y="0"/>
            <wp:positionH relativeFrom="column">
              <wp:posOffset>0</wp:posOffset>
            </wp:positionH>
            <wp:positionV relativeFrom="paragraph">
              <wp:posOffset>292100</wp:posOffset>
            </wp:positionV>
            <wp:extent cx="1809750" cy="723900"/>
            <wp:effectExtent l="0" t="0" r="0" b="0"/>
            <wp:wrapSquare wrapText="bothSides"/>
            <wp:docPr id="18" name="Picture 1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6ED8B9E" w14:textId="77777777" w:rsidR="00684223" w:rsidRDefault="00684223" w:rsidP="00684223">
      <w:pPr>
        <w:spacing w:line="360" w:lineRule="auto"/>
        <w:rPr>
          <w:rFonts w:ascii="Arial" w:hAnsi="Arial" w:cs="Arial"/>
        </w:rPr>
      </w:pPr>
    </w:p>
    <w:p w14:paraId="42122B07" w14:textId="77777777" w:rsidR="00684223" w:rsidRDefault="00684223" w:rsidP="00684223">
      <w:pPr>
        <w:spacing w:line="360" w:lineRule="auto"/>
        <w:rPr>
          <w:rFonts w:ascii="Arial" w:hAnsi="Arial" w:cs="Arial"/>
        </w:rPr>
      </w:pPr>
    </w:p>
    <w:p w14:paraId="4E098455" w14:textId="77777777" w:rsidR="00684223" w:rsidRDefault="00684223" w:rsidP="00684223">
      <w:pPr>
        <w:spacing w:line="360" w:lineRule="auto"/>
        <w:rPr>
          <w:rFonts w:ascii="Arial" w:hAnsi="Arial" w:cs="Arial"/>
        </w:rPr>
      </w:pPr>
    </w:p>
    <w:p w14:paraId="5E269415" w14:textId="77777777" w:rsidR="00684223" w:rsidRDefault="00684223" w:rsidP="00684223">
      <w:pPr>
        <w:spacing w:line="360" w:lineRule="auto"/>
        <w:rPr>
          <w:rFonts w:ascii="Arial" w:hAnsi="Arial" w:cs="Arial"/>
        </w:rPr>
      </w:pPr>
    </w:p>
    <w:p w14:paraId="090BD65B" w14:textId="77777777" w:rsidR="00684223" w:rsidRDefault="00684223" w:rsidP="00684223">
      <w:pPr>
        <w:tabs>
          <w:tab w:val="left" w:pos="6540"/>
        </w:tabs>
        <w:spacing w:line="360" w:lineRule="auto"/>
        <w:rPr>
          <w:rFonts w:ascii="Arial" w:hAnsi="Arial" w:cs="Arial"/>
          <w:sz w:val="28"/>
          <w:szCs w:val="28"/>
        </w:rPr>
      </w:pPr>
    </w:p>
    <w:p w14:paraId="36390105" w14:textId="77777777" w:rsidR="006B3F29" w:rsidRDefault="006B3F29" w:rsidP="006B3F29">
      <w:pPr>
        <w:tabs>
          <w:tab w:val="left" w:pos="6540"/>
        </w:tabs>
        <w:spacing w:line="360" w:lineRule="auto"/>
        <w:rPr>
          <w:rFonts w:ascii="Arial" w:hAnsi="Arial" w:cs="Arial"/>
          <w:b/>
          <w:bCs/>
          <w:sz w:val="28"/>
          <w:szCs w:val="28"/>
          <w:lang w:val="nl-NL"/>
        </w:rPr>
      </w:pPr>
    </w:p>
    <w:p w14:paraId="43E8F648" w14:textId="77777777" w:rsidR="006B3F29" w:rsidRDefault="006B3F29" w:rsidP="006B3F29">
      <w:pPr>
        <w:tabs>
          <w:tab w:val="left" w:pos="6540"/>
        </w:tabs>
        <w:spacing w:line="360" w:lineRule="auto"/>
        <w:rPr>
          <w:rFonts w:ascii="Arial" w:hAnsi="Arial" w:cs="Arial"/>
          <w:b/>
          <w:bCs/>
          <w:sz w:val="28"/>
          <w:szCs w:val="28"/>
          <w:lang w:val="nl-NL"/>
        </w:rPr>
      </w:pPr>
    </w:p>
    <w:p w14:paraId="5B3CFD59" w14:textId="77777777" w:rsidR="006B3F29" w:rsidRPr="004F4E70" w:rsidRDefault="006B3F29" w:rsidP="006B3F29">
      <w:pPr>
        <w:tabs>
          <w:tab w:val="left" w:pos="6540"/>
        </w:tabs>
        <w:spacing w:line="360" w:lineRule="auto"/>
        <w:rPr>
          <w:rFonts w:ascii="Arial Black" w:hAnsi="Arial Black" w:cs="Arial"/>
          <w:b/>
          <w:sz w:val="28"/>
          <w:szCs w:val="28"/>
          <w:lang w:val="nl-NL"/>
        </w:rPr>
      </w:pPr>
      <w:r w:rsidRPr="004F4E70">
        <w:rPr>
          <w:rFonts w:ascii="Arial" w:hAnsi="Arial" w:cs="Arial"/>
          <w:bCs/>
          <w:sz w:val="28"/>
          <w:szCs w:val="28"/>
          <w:lang w:val="nl-NL"/>
        </w:rPr>
        <w:t>Student name</w:t>
      </w:r>
      <w:r w:rsidRPr="004F4E70">
        <w:rPr>
          <w:rFonts w:ascii="Arial" w:hAnsi="Arial" w:cs="Arial"/>
          <w:sz w:val="28"/>
          <w:szCs w:val="28"/>
          <w:lang w:val="nl-NL"/>
        </w:rPr>
        <w:t>:</w:t>
      </w:r>
      <w:r w:rsidRPr="004F4E70">
        <w:rPr>
          <w:rFonts w:ascii="Arial Black" w:hAnsi="Arial Black" w:cs="Arial"/>
          <w:b/>
          <w:sz w:val="28"/>
          <w:szCs w:val="28"/>
          <w:lang w:val="nl-NL"/>
        </w:rPr>
        <w:t xml:space="preserve"> </w:t>
      </w:r>
      <w:proofErr w:type="spellStart"/>
      <w:r w:rsidRPr="004F4E70">
        <w:rPr>
          <w:rFonts w:ascii="Arial Black" w:hAnsi="Arial Black" w:cs="Arial"/>
          <w:b/>
          <w:sz w:val="28"/>
          <w:szCs w:val="28"/>
          <w:lang w:val="nl-NL"/>
        </w:rPr>
        <w:t>Ekaterina</w:t>
      </w:r>
      <w:proofErr w:type="spellEnd"/>
      <w:r w:rsidRPr="004F4E70">
        <w:rPr>
          <w:rFonts w:ascii="Arial Black" w:hAnsi="Arial Black" w:cs="Arial"/>
          <w:b/>
          <w:sz w:val="28"/>
          <w:szCs w:val="28"/>
          <w:lang w:val="nl-NL"/>
        </w:rPr>
        <w:t xml:space="preserve"> Kist </w:t>
      </w:r>
    </w:p>
    <w:p w14:paraId="4DD02D54" w14:textId="77777777" w:rsidR="006B3F29" w:rsidRPr="004F4E70" w:rsidRDefault="006B3F29" w:rsidP="006B3F29">
      <w:pPr>
        <w:tabs>
          <w:tab w:val="left" w:pos="6540"/>
        </w:tabs>
        <w:spacing w:line="360" w:lineRule="auto"/>
        <w:rPr>
          <w:rFonts w:ascii="Arial Black" w:hAnsi="Arial Black" w:cs="Arial"/>
          <w:b/>
          <w:sz w:val="28"/>
          <w:szCs w:val="28"/>
          <w:lang w:val="nl-NL"/>
        </w:rPr>
      </w:pPr>
      <w:r w:rsidRPr="004F4E70">
        <w:rPr>
          <w:rFonts w:ascii="Arial" w:hAnsi="Arial" w:cs="Arial"/>
          <w:bCs/>
          <w:sz w:val="28"/>
          <w:szCs w:val="28"/>
          <w:lang w:val="nl-NL"/>
        </w:rPr>
        <w:t>Student ID</w:t>
      </w:r>
      <w:r w:rsidRPr="004F4E70">
        <w:rPr>
          <w:rFonts w:ascii="Arial" w:hAnsi="Arial" w:cs="Arial"/>
          <w:sz w:val="28"/>
          <w:szCs w:val="28"/>
          <w:lang w:val="nl-NL"/>
        </w:rPr>
        <w:t>:</w:t>
      </w:r>
      <w:r w:rsidRPr="004F4E70">
        <w:rPr>
          <w:rFonts w:ascii="Arial Black" w:hAnsi="Arial Black" w:cs="Arial"/>
          <w:b/>
          <w:sz w:val="28"/>
          <w:szCs w:val="28"/>
          <w:lang w:val="nl-NL"/>
        </w:rPr>
        <w:t xml:space="preserve"> 2336279</w:t>
      </w:r>
    </w:p>
    <w:p w14:paraId="4667BBDE" w14:textId="77777777" w:rsidR="006B3F29" w:rsidRPr="00AA58ED" w:rsidRDefault="006B3F29" w:rsidP="006B3F29">
      <w:pPr>
        <w:tabs>
          <w:tab w:val="left" w:pos="6540"/>
        </w:tabs>
        <w:spacing w:line="360" w:lineRule="auto"/>
        <w:rPr>
          <w:rFonts w:ascii="Arial Black" w:hAnsi="Arial Black" w:cs="Arial"/>
          <w:b/>
          <w:sz w:val="28"/>
          <w:szCs w:val="28"/>
        </w:rPr>
      </w:pPr>
    </w:p>
    <w:p w14:paraId="149F1103" w14:textId="77777777" w:rsidR="006B3F29" w:rsidRDefault="006B3F29" w:rsidP="006B3F29">
      <w:pPr>
        <w:tabs>
          <w:tab w:val="left" w:pos="6540"/>
        </w:tabs>
        <w:spacing w:line="360" w:lineRule="auto"/>
        <w:rPr>
          <w:rFonts w:ascii="Arial Black" w:hAnsi="Arial Black" w:cs="Arial"/>
          <w:b/>
          <w:sz w:val="28"/>
          <w:szCs w:val="28"/>
          <w:lang w:val="nl-NL"/>
        </w:rPr>
      </w:pPr>
      <w:r w:rsidRPr="004F4E70">
        <w:rPr>
          <w:rFonts w:ascii="Arial" w:hAnsi="Arial" w:cs="Arial"/>
          <w:bCs/>
          <w:sz w:val="28"/>
          <w:szCs w:val="28"/>
          <w:lang w:val="nl-NL"/>
        </w:rPr>
        <w:t>Module name</w:t>
      </w:r>
      <w:r w:rsidRPr="004F4E70">
        <w:rPr>
          <w:rFonts w:ascii="Arial" w:hAnsi="Arial" w:cs="Arial"/>
          <w:sz w:val="28"/>
          <w:szCs w:val="28"/>
          <w:lang w:val="nl-NL"/>
        </w:rPr>
        <w:t>:</w:t>
      </w:r>
      <w:r w:rsidRPr="004F4E70">
        <w:rPr>
          <w:rFonts w:ascii="Arial Black" w:hAnsi="Arial Black" w:cs="Arial"/>
          <w:b/>
          <w:sz w:val="28"/>
          <w:szCs w:val="28"/>
          <w:lang w:val="nl-NL"/>
        </w:rPr>
        <w:t xml:space="preserve"> </w:t>
      </w:r>
      <w:r>
        <w:rPr>
          <w:rFonts w:ascii="Arial Black" w:hAnsi="Arial Black" w:cs="Arial"/>
          <w:b/>
          <w:sz w:val="28"/>
          <w:szCs w:val="28"/>
          <w:lang w:val="nl-NL"/>
        </w:rPr>
        <w:t xml:space="preserve">Changemakers: </w:t>
      </w:r>
      <w:proofErr w:type="spellStart"/>
      <w:r>
        <w:rPr>
          <w:rFonts w:ascii="Arial Black" w:hAnsi="Arial Black" w:cs="Arial"/>
          <w:b/>
          <w:sz w:val="28"/>
          <w:szCs w:val="28"/>
          <w:lang w:val="nl-NL"/>
        </w:rPr>
        <w:t>Creativity</w:t>
      </w:r>
      <w:proofErr w:type="spellEnd"/>
      <w:r>
        <w:rPr>
          <w:rFonts w:ascii="Arial Black" w:hAnsi="Arial Black" w:cs="Arial"/>
          <w:b/>
          <w:sz w:val="28"/>
          <w:szCs w:val="28"/>
          <w:lang w:val="nl-NL"/>
        </w:rPr>
        <w:t xml:space="preserve"> </w:t>
      </w:r>
      <w:proofErr w:type="spellStart"/>
      <w:r>
        <w:rPr>
          <w:rFonts w:ascii="Arial Black" w:hAnsi="Arial Black" w:cs="Arial"/>
          <w:b/>
          <w:sz w:val="28"/>
          <w:szCs w:val="28"/>
          <w:lang w:val="nl-NL"/>
        </w:rPr>
        <w:t>and</w:t>
      </w:r>
      <w:proofErr w:type="spellEnd"/>
      <w:r>
        <w:rPr>
          <w:rFonts w:ascii="Arial Black" w:hAnsi="Arial Black" w:cs="Arial"/>
          <w:b/>
          <w:sz w:val="28"/>
          <w:szCs w:val="28"/>
          <w:lang w:val="nl-NL"/>
        </w:rPr>
        <w:t xml:space="preserve"> Value </w:t>
      </w:r>
      <w:proofErr w:type="spellStart"/>
      <w:r>
        <w:rPr>
          <w:rFonts w:ascii="Arial Black" w:hAnsi="Arial Black" w:cs="Arial"/>
          <w:b/>
          <w:sz w:val="28"/>
          <w:szCs w:val="28"/>
          <w:lang w:val="nl-NL"/>
        </w:rPr>
        <w:t>Creation</w:t>
      </w:r>
      <w:proofErr w:type="spellEnd"/>
    </w:p>
    <w:p w14:paraId="355C6001" w14:textId="5B52D165" w:rsidR="006B3F29" w:rsidRPr="00CE0E05" w:rsidRDefault="006B3F29" w:rsidP="006B3F29">
      <w:pPr>
        <w:spacing w:line="360" w:lineRule="auto"/>
        <w:rPr>
          <w:rFonts w:ascii="Arial Black" w:hAnsi="Arial Black"/>
          <w:color w:val="1D2125"/>
          <w:sz w:val="28"/>
          <w:szCs w:val="28"/>
        </w:rPr>
      </w:pPr>
      <w:r w:rsidRPr="00AA58ED">
        <w:rPr>
          <w:rFonts w:ascii="Arial Black" w:hAnsi="Arial Black" w:cs="Arial"/>
          <w:b/>
          <w:bCs/>
          <w:color w:val="000000"/>
          <w:sz w:val="28"/>
          <w:szCs w:val="28"/>
        </w:rPr>
        <w:t xml:space="preserve">Component </w:t>
      </w:r>
      <w:r>
        <w:rPr>
          <w:rFonts w:ascii="Arial Black" w:hAnsi="Arial Black" w:cs="Arial"/>
          <w:b/>
          <w:bCs/>
          <w:color w:val="000000"/>
          <w:sz w:val="28"/>
          <w:szCs w:val="28"/>
        </w:rPr>
        <w:t>2</w:t>
      </w:r>
    </w:p>
    <w:p w14:paraId="33DBDDE1" w14:textId="77777777" w:rsidR="006B3F29" w:rsidRPr="004F4E70" w:rsidRDefault="006B3F29" w:rsidP="006B3F29">
      <w:pPr>
        <w:tabs>
          <w:tab w:val="left" w:pos="6540"/>
        </w:tabs>
        <w:spacing w:line="360" w:lineRule="auto"/>
        <w:rPr>
          <w:rFonts w:ascii="Arial Black" w:hAnsi="Arial Black" w:cs="Arial"/>
          <w:b/>
          <w:sz w:val="28"/>
          <w:szCs w:val="28"/>
          <w:lang w:val="nl-NL"/>
        </w:rPr>
      </w:pPr>
    </w:p>
    <w:p w14:paraId="14DBE093" w14:textId="77777777" w:rsidR="006B3F29" w:rsidRDefault="006B3F29" w:rsidP="006B3F29">
      <w:pPr>
        <w:tabs>
          <w:tab w:val="left" w:pos="6540"/>
        </w:tabs>
        <w:spacing w:line="360" w:lineRule="auto"/>
        <w:rPr>
          <w:rFonts w:ascii="Arial Black" w:hAnsi="Arial Black" w:cs="Arial"/>
          <w:b/>
          <w:sz w:val="28"/>
          <w:szCs w:val="28"/>
        </w:rPr>
      </w:pPr>
      <w:r w:rsidRPr="004F4E70">
        <w:rPr>
          <w:rFonts w:ascii="Arial" w:hAnsi="Arial" w:cs="Arial"/>
          <w:bCs/>
          <w:sz w:val="28"/>
          <w:szCs w:val="28"/>
        </w:rPr>
        <w:t>Module code</w:t>
      </w:r>
      <w:r w:rsidRPr="004F4E70">
        <w:rPr>
          <w:rFonts w:ascii="Arial" w:hAnsi="Arial" w:cs="Arial"/>
          <w:sz w:val="28"/>
          <w:szCs w:val="28"/>
        </w:rPr>
        <w:t>:</w:t>
      </w:r>
      <w:r w:rsidRPr="004F4E70">
        <w:rPr>
          <w:rFonts w:ascii="Arial Black" w:hAnsi="Arial Black" w:cs="Arial"/>
          <w:b/>
          <w:sz w:val="28"/>
          <w:szCs w:val="28"/>
        </w:rPr>
        <w:t xml:space="preserve"> BMHP50</w:t>
      </w:r>
      <w:r>
        <w:rPr>
          <w:rFonts w:ascii="Arial Black" w:hAnsi="Arial Black" w:cs="Arial"/>
          <w:b/>
          <w:sz w:val="28"/>
          <w:szCs w:val="28"/>
        </w:rPr>
        <w:t>14</w:t>
      </w:r>
    </w:p>
    <w:p w14:paraId="52432717" w14:textId="77777777" w:rsidR="006B3F29" w:rsidRPr="004F4E70" w:rsidRDefault="006B3F29" w:rsidP="006B3F29">
      <w:pPr>
        <w:tabs>
          <w:tab w:val="left" w:pos="6540"/>
        </w:tabs>
        <w:spacing w:line="360" w:lineRule="auto"/>
        <w:rPr>
          <w:rFonts w:ascii="Arial Black" w:hAnsi="Arial Black" w:cs="Arial"/>
          <w:b/>
          <w:sz w:val="28"/>
          <w:szCs w:val="28"/>
        </w:rPr>
      </w:pPr>
    </w:p>
    <w:p w14:paraId="753F8654" w14:textId="376054ED" w:rsidR="006B3F29" w:rsidRDefault="006B3F29" w:rsidP="006B3F29">
      <w:pPr>
        <w:tabs>
          <w:tab w:val="left" w:pos="6540"/>
        </w:tabs>
        <w:spacing w:line="360" w:lineRule="auto"/>
        <w:rPr>
          <w:rFonts w:ascii="Arial Black" w:hAnsi="Arial Black" w:cs="Arial"/>
          <w:b/>
          <w:sz w:val="28"/>
          <w:szCs w:val="28"/>
        </w:rPr>
      </w:pPr>
      <w:r w:rsidRPr="004F4E70">
        <w:rPr>
          <w:rFonts w:ascii="Arial" w:hAnsi="Arial" w:cs="Arial"/>
          <w:bCs/>
          <w:sz w:val="28"/>
          <w:szCs w:val="28"/>
        </w:rPr>
        <w:t>Lecturer name</w:t>
      </w:r>
      <w:r w:rsidRPr="004F4E70">
        <w:rPr>
          <w:rFonts w:ascii="Arial" w:hAnsi="Arial" w:cs="Arial"/>
          <w:sz w:val="28"/>
          <w:szCs w:val="28"/>
        </w:rPr>
        <w:t>:</w:t>
      </w:r>
      <w:r w:rsidRPr="004F4E70">
        <w:rPr>
          <w:rFonts w:ascii="Arial Black" w:hAnsi="Arial Black" w:cs="Arial"/>
          <w:b/>
          <w:sz w:val="28"/>
          <w:szCs w:val="28"/>
        </w:rPr>
        <w:t xml:space="preserve"> </w:t>
      </w:r>
      <w:proofErr w:type="spellStart"/>
      <w:r>
        <w:rPr>
          <w:rFonts w:ascii="Arial Black" w:hAnsi="Arial Black" w:cs="Arial"/>
          <w:b/>
          <w:sz w:val="28"/>
          <w:szCs w:val="28"/>
        </w:rPr>
        <w:t>Dr.</w:t>
      </w:r>
      <w:proofErr w:type="spellEnd"/>
      <w:r>
        <w:rPr>
          <w:rFonts w:ascii="Arial Black" w:hAnsi="Arial Black" w:cs="Arial"/>
          <w:b/>
          <w:sz w:val="28"/>
          <w:szCs w:val="28"/>
        </w:rPr>
        <w:t xml:space="preserve"> Laila </w:t>
      </w:r>
      <w:proofErr w:type="spellStart"/>
      <w:r>
        <w:rPr>
          <w:rFonts w:ascii="Arial Black" w:hAnsi="Arial Black" w:cs="Arial"/>
          <w:b/>
          <w:sz w:val="28"/>
          <w:szCs w:val="28"/>
        </w:rPr>
        <w:t>Surani</w:t>
      </w:r>
      <w:proofErr w:type="spellEnd"/>
      <w:r>
        <w:rPr>
          <w:rFonts w:ascii="Arial Black" w:hAnsi="Arial Black" w:cs="Arial"/>
          <w:b/>
          <w:sz w:val="28"/>
          <w:szCs w:val="28"/>
        </w:rPr>
        <w:t xml:space="preserve"> </w:t>
      </w:r>
      <w:r w:rsidRPr="004F4E70">
        <w:rPr>
          <w:rFonts w:ascii="Arial Black" w:hAnsi="Arial Black" w:cs="Arial"/>
          <w:b/>
          <w:sz w:val="28"/>
          <w:szCs w:val="28"/>
        </w:rPr>
        <w:t xml:space="preserve"> </w:t>
      </w:r>
    </w:p>
    <w:p w14:paraId="7A1D60F4" w14:textId="541D5A4A" w:rsidR="008C4B1E" w:rsidRPr="008C4B1E" w:rsidRDefault="008C4B1E">
      <w:pPr>
        <w:rPr>
          <w:sz w:val="22"/>
          <w:szCs w:val="22"/>
        </w:rPr>
      </w:pPr>
    </w:p>
    <w:p w14:paraId="051DA739" w14:textId="0B235367" w:rsidR="008C4B1E" w:rsidRDefault="008C4B1E">
      <w:pPr>
        <w:rPr>
          <w:sz w:val="22"/>
          <w:szCs w:val="22"/>
        </w:rPr>
      </w:pPr>
    </w:p>
    <w:p w14:paraId="6543573B" w14:textId="3CAC0F5B" w:rsidR="000A7744" w:rsidRDefault="000A7744">
      <w:pPr>
        <w:rPr>
          <w:sz w:val="22"/>
          <w:szCs w:val="22"/>
        </w:rPr>
      </w:pPr>
    </w:p>
    <w:p w14:paraId="2FD5EB1B" w14:textId="3CA92481" w:rsidR="000A7744" w:rsidRDefault="000A7744">
      <w:pPr>
        <w:rPr>
          <w:sz w:val="22"/>
          <w:szCs w:val="22"/>
        </w:rPr>
      </w:pPr>
    </w:p>
    <w:p w14:paraId="4CAF5051" w14:textId="79E026F1" w:rsidR="006B3F29" w:rsidRPr="008C4B1E" w:rsidRDefault="000A1558">
      <w:pPr>
        <w:rPr>
          <w:sz w:val="22"/>
          <w:szCs w:val="22"/>
        </w:rPr>
      </w:pPr>
      <w:r>
        <w:rPr>
          <w:noProof/>
          <w:sz w:val="22"/>
          <w:szCs w:val="22"/>
        </w:rPr>
        <w:lastRenderedPageBreak/>
        <w:drawing>
          <wp:inline distT="0" distB="0" distL="0" distR="0" wp14:anchorId="2742D80C" wp14:editId="38A6659B">
            <wp:extent cx="9841230" cy="6942625"/>
            <wp:effectExtent l="0" t="0" r="127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ster Gamechangers 2.pdf"/>
                    <pic:cNvPicPr/>
                  </pic:nvPicPr>
                  <pic:blipFill>
                    <a:blip r:embed="rId9">
                      <a:extLst>
                        <a:ext uri="{28A0092B-C50C-407E-A947-70E740481C1C}">
                          <a14:useLocalDpi xmlns:a14="http://schemas.microsoft.com/office/drawing/2010/main" val="0"/>
                        </a:ext>
                      </a:extLst>
                    </a:blip>
                    <a:stretch>
                      <a:fillRect/>
                    </a:stretch>
                  </pic:blipFill>
                  <pic:spPr>
                    <a:xfrm>
                      <a:off x="0" y="0"/>
                      <a:ext cx="9868577" cy="6961917"/>
                    </a:xfrm>
                    <a:prstGeom prst="rect">
                      <a:avLst/>
                    </a:prstGeom>
                  </pic:spPr>
                </pic:pic>
              </a:graphicData>
            </a:graphic>
          </wp:inline>
        </w:drawing>
      </w:r>
    </w:p>
    <w:p w14:paraId="7A8213DC" w14:textId="18313C74" w:rsidR="008C4B1E" w:rsidRPr="00D23537" w:rsidRDefault="00681E18" w:rsidP="00C50EC0">
      <w:pPr>
        <w:spacing w:before="100" w:beforeAutospacing="1" w:after="100" w:afterAutospacing="1" w:line="360" w:lineRule="auto"/>
        <w:outlineLvl w:val="0"/>
        <w:rPr>
          <w:rFonts w:ascii="Arial Black" w:hAnsi="Arial Black" w:cs="Arial"/>
          <w:b/>
          <w:bCs/>
          <w:color w:val="2F5496" w:themeColor="accent1" w:themeShade="BF"/>
          <w:kern w:val="36"/>
          <w:sz w:val="28"/>
          <w:szCs w:val="28"/>
        </w:rPr>
      </w:pPr>
      <w:r>
        <w:rPr>
          <w:rFonts w:ascii="Arial Black" w:hAnsi="Arial Black" w:cs="Arial"/>
          <w:b/>
          <w:bCs/>
          <w:color w:val="2F5496" w:themeColor="accent1" w:themeShade="BF"/>
          <w:kern w:val="36"/>
          <w:sz w:val="28"/>
          <w:szCs w:val="28"/>
        </w:rPr>
        <w:lastRenderedPageBreak/>
        <w:t xml:space="preserve">Reversing Prediabetes: An </w:t>
      </w:r>
      <w:r w:rsidR="008C4B1E" w:rsidRPr="00D23537">
        <w:rPr>
          <w:rFonts w:ascii="Arial Black" w:hAnsi="Arial Black" w:cs="Arial"/>
          <w:b/>
          <w:bCs/>
          <w:color w:val="2F5496" w:themeColor="accent1" w:themeShade="BF"/>
          <w:kern w:val="36"/>
          <w:sz w:val="28"/>
          <w:szCs w:val="28"/>
        </w:rPr>
        <w:t xml:space="preserve">Innovating </w:t>
      </w:r>
      <w:r w:rsidRPr="00D23537">
        <w:rPr>
          <w:rFonts w:ascii="Arial Black" w:hAnsi="Arial Black" w:cs="Arial"/>
          <w:b/>
          <w:bCs/>
          <w:color w:val="2F5496" w:themeColor="accent1" w:themeShade="BF"/>
          <w:kern w:val="36"/>
          <w:sz w:val="28"/>
          <w:szCs w:val="28"/>
        </w:rPr>
        <w:t>NHS</w:t>
      </w:r>
      <w:r w:rsidRPr="00D23537">
        <w:rPr>
          <w:rFonts w:ascii="Arial Black" w:hAnsi="Arial Black" w:cs="Arial"/>
          <w:b/>
          <w:bCs/>
          <w:color w:val="2F5496" w:themeColor="accent1" w:themeShade="BF"/>
          <w:kern w:val="36"/>
          <w:sz w:val="28"/>
          <w:szCs w:val="28"/>
        </w:rPr>
        <w:t xml:space="preserve"> </w:t>
      </w:r>
      <w:r w:rsidR="008C4B1E" w:rsidRPr="00D23537">
        <w:rPr>
          <w:rFonts w:ascii="Arial Black" w:hAnsi="Arial Black" w:cs="Arial"/>
          <w:b/>
          <w:bCs/>
          <w:color w:val="2F5496" w:themeColor="accent1" w:themeShade="BF"/>
          <w:kern w:val="36"/>
          <w:sz w:val="28"/>
          <w:szCs w:val="28"/>
        </w:rPr>
        <w:t xml:space="preserve">Prediabetes Care </w:t>
      </w:r>
      <w:r>
        <w:rPr>
          <w:rFonts w:ascii="Arial Black" w:hAnsi="Arial Black" w:cs="Arial"/>
          <w:b/>
          <w:bCs/>
          <w:color w:val="2F5496" w:themeColor="accent1" w:themeShade="BF"/>
          <w:kern w:val="36"/>
          <w:sz w:val="28"/>
          <w:szCs w:val="28"/>
        </w:rPr>
        <w:t xml:space="preserve">Strategy </w:t>
      </w:r>
      <w:r w:rsidR="008C4B1E" w:rsidRPr="00D23537">
        <w:rPr>
          <w:rFonts w:ascii="Arial Black" w:hAnsi="Arial Black" w:cs="Arial"/>
          <w:b/>
          <w:bCs/>
          <w:color w:val="2F5496" w:themeColor="accent1" w:themeShade="BF"/>
          <w:kern w:val="36"/>
          <w:sz w:val="28"/>
          <w:szCs w:val="28"/>
        </w:rPr>
        <w:t xml:space="preserve">to </w:t>
      </w:r>
      <w:r w:rsidR="008C4B1E" w:rsidRPr="002F078F">
        <w:rPr>
          <w:rFonts w:ascii="Arial Black" w:hAnsi="Arial Black" w:cs="Arial"/>
          <w:b/>
          <w:bCs/>
          <w:color w:val="2F5496" w:themeColor="accent1" w:themeShade="BF"/>
          <w:kern w:val="36"/>
          <w:sz w:val="28"/>
          <w:szCs w:val="28"/>
        </w:rPr>
        <w:t xml:space="preserve">Prevent </w:t>
      </w:r>
      <w:r w:rsidR="008C4B1E" w:rsidRPr="00D23537">
        <w:rPr>
          <w:rFonts w:ascii="Arial Black" w:hAnsi="Arial Black" w:cs="Arial"/>
          <w:b/>
          <w:bCs/>
          <w:color w:val="2F5496" w:themeColor="accent1" w:themeShade="BF"/>
          <w:kern w:val="36"/>
          <w:sz w:val="28"/>
          <w:szCs w:val="28"/>
        </w:rPr>
        <w:t xml:space="preserve">Type 2 Diabetes </w:t>
      </w:r>
    </w:p>
    <w:p w14:paraId="6B40D3BC" w14:textId="16982873" w:rsidR="008C4B1E" w:rsidRPr="00D23537" w:rsidRDefault="008C4B1E"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t xml:space="preserve">Introduction </w:t>
      </w:r>
    </w:p>
    <w:p w14:paraId="3107B408" w14:textId="13BD69B6"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Prediabetes represents a critical but frequently overlooked stage in the development of Type 2 diabetes mellitus (T2DM). Although </w:t>
      </w:r>
      <w:r w:rsidRPr="00D23537">
        <w:rPr>
          <w:rFonts w:ascii="Arial" w:hAnsi="Arial" w:cs="Arial"/>
          <w:b/>
          <w:sz w:val="22"/>
          <w:szCs w:val="22"/>
        </w:rPr>
        <w:t>reversible,</w:t>
      </w:r>
      <w:r w:rsidRPr="00430E5D">
        <w:rPr>
          <w:rFonts w:ascii="Arial" w:hAnsi="Arial" w:cs="Arial"/>
          <w:sz w:val="22"/>
          <w:szCs w:val="22"/>
        </w:rPr>
        <w:t xml:space="preserve"> it is often treated as a passive risk state rather than an opportunity for early intervention. This pitch proposes </w:t>
      </w:r>
      <w:r w:rsidRPr="00D23537">
        <w:rPr>
          <w:rFonts w:ascii="Arial" w:hAnsi="Arial" w:cs="Arial"/>
          <w:b/>
          <w:sz w:val="22"/>
          <w:szCs w:val="22"/>
        </w:rPr>
        <w:t>an innovative, proactive NHS prediabetes pathway</w:t>
      </w:r>
      <w:r w:rsidRPr="00430E5D">
        <w:rPr>
          <w:rFonts w:ascii="Arial" w:hAnsi="Arial" w:cs="Arial"/>
          <w:sz w:val="22"/>
          <w:szCs w:val="22"/>
        </w:rPr>
        <w:t xml:space="preserve"> that prioritises early identification, personalised intervention, and sustained support to prevent progression to T2DM. The innovation addresses a significant gap in current NHS provision, where prediabetes management is inconsistent and </w:t>
      </w:r>
      <w:proofErr w:type="gramStart"/>
      <w:r w:rsidRPr="00430E5D">
        <w:rPr>
          <w:rFonts w:ascii="Arial" w:hAnsi="Arial" w:cs="Arial"/>
          <w:sz w:val="22"/>
          <w:szCs w:val="22"/>
        </w:rPr>
        <w:t>largely</w:t>
      </w:r>
      <w:r w:rsidR="00D23537">
        <w:rPr>
          <w:rFonts w:ascii="Arial" w:hAnsi="Arial" w:cs="Arial"/>
          <w:sz w:val="22"/>
          <w:szCs w:val="22"/>
        </w:rPr>
        <w:t xml:space="preserve"> </w:t>
      </w:r>
      <w:r w:rsidRPr="00430E5D">
        <w:rPr>
          <w:rFonts w:ascii="Arial" w:hAnsi="Arial" w:cs="Arial"/>
          <w:sz w:val="22"/>
          <w:szCs w:val="22"/>
        </w:rPr>
        <w:t>dependent</w:t>
      </w:r>
      <w:proofErr w:type="gramEnd"/>
      <w:r w:rsidRPr="00430E5D">
        <w:rPr>
          <w:rFonts w:ascii="Arial" w:hAnsi="Arial" w:cs="Arial"/>
          <w:sz w:val="22"/>
          <w:szCs w:val="22"/>
        </w:rPr>
        <w:t xml:space="preserve"> on individual motivation or optional programme referral. The primary beneficiaries include adults at risk of T2DM, particularly those from deprived and ethnically diverse communities who experience disproportionate disease burden. By shifting prediabetes from the margins of care into a structured, preventative pathway, this innovation aims to improve population health, reduce inequalities, and support the long-term sustainability of the NHS.</w:t>
      </w:r>
    </w:p>
    <w:p w14:paraId="0F925D91" w14:textId="55833B57" w:rsidR="008C4B1E" w:rsidRPr="00430E5D" w:rsidRDefault="008C4B1E" w:rsidP="00C50EC0">
      <w:pPr>
        <w:spacing w:line="360" w:lineRule="auto"/>
        <w:rPr>
          <w:rFonts w:ascii="Arial" w:hAnsi="Arial" w:cs="Arial"/>
          <w:sz w:val="22"/>
          <w:szCs w:val="22"/>
        </w:rPr>
      </w:pPr>
    </w:p>
    <w:p w14:paraId="7D1C422A" w14:textId="66549273" w:rsidR="008C4B1E" w:rsidRPr="00D23537" w:rsidRDefault="008C4B1E"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t xml:space="preserve">Background </w:t>
      </w:r>
    </w:p>
    <w:p w14:paraId="402331D4" w14:textId="77777777"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Diabetes is a growing public health challenge in the UK, with over 4.3 million people currently diagnosed and a further 6.4 million estimated to have prediabetes (Diabetes UK, 2023). Prediabetes significantly increases the risk of developing T2DM, cardiovascular disease, and premature mortality, yet progression is not inevitable. Evidence suggests that timely lifestyle interventions can reduce the risk of developing T2DM by up to 58% (</w:t>
      </w:r>
      <w:proofErr w:type="spellStart"/>
      <w:r w:rsidRPr="00430E5D">
        <w:rPr>
          <w:rFonts w:ascii="Arial" w:hAnsi="Arial" w:cs="Arial"/>
          <w:sz w:val="22"/>
          <w:szCs w:val="22"/>
        </w:rPr>
        <w:t>Knowler</w:t>
      </w:r>
      <w:proofErr w:type="spellEnd"/>
      <w:r w:rsidRPr="00430E5D">
        <w:rPr>
          <w:rFonts w:ascii="Arial" w:hAnsi="Arial" w:cs="Arial"/>
          <w:sz w:val="22"/>
          <w:szCs w:val="22"/>
        </w:rPr>
        <w:t xml:space="preserve"> et al., 2002).</w:t>
      </w:r>
    </w:p>
    <w:p w14:paraId="213B7380" w14:textId="77777777"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The NHS Diabetes Prevention Programme (DPP) was introduced to address this risk; however, uptake and completion remain variable, and engagement is particularly low among socioeconomically disadvantaged groups (NHS England, 2023). Referral to the DPP is not automatic, follow-up is limited, and interventions are </w:t>
      </w:r>
      <w:proofErr w:type="gramStart"/>
      <w:r w:rsidRPr="00B7434E">
        <w:rPr>
          <w:rFonts w:ascii="Arial" w:hAnsi="Arial" w:cs="Arial"/>
          <w:b/>
          <w:sz w:val="22"/>
          <w:szCs w:val="22"/>
        </w:rPr>
        <w:t>largely standardised</w:t>
      </w:r>
      <w:proofErr w:type="gramEnd"/>
      <w:r w:rsidRPr="00B7434E">
        <w:rPr>
          <w:rFonts w:ascii="Arial" w:hAnsi="Arial" w:cs="Arial"/>
          <w:b/>
          <w:sz w:val="22"/>
          <w:szCs w:val="22"/>
        </w:rPr>
        <w:t xml:space="preserve"> rather than personalised.</w:t>
      </w:r>
      <w:r w:rsidRPr="00430E5D">
        <w:rPr>
          <w:rFonts w:ascii="Arial" w:hAnsi="Arial" w:cs="Arial"/>
          <w:sz w:val="22"/>
          <w:szCs w:val="22"/>
        </w:rPr>
        <w:t xml:space="preserve"> This results in missed opportunities for early, preventative care.</w:t>
      </w:r>
    </w:p>
    <w:p w14:paraId="00CAB50B" w14:textId="77777777" w:rsidR="008C4B1E" w:rsidRPr="00D23537" w:rsidRDefault="008C4B1E" w:rsidP="00C50EC0">
      <w:pPr>
        <w:spacing w:before="100" w:beforeAutospacing="1" w:after="100" w:afterAutospacing="1" w:line="360" w:lineRule="auto"/>
        <w:rPr>
          <w:rFonts w:ascii="Arial" w:hAnsi="Arial" w:cs="Arial"/>
          <w:b/>
          <w:sz w:val="22"/>
          <w:szCs w:val="22"/>
        </w:rPr>
      </w:pPr>
      <w:r w:rsidRPr="00430E5D">
        <w:rPr>
          <w:rFonts w:ascii="Arial" w:hAnsi="Arial" w:cs="Arial"/>
          <w:sz w:val="22"/>
          <w:szCs w:val="22"/>
        </w:rPr>
        <w:t xml:space="preserve">Policy documents such as the </w:t>
      </w:r>
      <w:r w:rsidRPr="00430E5D">
        <w:rPr>
          <w:rFonts w:ascii="Arial" w:hAnsi="Arial" w:cs="Arial"/>
          <w:i/>
          <w:iCs/>
          <w:sz w:val="22"/>
          <w:szCs w:val="22"/>
        </w:rPr>
        <w:t>NHS Long Term Plan</w:t>
      </w:r>
      <w:r w:rsidRPr="00430E5D">
        <w:rPr>
          <w:rFonts w:ascii="Arial" w:hAnsi="Arial" w:cs="Arial"/>
          <w:sz w:val="22"/>
          <w:szCs w:val="22"/>
        </w:rPr>
        <w:t xml:space="preserve"> and the </w:t>
      </w:r>
      <w:r w:rsidRPr="00430E5D">
        <w:rPr>
          <w:rFonts w:ascii="Arial" w:hAnsi="Arial" w:cs="Arial"/>
          <w:i/>
          <w:iCs/>
          <w:sz w:val="22"/>
          <w:szCs w:val="22"/>
        </w:rPr>
        <w:t>Fit for the Future: 10-Year Health Plan for England</w:t>
      </w:r>
      <w:r w:rsidRPr="00430E5D">
        <w:rPr>
          <w:rFonts w:ascii="Arial" w:hAnsi="Arial" w:cs="Arial"/>
          <w:sz w:val="22"/>
          <w:szCs w:val="22"/>
        </w:rPr>
        <w:t xml:space="preserve"> emphasise prevention, early intervention, and tackling health inequalities as strategic priorities (DHSC, 2024). Despite this, prediabetes remains under-integrated into routine care pathways. Real-world </w:t>
      </w:r>
      <w:r w:rsidRPr="00430E5D">
        <w:rPr>
          <w:rFonts w:ascii="Arial" w:hAnsi="Arial" w:cs="Arial"/>
          <w:sz w:val="22"/>
          <w:szCs w:val="22"/>
        </w:rPr>
        <w:lastRenderedPageBreak/>
        <w:t xml:space="preserve">experiences reported by patients and clinicians highlight </w:t>
      </w:r>
      <w:r w:rsidRPr="00D23537">
        <w:rPr>
          <w:rFonts w:ascii="Arial" w:hAnsi="Arial" w:cs="Arial"/>
          <w:b/>
          <w:sz w:val="22"/>
          <w:szCs w:val="22"/>
        </w:rPr>
        <w:t>confusion, lack of urgency, and insufficient support following diagnosis, reinforcing the need for a more structured and proactive approach.</w:t>
      </w:r>
    </w:p>
    <w:p w14:paraId="3C80899D" w14:textId="77777777" w:rsidR="005A55EE" w:rsidRPr="005A55EE" w:rsidRDefault="005A55EE" w:rsidP="00681E18">
      <w:pPr>
        <w:spacing w:before="100" w:beforeAutospacing="1" w:after="100" w:afterAutospacing="1" w:line="360" w:lineRule="auto"/>
        <w:outlineLvl w:val="1"/>
        <w:rPr>
          <w:rFonts w:ascii="Arial Black" w:hAnsi="Arial Black" w:cs="Arial"/>
          <w:b/>
          <w:bCs/>
          <w:color w:val="2F5496" w:themeColor="accent1" w:themeShade="BF"/>
          <w:sz w:val="22"/>
          <w:szCs w:val="22"/>
        </w:rPr>
      </w:pPr>
      <w:r w:rsidRPr="005A55EE">
        <w:rPr>
          <w:rFonts w:ascii="Arial Black" w:hAnsi="Arial Black" w:cs="Arial"/>
          <w:b/>
          <w:bCs/>
          <w:color w:val="2F5496" w:themeColor="accent1" w:themeShade="BF"/>
          <w:sz w:val="22"/>
          <w:szCs w:val="22"/>
        </w:rPr>
        <w:t>Innovation Description</w:t>
      </w:r>
    </w:p>
    <w:p w14:paraId="2A2C32FD" w14:textId="77777777" w:rsidR="005A55EE" w:rsidRPr="005A55EE" w:rsidRDefault="005A55EE" w:rsidP="00681E18">
      <w:pPr>
        <w:spacing w:before="100" w:beforeAutospacing="1" w:after="100" w:afterAutospacing="1" w:line="360" w:lineRule="auto"/>
        <w:rPr>
          <w:rFonts w:ascii="Arial" w:hAnsi="Arial" w:cs="Arial"/>
          <w:sz w:val="22"/>
          <w:szCs w:val="22"/>
        </w:rPr>
      </w:pPr>
      <w:r w:rsidRPr="005A55EE">
        <w:rPr>
          <w:rFonts w:ascii="Arial" w:hAnsi="Arial" w:cs="Arial"/>
          <w:sz w:val="22"/>
          <w:szCs w:val="22"/>
        </w:rPr>
        <w:t xml:space="preserve">The proposed innovation is a Proactive NHS Prediabetes Care Pathway, automatically activated when prediabetes is identified through routine screening in primary care. Unlike existing approaches, this pathway does not rely solely on optional programme referral but embeds prediabetes management within standard NHS care. </w:t>
      </w:r>
      <w:r w:rsidRPr="005A55EE">
        <w:rPr>
          <w:rFonts w:ascii="Arial" w:hAnsi="Arial" w:cs="Arial"/>
          <w:b/>
          <w:bCs/>
          <w:sz w:val="22"/>
          <w:szCs w:val="22"/>
        </w:rPr>
        <w:t>Importantly, it shifts responsibility away from individuals navigating prevention alone and instead places structured support within the health system itself, ensuring consistency, equity and continuity of care across populations.</w:t>
      </w:r>
    </w:p>
    <w:p w14:paraId="7CACDD69" w14:textId="77777777" w:rsidR="005A55EE" w:rsidRPr="005A55EE" w:rsidRDefault="005A55EE" w:rsidP="00681E18">
      <w:pPr>
        <w:spacing w:before="100" w:beforeAutospacing="1" w:after="100" w:afterAutospacing="1" w:line="360" w:lineRule="auto"/>
        <w:rPr>
          <w:rFonts w:ascii="Arial" w:hAnsi="Arial" w:cs="Arial"/>
          <w:sz w:val="22"/>
          <w:szCs w:val="22"/>
        </w:rPr>
      </w:pPr>
      <w:r w:rsidRPr="005A55EE">
        <w:rPr>
          <w:rFonts w:ascii="Arial" w:hAnsi="Arial" w:cs="Arial"/>
          <w:sz w:val="22"/>
          <w:szCs w:val="22"/>
        </w:rPr>
        <w:t>Key components include:</w:t>
      </w:r>
      <w:r w:rsidRPr="005A55EE">
        <w:rPr>
          <w:rFonts w:ascii="Arial" w:hAnsi="Arial" w:cs="Arial"/>
          <w:sz w:val="22"/>
          <w:szCs w:val="22"/>
        </w:rPr>
        <w:br/>
        <w:t>• Automatic enrolment following diagnosis, with patient opt-out rather than opt-in</w:t>
      </w:r>
      <w:r w:rsidRPr="005A55EE">
        <w:rPr>
          <w:rFonts w:ascii="Arial" w:hAnsi="Arial" w:cs="Arial"/>
          <w:sz w:val="22"/>
          <w:szCs w:val="22"/>
        </w:rPr>
        <w:br/>
        <w:t>• Personalised care planning, co-produced with patients, recognising social, cultural, and economic contexts</w:t>
      </w:r>
      <w:r w:rsidRPr="005A55EE">
        <w:rPr>
          <w:rFonts w:ascii="Arial" w:hAnsi="Arial" w:cs="Arial"/>
          <w:sz w:val="22"/>
          <w:szCs w:val="22"/>
        </w:rPr>
        <w:br/>
        <w:t>• Blended delivery, combining digital tools (apps, remote monitoring, online education) with face-to-face and community-based support</w:t>
      </w:r>
      <w:r w:rsidRPr="005A55EE">
        <w:rPr>
          <w:rFonts w:ascii="Arial" w:hAnsi="Arial" w:cs="Arial"/>
          <w:sz w:val="22"/>
          <w:szCs w:val="22"/>
        </w:rPr>
        <w:br/>
        <w:t>• Social prescribing, linking individuals to local physical activity, nutrition, and wellbeing services</w:t>
      </w:r>
      <w:r w:rsidRPr="005A55EE">
        <w:rPr>
          <w:rFonts w:ascii="Arial" w:hAnsi="Arial" w:cs="Arial"/>
          <w:sz w:val="22"/>
          <w:szCs w:val="22"/>
        </w:rPr>
        <w:br/>
        <w:t>• Ongoing monitoring and review, integrated into GP and practice nurse follow-up</w:t>
      </w:r>
    </w:p>
    <w:p w14:paraId="54E57875" w14:textId="024B0BA8" w:rsidR="007A2E69" w:rsidRPr="00681E18" w:rsidRDefault="005A55EE" w:rsidP="007A2E69">
      <w:pPr>
        <w:spacing w:before="100" w:beforeAutospacing="1" w:after="100" w:afterAutospacing="1" w:line="360" w:lineRule="auto"/>
        <w:rPr>
          <w:rFonts w:ascii="Arial" w:hAnsi="Arial" w:cs="Arial"/>
          <w:sz w:val="22"/>
          <w:szCs w:val="22"/>
        </w:rPr>
      </w:pPr>
      <w:r w:rsidRPr="005A55EE">
        <w:rPr>
          <w:rFonts w:ascii="Arial" w:hAnsi="Arial" w:cs="Arial"/>
          <w:sz w:val="22"/>
          <w:szCs w:val="22"/>
        </w:rPr>
        <w:t xml:space="preserve">This innovation is new not because prevention is unheard of, but because it reframes prediabetes as a treatable clinical condition rather than a passive warning label. </w:t>
      </w:r>
      <w:r w:rsidRPr="005A55EE">
        <w:rPr>
          <w:rFonts w:ascii="Arial" w:hAnsi="Arial" w:cs="Arial"/>
          <w:b/>
          <w:bCs/>
          <w:sz w:val="22"/>
          <w:szCs w:val="22"/>
        </w:rPr>
        <w:t>By formalising early intervention as a routine care pathway, it normalises prevention as a core NHS function rather than an optional add-on.</w:t>
      </w:r>
      <w:r w:rsidRPr="005A55EE">
        <w:rPr>
          <w:rFonts w:ascii="Arial" w:hAnsi="Arial" w:cs="Arial"/>
          <w:sz w:val="22"/>
          <w:szCs w:val="22"/>
        </w:rPr>
        <w:t xml:space="preserve"> By connecting diagnosis, intervention, and monitoring into a single pathway, it improves continuity of care and accountability. The model also aligns with learning health system principles by using data to adapt interventions and improve outcomes over time.</w:t>
      </w:r>
    </w:p>
    <w:p w14:paraId="09D22822" w14:textId="74E47440" w:rsidR="008C4B1E" w:rsidRPr="00D23537" w:rsidRDefault="008C4B1E"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t xml:space="preserve">Impact on Health and Social Care </w:t>
      </w:r>
    </w:p>
    <w:p w14:paraId="5E5A4F7B" w14:textId="77777777"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The primary beneficiaries of this innovation are adults with prediabetes, particularly those from deprived areas and Black, Asian and Minority Ethnic (BAME) communities, who face higher risk of progression to T2DM and poorer outcomes (Public Health England, 2018). Earlier, personalised intervention improves access to preventative care and reduces reliance on reactive, high-cost treatments.</w:t>
      </w:r>
    </w:p>
    <w:p w14:paraId="49A80530" w14:textId="77777777"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lastRenderedPageBreak/>
        <w:t>From a health perspective, the pathway supports improved glycaemic control, weight management, and cardiovascular risk reduction, enhancing quality of life and long-term independence. For social care, preventing or delaying T2DM reduces future demand associated with complications such as disability, visual impairment, and renal disease.</w:t>
      </w:r>
    </w:p>
    <w:p w14:paraId="4DDBE4AB" w14:textId="77777777"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Healthcare </w:t>
      </w:r>
      <w:proofErr w:type="gramStart"/>
      <w:r w:rsidRPr="00430E5D">
        <w:rPr>
          <w:rFonts w:ascii="Arial" w:hAnsi="Arial" w:cs="Arial"/>
          <w:sz w:val="22"/>
          <w:szCs w:val="22"/>
        </w:rPr>
        <w:t>professionals</w:t>
      </w:r>
      <w:proofErr w:type="gramEnd"/>
      <w:r w:rsidRPr="00430E5D">
        <w:rPr>
          <w:rFonts w:ascii="Arial" w:hAnsi="Arial" w:cs="Arial"/>
          <w:sz w:val="22"/>
          <w:szCs w:val="22"/>
        </w:rPr>
        <w:t xml:space="preserve"> benefit through clearer pathways, better use of multidisciplinary working, and reduced long-term workload associated with complex diabetes management. The innovation also contributes to the common good by supporting NHS sustainability, addressing health inequalities, and promoting shared responsibility for health.</w:t>
      </w:r>
    </w:p>
    <w:p w14:paraId="43DC3F60" w14:textId="6E0F790C" w:rsidR="008C4B1E" w:rsidRPr="00430E5D" w:rsidRDefault="008C4B1E" w:rsidP="00A23BFA">
      <w:pPr>
        <w:spacing w:before="100" w:beforeAutospacing="1" w:after="100" w:afterAutospacing="1" w:line="360" w:lineRule="auto"/>
        <w:rPr>
          <w:rFonts w:ascii="Arial" w:hAnsi="Arial" w:cs="Arial"/>
          <w:sz w:val="22"/>
          <w:szCs w:val="22"/>
        </w:rPr>
      </w:pPr>
      <w:r w:rsidRPr="00430E5D">
        <w:rPr>
          <w:rFonts w:ascii="Arial" w:hAnsi="Arial" w:cs="Arial"/>
          <w:sz w:val="22"/>
          <w:szCs w:val="22"/>
        </w:rPr>
        <w:t>By embedding prevention into everyday practice, this model reflects value-based healthcare principles, focusing on outcomes that matter to individuals while using resources more efficiently (Porter, 2010; BMJ Open, 2020).</w:t>
      </w:r>
    </w:p>
    <w:p w14:paraId="15353AAD" w14:textId="373B3A36" w:rsidR="00373371" w:rsidRDefault="00373371"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t xml:space="preserve">Public and Stakeholder Involvement </w:t>
      </w:r>
    </w:p>
    <w:p w14:paraId="7635045A" w14:textId="140AD5C5" w:rsidR="003E5A76" w:rsidRPr="007A2E69" w:rsidRDefault="003E5A76" w:rsidP="007A2E69">
      <w:pPr>
        <w:pStyle w:val="NormalWeb"/>
        <w:spacing w:line="360" w:lineRule="auto"/>
        <w:rPr>
          <w:rFonts w:ascii="Arial" w:hAnsi="Arial" w:cs="Arial"/>
          <w:b/>
          <w:sz w:val="22"/>
          <w:szCs w:val="22"/>
        </w:rPr>
      </w:pPr>
      <w:r w:rsidRPr="003E5A76">
        <w:rPr>
          <w:rStyle w:val="Strong"/>
          <w:rFonts w:ascii="Arial" w:hAnsi="Arial" w:cs="Arial"/>
          <w:b w:val="0"/>
          <w:sz w:val="22"/>
          <w:szCs w:val="22"/>
        </w:rPr>
        <w:t xml:space="preserve">At a system level, the NHS is the principal stakeholder in this innovation, as it holds responsibility for commissioning, delivering and sustaining preventative care pathways. This proposal directly aligns with the NHS </w:t>
      </w:r>
      <w:r w:rsidRPr="00A23BFA">
        <w:rPr>
          <w:rStyle w:val="Strong"/>
          <w:rFonts w:ascii="Arial" w:hAnsi="Arial" w:cs="Arial"/>
          <w:b w:val="0"/>
          <w:sz w:val="22"/>
          <w:szCs w:val="22"/>
        </w:rPr>
        <w:t>Long Term Plan’s strategic</w:t>
      </w:r>
      <w:r w:rsidRPr="003E5A76">
        <w:rPr>
          <w:rStyle w:val="Strong"/>
          <w:rFonts w:ascii="Arial" w:hAnsi="Arial" w:cs="Arial"/>
          <w:b w:val="0"/>
          <w:sz w:val="22"/>
          <w:szCs w:val="22"/>
        </w:rPr>
        <w:t xml:space="preserve"> shift from sickness treatment to prevention, aiming to “make the healthy choice the easy choice” through earlier intervention and integrated care (NHS England, 2019). NHS England, Integrated Care Boards (ICBs) and primary care providers play a central role in implementation, supported by healthcare professionals such as GPs, nurses, dietitians and social prescribing link workers. Partner organisations, including Diabetes UK, provide advocacy, education and community reach, reflecting NICE guidance on inclusive stakeholder engagement in health programme development (NICE, 2021).</w:t>
      </w:r>
    </w:p>
    <w:p w14:paraId="7F97B594" w14:textId="02C1E98E" w:rsidR="00373371" w:rsidRPr="00430E5D" w:rsidRDefault="00373371" w:rsidP="00373371">
      <w:pPr>
        <w:spacing w:before="100" w:beforeAutospacing="1" w:after="100" w:afterAutospacing="1" w:line="360" w:lineRule="auto"/>
        <w:rPr>
          <w:rFonts w:ascii="Arial" w:hAnsi="Arial" w:cs="Arial"/>
          <w:sz w:val="22"/>
          <w:szCs w:val="22"/>
        </w:rPr>
      </w:pPr>
      <w:r w:rsidRPr="00681E18">
        <w:rPr>
          <w:rFonts w:ascii="Arial" w:hAnsi="Arial" w:cs="Arial"/>
          <w:sz w:val="22"/>
          <w:szCs w:val="22"/>
        </w:rPr>
        <w:t xml:space="preserve">Public involvement is </w:t>
      </w:r>
      <w:r w:rsidR="003E5A76">
        <w:rPr>
          <w:rFonts w:ascii="Arial" w:hAnsi="Arial" w:cs="Arial"/>
          <w:sz w:val="22"/>
          <w:szCs w:val="22"/>
        </w:rPr>
        <w:t xml:space="preserve">also important </w:t>
      </w:r>
      <w:r w:rsidRPr="00681E18">
        <w:rPr>
          <w:rFonts w:ascii="Arial" w:hAnsi="Arial" w:cs="Arial"/>
          <w:sz w:val="22"/>
          <w:szCs w:val="22"/>
        </w:rPr>
        <w:t>to this innovation.</w:t>
      </w:r>
      <w:r w:rsidRPr="00430E5D">
        <w:rPr>
          <w:rFonts w:ascii="Arial" w:hAnsi="Arial" w:cs="Arial"/>
          <w:sz w:val="22"/>
          <w:szCs w:val="22"/>
        </w:rPr>
        <w:t xml:space="preserve"> Service users with lived experience of prediabetes will be involved in co-designing educational materials, digital tools, and care planning approaches. Community engagement will be supported through partnerships with voluntary organisations, faith groups, and local authorities to ensure cultural relevance and accessibility.</w:t>
      </w:r>
    </w:p>
    <w:p w14:paraId="5DABCA13" w14:textId="2CDEC69E" w:rsidR="00D23537" w:rsidRPr="00430E5D" w:rsidRDefault="00373371" w:rsidP="003E5A76">
      <w:pPr>
        <w:spacing w:before="100" w:beforeAutospacing="1" w:after="100" w:afterAutospacing="1" w:line="360" w:lineRule="auto"/>
        <w:rPr>
          <w:rFonts w:ascii="Arial" w:hAnsi="Arial" w:cs="Arial"/>
          <w:sz w:val="22"/>
          <w:szCs w:val="22"/>
        </w:rPr>
      </w:pPr>
      <w:r w:rsidRPr="00430E5D">
        <w:rPr>
          <w:rFonts w:ascii="Arial" w:hAnsi="Arial" w:cs="Arial"/>
          <w:sz w:val="22"/>
          <w:szCs w:val="22"/>
        </w:rPr>
        <w:t>Advocacy efforts will raise public awareness of prediabetes as a reversible condition, reducing stigma and encouraging early engagement. Feedback mechanisms, including patient-reported outcome measures (PROMs), will inform continuous improvement. This co-produced approach aligns with SCIE principles of person-centred, strengths-based care and enhances trust and uptake (SCIE, 2025).</w:t>
      </w:r>
    </w:p>
    <w:p w14:paraId="5D953982" w14:textId="3433BE25" w:rsidR="008C4B1E" w:rsidRPr="00D23537" w:rsidRDefault="008C4B1E"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lastRenderedPageBreak/>
        <w:t xml:space="preserve">Policies, Services, and Professional Links </w:t>
      </w:r>
    </w:p>
    <w:p w14:paraId="40CC0EA3" w14:textId="77777777" w:rsidR="008C4B1E" w:rsidRPr="00D23537" w:rsidRDefault="008C4B1E" w:rsidP="00C50EC0">
      <w:pPr>
        <w:spacing w:before="100" w:beforeAutospacing="1" w:after="100" w:afterAutospacing="1" w:line="360" w:lineRule="auto"/>
        <w:rPr>
          <w:rFonts w:ascii="Arial" w:hAnsi="Arial" w:cs="Arial"/>
          <w:sz w:val="22"/>
          <w:szCs w:val="22"/>
        </w:rPr>
      </w:pPr>
      <w:r w:rsidRPr="00D23537">
        <w:rPr>
          <w:rFonts w:ascii="Arial" w:hAnsi="Arial" w:cs="Arial"/>
          <w:sz w:val="22"/>
          <w:szCs w:val="22"/>
        </w:rPr>
        <w:t xml:space="preserve">The innovation aligns with key legislation and policy frameworks, including the </w:t>
      </w:r>
      <w:r w:rsidRPr="00D23537">
        <w:rPr>
          <w:rFonts w:ascii="Arial" w:hAnsi="Arial" w:cs="Arial"/>
          <w:bCs/>
          <w:sz w:val="22"/>
          <w:szCs w:val="22"/>
        </w:rPr>
        <w:t>Care Act 2014</w:t>
      </w:r>
      <w:r w:rsidRPr="00D23537">
        <w:rPr>
          <w:rFonts w:ascii="Arial" w:hAnsi="Arial" w:cs="Arial"/>
          <w:sz w:val="22"/>
          <w:szCs w:val="22"/>
        </w:rPr>
        <w:t xml:space="preserve">, which emphasises prevention and wellbeing, and the </w:t>
      </w:r>
      <w:r w:rsidRPr="00D23537">
        <w:rPr>
          <w:rFonts w:ascii="Arial" w:hAnsi="Arial" w:cs="Arial"/>
          <w:bCs/>
          <w:sz w:val="22"/>
          <w:szCs w:val="22"/>
        </w:rPr>
        <w:t>Equality Act 2010</w:t>
      </w:r>
      <w:r w:rsidRPr="00D23537">
        <w:rPr>
          <w:rFonts w:ascii="Arial" w:hAnsi="Arial" w:cs="Arial"/>
          <w:sz w:val="22"/>
          <w:szCs w:val="22"/>
        </w:rPr>
        <w:t>, which mandates equitable access to services. It complements existing NHS services by strengthening the role of GPs, practice nurses, dietitians, social prescribers, and community health workers.</w:t>
      </w:r>
    </w:p>
    <w:p w14:paraId="77ED3C8D" w14:textId="2D94AEB2" w:rsidR="008C4B1E" w:rsidRPr="00430E5D" w:rsidRDefault="008C4B1E" w:rsidP="00106033">
      <w:pPr>
        <w:spacing w:before="100" w:beforeAutospacing="1" w:after="100" w:afterAutospacing="1" w:line="360" w:lineRule="auto"/>
        <w:rPr>
          <w:rFonts w:ascii="Arial" w:hAnsi="Arial" w:cs="Arial"/>
          <w:sz w:val="22"/>
          <w:szCs w:val="22"/>
        </w:rPr>
      </w:pPr>
      <w:r w:rsidRPr="00D23537">
        <w:rPr>
          <w:rFonts w:ascii="Arial" w:hAnsi="Arial" w:cs="Arial"/>
          <w:sz w:val="22"/>
          <w:szCs w:val="22"/>
        </w:rPr>
        <w:t>Professional collaboration across health and social care supports integrated care system (ICS) objectives and aligns with NHS England priorities on prevention and population health management. Voluntary sector involvement further enhances reach and sustainability.</w:t>
      </w:r>
    </w:p>
    <w:p w14:paraId="4611F124" w14:textId="77777777" w:rsidR="00681E18" w:rsidRPr="005A55EE" w:rsidRDefault="00681E18" w:rsidP="00681E18">
      <w:pPr>
        <w:spacing w:before="100" w:beforeAutospacing="1" w:after="100" w:afterAutospacing="1" w:line="360" w:lineRule="auto"/>
        <w:outlineLvl w:val="1"/>
        <w:rPr>
          <w:rFonts w:ascii="Arial Black" w:hAnsi="Arial Black" w:cs="Arial"/>
          <w:b/>
          <w:bCs/>
          <w:color w:val="2F5496" w:themeColor="accent1" w:themeShade="BF"/>
        </w:rPr>
      </w:pPr>
      <w:r w:rsidRPr="005A55EE">
        <w:rPr>
          <w:rFonts w:ascii="Arial Black" w:hAnsi="Arial Black" w:cs="Arial"/>
          <w:b/>
          <w:bCs/>
          <w:color w:val="2F5496" w:themeColor="accent1" w:themeShade="BF"/>
        </w:rPr>
        <w:t>Conclusion</w:t>
      </w:r>
    </w:p>
    <w:p w14:paraId="395CCE3E" w14:textId="77777777" w:rsidR="00681E18" w:rsidRPr="005A55EE" w:rsidRDefault="00681E18" w:rsidP="00681E18">
      <w:pPr>
        <w:spacing w:before="100" w:beforeAutospacing="1" w:after="100" w:afterAutospacing="1" w:line="360" w:lineRule="auto"/>
        <w:rPr>
          <w:rFonts w:ascii="Arial" w:hAnsi="Arial" w:cs="Arial"/>
          <w:sz w:val="22"/>
          <w:szCs w:val="22"/>
        </w:rPr>
      </w:pPr>
      <w:r w:rsidRPr="005A55EE">
        <w:rPr>
          <w:rFonts w:ascii="Arial" w:hAnsi="Arial" w:cs="Arial"/>
          <w:sz w:val="22"/>
          <w:szCs w:val="22"/>
        </w:rPr>
        <w:t xml:space="preserve">Prediabetes represents a missed opportunity within the current NHS system. This innovation addresses that gap by introducing a proactive, personalised, and integrated prediabetes care pathway. By prioritising early intervention, co-production, and prevention, it improves health outcomes, reduces inequalities, and supports NHS sustainability. </w:t>
      </w:r>
      <w:r w:rsidRPr="005A55EE">
        <w:rPr>
          <w:rFonts w:ascii="Arial" w:hAnsi="Arial" w:cs="Arial"/>
          <w:b/>
          <w:bCs/>
          <w:sz w:val="22"/>
          <w:szCs w:val="22"/>
        </w:rPr>
        <w:t>Crucially, it reframes prevention as an investment rather than a cost, supporting long-term system resilience.</w:t>
      </w:r>
      <w:r w:rsidRPr="005A55EE">
        <w:rPr>
          <w:rFonts w:ascii="Arial" w:hAnsi="Arial" w:cs="Arial"/>
          <w:sz w:val="22"/>
          <w:szCs w:val="22"/>
        </w:rPr>
        <w:t xml:space="preserve"> The model is realistic, policy-aligned, and scalable, offering a meaningful innovation in health and social care</w:t>
      </w:r>
    </w:p>
    <w:p w14:paraId="5F4CC9C6" w14:textId="447ADE5D" w:rsidR="00043CB2" w:rsidRDefault="00043CB2" w:rsidP="00C50EC0">
      <w:pPr>
        <w:spacing w:before="100" w:beforeAutospacing="1" w:after="100" w:afterAutospacing="1" w:line="360" w:lineRule="auto"/>
        <w:outlineLvl w:val="1"/>
        <w:rPr>
          <w:rFonts w:ascii="Arial Black" w:hAnsi="Arial Black" w:cs="Arial"/>
          <w:b/>
          <w:bCs/>
          <w:color w:val="2F5496" w:themeColor="accent1" w:themeShade="BF"/>
        </w:rPr>
      </w:pPr>
    </w:p>
    <w:p w14:paraId="38B1753F" w14:textId="0AEBB51A" w:rsidR="00DD521C" w:rsidRDefault="00DD521C" w:rsidP="00C50EC0">
      <w:pPr>
        <w:spacing w:before="100" w:beforeAutospacing="1" w:after="100" w:afterAutospacing="1" w:line="360" w:lineRule="auto"/>
        <w:outlineLvl w:val="1"/>
        <w:rPr>
          <w:rFonts w:ascii="Arial Black" w:hAnsi="Arial Black" w:cs="Arial"/>
          <w:b/>
          <w:bCs/>
          <w:color w:val="2F5496" w:themeColor="accent1" w:themeShade="BF"/>
        </w:rPr>
      </w:pPr>
    </w:p>
    <w:p w14:paraId="0F8F574D" w14:textId="0914E8F0" w:rsidR="00DD521C" w:rsidRDefault="00DD521C" w:rsidP="00C50EC0">
      <w:pPr>
        <w:spacing w:before="100" w:beforeAutospacing="1" w:after="100" w:afterAutospacing="1" w:line="360" w:lineRule="auto"/>
        <w:outlineLvl w:val="1"/>
        <w:rPr>
          <w:rFonts w:ascii="Arial Black" w:hAnsi="Arial Black" w:cs="Arial"/>
          <w:b/>
          <w:bCs/>
          <w:color w:val="2F5496" w:themeColor="accent1" w:themeShade="BF"/>
        </w:rPr>
      </w:pPr>
    </w:p>
    <w:p w14:paraId="0238E900" w14:textId="5C4F661C" w:rsidR="00DD521C" w:rsidRDefault="00DD521C" w:rsidP="00C50EC0">
      <w:pPr>
        <w:spacing w:before="100" w:beforeAutospacing="1" w:after="100" w:afterAutospacing="1" w:line="360" w:lineRule="auto"/>
        <w:outlineLvl w:val="1"/>
        <w:rPr>
          <w:rFonts w:ascii="Arial Black" w:hAnsi="Arial Black" w:cs="Arial"/>
          <w:b/>
          <w:bCs/>
          <w:color w:val="2F5496" w:themeColor="accent1" w:themeShade="BF"/>
        </w:rPr>
      </w:pPr>
    </w:p>
    <w:p w14:paraId="211AC356" w14:textId="77777777" w:rsidR="00DD521C" w:rsidRDefault="00DD521C" w:rsidP="00C50EC0">
      <w:pPr>
        <w:spacing w:before="100" w:beforeAutospacing="1" w:after="100" w:afterAutospacing="1" w:line="360" w:lineRule="auto"/>
        <w:outlineLvl w:val="1"/>
        <w:rPr>
          <w:rFonts w:ascii="Arial Black" w:hAnsi="Arial Black" w:cs="Arial"/>
          <w:b/>
          <w:bCs/>
          <w:color w:val="2F5496" w:themeColor="accent1" w:themeShade="BF"/>
        </w:rPr>
      </w:pPr>
      <w:bookmarkStart w:id="0" w:name="_GoBack"/>
      <w:bookmarkEnd w:id="0"/>
    </w:p>
    <w:p w14:paraId="36F70E02" w14:textId="77777777" w:rsidR="00106033" w:rsidRDefault="00106033" w:rsidP="00C50EC0">
      <w:pPr>
        <w:spacing w:before="100" w:beforeAutospacing="1" w:after="100" w:afterAutospacing="1" w:line="360" w:lineRule="auto"/>
        <w:outlineLvl w:val="1"/>
        <w:rPr>
          <w:rFonts w:ascii="Arial Black" w:hAnsi="Arial Black" w:cs="Arial"/>
          <w:b/>
          <w:bCs/>
          <w:color w:val="2F5496" w:themeColor="accent1" w:themeShade="BF"/>
        </w:rPr>
      </w:pPr>
    </w:p>
    <w:p w14:paraId="18FCB3D0" w14:textId="50805061" w:rsidR="00043CB2" w:rsidRPr="00D23537" w:rsidRDefault="008C4B1E" w:rsidP="00C50EC0">
      <w:pPr>
        <w:spacing w:before="100" w:beforeAutospacing="1" w:after="100" w:afterAutospacing="1" w:line="360" w:lineRule="auto"/>
        <w:outlineLvl w:val="1"/>
        <w:rPr>
          <w:rFonts w:ascii="Arial Black" w:hAnsi="Arial Black" w:cs="Arial"/>
          <w:b/>
          <w:bCs/>
          <w:color w:val="2F5496" w:themeColor="accent1" w:themeShade="BF"/>
        </w:rPr>
      </w:pPr>
      <w:r w:rsidRPr="00D23537">
        <w:rPr>
          <w:rFonts w:ascii="Arial Black" w:hAnsi="Arial Black" w:cs="Arial"/>
          <w:b/>
          <w:bCs/>
          <w:color w:val="2F5496" w:themeColor="accent1" w:themeShade="BF"/>
        </w:rPr>
        <w:t>References</w:t>
      </w:r>
    </w:p>
    <w:p w14:paraId="7E300B0D" w14:textId="78CAAA5E"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BMJ Open (2020) </w:t>
      </w:r>
      <w:r w:rsidRPr="00430E5D">
        <w:rPr>
          <w:rFonts w:ascii="Arial" w:hAnsi="Arial" w:cs="Arial"/>
          <w:i/>
          <w:iCs/>
          <w:sz w:val="22"/>
          <w:szCs w:val="22"/>
        </w:rPr>
        <w:t>Value-based healthcare: a systematic review</w:t>
      </w:r>
      <w:r w:rsidRPr="00430E5D">
        <w:rPr>
          <w:rFonts w:ascii="Arial" w:hAnsi="Arial" w:cs="Arial"/>
          <w:sz w:val="22"/>
          <w:szCs w:val="22"/>
        </w:rPr>
        <w:t>.</w:t>
      </w:r>
      <w:r w:rsidRPr="00430E5D">
        <w:rPr>
          <w:rFonts w:ascii="Arial" w:hAnsi="Arial" w:cs="Arial"/>
          <w:sz w:val="22"/>
          <w:szCs w:val="22"/>
        </w:rPr>
        <w:br/>
        <w:t xml:space="preserve">Available at: </w:t>
      </w:r>
      <w:hyperlink r:id="rId10" w:tgtFrame="_new" w:history="1">
        <w:r w:rsidRPr="00430E5D">
          <w:rPr>
            <w:rFonts w:ascii="Arial" w:hAnsi="Arial" w:cs="Arial"/>
            <w:color w:val="0000FF"/>
            <w:sz w:val="22"/>
            <w:szCs w:val="22"/>
            <w:u w:val="single"/>
          </w:rPr>
          <w:t>https://bmjopen.bmj.co</w:t>
        </w:r>
        <w:r w:rsidRPr="00430E5D">
          <w:rPr>
            <w:rFonts w:ascii="Arial" w:hAnsi="Arial" w:cs="Arial"/>
            <w:color w:val="0000FF"/>
            <w:sz w:val="22"/>
            <w:szCs w:val="22"/>
            <w:u w:val="single"/>
          </w:rPr>
          <w:t>m</w:t>
        </w:r>
        <w:r w:rsidRPr="00430E5D">
          <w:rPr>
            <w:rFonts w:ascii="Arial" w:hAnsi="Arial" w:cs="Arial"/>
            <w:color w:val="0000FF"/>
            <w:sz w:val="22"/>
            <w:szCs w:val="22"/>
            <w:u w:val="single"/>
          </w:rPr>
          <w:t>/content/10/10/e037578</w:t>
        </w:r>
      </w:hyperlink>
      <w:r w:rsidRPr="00430E5D">
        <w:rPr>
          <w:rFonts w:ascii="Arial" w:hAnsi="Arial" w:cs="Arial"/>
          <w:sz w:val="22"/>
          <w:szCs w:val="22"/>
        </w:rPr>
        <w:br/>
        <w:t>(Accessed:</w:t>
      </w:r>
      <w:r w:rsidR="00141B39">
        <w:rPr>
          <w:rFonts w:ascii="Arial" w:hAnsi="Arial" w:cs="Arial"/>
          <w:sz w:val="22"/>
          <w:szCs w:val="22"/>
        </w:rPr>
        <w:t xml:space="preserve"> 3 January 2026)</w:t>
      </w:r>
      <w:r w:rsidR="00A73D3E">
        <w:rPr>
          <w:rFonts w:ascii="Arial" w:hAnsi="Arial" w:cs="Arial"/>
          <w:sz w:val="22"/>
          <w:szCs w:val="22"/>
        </w:rPr>
        <w:t>.</w:t>
      </w:r>
    </w:p>
    <w:p w14:paraId="1424F680" w14:textId="1AB4A31E"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Department of Health and Social Care (DHSC) (2024) </w:t>
      </w:r>
      <w:r w:rsidRPr="00430E5D">
        <w:rPr>
          <w:rFonts w:ascii="Arial" w:hAnsi="Arial" w:cs="Arial"/>
          <w:i/>
          <w:iCs/>
          <w:sz w:val="22"/>
          <w:szCs w:val="22"/>
        </w:rPr>
        <w:t>Fit for the future: 10-year health plan for England (Executive Summary)</w:t>
      </w:r>
      <w:r w:rsidRPr="00430E5D">
        <w:rPr>
          <w:rFonts w:ascii="Arial" w:hAnsi="Arial" w:cs="Arial"/>
          <w:sz w:val="22"/>
          <w:szCs w:val="22"/>
        </w:rPr>
        <w:t>. London: DHSC.</w:t>
      </w:r>
      <w:r w:rsidRPr="00430E5D">
        <w:rPr>
          <w:rFonts w:ascii="Arial" w:hAnsi="Arial" w:cs="Arial"/>
          <w:sz w:val="22"/>
          <w:szCs w:val="22"/>
        </w:rPr>
        <w:br/>
        <w:t xml:space="preserve">Available at: </w:t>
      </w:r>
      <w:hyperlink r:id="rId11" w:tgtFrame="_new" w:history="1">
        <w:r w:rsidRPr="00430E5D">
          <w:rPr>
            <w:rFonts w:ascii="Arial" w:hAnsi="Arial" w:cs="Arial"/>
            <w:color w:val="0000FF"/>
            <w:sz w:val="22"/>
            <w:szCs w:val="22"/>
            <w:u w:val="single"/>
          </w:rPr>
          <w:t>https://www.gov.uk/government/publications/10-yea</w:t>
        </w:r>
        <w:r w:rsidRPr="00430E5D">
          <w:rPr>
            <w:rFonts w:ascii="Arial" w:hAnsi="Arial" w:cs="Arial"/>
            <w:color w:val="0000FF"/>
            <w:sz w:val="22"/>
            <w:szCs w:val="22"/>
            <w:u w:val="single"/>
          </w:rPr>
          <w:t>r</w:t>
        </w:r>
        <w:r w:rsidRPr="00430E5D">
          <w:rPr>
            <w:rFonts w:ascii="Arial" w:hAnsi="Arial" w:cs="Arial"/>
            <w:color w:val="0000FF"/>
            <w:sz w:val="22"/>
            <w:szCs w:val="22"/>
            <w:u w:val="single"/>
          </w:rPr>
          <w:t>-health-plan-for-england-fit-for-the-future/fit-for-the-future-10-year-health-plan-for-england-executive-summary</w:t>
        </w:r>
      </w:hyperlink>
      <w:r w:rsidRPr="00430E5D">
        <w:rPr>
          <w:rFonts w:ascii="Arial" w:hAnsi="Arial" w:cs="Arial"/>
          <w:sz w:val="22"/>
          <w:szCs w:val="22"/>
        </w:rPr>
        <w:br/>
      </w:r>
      <w:r w:rsidR="00141B39" w:rsidRPr="00430E5D">
        <w:rPr>
          <w:rFonts w:ascii="Arial" w:hAnsi="Arial" w:cs="Arial"/>
          <w:sz w:val="22"/>
          <w:szCs w:val="22"/>
        </w:rPr>
        <w:t>(Accessed:</w:t>
      </w:r>
      <w:r w:rsidR="00141B39">
        <w:rPr>
          <w:rFonts w:ascii="Arial" w:hAnsi="Arial" w:cs="Arial"/>
          <w:sz w:val="22"/>
          <w:szCs w:val="22"/>
        </w:rPr>
        <w:t xml:space="preserve"> 3 January 2026)</w:t>
      </w:r>
      <w:r w:rsidR="00A73D3E">
        <w:rPr>
          <w:rFonts w:ascii="Arial" w:hAnsi="Arial" w:cs="Arial"/>
          <w:sz w:val="22"/>
          <w:szCs w:val="22"/>
        </w:rPr>
        <w:t>.</w:t>
      </w:r>
    </w:p>
    <w:p w14:paraId="69113AE1" w14:textId="57FD1486"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Diabetes UK (2023) </w:t>
      </w:r>
      <w:r w:rsidRPr="00430E5D">
        <w:rPr>
          <w:rFonts w:ascii="Arial" w:hAnsi="Arial" w:cs="Arial"/>
          <w:i/>
          <w:iCs/>
          <w:sz w:val="22"/>
          <w:szCs w:val="22"/>
        </w:rPr>
        <w:t>Diabetes prevalence and statistics</w:t>
      </w:r>
      <w:r w:rsidRPr="00430E5D">
        <w:rPr>
          <w:rFonts w:ascii="Arial" w:hAnsi="Arial" w:cs="Arial"/>
          <w:sz w:val="22"/>
          <w:szCs w:val="22"/>
        </w:rPr>
        <w:t>.</w:t>
      </w:r>
      <w:r w:rsidRPr="00430E5D">
        <w:rPr>
          <w:rFonts w:ascii="Arial" w:hAnsi="Arial" w:cs="Arial"/>
          <w:sz w:val="22"/>
          <w:szCs w:val="22"/>
        </w:rPr>
        <w:br/>
      </w:r>
      <w:r w:rsidR="00A73D3E" w:rsidRPr="00A73D3E">
        <w:rPr>
          <w:rFonts w:ascii="Arial" w:hAnsi="Arial" w:cs="Arial"/>
          <w:sz w:val="22"/>
          <w:szCs w:val="22"/>
        </w:rPr>
        <w:t>https://www.diabetes.org.uk/about-us/about-the-charity/our-strategy/statistics</w:t>
      </w:r>
      <w:r w:rsidRPr="00430E5D">
        <w:rPr>
          <w:rFonts w:ascii="Arial" w:hAnsi="Arial" w:cs="Arial"/>
          <w:sz w:val="22"/>
          <w:szCs w:val="22"/>
        </w:rPr>
        <w:br/>
      </w:r>
      <w:r w:rsidR="00141B39" w:rsidRPr="00430E5D">
        <w:rPr>
          <w:rFonts w:ascii="Arial" w:hAnsi="Arial" w:cs="Arial"/>
          <w:sz w:val="22"/>
          <w:szCs w:val="22"/>
        </w:rPr>
        <w:t>(Accessed:</w:t>
      </w:r>
      <w:r w:rsidR="00141B39">
        <w:rPr>
          <w:rFonts w:ascii="Arial" w:hAnsi="Arial" w:cs="Arial"/>
          <w:sz w:val="22"/>
          <w:szCs w:val="22"/>
        </w:rPr>
        <w:t xml:space="preserve"> 3 January 2026)</w:t>
      </w:r>
      <w:r w:rsidR="00A73D3E">
        <w:rPr>
          <w:rFonts w:ascii="Arial" w:hAnsi="Arial" w:cs="Arial"/>
          <w:sz w:val="22"/>
          <w:szCs w:val="22"/>
        </w:rPr>
        <w:t>.</w:t>
      </w:r>
    </w:p>
    <w:p w14:paraId="550CB449" w14:textId="4F469E82" w:rsidR="008C4B1E" w:rsidRDefault="008C4B1E" w:rsidP="00C50EC0">
      <w:pPr>
        <w:spacing w:before="100" w:beforeAutospacing="1" w:after="100" w:afterAutospacing="1" w:line="360" w:lineRule="auto"/>
        <w:rPr>
          <w:rFonts w:ascii="Arial" w:hAnsi="Arial" w:cs="Arial"/>
          <w:sz w:val="22"/>
          <w:szCs w:val="22"/>
        </w:rPr>
      </w:pPr>
      <w:proofErr w:type="spellStart"/>
      <w:r w:rsidRPr="00430E5D">
        <w:rPr>
          <w:rFonts w:ascii="Arial" w:hAnsi="Arial" w:cs="Arial"/>
          <w:sz w:val="22"/>
          <w:szCs w:val="22"/>
        </w:rPr>
        <w:t>Knowler</w:t>
      </w:r>
      <w:proofErr w:type="spellEnd"/>
      <w:r w:rsidRPr="00430E5D">
        <w:rPr>
          <w:rFonts w:ascii="Arial" w:hAnsi="Arial" w:cs="Arial"/>
          <w:sz w:val="22"/>
          <w:szCs w:val="22"/>
        </w:rPr>
        <w:t xml:space="preserve">, W.C., Barrett-Connor, E., Fowler, S.E. et al. (2002) ‘Reduction in the incidence of type 2 diabetes with lifestyle intervention or metformin’, </w:t>
      </w:r>
      <w:r w:rsidRPr="006E19D1">
        <w:rPr>
          <w:rFonts w:ascii="Arial" w:hAnsi="Arial" w:cs="Arial"/>
          <w:bCs/>
          <w:sz w:val="22"/>
          <w:szCs w:val="22"/>
        </w:rPr>
        <w:t>New England Journal of Medicine</w:t>
      </w:r>
      <w:r w:rsidR="00004804">
        <w:rPr>
          <w:rFonts w:ascii="Arial" w:hAnsi="Arial" w:cs="Arial"/>
          <w:sz w:val="22"/>
          <w:szCs w:val="22"/>
        </w:rPr>
        <w:t>.</w:t>
      </w:r>
      <w:r w:rsidRPr="006E19D1">
        <w:rPr>
          <w:rFonts w:ascii="Arial" w:hAnsi="Arial" w:cs="Arial"/>
          <w:sz w:val="22"/>
          <w:szCs w:val="22"/>
        </w:rPr>
        <w:br/>
      </w:r>
      <w:r w:rsidRPr="00430E5D">
        <w:rPr>
          <w:rFonts w:ascii="Arial" w:hAnsi="Arial" w:cs="Arial"/>
          <w:sz w:val="22"/>
          <w:szCs w:val="22"/>
        </w:rPr>
        <w:t xml:space="preserve">Available at: </w:t>
      </w:r>
      <w:hyperlink r:id="rId12" w:tgtFrame="_new" w:history="1">
        <w:r w:rsidRPr="00430E5D">
          <w:rPr>
            <w:rFonts w:ascii="Arial" w:hAnsi="Arial" w:cs="Arial"/>
            <w:color w:val="0000FF"/>
            <w:sz w:val="22"/>
            <w:szCs w:val="22"/>
            <w:u w:val="single"/>
          </w:rPr>
          <w:t>https://www.nejm</w:t>
        </w:r>
        <w:r w:rsidRPr="00430E5D">
          <w:rPr>
            <w:rFonts w:ascii="Arial" w:hAnsi="Arial" w:cs="Arial"/>
            <w:color w:val="0000FF"/>
            <w:sz w:val="22"/>
            <w:szCs w:val="22"/>
            <w:u w:val="single"/>
          </w:rPr>
          <w:t>.</w:t>
        </w:r>
        <w:r w:rsidRPr="00430E5D">
          <w:rPr>
            <w:rFonts w:ascii="Arial" w:hAnsi="Arial" w:cs="Arial"/>
            <w:color w:val="0000FF"/>
            <w:sz w:val="22"/>
            <w:szCs w:val="22"/>
            <w:u w:val="single"/>
          </w:rPr>
          <w:t>org/doi/full/10.1056/NEJM</w:t>
        </w:r>
        <w:r w:rsidRPr="00430E5D">
          <w:rPr>
            <w:rFonts w:ascii="Arial" w:hAnsi="Arial" w:cs="Arial"/>
            <w:color w:val="0000FF"/>
            <w:sz w:val="22"/>
            <w:szCs w:val="22"/>
            <w:u w:val="single"/>
          </w:rPr>
          <w:t>o</w:t>
        </w:r>
        <w:r w:rsidRPr="00430E5D">
          <w:rPr>
            <w:rFonts w:ascii="Arial" w:hAnsi="Arial" w:cs="Arial"/>
            <w:color w:val="0000FF"/>
            <w:sz w:val="22"/>
            <w:szCs w:val="22"/>
            <w:u w:val="single"/>
          </w:rPr>
          <w:t>a012512</w:t>
        </w:r>
      </w:hyperlink>
      <w:r w:rsidRPr="00430E5D">
        <w:rPr>
          <w:rFonts w:ascii="Arial" w:hAnsi="Arial" w:cs="Arial"/>
          <w:sz w:val="22"/>
          <w:szCs w:val="22"/>
        </w:rPr>
        <w:br/>
      </w:r>
      <w:r w:rsidR="00A73D3E" w:rsidRPr="00430E5D">
        <w:rPr>
          <w:rFonts w:ascii="Arial" w:hAnsi="Arial" w:cs="Arial"/>
          <w:sz w:val="22"/>
          <w:szCs w:val="22"/>
        </w:rPr>
        <w:t>(Accessed:</w:t>
      </w:r>
      <w:r w:rsidR="00A73D3E">
        <w:rPr>
          <w:rFonts w:ascii="Arial" w:hAnsi="Arial" w:cs="Arial"/>
          <w:sz w:val="22"/>
          <w:szCs w:val="22"/>
        </w:rPr>
        <w:t xml:space="preserve"> 3 January 2026).</w:t>
      </w:r>
      <w:r w:rsidR="00F86313">
        <w:rPr>
          <w:rFonts w:ascii="Arial" w:hAnsi="Arial" w:cs="Arial"/>
          <w:sz w:val="22"/>
          <w:szCs w:val="22"/>
        </w:rPr>
        <w:t xml:space="preserve"> </w:t>
      </w:r>
    </w:p>
    <w:p w14:paraId="03E09FBC" w14:textId="77777777" w:rsidR="00F86313" w:rsidRPr="00F86313" w:rsidRDefault="00F86313" w:rsidP="00F86313">
      <w:pPr>
        <w:spacing w:before="100" w:beforeAutospacing="1" w:after="100" w:afterAutospacing="1" w:line="360" w:lineRule="auto"/>
        <w:rPr>
          <w:rFonts w:ascii="Arial" w:hAnsi="Arial" w:cs="Arial"/>
          <w:sz w:val="22"/>
          <w:szCs w:val="22"/>
        </w:rPr>
      </w:pPr>
      <w:r w:rsidRPr="00F86313">
        <w:rPr>
          <w:rFonts w:ascii="Arial" w:hAnsi="Arial" w:cs="Arial"/>
          <w:sz w:val="22"/>
          <w:szCs w:val="22"/>
        </w:rPr>
        <w:t xml:space="preserve">National Institute for Health and Care Excellence (NICE) (2021) </w:t>
      </w:r>
      <w:r w:rsidRPr="00F86313">
        <w:rPr>
          <w:rFonts w:ascii="Arial" w:hAnsi="Arial" w:cs="Arial"/>
          <w:i/>
          <w:iCs/>
          <w:sz w:val="22"/>
          <w:szCs w:val="22"/>
        </w:rPr>
        <w:t>The role of stakeholders in the guidance development process</w:t>
      </w:r>
      <w:r w:rsidRPr="00F86313">
        <w:rPr>
          <w:rFonts w:ascii="Arial" w:hAnsi="Arial" w:cs="Arial"/>
          <w:sz w:val="22"/>
          <w:szCs w:val="22"/>
        </w:rPr>
        <w:t>.</w:t>
      </w:r>
      <w:r w:rsidRPr="00F86313">
        <w:rPr>
          <w:rFonts w:ascii="Arial" w:hAnsi="Arial" w:cs="Arial"/>
          <w:sz w:val="22"/>
          <w:szCs w:val="22"/>
        </w:rPr>
        <w:br/>
        <w:t xml:space="preserve">Available at: </w:t>
      </w:r>
      <w:hyperlink r:id="rId13" w:tgtFrame="_new" w:history="1">
        <w:r w:rsidRPr="00F86313">
          <w:rPr>
            <w:rFonts w:ascii="Arial" w:hAnsi="Arial" w:cs="Arial"/>
            <w:color w:val="0000FF"/>
            <w:sz w:val="22"/>
            <w:szCs w:val="22"/>
            <w:u w:val="single"/>
          </w:rPr>
          <w:t>https://www.nice.org.uk/process/pmg5/chapter/the-role-of-stakeholders-in-the-guidance-development-process</w:t>
        </w:r>
      </w:hyperlink>
      <w:r w:rsidRPr="00F86313">
        <w:rPr>
          <w:rFonts w:ascii="Arial" w:hAnsi="Arial" w:cs="Arial"/>
          <w:sz w:val="22"/>
          <w:szCs w:val="22"/>
        </w:rPr>
        <w:br/>
      </w:r>
      <w:r w:rsidRPr="00430E5D">
        <w:rPr>
          <w:rFonts w:ascii="Arial" w:hAnsi="Arial" w:cs="Arial"/>
          <w:sz w:val="22"/>
          <w:szCs w:val="22"/>
        </w:rPr>
        <w:t>(Accessed:</w:t>
      </w:r>
      <w:r>
        <w:rPr>
          <w:rFonts w:ascii="Arial" w:hAnsi="Arial" w:cs="Arial"/>
          <w:sz w:val="22"/>
          <w:szCs w:val="22"/>
        </w:rPr>
        <w:t xml:space="preserve"> 7 January 2026).</w:t>
      </w:r>
    </w:p>
    <w:p w14:paraId="633BB020" w14:textId="77777777" w:rsidR="00F86313" w:rsidRPr="00430E5D" w:rsidRDefault="00F86313" w:rsidP="00C50EC0">
      <w:pPr>
        <w:spacing w:before="100" w:beforeAutospacing="1" w:after="100" w:afterAutospacing="1" w:line="360" w:lineRule="auto"/>
        <w:rPr>
          <w:rFonts w:ascii="Arial" w:hAnsi="Arial" w:cs="Arial"/>
          <w:sz w:val="22"/>
          <w:szCs w:val="22"/>
        </w:rPr>
      </w:pPr>
    </w:p>
    <w:p w14:paraId="636D3999" w14:textId="2D110AB2" w:rsidR="008C4B1E"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lastRenderedPageBreak/>
        <w:t xml:space="preserve">NHS England (2023) </w:t>
      </w:r>
      <w:r w:rsidRPr="00430E5D">
        <w:rPr>
          <w:rFonts w:ascii="Arial" w:hAnsi="Arial" w:cs="Arial"/>
          <w:i/>
          <w:iCs/>
          <w:sz w:val="22"/>
          <w:szCs w:val="22"/>
        </w:rPr>
        <w:t>NHS Diabetes Prevention Programme</w:t>
      </w:r>
      <w:r w:rsidRPr="00430E5D">
        <w:rPr>
          <w:rFonts w:ascii="Arial" w:hAnsi="Arial" w:cs="Arial"/>
          <w:sz w:val="22"/>
          <w:szCs w:val="22"/>
        </w:rPr>
        <w:t>.</w:t>
      </w:r>
      <w:r w:rsidRPr="00430E5D">
        <w:rPr>
          <w:rFonts w:ascii="Arial" w:hAnsi="Arial" w:cs="Arial"/>
          <w:sz w:val="22"/>
          <w:szCs w:val="22"/>
        </w:rPr>
        <w:br/>
        <w:t xml:space="preserve">Available at: </w:t>
      </w:r>
      <w:hyperlink r:id="rId14" w:tgtFrame="_new" w:history="1">
        <w:r w:rsidRPr="00430E5D">
          <w:rPr>
            <w:rFonts w:ascii="Arial" w:hAnsi="Arial" w:cs="Arial"/>
            <w:color w:val="0000FF"/>
            <w:sz w:val="22"/>
            <w:szCs w:val="22"/>
            <w:u w:val="single"/>
          </w:rPr>
          <w:t>https://www.england.nhs.uk/diabetes/diabetes-prevention/</w:t>
        </w:r>
      </w:hyperlink>
      <w:r w:rsidRPr="00430E5D">
        <w:rPr>
          <w:rFonts w:ascii="Arial" w:hAnsi="Arial" w:cs="Arial"/>
          <w:sz w:val="22"/>
          <w:szCs w:val="22"/>
        </w:rPr>
        <w:br/>
      </w:r>
      <w:r w:rsidR="00A73D3E" w:rsidRPr="00430E5D">
        <w:rPr>
          <w:rFonts w:ascii="Arial" w:hAnsi="Arial" w:cs="Arial"/>
          <w:sz w:val="22"/>
          <w:szCs w:val="22"/>
        </w:rPr>
        <w:t>(Accessed:</w:t>
      </w:r>
      <w:r w:rsidR="00A73D3E">
        <w:rPr>
          <w:rFonts w:ascii="Arial" w:hAnsi="Arial" w:cs="Arial"/>
          <w:sz w:val="22"/>
          <w:szCs w:val="22"/>
        </w:rPr>
        <w:t xml:space="preserve"> 3 January 2026).</w:t>
      </w:r>
    </w:p>
    <w:p w14:paraId="01D42330" w14:textId="5BD24B04" w:rsidR="00F86313" w:rsidRPr="00430E5D" w:rsidRDefault="00F86313" w:rsidP="00C50EC0">
      <w:pPr>
        <w:spacing w:before="100" w:beforeAutospacing="1" w:after="100" w:afterAutospacing="1" w:line="360" w:lineRule="auto"/>
        <w:rPr>
          <w:rFonts w:ascii="Arial" w:hAnsi="Arial" w:cs="Arial"/>
          <w:sz w:val="22"/>
          <w:szCs w:val="22"/>
        </w:rPr>
      </w:pPr>
      <w:r w:rsidRPr="00F86313">
        <w:rPr>
          <w:rFonts w:ascii="Arial" w:hAnsi="Arial" w:cs="Arial"/>
          <w:sz w:val="22"/>
          <w:szCs w:val="22"/>
        </w:rPr>
        <w:t xml:space="preserve">NHS England (2019) </w:t>
      </w:r>
      <w:r w:rsidRPr="00F86313">
        <w:rPr>
          <w:rFonts w:ascii="Arial" w:hAnsi="Arial" w:cs="Arial"/>
          <w:i/>
          <w:iCs/>
          <w:sz w:val="22"/>
          <w:szCs w:val="22"/>
        </w:rPr>
        <w:t>The NHS Long Term Plan</w:t>
      </w:r>
      <w:r w:rsidRPr="00F86313">
        <w:rPr>
          <w:rFonts w:ascii="Arial" w:hAnsi="Arial" w:cs="Arial"/>
          <w:sz w:val="22"/>
          <w:szCs w:val="22"/>
        </w:rPr>
        <w:t>.</w:t>
      </w:r>
      <w:r w:rsidRPr="00F86313">
        <w:rPr>
          <w:rFonts w:ascii="Arial" w:hAnsi="Arial" w:cs="Arial"/>
          <w:sz w:val="22"/>
          <w:szCs w:val="22"/>
        </w:rPr>
        <w:br/>
        <w:t xml:space="preserve">Available at: </w:t>
      </w:r>
      <w:hyperlink r:id="rId15" w:tgtFrame="_new" w:history="1">
        <w:r w:rsidRPr="00F86313">
          <w:rPr>
            <w:rFonts w:ascii="Arial" w:hAnsi="Arial" w:cs="Arial"/>
            <w:color w:val="0000FF"/>
            <w:sz w:val="22"/>
            <w:szCs w:val="22"/>
            <w:u w:val="single"/>
          </w:rPr>
          <w:t>https://www.england.nhs.uk/long-term-plan/</w:t>
        </w:r>
      </w:hyperlink>
      <w:r w:rsidRPr="00F86313">
        <w:rPr>
          <w:rFonts w:ascii="Arial" w:hAnsi="Arial" w:cs="Arial"/>
          <w:sz w:val="22"/>
          <w:szCs w:val="22"/>
        </w:rPr>
        <w:br/>
      </w:r>
      <w:r w:rsidRPr="00430E5D">
        <w:rPr>
          <w:rFonts w:ascii="Arial" w:hAnsi="Arial" w:cs="Arial"/>
          <w:sz w:val="22"/>
          <w:szCs w:val="22"/>
        </w:rPr>
        <w:t>(Accessed:</w:t>
      </w:r>
      <w:r>
        <w:rPr>
          <w:rFonts w:ascii="Arial" w:hAnsi="Arial" w:cs="Arial"/>
          <w:sz w:val="22"/>
          <w:szCs w:val="22"/>
        </w:rPr>
        <w:t xml:space="preserve"> 7 January 2026).</w:t>
      </w:r>
    </w:p>
    <w:p w14:paraId="2740F862" w14:textId="231FA6BA" w:rsidR="00F86313"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Public Health England (2018) </w:t>
      </w:r>
      <w:r w:rsidRPr="00430E5D">
        <w:rPr>
          <w:rFonts w:ascii="Arial" w:hAnsi="Arial" w:cs="Arial"/>
          <w:i/>
          <w:iCs/>
          <w:sz w:val="22"/>
          <w:szCs w:val="22"/>
        </w:rPr>
        <w:t>Health matters: preventing type 2 diabetes</w:t>
      </w:r>
      <w:r w:rsidRPr="00430E5D">
        <w:rPr>
          <w:rFonts w:ascii="Arial" w:hAnsi="Arial" w:cs="Arial"/>
          <w:sz w:val="22"/>
          <w:szCs w:val="22"/>
        </w:rPr>
        <w:t>. London: PHE.</w:t>
      </w:r>
      <w:r w:rsidRPr="00430E5D">
        <w:rPr>
          <w:rFonts w:ascii="Arial" w:hAnsi="Arial" w:cs="Arial"/>
          <w:sz w:val="22"/>
          <w:szCs w:val="22"/>
        </w:rPr>
        <w:br/>
        <w:t xml:space="preserve">Available at: </w:t>
      </w:r>
      <w:hyperlink r:id="rId16" w:tgtFrame="_new" w:history="1">
        <w:r w:rsidRPr="00430E5D">
          <w:rPr>
            <w:rFonts w:ascii="Arial" w:hAnsi="Arial" w:cs="Arial"/>
            <w:color w:val="0000FF"/>
            <w:sz w:val="22"/>
            <w:szCs w:val="22"/>
            <w:u w:val="single"/>
          </w:rPr>
          <w:t>https://www.gov.uk/government/publications/health-matters-preventing-type-2-diabetes</w:t>
        </w:r>
      </w:hyperlink>
      <w:r w:rsidRPr="00430E5D">
        <w:rPr>
          <w:rFonts w:ascii="Arial" w:hAnsi="Arial" w:cs="Arial"/>
          <w:sz w:val="22"/>
          <w:szCs w:val="22"/>
        </w:rPr>
        <w:br/>
      </w:r>
      <w:r w:rsidR="00A73D3E" w:rsidRPr="00430E5D">
        <w:rPr>
          <w:rFonts w:ascii="Arial" w:hAnsi="Arial" w:cs="Arial"/>
          <w:sz w:val="22"/>
          <w:szCs w:val="22"/>
        </w:rPr>
        <w:t>(Accessed:</w:t>
      </w:r>
      <w:r w:rsidR="00A73D3E">
        <w:rPr>
          <w:rFonts w:ascii="Arial" w:hAnsi="Arial" w:cs="Arial"/>
          <w:sz w:val="22"/>
          <w:szCs w:val="22"/>
        </w:rPr>
        <w:t xml:space="preserve"> 3 January 2026).</w:t>
      </w:r>
    </w:p>
    <w:p w14:paraId="01ADEAB6" w14:textId="61A21AF1"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Social Care Institute for Excellence (SCIE) (2025) </w:t>
      </w:r>
      <w:r w:rsidRPr="00430E5D">
        <w:rPr>
          <w:rFonts w:ascii="Arial" w:hAnsi="Arial" w:cs="Arial"/>
          <w:i/>
          <w:iCs/>
          <w:sz w:val="22"/>
          <w:szCs w:val="22"/>
        </w:rPr>
        <w:t>Shaping change together: co-producing innovation in social care</w:t>
      </w:r>
      <w:r w:rsidRPr="00430E5D">
        <w:rPr>
          <w:rFonts w:ascii="Arial" w:hAnsi="Arial" w:cs="Arial"/>
          <w:sz w:val="22"/>
          <w:szCs w:val="22"/>
        </w:rPr>
        <w:t>. London: SCIE.</w:t>
      </w:r>
      <w:r w:rsidRPr="00430E5D">
        <w:rPr>
          <w:rFonts w:ascii="Arial" w:hAnsi="Arial" w:cs="Arial"/>
          <w:sz w:val="22"/>
          <w:szCs w:val="22"/>
        </w:rPr>
        <w:br/>
        <w:t xml:space="preserve">Available at: </w:t>
      </w:r>
      <w:r w:rsidR="00F12DF2" w:rsidRPr="00F12DF2">
        <w:rPr>
          <w:rFonts w:ascii="Arial" w:hAnsi="Arial" w:cs="Arial"/>
          <w:sz w:val="22"/>
          <w:szCs w:val="22"/>
        </w:rPr>
        <w:t>https://www.scie.org.uk/co-production/</w:t>
      </w:r>
      <w:r w:rsidRPr="00430E5D">
        <w:rPr>
          <w:rFonts w:ascii="Arial" w:hAnsi="Arial" w:cs="Arial"/>
          <w:sz w:val="22"/>
          <w:szCs w:val="22"/>
        </w:rPr>
        <w:br/>
      </w:r>
      <w:r w:rsidR="00A73D3E" w:rsidRPr="00430E5D">
        <w:rPr>
          <w:rFonts w:ascii="Arial" w:hAnsi="Arial" w:cs="Arial"/>
          <w:sz w:val="22"/>
          <w:szCs w:val="22"/>
        </w:rPr>
        <w:t>(Accessed:</w:t>
      </w:r>
      <w:r w:rsidR="00A73D3E">
        <w:rPr>
          <w:rFonts w:ascii="Arial" w:hAnsi="Arial" w:cs="Arial"/>
          <w:sz w:val="22"/>
          <w:szCs w:val="22"/>
        </w:rPr>
        <w:t xml:space="preserve"> 3 January 2026).</w:t>
      </w:r>
    </w:p>
    <w:p w14:paraId="081201E4" w14:textId="5CBDBDC6" w:rsidR="008C4B1E" w:rsidRPr="00430E5D" w:rsidRDefault="008C4B1E" w:rsidP="00C50EC0">
      <w:pPr>
        <w:spacing w:before="100" w:beforeAutospacing="1" w:after="100" w:afterAutospacing="1" w:line="360" w:lineRule="auto"/>
        <w:rPr>
          <w:rFonts w:ascii="Arial" w:hAnsi="Arial" w:cs="Arial"/>
          <w:sz w:val="22"/>
          <w:szCs w:val="22"/>
        </w:rPr>
      </w:pPr>
      <w:r w:rsidRPr="00430E5D">
        <w:rPr>
          <w:rFonts w:ascii="Arial" w:hAnsi="Arial" w:cs="Arial"/>
          <w:sz w:val="22"/>
          <w:szCs w:val="22"/>
        </w:rPr>
        <w:t xml:space="preserve">Porter, M.E. (2010) ‘What is value in health care?’, </w:t>
      </w:r>
      <w:r w:rsidRPr="006E19D1">
        <w:rPr>
          <w:rFonts w:ascii="Arial" w:hAnsi="Arial" w:cs="Arial"/>
          <w:bCs/>
          <w:sz w:val="22"/>
          <w:szCs w:val="22"/>
        </w:rPr>
        <w:t>New England Journal of Medicine</w:t>
      </w:r>
      <w:r w:rsidR="00004804">
        <w:rPr>
          <w:rFonts w:ascii="Arial" w:hAnsi="Arial" w:cs="Arial"/>
          <w:sz w:val="22"/>
          <w:szCs w:val="22"/>
        </w:rPr>
        <w:t>.</w:t>
      </w:r>
      <w:r w:rsidRPr="00430E5D">
        <w:rPr>
          <w:rFonts w:ascii="Arial" w:hAnsi="Arial" w:cs="Arial"/>
          <w:sz w:val="22"/>
          <w:szCs w:val="22"/>
        </w:rPr>
        <w:br/>
        <w:t xml:space="preserve">Available at: </w:t>
      </w:r>
      <w:hyperlink r:id="rId17" w:tgtFrame="_new" w:history="1">
        <w:r w:rsidRPr="00430E5D">
          <w:rPr>
            <w:rFonts w:ascii="Arial" w:hAnsi="Arial" w:cs="Arial"/>
            <w:color w:val="0000FF"/>
            <w:sz w:val="22"/>
            <w:szCs w:val="22"/>
            <w:u w:val="single"/>
          </w:rPr>
          <w:t>https://www.nejm.org/doi/full/10.1056/NEJMp1011024</w:t>
        </w:r>
      </w:hyperlink>
      <w:r w:rsidRPr="00430E5D">
        <w:rPr>
          <w:rFonts w:ascii="Arial" w:hAnsi="Arial" w:cs="Arial"/>
          <w:sz w:val="22"/>
          <w:szCs w:val="22"/>
        </w:rPr>
        <w:br/>
      </w:r>
      <w:r w:rsidR="00A73D3E" w:rsidRPr="00430E5D">
        <w:rPr>
          <w:rFonts w:ascii="Arial" w:hAnsi="Arial" w:cs="Arial"/>
          <w:sz w:val="22"/>
          <w:szCs w:val="22"/>
        </w:rPr>
        <w:t>(Accessed:</w:t>
      </w:r>
      <w:r w:rsidR="00A73D3E">
        <w:rPr>
          <w:rFonts w:ascii="Arial" w:hAnsi="Arial" w:cs="Arial"/>
          <w:sz w:val="22"/>
          <w:szCs w:val="22"/>
        </w:rPr>
        <w:t xml:space="preserve"> 3 January 2026).</w:t>
      </w:r>
    </w:p>
    <w:p w14:paraId="35DF3D08" w14:textId="77777777" w:rsidR="008C4B1E" w:rsidRPr="00612500" w:rsidRDefault="008C4B1E" w:rsidP="00C50EC0">
      <w:pPr>
        <w:spacing w:line="360" w:lineRule="auto"/>
        <w:rPr>
          <w:rFonts w:ascii="Arial" w:hAnsi="Arial" w:cs="Arial"/>
          <w:sz w:val="22"/>
          <w:szCs w:val="22"/>
        </w:rPr>
      </w:pPr>
    </w:p>
    <w:p w14:paraId="74584CAA" w14:textId="77777777" w:rsidR="008C4B1E" w:rsidRPr="00612500" w:rsidRDefault="008C4B1E" w:rsidP="00C50EC0">
      <w:pPr>
        <w:spacing w:line="360" w:lineRule="auto"/>
        <w:rPr>
          <w:rFonts w:ascii="Arial" w:hAnsi="Arial" w:cs="Arial"/>
          <w:sz w:val="22"/>
          <w:szCs w:val="22"/>
        </w:rPr>
      </w:pPr>
    </w:p>
    <w:sectPr w:rsidR="008C4B1E" w:rsidRPr="00612500" w:rsidSect="0058734E">
      <w:footerReference w:type="even" r:id="rId18"/>
      <w:footerReference w:type="default" r:id="rId19"/>
      <w:pgSz w:w="16840" w:h="1190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C455C" w14:textId="77777777" w:rsidR="00321496" w:rsidRDefault="00321496" w:rsidP="006B3F29">
      <w:r>
        <w:separator/>
      </w:r>
    </w:p>
  </w:endnote>
  <w:endnote w:type="continuationSeparator" w:id="0">
    <w:p w14:paraId="77DE8FAC" w14:textId="77777777" w:rsidR="00321496" w:rsidRDefault="00321496" w:rsidP="006B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407370"/>
      <w:docPartObj>
        <w:docPartGallery w:val="Page Numbers (Bottom of Page)"/>
        <w:docPartUnique/>
      </w:docPartObj>
    </w:sdtPr>
    <w:sdtEndPr>
      <w:rPr>
        <w:rStyle w:val="PageNumber"/>
      </w:rPr>
    </w:sdtEndPr>
    <w:sdtContent>
      <w:p w14:paraId="32BED976" w14:textId="1ECB04FA" w:rsidR="006B3F29" w:rsidRDefault="006B3F29" w:rsidP="00B434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B9D8CB" w14:textId="77777777" w:rsidR="006B3F29" w:rsidRDefault="006B3F29" w:rsidP="006B3F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3435522"/>
      <w:docPartObj>
        <w:docPartGallery w:val="Page Numbers (Bottom of Page)"/>
        <w:docPartUnique/>
      </w:docPartObj>
    </w:sdtPr>
    <w:sdtEndPr>
      <w:rPr>
        <w:rStyle w:val="PageNumber"/>
      </w:rPr>
    </w:sdtEndPr>
    <w:sdtContent>
      <w:p w14:paraId="03F20E41" w14:textId="7825437B" w:rsidR="006B3F29" w:rsidRDefault="006B3F29" w:rsidP="00B434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518F44" w14:textId="77777777" w:rsidR="006B3F29" w:rsidRDefault="006B3F29" w:rsidP="006B3F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1D586" w14:textId="77777777" w:rsidR="00321496" w:rsidRDefault="00321496" w:rsidP="006B3F29">
      <w:r>
        <w:separator/>
      </w:r>
    </w:p>
  </w:footnote>
  <w:footnote w:type="continuationSeparator" w:id="0">
    <w:p w14:paraId="3633A9C5" w14:textId="77777777" w:rsidR="00321496" w:rsidRDefault="00321496" w:rsidP="006B3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24339"/>
    <w:multiLevelType w:val="multilevel"/>
    <w:tmpl w:val="4652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1148C"/>
    <w:multiLevelType w:val="multilevel"/>
    <w:tmpl w:val="DED8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6A1FF3"/>
    <w:multiLevelType w:val="multilevel"/>
    <w:tmpl w:val="EB82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95412"/>
    <w:multiLevelType w:val="multilevel"/>
    <w:tmpl w:val="0BA2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58748E"/>
    <w:multiLevelType w:val="multilevel"/>
    <w:tmpl w:val="79C4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1A2664"/>
    <w:multiLevelType w:val="multilevel"/>
    <w:tmpl w:val="1064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1E"/>
    <w:rsid w:val="00004804"/>
    <w:rsid w:val="00005B17"/>
    <w:rsid w:val="000062C9"/>
    <w:rsid w:val="00043CB2"/>
    <w:rsid w:val="000A1558"/>
    <w:rsid w:val="000A7744"/>
    <w:rsid w:val="00106033"/>
    <w:rsid w:val="00141B39"/>
    <w:rsid w:val="0019104B"/>
    <w:rsid w:val="001B21AA"/>
    <w:rsid w:val="001C4409"/>
    <w:rsid w:val="0029322F"/>
    <w:rsid w:val="002F078F"/>
    <w:rsid w:val="003077EB"/>
    <w:rsid w:val="00321496"/>
    <w:rsid w:val="00363A0D"/>
    <w:rsid w:val="00373371"/>
    <w:rsid w:val="00374A52"/>
    <w:rsid w:val="00391570"/>
    <w:rsid w:val="003E5A76"/>
    <w:rsid w:val="00405DED"/>
    <w:rsid w:val="004B79C2"/>
    <w:rsid w:val="004C62C1"/>
    <w:rsid w:val="005444D2"/>
    <w:rsid w:val="00586098"/>
    <w:rsid w:val="0058734E"/>
    <w:rsid w:val="005A55EE"/>
    <w:rsid w:val="00602476"/>
    <w:rsid w:val="00612500"/>
    <w:rsid w:val="00681E18"/>
    <w:rsid w:val="00684223"/>
    <w:rsid w:val="006B3F29"/>
    <w:rsid w:val="006E19D1"/>
    <w:rsid w:val="007564F6"/>
    <w:rsid w:val="007A2E69"/>
    <w:rsid w:val="007B3F67"/>
    <w:rsid w:val="007F3C04"/>
    <w:rsid w:val="008810AC"/>
    <w:rsid w:val="008C4B1E"/>
    <w:rsid w:val="008E6052"/>
    <w:rsid w:val="00982D8B"/>
    <w:rsid w:val="00A23BFA"/>
    <w:rsid w:val="00A73D3E"/>
    <w:rsid w:val="00AB2A01"/>
    <w:rsid w:val="00B2247E"/>
    <w:rsid w:val="00B7434E"/>
    <w:rsid w:val="00BF19FD"/>
    <w:rsid w:val="00C20883"/>
    <w:rsid w:val="00C50EC0"/>
    <w:rsid w:val="00CB0336"/>
    <w:rsid w:val="00CF47AD"/>
    <w:rsid w:val="00D05A44"/>
    <w:rsid w:val="00D2205C"/>
    <w:rsid w:val="00D23537"/>
    <w:rsid w:val="00D62BBC"/>
    <w:rsid w:val="00DD521C"/>
    <w:rsid w:val="00E06ABD"/>
    <w:rsid w:val="00EE565D"/>
    <w:rsid w:val="00F12DF2"/>
    <w:rsid w:val="00F86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EA26"/>
  <w15:chartTrackingRefBased/>
  <w15:docId w15:val="{AE2A7B55-088A-C345-86CF-245EDA41F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47AD"/>
    <w:rPr>
      <w:rFonts w:ascii="Times New Roman" w:eastAsia="Times New Roman" w:hAnsi="Times New Roman" w:cs="Times New Roman"/>
    </w:rPr>
  </w:style>
  <w:style w:type="paragraph" w:styleId="Heading2">
    <w:name w:val="heading 2"/>
    <w:basedOn w:val="Normal"/>
    <w:link w:val="Heading2Char"/>
    <w:uiPriority w:val="9"/>
    <w:qFormat/>
    <w:rsid w:val="005A55EE"/>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CF47A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B3F29"/>
    <w:pPr>
      <w:tabs>
        <w:tab w:val="center" w:pos="4680"/>
        <w:tab w:val="right" w:pos="9360"/>
      </w:tabs>
    </w:pPr>
  </w:style>
  <w:style w:type="character" w:customStyle="1" w:styleId="FooterChar">
    <w:name w:val="Footer Char"/>
    <w:basedOn w:val="DefaultParagraphFont"/>
    <w:link w:val="Footer"/>
    <w:uiPriority w:val="99"/>
    <w:rsid w:val="006B3F29"/>
    <w:rPr>
      <w:rFonts w:eastAsiaTheme="minorEastAsia"/>
    </w:rPr>
  </w:style>
  <w:style w:type="character" w:styleId="PageNumber">
    <w:name w:val="page number"/>
    <w:basedOn w:val="DefaultParagraphFont"/>
    <w:uiPriority w:val="99"/>
    <w:semiHidden/>
    <w:unhideWhenUsed/>
    <w:rsid w:val="006B3F29"/>
  </w:style>
  <w:style w:type="character" w:customStyle="1" w:styleId="Heading2Char">
    <w:name w:val="Heading 2 Char"/>
    <w:basedOn w:val="DefaultParagraphFont"/>
    <w:link w:val="Heading2"/>
    <w:uiPriority w:val="9"/>
    <w:rsid w:val="005A55EE"/>
    <w:rPr>
      <w:rFonts w:ascii="Times New Roman" w:eastAsia="Times New Roman" w:hAnsi="Times New Roman" w:cs="Times New Roman"/>
      <w:b/>
      <w:bCs/>
      <w:sz w:val="36"/>
      <w:szCs w:val="36"/>
    </w:rPr>
  </w:style>
  <w:style w:type="character" w:styleId="Strong">
    <w:name w:val="Strong"/>
    <w:basedOn w:val="DefaultParagraphFont"/>
    <w:uiPriority w:val="22"/>
    <w:qFormat/>
    <w:rsid w:val="005A55EE"/>
    <w:rPr>
      <w:b/>
      <w:bCs/>
    </w:rPr>
  </w:style>
  <w:style w:type="paragraph" w:styleId="NormalWeb">
    <w:name w:val="Normal (Web)"/>
    <w:basedOn w:val="Normal"/>
    <w:uiPriority w:val="99"/>
    <w:unhideWhenUsed/>
    <w:rsid w:val="005A55EE"/>
    <w:pPr>
      <w:spacing w:before="100" w:beforeAutospacing="1" w:after="100" w:afterAutospacing="1"/>
    </w:pPr>
  </w:style>
  <w:style w:type="character" w:customStyle="1" w:styleId="Heading3Char">
    <w:name w:val="Heading 3 Char"/>
    <w:basedOn w:val="DefaultParagraphFont"/>
    <w:link w:val="Heading3"/>
    <w:uiPriority w:val="9"/>
    <w:rsid w:val="00CF47AD"/>
    <w:rPr>
      <w:rFonts w:asciiTheme="majorHAnsi" w:eastAsiaTheme="majorEastAsia" w:hAnsiTheme="majorHAnsi" w:cstheme="majorBidi"/>
      <w:color w:val="1F3763" w:themeColor="accent1" w:themeShade="7F"/>
    </w:rPr>
  </w:style>
  <w:style w:type="character" w:customStyle="1" w:styleId="t286pc">
    <w:name w:val="t286pc"/>
    <w:basedOn w:val="DefaultParagraphFont"/>
    <w:rsid w:val="0019104B"/>
  </w:style>
  <w:style w:type="character" w:styleId="Hyperlink">
    <w:name w:val="Hyperlink"/>
    <w:basedOn w:val="DefaultParagraphFont"/>
    <w:uiPriority w:val="99"/>
    <w:unhideWhenUsed/>
    <w:rsid w:val="0019104B"/>
    <w:rPr>
      <w:color w:val="0000FF"/>
      <w:u w:val="single"/>
    </w:rPr>
  </w:style>
  <w:style w:type="character" w:styleId="UnresolvedMention">
    <w:name w:val="Unresolved Mention"/>
    <w:basedOn w:val="DefaultParagraphFont"/>
    <w:uiPriority w:val="99"/>
    <w:semiHidden/>
    <w:unhideWhenUsed/>
    <w:rsid w:val="00405DED"/>
    <w:rPr>
      <w:color w:val="605E5C"/>
      <w:shd w:val="clear" w:color="auto" w:fill="E1DFDD"/>
    </w:rPr>
  </w:style>
  <w:style w:type="character" w:styleId="FollowedHyperlink">
    <w:name w:val="FollowedHyperlink"/>
    <w:basedOn w:val="DefaultParagraphFont"/>
    <w:uiPriority w:val="99"/>
    <w:semiHidden/>
    <w:unhideWhenUsed/>
    <w:rsid w:val="00405DED"/>
    <w:rPr>
      <w:color w:val="954F72" w:themeColor="followedHyperlink"/>
      <w:u w:val="single"/>
    </w:rPr>
  </w:style>
  <w:style w:type="character" w:styleId="Emphasis">
    <w:name w:val="Emphasis"/>
    <w:basedOn w:val="DefaultParagraphFont"/>
    <w:uiPriority w:val="20"/>
    <w:qFormat/>
    <w:rsid w:val="003E5A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42723">
      <w:bodyDiv w:val="1"/>
      <w:marLeft w:val="0"/>
      <w:marRight w:val="0"/>
      <w:marTop w:val="0"/>
      <w:marBottom w:val="0"/>
      <w:divBdr>
        <w:top w:val="none" w:sz="0" w:space="0" w:color="auto"/>
        <w:left w:val="none" w:sz="0" w:space="0" w:color="auto"/>
        <w:bottom w:val="none" w:sz="0" w:space="0" w:color="auto"/>
        <w:right w:val="none" w:sz="0" w:space="0" w:color="auto"/>
      </w:divBdr>
    </w:div>
    <w:div w:id="954213923">
      <w:bodyDiv w:val="1"/>
      <w:marLeft w:val="0"/>
      <w:marRight w:val="0"/>
      <w:marTop w:val="0"/>
      <w:marBottom w:val="0"/>
      <w:divBdr>
        <w:top w:val="none" w:sz="0" w:space="0" w:color="auto"/>
        <w:left w:val="none" w:sz="0" w:space="0" w:color="auto"/>
        <w:bottom w:val="none" w:sz="0" w:space="0" w:color="auto"/>
        <w:right w:val="none" w:sz="0" w:space="0" w:color="auto"/>
      </w:divBdr>
    </w:div>
    <w:div w:id="1208571952">
      <w:bodyDiv w:val="1"/>
      <w:marLeft w:val="0"/>
      <w:marRight w:val="0"/>
      <w:marTop w:val="0"/>
      <w:marBottom w:val="0"/>
      <w:divBdr>
        <w:top w:val="none" w:sz="0" w:space="0" w:color="auto"/>
        <w:left w:val="none" w:sz="0" w:space="0" w:color="auto"/>
        <w:bottom w:val="none" w:sz="0" w:space="0" w:color="auto"/>
        <w:right w:val="none" w:sz="0" w:space="0" w:color="auto"/>
      </w:divBdr>
    </w:div>
    <w:div w:id="1409690951">
      <w:bodyDiv w:val="1"/>
      <w:marLeft w:val="0"/>
      <w:marRight w:val="0"/>
      <w:marTop w:val="0"/>
      <w:marBottom w:val="0"/>
      <w:divBdr>
        <w:top w:val="none" w:sz="0" w:space="0" w:color="auto"/>
        <w:left w:val="none" w:sz="0" w:space="0" w:color="auto"/>
        <w:bottom w:val="none" w:sz="0" w:space="0" w:color="auto"/>
        <w:right w:val="none" w:sz="0" w:space="0" w:color="auto"/>
      </w:divBdr>
      <w:divsChild>
        <w:div w:id="992762150">
          <w:marLeft w:val="0"/>
          <w:marRight w:val="0"/>
          <w:marTop w:val="0"/>
          <w:marBottom w:val="0"/>
          <w:divBdr>
            <w:top w:val="none" w:sz="0" w:space="0" w:color="auto"/>
            <w:left w:val="none" w:sz="0" w:space="0" w:color="auto"/>
            <w:bottom w:val="none" w:sz="0" w:space="0" w:color="auto"/>
            <w:right w:val="none" w:sz="0" w:space="0" w:color="auto"/>
          </w:divBdr>
        </w:div>
        <w:div w:id="510027001">
          <w:marLeft w:val="0"/>
          <w:marRight w:val="0"/>
          <w:marTop w:val="0"/>
          <w:marBottom w:val="0"/>
          <w:divBdr>
            <w:top w:val="none" w:sz="0" w:space="0" w:color="auto"/>
            <w:left w:val="none" w:sz="0" w:space="0" w:color="auto"/>
            <w:bottom w:val="none" w:sz="0" w:space="0" w:color="auto"/>
            <w:right w:val="none" w:sz="0" w:space="0" w:color="auto"/>
          </w:divBdr>
        </w:div>
      </w:divsChild>
    </w:div>
    <w:div w:id="1700618788">
      <w:bodyDiv w:val="1"/>
      <w:marLeft w:val="0"/>
      <w:marRight w:val="0"/>
      <w:marTop w:val="0"/>
      <w:marBottom w:val="0"/>
      <w:divBdr>
        <w:top w:val="none" w:sz="0" w:space="0" w:color="auto"/>
        <w:left w:val="none" w:sz="0" w:space="0" w:color="auto"/>
        <w:bottom w:val="none" w:sz="0" w:space="0" w:color="auto"/>
        <w:right w:val="none" w:sz="0" w:space="0" w:color="auto"/>
      </w:divBdr>
    </w:div>
    <w:div w:id="208058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process/pmg5/chapter/the-role-of-stakeholders-in-the-guidance-development-proces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ejm.org/doi/full/10.1056/NEJMoa012512" TargetMode="External"/><Relationship Id="rId17" Type="http://schemas.openxmlformats.org/officeDocument/2006/relationships/hyperlink" Target="https://www.nejm.org/doi/full/10.1056/NEJMp1011024" TargetMode="External"/><Relationship Id="rId2" Type="http://schemas.openxmlformats.org/officeDocument/2006/relationships/styles" Target="styles.xml"/><Relationship Id="rId16" Type="http://schemas.openxmlformats.org/officeDocument/2006/relationships/hyperlink" Target="https://www.gov.uk/government/publications/health-matters-preventing-type-2-diabet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10-year-health-plan-for-england-fit-for-the-future/fit-for-the-future-10-year-health-plan-for-england-executive-summary" TargetMode="External"/><Relationship Id="rId5" Type="http://schemas.openxmlformats.org/officeDocument/2006/relationships/footnotes" Target="footnotes.xml"/><Relationship Id="rId15" Type="http://schemas.openxmlformats.org/officeDocument/2006/relationships/hyperlink" Target="https://www.england.nhs.uk/long-term-plan/" TargetMode="External"/><Relationship Id="rId10" Type="http://schemas.openxmlformats.org/officeDocument/2006/relationships/hyperlink" Target="https://bmjopen.bmj.com/content/10/10/e037578"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s://www.england.nhs.uk/diabetes/diabetes-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1474</Words>
  <Characters>10056</Characters>
  <Application>Microsoft Office Word</Application>
  <DocSecurity>0</DocSecurity>
  <Lines>205</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Kist (2336279)</dc:creator>
  <cp:keywords/>
  <dc:description/>
  <cp:lastModifiedBy>Ekaterina Kist (2336279)</cp:lastModifiedBy>
  <cp:revision>17</cp:revision>
  <dcterms:created xsi:type="dcterms:W3CDTF">2026-01-09T08:41:00Z</dcterms:created>
  <dcterms:modified xsi:type="dcterms:W3CDTF">2026-01-09T11:07:00Z</dcterms:modified>
</cp:coreProperties>
</file>