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F79300A" w14:textId="2369B08E" w:rsidR="00C440B6" w:rsidRDefault="00C440B6" w:rsidP="00C440B6">
      <w:pPr>
        <w:spacing w:line="36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59264" behindDoc="0" locked="0" layoutInCell="1" allowOverlap="1" wp14:anchorId="238321C6" wp14:editId="7C0331E1">
            <wp:simplePos x="0" y="0"/>
            <wp:positionH relativeFrom="margin">
              <wp:posOffset>323850</wp:posOffset>
            </wp:positionH>
            <wp:positionV relativeFrom="margin">
              <wp:posOffset>304800</wp:posOffset>
            </wp:positionV>
            <wp:extent cx="5153025" cy="7705725"/>
            <wp:effectExtent l="0" t="0" r="9525" b="9525"/>
            <wp:wrapTopAndBottom/>
            <wp:docPr id="1" name="Picture 1" descr="A close-up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jpg"/>
                    <pic:cNvPicPr/>
                  </pic:nvPicPr>
                  <pic:blipFill>
                    <a:blip r:embed="rId4">
                      <a:extLst>
                        <a:ext uri="{28A0092B-C50C-407E-A947-70E740481C1C}">
                          <a14:useLocalDpi xmlns:a14="http://schemas.microsoft.com/office/drawing/2010/main" val="0"/>
                        </a:ext>
                      </a:extLst>
                    </a:blip>
                    <a:stretch>
                      <a:fillRect/>
                    </a:stretch>
                  </pic:blipFill>
                  <pic:spPr>
                    <a:xfrm>
                      <a:off x="0" y="0"/>
                      <a:ext cx="5153025" cy="7705725"/>
                    </a:xfrm>
                    <a:prstGeom prst="rect">
                      <a:avLst/>
                    </a:prstGeom>
                  </pic:spPr>
                </pic:pic>
              </a:graphicData>
            </a:graphic>
            <wp14:sizeRelH relativeFrom="margin">
              <wp14:pctWidth>0</wp14:pctWidth>
            </wp14:sizeRelH>
            <wp14:sizeRelV relativeFrom="margin">
              <wp14:pctHeight>0</wp14:pctHeight>
            </wp14:sizeRelV>
          </wp:anchor>
        </w:drawing>
      </w:r>
    </w:p>
    <w:p w14:paraId="504CEB2E" w14:textId="130ED2AE" w:rsidR="00C440B6" w:rsidRDefault="00C440B6" w:rsidP="00C440B6">
      <w:pPr>
        <w:spacing w:line="360" w:lineRule="auto"/>
        <w:jc w:val="both"/>
        <w:rPr>
          <w:rFonts w:ascii="Arial" w:hAnsi="Arial" w:cs="Arial"/>
          <w:sz w:val="24"/>
          <w:szCs w:val="24"/>
        </w:rPr>
      </w:pPr>
    </w:p>
    <w:p w14:paraId="6236BD8B" w14:textId="395F987C" w:rsidR="00C440B6" w:rsidRDefault="00C440B6" w:rsidP="00C440B6">
      <w:pPr>
        <w:spacing w:line="360" w:lineRule="auto"/>
        <w:jc w:val="both"/>
        <w:rPr>
          <w:rFonts w:ascii="Arial" w:hAnsi="Arial" w:cs="Arial"/>
          <w:sz w:val="24"/>
          <w:szCs w:val="24"/>
        </w:rPr>
      </w:pPr>
    </w:p>
    <w:p w14:paraId="759B1815" w14:textId="53E68551" w:rsidR="00C440B6" w:rsidRDefault="00C440B6" w:rsidP="00C440B6">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1312" behindDoc="0" locked="0" layoutInCell="1" allowOverlap="1" wp14:anchorId="4D955E73" wp14:editId="5588403C">
            <wp:simplePos x="0" y="0"/>
            <wp:positionH relativeFrom="page">
              <wp:posOffset>1647825</wp:posOffset>
            </wp:positionH>
            <wp:positionV relativeFrom="margin">
              <wp:align>top</wp:align>
            </wp:positionV>
            <wp:extent cx="4133850" cy="6858000"/>
            <wp:effectExtent l="0" t="0" r="0" b="0"/>
            <wp:wrapTopAndBottom/>
            <wp:docPr id="4" name="Picture 4" descr="A screenshot of a mobil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 (1).jpg"/>
                    <pic:cNvPicPr/>
                  </pic:nvPicPr>
                  <pic:blipFill>
                    <a:blip r:embed="rId5">
                      <a:extLst>
                        <a:ext uri="{28A0092B-C50C-407E-A947-70E740481C1C}">
                          <a14:useLocalDpi xmlns:a14="http://schemas.microsoft.com/office/drawing/2010/main" val="0"/>
                        </a:ext>
                      </a:extLst>
                    </a:blip>
                    <a:stretch>
                      <a:fillRect/>
                    </a:stretch>
                  </pic:blipFill>
                  <pic:spPr>
                    <a:xfrm>
                      <a:off x="0" y="0"/>
                      <a:ext cx="4133850" cy="6858000"/>
                    </a:xfrm>
                    <a:prstGeom prst="rect">
                      <a:avLst/>
                    </a:prstGeom>
                  </pic:spPr>
                </pic:pic>
              </a:graphicData>
            </a:graphic>
          </wp:anchor>
        </w:drawing>
      </w:r>
    </w:p>
    <w:p w14:paraId="010EE003" w14:textId="279DB2A1" w:rsidR="00C440B6" w:rsidRDefault="00C440B6" w:rsidP="00C440B6">
      <w:pPr>
        <w:spacing w:line="360" w:lineRule="auto"/>
        <w:jc w:val="both"/>
        <w:rPr>
          <w:rFonts w:ascii="Arial" w:hAnsi="Arial" w:cs="Arial"/>
          <w:sz w:val="24"/>
          <w:szCs w:val="24"/>
        </w:rPr>
      </w:pPr>
    </w:p>
    <w:p w14:paraId="5150A938" w14:textId="242443A5" w:rsidR="00C440B6" w:rsidRDefault="00C440B6" w:rsidP="00C440B6">
      <w:pPr>
        <w:spacing w:line="360" w:lineRule="auto"/>
        <w:jc w:val="both"/>
        <w:rPr>
          <w:rFonts w:ascii="Arial" w:hAnsi="Arial" w:cs="Arial"/>
          <w:sz w:val="24"/>
          <w:szCs w:val="24"/>
        </w:rPr>
      </w:pPr>
    </w:p>
    <w:p w14:paraId="18C9593A" w14:textId="4217DEC9" w:rsidR="00C440B6" w:rsidRDefault="00C440B6" w:rsidP="00C440B6">
      <w:pPr>
        <w:spacing w:line="360" w:lineRule="auto"/>
        <w:jc w:val="both"/>
        <w:rPr>
          <w:rFonts w:ascii="Arial" w:hAnsi="Arial" w:cs="Arial"/>
          <w:sz w:val="24"/>
          <w:szCs w:val="24"/>
        </w:rPr>
      </w:pPr>
    </w:p>
    <w:p w14:paraId="260BD92F" w14:textId="47BFB4A1" w:rsidR="00C440B6" w:rsidRDefault="00C440B6" w:rsidP="00C440B6">
      <w:pPr>
        <w:spacing w:line="360" w:lineRule="auto"/>
        <w:jc w:val="both"/>
        <w:rPr>
          <w:rFonts w:ascii="Arial" w:hAnsi="Arial" w:cs="Arial"/>
          <w:sz w:val="24"/>
          <w:szCs w:val="24"/>
        </w:rPr>
      </w:pPr>
    </w:p>
    <w:p w14:paraId="2081697E" w14:textId="77777777" w:rsidR="00C440B6" w:rsidRDefault="00C440B6" w:rsidP="00C440B6">
      <w:pPr>
        <w:spacing w:line="360" w:lineRule="auto"/>
        <w:jc w:val="both"/>
        <w:rPr>
          <w:rFonts w:ascii="Arial" w:hAnsi="Arial" w:cs="Arial"/>
          <w:sz w:val="24"/>
          <w:szCs w:val="24"/>
        </w:rPr>
      </w:pPr>
    </w:p>
    <w:p w14:paraId="67C1BA56" w14:textId="4339AFB1" w:rsidR="00C440B6" w:rsidRDefault="00C440B6" w:rsidP="00C440B6">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0288" behindDoc="0" locked="0" layoutInCell="1" allowOverlap="1" wp14:anchorId="7473F7DB" wp14:editId="617F80D6">
            <wp:simplePos x="0" y="0"/>
            <wp:positionH relativeFrom="margin">
              <wp:posOffset>409575</wp:posOffset>
            </wp:positionH>
            <wp:positionV relativeFrom="margin">
              <wp:align>top</wp:align>
            </wp:positionV>
            <wp:extent cx="4591050" cy="7543800"/>
            <wp:effectExtent l="0" t="0" r="0" b="0"/>
            <wp:wrapTopAndBottom/>
            <wp:docPr id="2" name="Picture 2" descr="A close-up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 (2).jpg"/>
                    <pic:cNvPicPr/>
                  </pic:nvPicPr>
                  <pic:blipFill>
                    <a:blip r:embed="rId6">
                      <a:extLst>
                        <a:ext uri="{28A0092B-C50C-407E-A947-70E740481C1C}">
                          <a14:useLocalDpi xmlns:a14="http://schemas.microsoft.com/office/drawing/2010/main" val="0"/>
                        </a:ext>
                      </a:extLst>
                    </a:blip>
                    <a:stretch>
                      <a:fillRect/>
                    </a:stretch>
                  </pic:blipFill>
                  <pic:spPr>
                    <a:xfrm>
                      <a:off x="0" y="0"/>
                      <a:ext cx="4591050" cy="7543800"/>
                    </a:xfrm>
                    <a:prstGeom prst="rect">
                      <a:avLst/>
                    </a:prstGeom>
                  </pic:spPr>
                </pic:pic>
              </a:graphicData>
            </a:graphic>
            <wp14:sizeRelH relativeFrom="margin">
              <wp14:pctWidth>0</wp14:pctWidth>
            </wp14:sizeRelH>
            <wp14:sizeRelV relativeFrom="margin">
              <wp14:pctHeight>0</wp14:pctHeight>
            </wp14:sizeRelV>
          </wp:anchor>
        </w:drawing>
      </w:r>
    </w:p>
    <w:p w14:paraId="0D5CB6D5" w14:textId="459A158E" w:rsidR="00C440B6" w:rsidRDefault="00C440B6" w:rsidP="00C440B6">
      <w:pPr>
        <w:spacing w:line="360" w:lineRule="auto"/>
        <w:jc w:val="both"/>
        <w:rPr>
          <w:rFonts w:ascii="Arial" w:hAnsi="Arial" w:cs="Arial"/>
          <w:sz w:val="24"/>
          <w:szCs w:val="24"/>
        </w:rPr>
      </w:pPr>
    </w:p>
    <w:p w14:paraId="5558DFB6" w14:textId="5F6BD98A" w:rsidR="00C440B6" w:rsidRDefault="00C440B6" w:rsidP="00C440B6">
      <w:pPr>
        <w:spacing w:line="360" w:lineRule="auto"/>
        <w:jc w:val="both"/>
        <w:rPr>
          <w:rFonts w:ascii="Arial" w:hAnsi="Arial" w:cs="Arial"/>
          <w:sz w:val="24"/>
          <w:szCs w:val="24"/>
        </w:rPr>
      </w:pPr>
    </w:p>
    <w:p w14:paraId="6E589C35" w14:textId="77C1F096" w:rsidR="00C440B6" w:rsidRDefault="00C440B6" w:rsidP="00C440B6">
      <w:pPr>
        <w:spacing w:line="360" w:lineRule="auto"/>
        <w:jc w:val="both"/>
        <w:rPr>
          <w:rFonts w:ascii="Arial" w:hAnsi="Arial" w:cs="Arial"/>
          <w:sz w:val="24"/>
          <w:szCs w:val="24"/>
        </w:rPr>
      </w:pPr>
    </w:p>
    <w:p w14:paraId="7E0AFC98" w14:textId="2FD3D2E8" w:rsidR="00C440B6" w:rsidRDefault="00C440B6" w:rsidP="00C440B6">
      <w:pPr>
        <w:spacing w:line="360" w:lineRule="auto"/>
        <w:jc w:val="both"/>
        <w:rPr>
          <w:rFonts w:ascii="Arial" w:hAnsi="Arial" w:cs="Arial"/>
          <w:sz w:val="24"/>
          <w:szCs w:val="24"/>
        </w:rPr>
      </w:pPr>
      <w:r>
        <w:rPr>
          <w:rFonts w:ascii="Arial" w:hAnsi="Arial" w:cs="Arial"/>
          <w:noProof/>
          <w:sz w:val="24"/>
          <w:szCs w:val="24"/>
        </w:rPr>
        <w:lastRenderedPageBreak/>
        <w:drawing>
          <wp:anchor distT="0" distB="0" distL="114300" distR="114300" simplePos="0" relativeHeight="251662336" behindDoc="0" locked="0" layoutInCell="1" allowOverlap="1" wp14:anchorId="6C4EC8F3" wp14:editId="5BB7CD19">
            <wp:simplePos x="0" y="0"/>
            <wp:positionH relativeFrom="margin">
              <wp:align>center</wp:align>
            </wp:positionH>
            <wp:positionV relativeFrom="page">
              <wp:posOffset>1276350</wp:posOffset>
            </wp:positionV>
            <wp:extent cx="5328920" cy="8863330"/>
            <wp:effectExtent l="0" t="0" r="5080" b="0"/>
            <wp:wrapTopAndBottom/>
            <wp:docPr id="5" name="Picture 5"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_5583.jpeg"/>
                    <pic:cNvPicPr/>
                  </pic:nvPicPr>
                  <pic:blipFill>
                    <a:blip r:embed="rId7">
                      <a:extLst>
                        <a:ext uri="{28A0092B-C50C-407E-A947-70E740481C1C}">
                          <a14:useLocalDpi xmlns:a14="http://schemas.microsoft.com/office/drawing/2010/main" val="0"/>
                        </a:ext>
                      </a:extLst>
                    </a:blip>
                    <a:stretch>
                      <a:fillRect/>
                    </a:stretch>
                  </pic:blipFill>
                  <pic:spPr>
                    <a:xfrm>
                      <a:off x="0" y="0"/>
                      <a:ext cx="5328920" cy="8863330"/>
                    </a:xfrm>
                    <a:prstGeom prst="rect">
                      <a:avLst/>
                    </a:prstGeom>
                  </pic:spPr>
                </pic:pic>
              </a:graphicData>
            </a:graphic>
          </wp:anchor>
        </w:drawing>
      </w:r>
    </w:p>
    <w:p w14:paraId="31D541F8"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lastRenderedPageBreak/>
        <w:t>Slide 1</w:t>
      </w:r>
    </w:p>
    <w:p w14:paraId="5D5082BC"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Title: Employee Lifecycle: Marriott Hotel</w:t>
      </w:r>
    </w:p>
    <w:p w14:paraId="74B4569D"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Subtitle: Strategies for Attraction, Recruitment, Onboarding, Development, Retention, and Separation</w:t>
      </w:r>
    </w:p>
    <w:p w14:paraId="456BA997"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Student: Silvia Badea (2130240)</w:t>
      </w:r>
    </w:p>
    <w:p w14:paraId="4E55D6B4"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2</w:t>
      </w:r>
    </w:p>
    <w:p w14:paraId="4E1A90DB"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 xml:space="preserve">Introduction </w:t>
      </w:r>
    </w:p>
    <w:p w14:paraId="6C33F6C0"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In this presentation, we will explore into Marriott's approach to attracting, recruiting, onboarding, developing, retaining, and separating employees. Understanding the significance of each stage in the employee journey is important for organisations like Marriott to promote a positive work environment and maximise employee satisfaction and productivity. Throughout this presentation, we will explore the strategies and practises employed by Marriott to improve the employee experience and create a supportive and inclusive workplace culture. By analysing each stage of the employee lifecycle, we can gain insights into Marriott's commitment to employee well-being and professional development. Let's begin by examining Marriott's strategies for attracting top talent (Taylor &amp; Woodhams, 2012).</w:t>
      </w:r>
    </w:p>
    <w:p w14:paraId="208E11BF"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3</w:t>
      </w:r>
    </w:p>
    <w:p w14:paraId="054B98BE"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Attraction </w:t>
      </w:r>
    </w:p>
    <w:p w14:paraId="402F6805"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Attracting talented individuals to join the Marriott team begins with the company's corporate culture and employer brand. Marriott is known for its emphasis on diversity, inclusion, and employee well-being, which serves as a magnet for potential candidates. By demonstrate its commitment to creating a supportive and inclusive work environment, Marriott attracts candidates who adapt with its values and mission. Additionally, Marriott utilises various strategies, such as targeted recruitment campaigns, employer branding initiatives, and partnerships with educational institutions, to attract a diverse pool of candidates from different backgrounds and experiences (Torrington et al., 2009).</w:t>
      </w:r>
    </w:p>
    <w:p w14:paraId="75B66E17" w14:textId="77777777" w:rsidR="00F867B5" w:rsidRPr="00F867B5" w:rsidRDefault="00F867B5" w:rsidP="00F867B5">
      <w:pPr>
        <w:spacing w:line="360" w:lineRule="auto"/>
        <w:jc w:val="both"/>
        <w:rPr>
          <w:rFonts w:ascii="Arial" w:hAnsi="Arial" w:cs="Arial"/>
          <w:b/>
          <w:bCs/>
          <w:sz w:val="24"/>
          <w:szCs w:val="24"/>
        </w:rPr>
      </w:pPr>
    </w:p>
    <w:p w14:paraId="72AA663B"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lastRenderedPageBreak/>
        <w:t>Slide 4</w:t>
      </w:r>
    </w:p>
    <w:p w14:paraId="0E20EBA2"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Recruitment </w:t>
      </w:r>
    </w:p>
    <w:p w14:paraId="1FFC659E"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Marriott employs modern recruitment processes and tools to reorganise the candidate selection process and ensure efficiency and effectiveness. Influencing technology, such as applicant tracking systems and online job portals, Marriott can reach a wider audience of potential candidates and manage applications more effectively. Furthermore, Marriott highlight diversity and inclusion in its recruitment efforts, actively searching candidates from unrepresented groups and providing equal opportunities for all applicants. By embracing innovative recruitment strategies, Marriott can identify and attract top talent that joins with its values and organisational culture (Friedman, 2012).</w:t>
      </w:r>
    </w:p>
    <w:p w14:paraId="30D327FB"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Slide 5 </w:t>
      </w:r>
    </w:p>
    <w:p w14:paraId="2FB189E6"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Onboarding </w:t>
      </w:r>
    </w:p>
    <w:p w14:paraId="4903FB7F"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The onboarding process at Marriott is designed to welcome new employees and provide them with essential information, resources, and support to facilitate a smooth transition into their roles. New hires are introduced to Marriott's culture, values, and expectations through orientation sessions, mentorship programmes, and support networks. Additionally, Marriott ensures that new employees have access to the necessary tools, training, and resources to perform their jobs effectively from day one. By investing in a comprehensive onboarding process, Marriott sets new hires up for success and promote a sense of acceptance and engagement from the beginning (Gallagher, 2016).</w:t>
      </w:r>
    </w:p>
    <w:p w14:paraId="38D400CB"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Slide 6 </w:t>
      </w:r>
    </w:p>
    <w:p w14:paraId="382F346D"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Development </w:t>
      </w:r>
    </w:p>
    <w:p w14:paraId="05FB1AC9"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 xml:space="preserve">Marriott is committed to employee development and invests in various programmes and initiatives to help employees grow both personally and professionally. Through training programmes, mentorship initiatives, and career advancement opportunities, Marriott empowers employees to reach their full potential and achieve their career goals within the organisation. Performance reviews and feedback mechanisms are integral components of Marriott's development strategy, providing employees with </w:t>
      </w:r>
      <w:r w:rsidRPr="00F867B5">
        <w:rPr>
          <w:rFonts w:ascii="Arial" w:hAnsi="Arial" w:cs="Arial"/>
          <w:sz w:val="24"/>
          <w:szCs w:val="24"/>
        </w:rPr>
        <w:lastRenderedPageBreak/>
        <w:t>valuable insights into their strengths and areas for improvement. By prioritising employee development, Marriott cultivates a culture of continuous learning and growth, benefiting both employees and the organisation (Horn, 2009).</w:t>
      </w:r>
    </w:p>
    <w:p w14:paraId="0D3F34B0"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7</w:t>
      </w:r>
    </w:p>
    <w:p w14:paraId="4CD50919"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Retention </w:t>
      </w:r>
    </w:p>
    <w:p w14:paraId="23CAD0A9"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Employee retention is a top priority for Marriott, given the competitive nature of the hospitality industry and the cost associated with turnover. Marriott employs various engagement strategies and offers competitive benefits to retain its employees and promote a supportive work environment. These strategies may include career development opportunities, recognition programmes, flexible work arrangements, and employee wellness initiatives. By creating a positive work environment where employees feel valued, supported, and engaged, Marriott can reduce turnover rates and retain top talent within the organisation (Marchington &amp; Wilkinson, 2016).</w:t>
      </w:r>
    </w:p>
    <w:p w14:paraId="36B3AF4C"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8</w:t>
      </w:r>
    </w:p>
    <w:p w14:paraId="2658D086"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Separation </w:t>
      </w:r>
    </w:p>
    <w:p w14:paraId="38447D52"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The separation stage marks the end of the employee lifecycle, where employees leave the organisation for various reasons. Marriott try to ensure a positive experience for departing employees by conducting exit interviews, collecting feedback, and providing support services. By obtaining insights from departing employees, Marriott can identify areas for improvement and adjust, improve the employee experience for current and future ones. Additionally, Marriott focuses on transitioning employees out of the organisation with dignity and respect, maintaining positive relationships even after they leave the company (Murton et al., 2010).</w:t>
      </w:r>
    </w:p>
    <w:p w14:paraId="3688880F"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9</w:t>
      </w:r>
    </w:p>
    <w:p w14:paraId="2ED8760D"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SWOT Analysis </w:t>
      </w:r>
    </w:p>
    <w:p w14:paraId="413598F4"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Strengths: Marriott's strong employer brand, diverse workforce, and robust retention strategies are key strengths that contribute to its success in attracting and retaining top talent. The company's commitment to employee development and engagement further strengthens its position in the market.</w:t>
      </w:r>
    </w:p>
    <w:p w14:paraId="4039A660"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lastRenderedPageBreak/>
        <w:t>Weaknesses: Turnover in the hospitality industry and the need for continuous adaptation to changing market dynamics present challenges for Marriott in retaining its employees and maintaining a competitive edge.</w:t>
      </w:r>
    </w:p>
    <w:p w14:paraId="7EB093A1"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 xml:space="preserve">Opportunities: Marriott has opportunities to innovate in its HR practises, expand into new markets, and capitalise on renewed trends in the hospitality industry to drive growth and success. </w:t>
      </w:r>
    </w:p>
    <w:p w14:paraId="571C70C3"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Threats: Competition for talent, economic instability, and external factors such as regulatory changes and geopolitical tensions create threats to Marriott's ability to attract, retain, and develop its workforce effectively.</w:t>
      </w:r>
    </w:p>
    <w:p w14:paraId="791ECA9E"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10</w:t>
      </w:r>
    </w:p>
    <w:p w14:paraId="2D50112D"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 xml:space="preserve">Conclusion </w:t>
      </w:r>
    </w:p>
    <w:p w14:paraId="73AFB5E6"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In conclusion, Marriott's approach to improving the employee lifecycle including various strategies and practises aimed at attracting, recruiting, onboarding, developing, retaining, and separating employees. By prioritising employee well-being, professional development, and engagement, Marriott creates a supportive and inclusive work environment where employees can thrive and succeed. Continuous adaptation and innovation in HR practises are essential for Marriott to address current challenges and capitalise on future opportunities in the dynamic hospitality industry (Van Dijk, 2019).</w:t>
      </w:r>
    </w:p>
    <w:p w14:paraId="36E22E7E"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t>Slide 11: Thank You</w:t>
      </w:r>
    </w:p>
    <w:p w14:paraId="1E1E6E05" w14:textId="77777777" w:rsidR="00F867B5" w:rsidRPr="00F867B5" w:rsidRDefault="00F867B5" w:rsidP="00F867B5">
      <w:pPr>
        <w:spacing w:line="360" w:lineRule="auto"/>
        <w:jc w:val="both"/>
        <w:rPr>
          <w:rFonts w:ascii="Arial" w:hAnsi="Arial" w:cs="Arial"/>
          <w:b/>
          <w:bCs/>
          <w:sz w:val="24"/>
          <w:szCs w:val="24"/>
        </w:rPr>
      </w:pPr>
    </w:p>
    <w:p w14:paraId="106F6BEB" w14:textId="77777777" w:rsidR="00F867B5" w:rsidRPr="00F867B5" w:rsidRDefault="00F867B5" w:rsidP="00F867B5">
      <w:pPr>
        <w:spacing w:line="360" w:lineRule="auto"/>
        <w:jc w:val="both"/>
        <w:rPr>
          <w:rFonts w:ascii="Arial" w:hAnsi="Arial" w:cs="Arial"/>
          <w:b/>
          <w:bCs/>
          <w:sz w:val="24"/>
          <w:szCs w:val="24"/>
        </w:rPr>
      </w:pPr>
    </w:p>
    <w:p w14:paraId="1D8BCF65" w14:textId="77777777" w:rsidR="00F867B5" w:rsidRPr="00F867B5" w:rsidRDefault="00F867B5" w:rsidP="00F867B5">
      <w:pPr>
        <w:spacing w:line="360" w:lineRule="auto"/>
        <w:jc w:val="both"/>
        <w:rPr>
          <w:rFonts w:ascii="Arial" w:hAnsi="Arial" w:cs="Arial"/>
          <w:b/>
          <w:bCs/>
          <w:sz w:val="24"/>
          <w:szCs w:val="24"/>
        </w:rPr>
      </w:pPr>
    </w:p>
    <w:p w14:paraId="17A011F0" w14:textId="77777777" w:rsidR="00F867B5" w:rsidRPr="00F867B5" w:rsidRDefault="00F867B5" w:rsidP="00F867B5">
      <w:pPr>
        <w:spacing w:line="360" w:lineRule="auto"/>
        <w:jc w:val="both"/>
        <w:rPr>
          <w:rFonts w:ascii="Arial" w:hAnsi="Arial" w:cs="Arial"/>
          <w:b/>
          <w:bCs/>
          <w:sz w:val="24"/>
          <w:szCs w:val="24"/>
        </w:rPr>
      </w:pPr>
    </w:p>
    <w:p w14:paraId="72DCD929" w14:textId="77777777" w:rsidR="00F867B5" w:rsidRPr="00F867B5" w:rsidRDefault="00F867B5" w:rsidP="00F867B5">
      <w:pPr>
        <w:spacing w:line="360" w:lineRule="auto"/>
        <w:jc w:val="both"/>
        <w:rPr>
          <w:rFonts w:ascii="Arial" w:hAnsi="Arial" w:cs="Arial"/>
          <w:b/>
          <w:bCs/>
          <w:sz w:val="24"/>
          <w:szCs w:val="24"/>
        </w:rPr>
      </w:pPr>
    </w:p>
    <w:p w14:paraId="1D83E3D8" w14:textId="77777777" w:rsidR="00F867B5" w:rsidRPr="00F867B5" w:rsidRDefault="00F867B5" w:rsidP="00F867B5">
      <w:pPr>
        <w:spacing w:line="360" w:lineRule="auto"/>
        <w:jc w:val="both"/>
        <w:rPr>
          <w:rFonts w:ascii="Arial" w:hAnsi="Arial" w:cs="Arial"/>
          <w:b/>
          <w:bCs/>
          <w:sz w:val="24"/>
          <w:szCs w:val="24"/>
        </w:rPr>
      </w:pPr>
    </w:p>
    <w:p w14:paraId="67C8A950" w14:textId="77777777" w:rsidR="00F867B5" w:rsidRPr="00F867B5" w:rsidRDefault="00F867B5" w:rsidP="00F867B5">
      <w:pPr>
        <w:spacing w:line="360" w:lineRule="auto"/>
        <w:jc w:val="both"/>
        <w:rPr>
          <w:rFonts w:ascii="Arial" w:hAnsi="Arial" w:cs="Arial"/>
          <w:b/>
          <w:bCs/>
          <w:sz w:val="24"/>
          <w:szCs w:val="24"/>
        </w:rPr>
      </w:pPr>
    </w:p>
    <w:p w14:paraId="181445B8" w14:textId="77777777" w:rsidR="00F867B5" w:rsidRPr="00F867B5" w:rsidRDefault="00F867B5" w:rsidP="00F867B5">
      <w:pPr>
        <w:spacing w:line="360" w:lineRule="auto"/>
        <w:jc w:val="both"/>
        <w:rPr>
          <w:rFonts w:ascii="Arial" w:hAnsi="Arial" w:cs="Arial"/>
          <w:b/>
          <w:bCs/>
          <w:sz w:val="24"/>
          <w:szCs w:val="24"/>
        </w:rPr>
      </w:pPr>
    </w:p>
    <w:p w14:paraId="5CC36DA6" w14:textId="77777777" w:rsidR="00F867B5" w:rsidRPr="00F867B5" w:rsidRDefault="00F867B5" w:rsidP="00F867B5">
      <w:pPr>
        <w:spacing w:line="360" w:lineRule="auto"/>
        <w:jc w:val="both"/>
        <w:rPr>
          <w:rFonts w:ascii="Arial" w:hAnsi="Arial" w:cs="Arial"/>
          <w:b/>
          <w:bCs/>
          <w:sz w:val="24"/>
          <w:szCs w:val="24"/>
        </w:rPr>
      </w:pPr>
      <w:r w:rsidRPr="00F867B5">
        <w:rPr>
          <w:rFonts w:ascii="Arial" w:hAnsi="Arial" w:cs="Arial"/>
          <w:b/>
          <w:bCs/>
          <w:sz w:val="24"/>
          <w:szCs w:val="24"/>
        </w:rPr>
        <w:lastRenderedPageBreak/>
        <w:t>References List</w:t>
      </w:r>
    </w:p>
    <w:p w14:paraId="50524FEC"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Bhatia, A., &amp; Batra, R. (2017). Impact of testimonial format and product type on consumers' responses to online testimonials: An empirical investigation. Journal of Interactive Marketing, 37, 57-68.</w:t>
      </w:r>
    </w:p>
    <w:p w14:paraId="00D0E9AE"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Clark, D. (2016). Employee engagement in healthcare management. Journal of Healthcare Management, 61(4), 279-288.</w:t>
      </w:r>
    </w:p>
    <w:p w14:paraId="69A15CA0"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Gallagher, K. (2016). Essential study and employment skills for business and management students. Oxford: Oxford University Press.</w:t>
      </w:r>
    </w:p>
    <w:p w14:paraId="6E6B4A9A"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Horn, R. (2009). The business skills handbook. London: Chartered Institute of Personnel and Development.</w:t>
      </w:r>
    </w:p>
    <w:p w14:paraId="2519F181"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Marchington, M., &amp; Wilkinson, A. (2016). Human resource management at work. 6th ed. London: Chartered Institute of Personnel and Development.</w:t>
      </w:r>
    </w:p>
    <w:p w14:paraId="6F52A991"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Murton, A., Inman, M., &amp; O’Sullivan, N. (2010). Unlocking Human Resource Management. Hodder Education.</w:t>
      </w:r>
    </w:p>
    <w:p w14:paraId="5140195C"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Taylor, S., &amp; Woodhams, C. (2012).</w:t>
      </w:r>
    </w:p>
    <w:p w14:paraId="2319B7AA"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Studying Human Resource Management. London: Chartered Institute of Personnel and Development.</w:t>
      </w:r>
    </w:p>
    <w:p w14:paraId="2CA7B50C"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Torrington, D., Hall, L., Taylor, S., &amp; Atkinson, C. (2009). Fundamentals of Human Resource Management: Managing People at Work. London: Prent</w:t>
      </w:r>
    </w:p>
    <w:p w14:paraId="38D9615B" w14:textId="77777777" w:rsidR="00F867B5" w:rsidRPr="00F867B5" w:rsidRDefault="00F867B5" w:rsidP="00F867B5">
      <w:pPr>
        <w:spacing w:line="360" w:lineRule="auto"/>
        <w:jc w:val="both"/>
        <w:rPr>
          <w:rFonts w:ascii="Arial" w:hAnsi="Arial" w:cs="Arial"/>
          <w:sz w:val="24"/>
          <w:szCs w:val="24"/>
        </w:rPr>
      </w:pPr>
      <w:r w:rsidRPr="00F867B5">
        <w:rPr>
          <w:rFonts w:ascii="Arial" w:hAnsi="Arial" w:cs="Arial"/>
          <w:sz w:val="24"/>
          <w:szCs w:val="24"/>
        </w:rPr>
        <w:t>Van Dijk, A. (2019). Understanding Human Resource Management in the Hospitality Industry: Strategies for Success. London: Routledge.</w:t>
      </w:r>
    </w:p>
    <w:p w14:paraId="5E9CB92F" w14:textId="3F6B2FC4" w:rsidR="00C440B6" w:rsidRDefault="00C440B6" w:rsidP="00C440B6">
      <w:pPr>
        <w:spacing w:line="360" w:lineRule="auto"/>
        <w:jc w:val="both"/>
        <w:rPr>
          <w:rFonts w:ascii="Arial" w:hAnsi="Arial" w:cs="Arial"/>
          <w:sz w:val="24"/>
          <w:szCs w:val="24"/>
        </w:rPr>
      </w:pPr>
    </w:p>
    <w:p w14:paraId="69E117CF" w14:textId="7C736207" w:rsidR="00C440B6" w:rsidRDefault="00C440B6" w:rsidP="00C440B6">
      <w:pPr>
        <w:spacing w:line="360" w:lineRule="auto"/>
        <w:jc w:val="both"/>
        <w:rPr>
          <w:rFonts w:ascii="Arial" w:hAnsi="Arial" w:cs="Arial"/>
          <w:sz w:val="24"/>
          <w:szCs w:val="24"/>
        </w:rPr>
      </w:pPr>
    </w:p>
    <w:p w14:paraId="765B3CF7" w14:textId="0D88B612" w:rsidR="00C440B6" w:rsidRDefault="00C440B6" w:rsidP="00C440B6">
      <w:pPr>
        <w:spacing w:line="360" w:lineRule="auto"/>
        <w:jc w:val="both"/>
        <w:rPr>
          <w:rFonts w:ascii="Arial" w:hAnsi="Arial" w:cs="Arial"/>
          <w:sz w:val="24"/>
          <w:szCs w:val="24"/>
        </w:rPr>
      </w:pPr>
    </w:p>
    <w:p w14:paraId="742967AC" w14:textId="2C138409" w:rsidR="00C440B6" w:rsidRDefault="00C440B6" w:rsidP="00C440B6">
      <w:pPr>
        <w:spacing w:line="360" w:lineRule="auto"/>
        <w:jc w:val="both"/>
        <w:rPr>
          <w:rFonts w:ascii="Arial" w:hAnsi="Arial" w:cs="Arial"/>
          <w:sz w:val="24"/>
          <w:szCs w:val="24"/>
        </w:rPr>
      </w:pPr>
    </w:p>
    <w:p w14:paraId="07D22AE0" w14:textId="32241511" w:rsidR="00C440B6" w:rsidRDefault="00C440B6" w:rsidP="00C440B6">
      <w:pPr>
        <w:spacing w:line="360" w:lineRule="auto"/>
        <w:jc w:val="both"/>
        <w:rPr>
          <w:rFonts w:ascii="Arial" w:hAnsi="Arial" w:cs="Arial"/>
          <w:sz w:val="24"/>
          <w:szCs w:val="24"/>
        </w:rPr>
      </w:pPr>
      <w:bookmarkStart w:id="0" w:name="_GoBack"/>
      <w:bookmarkEnd w:id="0"/>
    </w:p>
    <w:p w14:paraId="2BA31223" w14:textId="38E94E4F" w:rsidR="006D15A0" w:rsidRPr="00C440B6" w:rsidRDefault="006D15A0" w:rsidP="00C440B6">
      <w:pPr>
        <w:spacing w:line="360" w:lineRule="auto"/>
        <w:jc w:val="both"/>
        <w:rPr>
          <w:rFonts w:ascii="Arial" w:hAnsi="Arial" w:cs="Arial"/>
          <w:sz w:val="24"/>
          <w:szCs w:val="24"/>
        </w:rPr>
      </w:pPr>
    </w:p>
    <w:sectPr w:rsidR="006D15A0" w:rsidRPr="00C440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40B6"/>
    <w:rsid w:val="00595D52"/>
    <w:rsid w:val="006D15A0"/>
    <w:rsid w:val="00C440B6"/>
    <w:rsid w:val="00F86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A717F"/>
  <w15:chartTrackingRefBased/>
  <w15:docId w15:val="{67F8998D-A8AF-4507-8CDE-DFF6C29EB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g"/><Relationship Id="rId5" Type="http://schemas.openxmlformats.org/officeDocument/2006/relationships/image" Target="media/image2.jpg"/><Relationship Id="rId4" Type="http://schemas.openxmlformats.org/officeDocument/2006/relationships/image" Target="media/image1.jp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9</Pages>
  <Words>1196</Words>
  <Characters>6822</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Silvia Badea (2130240)</dc:creator>
  <cp:keywords/>
  <dc:description/>
  <cp:lastModifiedBy>Silvia Badea (2130240)</cp:lastModifiedBy>
  <cp:revision>2</cp:revision>
  <dcterms:created xsi:type="dcterms:W3CDTF">2024-03-24T23:10:00Z</dcterms:created>
  <dcterms:modified xsi:type="dcterms:W3CDTF">2024-03-24T23:27:00Z</dcterms:modified>
</cp:coreProperties>
</file>