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03789784" w:displacedByCustomXml="next"/>
    <w:bookmarkStart w:id="1" w:name="_Toc203788984" w:displacedByCustomXml="next"/>
    <w:sdt>
      <w:sdtPr>
        <w:rPr>
          <w:color w:val="156082" w:themeColor="accent1"/>
        </w:rPr>
        <w:id w:val="-827976404"/>
        <w:docPartObj>
          <w:docPartGallery w:val="Cover Pages"/>
          <w:docPartUnique/>
        </w:docPartObj>
      </w:sdtPr>
      <w:sdtEndPr>
        <w:rPr>
          <w:rFonts w:ascii="Times New Roman" w:eastAsiaTheme="minorHAnsi" w:hAnsi="Times New Roman" w:cs="Times New Roman"/>
          <w:b/>
          <w:i/>
          <w:color w:val="auto"/>
          <w:sz w:val="24"/>
          <w:szCs w:val="24"/>
          <w:lang w:eastAsia="en-US"/>
        </w:rPr>
      </w:sdtEndPr>
      <w:sdtContent>
        <w:p w14:paraId="33CF1D3F" w14:textId="74E098D1" w:rsidR="00E42EB4" w:rsidRDefault="00E42EB4">
          <w:pPr>
            <w:pStyle w:val="NoSpacing"/>
            <w:spacing w:before="1540" w:after="240"/>
            <w:jc w:val="center"/>
            <w:rPr>
              <w:color w:val="156082" w:themeColor="accent1"/>
            </w:rPr>
          </w:pPr>
          <w:r>
            <w:rPr>
              <w:noProof/>
              <w:color w:val="156082" w:themeColor="accent1"/>
            </w:rPr>
            <w:drawing>
              <wp:inline distT="0" distB="0" distL="0" distR="0" wp14:anchorId="3B9F4C60" wp14:editId="6941CBC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9732DAE52464EDEB1571DE0E2F8F2D0"/>
            </w:placeholder>
            <w:dataBinding w:prefixMappings="xmlns:ns0='http://purl.org/dc/elements/1.1/' xmlns:ns1='http://schemas.openxmlformats.org/package/2006/metadata/core-properties' " w:xpath="/ns1:coreProperties[1]/ns0:title[1]" w:storeItemID="{6C3C8BC8-F283-45AE-878A-BAB7291924A1}"/>
            <w:text/>
          </w:sdtPr>
          <w:sdtContent>
            <w:p w14:paraId="2BA1D8E6" w14:textId="2EB71CFB" w:rsidR="00E42EB4" w:rsidRDefault="00E42EB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42EB4">
                <w:rPr>
                  <w:rFonts w:asciiTheme="majorHAnsi" w:eastAsiaTheme="majorEastAsia" w:hAnsiTheme="majorHAnsi" w:cstheme="majorBidi"/>
                  <w:caps/>
                  <w:color w:val="156082" w:themeColor="accent1"/>
                  <w:sz w:val="72"/>
                  <w:szCs w:val="72"/>
                </w:rPr>
                <w:t>Leaders in a Global Business</w:t>
              </w:r>
            </w:p>
          </w:sdtContent>
        </w:sdt>
        <w:sdt>
          <w:sdtPr>
            <w:rPr>
              <w:color w:val="156082" w:themeColor="accent1"/>
              <w:sz w:val="28"/>
              <w:szCs w:val="28"/>
            </w:rPr>
            <w:alias w:val="Subtitle"/>
            <w:tag w:val=""/>
            <w:id w:val="328029620"/>
            <w:placeholder>
              <w:docPart w:val="E02FB8C3F6F74FDDA30E283B241DED78"/>
            </w:placeholder>
            <w:dataBinding w:prefixMappings="xmlns:ns0='http://purl.org/dc/elements/1.1/' xmlns:ns1='http://schemas.openxmlformats.org/package/2006/metadata/core-properties' " w:xpath="/ns1:coreProperties[1]/ns0:subject[1]" w:storeItemID="{6C3C8BC8-F283-45AE-878A-BAB7291924A1}"/>
            <w:text/>
          </w:sdtPr>
          <w:sdtContent>
            <w:p w14:paraId="7B0AAF51" w14:textId="20000131" w:rsidR="00E42EB4" w:rsidRDefault="00E42EB4">
              <w:pPr>
                <w:pStyle w:val="NoSpacing"/>
                <w:jc w:val="center"/>
                <w:rPr>
                  <w:color w:val="156082" w:themeColor="accent1"/>
                  <w:sz w:val="28"/>
                  <w:szCs w:val="28"/>
                </w:rPr>
              </w:pPr>
              <w:r>
                <w:rPr>
                  <w:color w:val="156082" w:themeColor="accent1"/>
                  <w:sz w:val="28"/>
                  <w:szCs w:val="28"/>
                </w:rPr>
                <w:t>UNILEVER CASE STUDY</w:t>
              </w:r>
            </w:p>
          </w:sdtContent>
        </w:sdt>
        <w:p w14:paraId="63F4A65E" w14:textId="77777777" w:rsidR="00E42EB4" w:rsidRDefault="00E42EB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6432" behindDoc="0" locked="0" layoutInCell="1" allowOverlap="1" wp14:anchorId="1C326C87" wp14:editId="557A407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21T00:00:00Z">
                                    <w:dateFormat w:val="dd MMMM yyyy"/>
                                    <w:lid w:val="en-GB"/>
                                    <w:storeMappedDataAs w:val="dateTime"/>
                                    <w:calendar w:val="gregorian"/>
                                  </w:date>
                                </w:sdtPr>
                                <w:sdtContent>
                                  <w:p w14:paraId="16E4FCE5" w14:textId="2E1130E1" w:rsidR="00E42EB4" w:rsidRDefault="00E42EB4">
                                    <w:pPr>
                                      <w:pStyle w:val="NoSpacing"/>
                                      <w:spacing w:after="40"/>
                                      <w:jc w:val="center"/>
                                      <w:rPr>
                                        <w:caps/>
                                        <w:color w:val="156082" w:themeColor="accent1"/>
                                        <w:sz w:val="28"/>
                                        <w:szCs w:val="28"/>
                                      </w:rPr>
                                    </w:pPr>
                                    <w:r>
                                      <w:rPr>
                                        <w:caps/>
                                        <w:color w:val="156082" w:themeColor="accent1"/>
                                        <w:sz w:val="28"/>
                                        <w:szCs w:val="28"/>
                                      </w:rPr>
                                      <w:t>21 July 2025</w:t>
                                    </w:r>
                                  </w:p>
                                </w:sdtContent>
                              </w:sdt>
                              <w:p w14:paraId="69C698E8" w14:textId="713AD1FF" w:rsidR="00E42EB4" w:rsidRDefault="00E42EB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UWTSD</w:t>
                                    </w:r>
                                  </w:sdtContent>
                                </w:sdt>
                              </w:p>
                              <w:p w14:paraId="02E4F392" w14:textId="496BDD3B" w:rsidR="00E42EB4" w:rsidRDefault="00E42EB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Andrei Selaru 2112461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326C8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643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21T00:00:00Z">
                              <w:dateFormat w:val="dd MMMM yyyy"/>
                              <w:lid w:val="en-GB"/>
                              <w:storeMappedDataAs w:val="dateTime"/>
                              <w:calendar w:val="gregorian"/>
                            </w:date>
                          </w:sdtPr>
                          <w:sdtContent>
                            <w:p w14:paraId="16E4FCE5" w14:textId="2E1130E1" w:rsidR="00E42EB4" w:rsidRDefault="00E42EB4">
                              <w:pPr>
                                <w:pStyle w:val="NoSpacing"/>
                                <w:spacing w:after="40"/>
                                <w:jc w:val="center"/>
                                <w:rPr>
                                  <w:caps/>
                                  <w:color w:val="156082" w:themeColor="accent1"/>
                                  <w:sz w:val="28"/>
                                  <w:szCs w:val="28"/>
                                </w:rPr>
                              </w:pPr>
                              <w:r>
                                <w:rPr>
                                  <w:caps/>
                                  <w:color w:val="156082" w:themeColor="accent1"/>
                                  <w:sz w:val="28"/>
                                  <w:szCs w:val="28"/>
                                </w:rPr>
                                <w:t>21 July 2025</w:t>
                              </w:r>
                            </w:p>
                          </w:sdtContent>
                        </w:sdt>
                        <w:p w14:paraId="69C698E8" w14:textId="713AD1FF" w:rsidR="00E42EB4" w:rsidRDefault="00E42EB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UWTSD</w:t>
                              </w:r>
                            </w:sdtContent>
                          </w:sdt>
                        </w:p>
                        <w:p w14:paraId="02E4F392" w14:textId="496BDD3B" w:rsidR="00E42EB4" w:rsidRDefault="00E42EB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Andrei Selaru 2112461</w:t>
                              </w:r>
                            </w:sdtContent>
                          </w:sdt>
                        </w:p>
                      </w:txbxContent>
                    </v:textbox>
                    <w10:wrap anchorx="margin" anchory="page"/>
                  </v:shape>
                </w:pict>
              </mc:Fallback>
            </mc:AlternateContent>
          </w:r>
          <w:r>
            <w:rPr>
              <w:noProof/>
              <w:color w:val="156082" w:themeColor="accent1"/>
            </w:rPr>
            <w:drawing>
              <wp:inline distT="0" distB="0" distL="0" distR="0" wp14:anchorId="4E083C18" wp14:editId="2CF6524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3A024A" w14:textId="77777777" w:rsidR="00E42EB4" w:rsidRDefault="00E42EB4" w:rsidP="00E42EB4">
          <w:pPr>
            <w:rPr>
              <w:rFonts w:ascii="Times New Roman" w:hAnsi="Times New Roman" w:cs="Times New Roman"/>
              <w:b/>
              <w:i/>
              <w:sz w:val="24"/>
              <w:szCs w:val="24"/>
            </w:rPr>
          </w:pPr>
          <w:r>
            <w:rPr>
              <w:rFonts w:ascii="Times New Roman" w:hAnsi="Times New Roman" w:cs="Times New Roman"/>
              <w:b/>
              <w:i/>
              <w:sz w:val="24"/>
              <w:szCs w:val="24"/>
            </w:rPr>
            <w:br w:type="page"/>
          </w:r>
        </w:p>
      </w:sdtContent>
    </w:sdt>
    <w:bookmarkEnd w:id="0" w:displacedByCustomXml="prev"/>
    <w:bookmarkEnd w:id="1" w:displacedByCustomXml="prev"/>
    <w:p w14:paraId="4D9EB7B3" w14:textId="729415D1" w:rsidR="00E42EB4" w:rsidRPr="00E42EB4" w:rsidRDefault="00E42EB4" w:rsidP="00E42EB4">
      <w:pPr>
        <w:rPr>
          <w:rFonts w:ascii="Times New Roman" w:hAnsi="Times New Roman" w:cs="Times New Roman"/>
          <w:b/>
          <w:i/>
          <w:sz w:val="24"/>
          <w:szCs w:val="24"/>
        </w:rPr>
      </w:pPr>
    </w:p>
    <w:p w14:paraId="5CFA2013" w14:textId="77777777" w:rsidR="00E42EB4" w:rsidRPr="00E42EB4" w:rsidRDefault="00E42EB4" w:rsidP="00E42EB4">
      <w:pPr>
        <w:pStyle w:val="Heading1"/>
        <w:jc w:val="center"/>
      </w:pPr>
      <w:bookmarkStart w:id="2" w:name="_Toc203846071"/>
      <w:r w:rsidRPr="00E42EB4">
        <w:t>Executive Summary</w:t>
      </w:r>
      <w:bookmarkEnd w:id="2"/>
    </w:p>
    <w:p w14:paraId="02AD4EC6" w14:textId="06492485"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This report critically examines the role, responsibilities, and ethical challenges faced by multinational corporations (MNCs) in addressing climate change, with Unilever serving as a case study. As climate change </w:t>
      </w:r>
      <w:r w:rsidRPr="00E42EB4">
        <w:rPr>
          <w:rFonts w:ascii="Times New Roman" w:hAnsi="Times New Roman" w:cs="Times New Roman"/>
          <w:sz w:val="24"/>
          <w:szCs w:val="24"/>
          <w:lang w:val="en-US"/>
        </w:rPr>
        <w:t>increases</w:t>
      </w:r>
      <w:r w:rsidRPr="00E42EB4">
        <w:rPr>
          <w:rFonts w:ascii="Times New Roman" w:hAnsi="Times New Roman" w:cs="Times New Roman"/>
          <w:sz w:val="24"/>
          <w:szCs w:val="24"/>
          <w:lang w:val="en-US"/>
        </w:rPr>
        <w:t>, MNCs are increasingly expected to act as global leaders in promoting sustainable practices across industries and regions. Unilever, a consumer goods giant operating in over 190 countries, has positioned itself as a frontrunner in climate leadership through initiatives such as its Climate Transition Action Plan and commitment to net-zero emissions by 2039.</w:t>
      </w:r>
    </w:p>
    <w:p w14:paraId="4DB3BB8D" w14:textId="1840862E"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The analysis explores arguments in </w:t>
      </w:r>
      <w:r w:rsidRPr="00E42EB4">
        <w:rPr>
          <w:rFonts w:ascii="Times New Roman" w:hAnsi="Times New Roman" w:cs="Times New Roman"/>
          <w:sz w:val="24"/>
          <w:szCs w:val="24"/>
          <w:lang w:val="en-US"/>
        </w:rPr>
        <w:t>favor</w:t>
      </w:r>
      <w:r w:rsidRPr="00E42EB4">
        <w:rPr>
          <w:rFonts w:ascii="Times New Roman" w:hAnsi="Times New Roman" w:cs="Times New Roman"/>
          <w:sz w:val="24"/>
          <w:szCs w:val="24"/>
          <w:lang w:val="en-US"/>
        </w:rPr>
        <w:t xml:space="preserve"> of MNCs leading climate action, highlighting Unilever’s economies of scale, supply chain influence, investment in low-carbon innovations, and responsiveness to stakeholder expectations. It also integrates leadership theories such as transformational and responsible leadership, which underpin Unilever’s sustainability vision. However, the report also critically assesses opposing perspectives. These include the inherent tension between profit and purpose, the risk of greenwashing, challenges in enforcing environmental standards across regions with weak governance, and concerns over corporate dominance in shaping global climate agendas. The ethical dilemmas within Corporate Social Responsibility (CSR) and the imbalance between shareholder and stakeholder interests are also examined. The report concludes that while MNCs like Unilever have the scale and influence to lead on climate issues, genuine progress requires stronger accountability, ethical leadership, and inclusive stakeholder engagement. Individual leadership, guided by a global mindset and long-term commitment, remains essential in translating sustainability goals into meaningful climate outcomes.</w:t>
      </w:r>
    </w:p>
    <w:p w14:paraId="032EDDDB"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br w:type="page"/>
      </w:r>
    </w:p>
    <w:sdt>
      <w:sdtPr>
        <w:rPr>
          <w:rFonts w:ascii="Times New Roman" w:hAnsi="Times New Roman" w:cs="Times New Roman"/>
          <w:sz w:val="24"/>
          <w:szCs w:val="24"/>
        </w:rPr>
        <w:id w:val="2024512749"/>
        <w:docPartObj>
          <w:docPartGallery w:val="Table of Contents"/>
          <w:docPartUnique/>
        </w:docPartObj>
      </w:sdtPr>
      <w:sdtContent>
        <w:p w14:paraId="3801C591" w14:textId="77777777" w:rsidR="00E42EB4" w:rsidRPr="00E42EB4" w:rsidRDefault="00E42EB4" w:rsidP="00E42EB4">
          <w:pPr>
            <w:spacing w:line="360" w:lineRule="auto"/>
            <w:jc w:val="both"/>
            <w:rPr>
              <w:rFonts w:ascii="Times New Roman" w:hAnsi="Times New Roman" w:cs="Times New Roman"/>
              <w:b/>
              <w:bCs/>
              <w:sz w:val="24"/>
              <w:szCs w:val="24"/>
              <w:lang w:val="en-US"/>
            </w:rPr>
          </w:pPr>
          <w:r w:rsidRPr="00E42EB4">
            <w:rPr>
              <w:rFonts w:ascii="Times New Roman" w:hAnsi="Times New Roman" w:cs="Times New Roman"/>
              <w:b/>
              <w:bCs/>
              <w:sz w:val="24"/>
              <w:szCs w:val="24"/>
              <w:lang w:val="en-US"/>
            </w:rPr>
            <w:t>Table of Contents</w:t>
          </w:r>
        </w:p>
        <w:p w14:paraId="2CC46772" w14:textId="501C475C" w:rsidR="00853EA6" w:rsidRDefault="00E42EB4">
          <w:pPr>
            <w:pStyle w:val="TOC1"/>
            <w:tabs>
              <w:tab w:val="right" w:leader="dot" w:pos="9016"/>
            </w:tabs>
            <w:rPr>
              <w:rFonts w:eastAsiaTheme="minorEastAsia"/>
              <w:noProof/>
              <w:kern w:val="2"/>
              <w:sz w:val="24"/>
              <w:szCs w:val="24"/>
              <w:lang w:eastAsia="en-GB"/>
              <w14:ligatures w14:val="standardContextual"/>
            </w:rPr>
          </w:pPr>
          <w:r w:rsidRPr="00E42EB4">
            <w:rPr>
              <w:rFonts w:ascii="Times New Roman" w:hAnsi="Times New Roman" w:cs="Times New Roman"/>
              <w:sz w:val="24"/>
              <w:szCs w:val="24"/>
            </w:rPr>
            <w:fldChar w:fldCharType="begin"/>
          </w:r>
          <w:r w:rsidRPr="00E42EB4">
            <w:rPr>
              <w:rFonts w:ascii="Times New Roman" w:hAnsi="Times New Roman" w:cs="Times New Roman"/>
              <w:sz w:val="24"/>
              <w:szCs w:val="24"/>
            </w:rPr>
            <w:instrText xml:space="preserve"> TOC \o "1-3" \h \z \u </w:instrText>
          </w:r>
          <w:r w:rsidRPr="00E42EB4">
            <w:rPr>
              <w:rFonts w:ascii="Times New Roman" w:hAnsi="Times New Roman" w:cs="Times New Roman"/>
              <w:sz w:val="24"/>
              <w:szCs w:val="24"/>
            </w:rPr>
            <w:fldChar w:fldCharType="separate"/>
          </w:r>
          <w:hyperlink w:anchor="_Toc203846071" w:history="1">
            <w:r w:rsidR="00853EA6" w:rsidRPr="004A69BA">
              <w:rPr>
                <w:rStyle w:val="Hyperlink"/>
                <w:noProof/>
              </w:rPr>
              <w:t>Executive Summary</w:t>
            </w:r>
            <w:r w:rsidR="00853EA6">
              <w:rPr>
                <w:noProof/>
                <w:webHidden/>
              </w:rPr>
              <w:tab/>
            </w:r>
            <w:r w:rsidR="00853EA6">
              <w:rPr>
                <w:noProof/>
                <w:webHidden/>
              </w:rPr>
              <w:fldChar w:fldCharType="begin"/>
            </w:r>
            <w:r w:rsidR="00853EA6">
              <w:rPr>
                <w:noProof/>
                <w:webHidden/>
              </w:rPr>
              <w:instrText xml:space="preserve"> PAGEREF _Toc203846071 \h </w:instrText>
            </w:r>
            <w:r w:rsidR="00853EA6">
              <w:rPr>
                <w:noProof/>
                <w:webHidden/>
              </w:rPr>
            </w:r>
            <w:r w:rsidR="00853EA6">
              <w:rPr>
                <w:noProof/>
                <w:webHidden/>
              </w:rPr>
              <w:fldChar w:fldCharType="separate"/>
            </w:r>
            <w:r w:rsidR="00853EA6">
              <w:rPr>
                <w:noProof/>
                <w:webHidden/>
              </w:rPr>
              <w:t>1</w:t>
            </w:r>
            <w:r w:rsidR="00853EA6">
              <w:rPr>
                <w:noProof/>
                <w:webHidden/>
              </w:rPr>
              <w:fldChar w:fldCharType="end"/>
            </w:r>
          </w:hyperlink>
        </w:p>
        <w:p w14:paraId="05C15CE1" w14:textId="2932BF64" w:rsidR="00853EA6" w:rsidRDefault="00853EA6">
          <w:pPr>
            <w:pStyle w:val="TOC1"/>
            <w:tabs>
              <w:tab w:val="left" w:pos="440"/>
              <w:tab w:val="right" w:leader="dot" w:pos="9016"/>
            </w:tabs>
            <w:rPr>
              <w:rFonts w:eastAsiaTheme="minorEastAsia"/>
              <w:noProof/>
              <w:kern w:val="2"/>
              <w:sz w:val="24"/>
              <w:szCs w:val="24"/>
              <w:lang w:eastAsia="en-GB"/>
              <w14:ligatures w14:val="standardContextual"/>
            </w:rPr>
          </w:pPr>
          <w:hyperlink w:anchor="_Toc203846072" w:history="1">
            <w:r w:rsidRPr="004A69BA">
              <w:rPr>
                <w:rStyle w:val="Hyperlink"/>
                <w:noProof/>
              </w:rPr>
              <w:t>1.</w:t>
            </w:r>
            <w:r>
              <w:rPr>
                <w:rFonts w:eastAsiaTheme="minorEastAsia"/>
                <w:noProof/>
                <w:kern w:val="2"/>
                <w:sz w:val="24"/>
                <w:szCs w:val="24"/>
                <w:lang w:eastAsia="en-GB"/>
                <w14:ligatures w14:val="standardContextual"/>
              </w:rPr>
              <w:tab/>
            </w:r>
            <w:r w:rsidRPr="004A69BA">
              <w:rPr>
                <w:rStyle w:val="Hyperlink"/>
                <w:noProof/>
              </w:rPr>
              <w:t>Introduction</w:t>
            </w:r>
            <w:r>
              <w:rPr>
                <w:noProof/>
                <w:webHidden/>
              </w:rPr>
              <w:tab/>
            </w:r>
            <w:r>
              <w:rPr>
                <w:noProof/>
                <w:webHidden/>
              </w:rPr>
              <w:fldChar w:fldCharType="begin"/>
            </w:r>
            <w:r>
              <w:rPr>
                <w:noProof/>
                <w:webHidden/>
              </w:rPr>
              <w:instrText xml:space="preserve"> PAGEREF _Toc203846072 \h </w:instrText>
            </w:r>
            <w:r>
              <w:rPr>
                <w:noProof/>
                <w:webHidden/>
              </w:rPr>
            </w:r>
            <w:r>
              <w:rPr>
                <w:noProof/>
                <w:webHidden/>
              </w:rPr>
              <w:fldChar w:fldCharType="separate"/>
            </w:r>
            <w:r>
              <w:rPr>
                <w:noProof/>
                <w:webHidden/>
              </w:rPr>
              <w:t>3</w:t>
            </w:r>
            <w:r>
              <w:rPr>
                <w:noProof/>
                <w:webHidden/>
              </w:rPr>
              <w:fldChar w:fldCharType="end"/>
            </w:r>
          </w:hyperlink>
        </w:p>
        <w:p w14:paraId="6614DCC2" w14:textId="640BD81B" w:rsidR="00853EA6" w:rsidRDefault="00853EA6">
          <w:pPr>
            <w:pStyle w:val="TOC1"/>
            <w:tabs>
              <w:tab w:val="right" w:leader="dot" w:pos="9016"/>
            </w:tabs>
            <w:rPr>
              <w:rFonts w:eastAsiaTheme="minorEastAsia"/>
              <w:noProof/>
              <w:kern w:val="2"/>
              <w:sz w:val="24"/>
              <w:szCs w:val="24"/>
              <w:lang w:eastAsia="en-GB"/>
              <w14:ligatures w14:val="standardContextual"/>
            </w:rPr>
          </w:pPr>
          <w:hyperlink w:anchor="_Toc203846073" w:history="1">
            <w:r w:rsidRPr="004A69BA">
              <w:rPr>
                <w:rStyle w:val="Hyperlink"/>
                <w:noProof/>
                <w:lang w:val="en-US"/>
              </w:rPr>
              <w:t>2. Analysis</w:t>
            </w:r>
            <w:r>
              <w:rPr>
                <w:noProof/>
                <w:webHidden/>
              </w:rPr>
              <w:tab/>
            </w:r>
            <w:r>
              <w:rPr>
                <w:noProof/>
                <w:webHidden/>
              </w:rPr>
              <w:fldChar w:fldCharType="begin"/>
            </w:r>
            <w:r>
              <w:rPr>
                <w:noProof/>
                <w:webHidden/>
              </w:rPr>
              <w:instrText xml:space="preserve"> PAGEREF _Toc203846073 \h </w:instrText>
            </w:r>
            <w:r>
              <w:rPr>
                <w:noProof/>
                <w:webHidden/>
              </w:rPr>
            </w:r>
            <w:r>
              <w:rPr>
                <w:noProof/>
                <w:webHidden/>
              </w:rPr>
              <w:fldChar w:fldCharType="separate"/>
            </w:r>
            <w:r>
              <w:rPr>
                <w:noProof/>
                <w:webHidden/>
              </w:rPr>
              <w:t>4</w:t>
            </w:r>
            <w:r>
              <w:rPr>
                <w:noProof/>
                <w:webHidden/>
              </w:rPr>
              <w:fldChar w:fldCharType="end"/>
            </w:r>
          </w:hyperlink>
        </w:p>
        <w:p w14:paraId="4965E115" w14:textId="686CDF8F" w:rsidR="00853EA6" w:rsidRDefault="00853EA6">
          <w:pPr>
            <w:pStyle w:val="TOC2"/>
            <w:tabs>
              <w:tab w:val="right" w:leader="dot" w:pos="9016"/>
            </w:tabs>
            <w:rPr>
              <w:rFonts w:eastAsiaTheme="minorEastAsia"/>
              <w:noProof/>
              <w:kern w:val="2"/>
              <w:sz w:val="24"/>
              <w:szCs w:val="24"/>
              <w:lang w:eastAsia="en-GB"/>
              <w14:ligatures w14:val="standardContextual"/>
            </w:rPr>
          </w:pPr>
          <w:hyperlink w:anchor="_Toc203846074" w:history="1">
            <w:r w:rsidRPr="004A69BA">
              <w:rPr>
                <w:rStyle w:val="Hyperlink"/>
                <w:noProof/>
                <w:lang w:val="en-US"/>
              </w:rPr>
              <w:t xml:space="preserve">2.1 For and Against </w:t>
            </w:r>
            <w:r w:rsidRPr="004A69BA">
              <w:rPr>
                <w:rStyle w:val="Hyperlink"/>
                <w:noProof/>
              </w:rPr>
              <w:t>MNCs Leading Climate Action</w:t>
            </w:r>
            <w:r>
              <w:rPr>
                <w:noProof/>
                <w:webHidden/>
              </w:rPr>
              <w:tab/>
            </w:r>
            <w:r>
              <w:rPr>
                <w:noProof/>
                <w:webHidden/>
              </w:rPr>
              <w:fldChar w:fldCharType="begin"/>
            </w:r>
            <w:r>
              <w:rPr>
                <w:noProof/>
                <w:webHidden/>
              </w:rPr>
              <w:instrText xml:space="preserve"> PAGEREF _Toc203846074 \h </w:instrText>
            </w:r>
            <w:r>
              <w:rPr>
                <w:noProof/>
                <w:webHidden/>
              </w:rPr>
            </w:r>
            <w:r>
              <w:rPr>
                <w:noProof/>
                <w:webHidden/>
              </w:rPr>
              <w:fldChar w:fldCharType="separate"/>
            </w:r>
            <w:r>
              <w:rPr>
                <w:noProof/>
                <w:webHidden/>
              </w:rPr>
              <w:t>4</w:t>
            </w:r>
            <w:r>
              <w:rPr>
                <w:noProof/>
                <w:webHidden/>
              </w:rPr>
              <w:fldChar w:fldCharType="end"/>
            </w:r>
          </w:hyperlink>
        </w:p>
        <w:p w14:paraId="6478BDF7" w14:textId="4D832AD4" w:rsidR="00853EA6" w:rsidRDefault="00853EA6">
          <w:pPr>
            <w:pStyle w:val="TOC3"/>
            <w:tabs>
              <w:tab w:val="right" w:leader="dot" w:pos="9016"/>
            </w:tabs>
            <w:rPr>
              <w:rFonts w:eastAsiaTheme="minorEastAsia"/>
              <w:noProof/>
              <w:kern w:val="2"/>
              <w:sz w:val="24"/>
              <w:szCs w:val="24"/>
              <w:lang w:eastAsia="en-GB"/>
              <w14:ligatures w14:val="standardContextual"/>
            </w:rPr>
          </w:pPr>
          <w:hyperlink w:anchor="_Toc203846075" w:history="1">
            <w:r w:rsidRPr="004A69BA">
              <w:rPr>
                <w:rStyle w:val="Hyperlink"/>
                <w:noProof/>
                <w:lang w:val="en-US"/>
              </w:rPr>
              <w:t xml:space="preserve">2.1.1 Arguments </w:t>
            </w:r>
            <w:r w:rsidRPr="004A69BA">
              <w:rPr>
                <w:rStyle w:val="Hyperlink"/>
                <w:iCs/>
                <w:noProof/>
                <w:lang w:val="en-US"/>
              </w:rPr>
              <w:t>for</w:t>
            </w:r>
            <w:r w:rsidRPr="004A69BA">
              <w:rPr>
                <w:rStyle w:val="Hyperlink"/>
                <w:noProof/>
                <w:lang w:val="en-US"/>
              </w:rPr>
              <w:t xml:space="preserve"> MNCs Leading Climate Action: The Case of Unilever</w:t>
            </w:r>
            <w:r>
              <w:rPr>
                <w:noProof/>
                <w:webHidden/>
              </w:rPr>
              <w:tab/>
            </w:r>
            <w:r>
              <w:rPr>
                <w:noProof/>
                <w:webHidden/>
              </w:rPr>
              <w:fldChar w:fldCharType="begin"/>
            </w:r>
            <w:r>
              <w:rPr>
                <w:noProof/>
                <w:webHidden/>
              </w:rPr>
              <w:instrText xml:space="preserve"> PAGEREF _Toc203846075 \h </w:instrText>
            </w:r>
            <w:r>
              <w:rPr>
                <w:noProof/>
                <w:webHidden/>
              </w:rPr>
            </w:r>
            <w:r>
              <w:rPr>
                <w:noProof/>
                <w:webHidden/>
              </w:rPr>
              <w:fldChar w:fldCharType="separate"/>
            </w:r>
            <w:r>
              <w:rPr>
                <w:noProof/>
                <w:webHidden/>
              </w:rPr>
              <w:t>4</w:t>
            </w:r>
            <w:r>
              <w:rPr>
                <w:noProof/>
                <w:webHidden/>
              </w:rPr>
              <w:fldChar w:fldCharType="end"/>
            </w:r>
          </w:hyperlink>
        </w:p>
        <w:p w14:paraId="071C96AF" w14:textId="22D1F7DA" w:rsidR="00853EA6" w:rsidRDefault="00853EA6">
          <w:pPr>
            <w:pStyle w:val="TOC3"/>
            <w:tabs>
              <w:tab w:val="right" w:leader="dot" w:pos="9016"/>
            </w:tabs>
            <w:rPr>
              <w:rFonts w:eastAsiaTheme="minorEastAsia"/>
              <w:noProof/>
              <w:kern w:val="2"/>
              <w:sz w:val="24"/>
              <w:szCs w:val="24"/>
              <w:lang w:eastAsia="en-GB"/>
              <w14:ligatures w14:val="standardContextual"/>
            </w:rPr>
          </w:pPr>
          <w:hyperlink w:anchor="_Toc203846076" w:history="1">
            <w:r w:rsidRPr="004A69BA">
              <w:rPr>
                <w:rStyle w:val="Hyperlink"/>
                <w:noProof/>
                <w:lang w:val="en-US"/>
              </w:rPr>
              <w:t xml:space="preserve">2.1.2 Arguments </w:t>
            </w:r>
            <w:r w:rsidRPr="004A69BA">
              <w:rPr>
                <w:rStyle w:val="Hyperlink"/>
                <w:iCs/>
                <w:noProof/>
                <w:lang w:val="en-US"/>
              </w:rPr>
              <w:t>Against</w:t>
            </w:r>
            <w:r w:rsidRPr="004A69BA">
              <w:rPr>
                <w:rStyle w:val="Hyperlink"/>
                <w:noProof/>
                <w:lang w:val="en-US"/>
              </w:rPr>
              <w:t xml:space="preserve"> MNCs Taking the Lead: A Critical Perspective on Unilever</w:t>
            </w:r>
            <w:r>
              <w:rPr>
                <w:noProof/>
                <w:webHidden/>
              </w:rPr>
              <w:tab/>
            </w:r>
            <w:r>
              <w:rPr>
                <w:noProof/>
                <w:webHidden/>
              </w:rPr>
              <w:fldChar w:fldCharType="begin"/>
            </w:r>
            <w:r>
              <w:rPr>
                <w:noProof/>
                <w:webHidden/>
              </w:rPr>
              <w:instrText xml:space="preserve"> PAGEREF _Toc203846076 \h </w:instrText>
            </w:r>
            <w:r>
              <w:rPr>
                <w:noProof/>
                <w:webHidden/>
              </w:rPr>
            </w:r>
            <w:r>
              <w:rPr>
                <w:noProof/>
                <w:webHidden/>
              </w:rPr>
              <w:fldChar w:fldCharType="separate"/>
            </w:r>
            <w:r>
              <w:rPr>
                <w:noProof/>
                <w:webHidden/>
              </w:rPr>
              <w:t>6</w:t>
            </w:r>
            <w:r>
              <w:rPr>
                <w:noProof/>
                <w:webHidden/>
              </w:rPr>
              <w:fldChar w:fldCharType="end"/>
            </w:r>
          </w:hyperlink>
        </w:p>
        <w:p w14:paraId="6ECD64E7" w14:textId="5CDF49B8" w:rsidR="00853EA6" w:rsidRDefault="00853EA6">
          <w:pPr>
            <w:pStyle w:val="TOC2"/>
            <w:tabs>
              <w:tab w:val="right" w:leader="dot" w:pos="9016"/>
            </w:tabs>
            <w:rPr>
              <w:rFonts w:eastAsiaTheme="minorEastAsia"/>
              <w:noProof/>
              <w:kern w:val="2"/>
              <w:sz w:val="24"/>
              <w:szCs w:val="24"/>
              <w:lang w:eastAsia="en-GB"/>
              <w14:ligatures w14:val="standardContextual"/>
            </w:rPr>
          </w:pPr>
          <w:hyperlink w:anchor="_Toc203846077" w:history="1">
            <w:r w:rsidRPr="004A69BA">
              <w:rPr>
                <w:rStyle w:val="Hyperlink"/>
                <w:noProof/>
              </w:rPr>
              <w:t>2.2 Role of Individual Leaders, Ethics, and Stakeholder Engagement</w:t>
            </w:r>
            <w:r>
              <w:rPr>
                <w:noProof/>
                <w:webHidden/>
              </w:rPr>
              <w:tab/>
            </w:r>
            <w:r>
              <w:rPr>
                <w:noProof/>
                <w:webHidden/>
              </w:rPr>
              <w:fldChar w:fldCharType="begin"/>
            </w:r>
            <w:r>
              <w:rPr>
                <w:noProof/>
                <w:webHidden/>
              </w:rPr>
              <w:instrText xml:space="preserve"> PAGEREF _Toc203846077 \h </w:instrText>
            </w:r>
            <w:r>
              <w:rPr>
                <w:noProof/>
                <w:webHidden/>
              </w:rPr>
            </w:r>
            <w:r>
              <w:rPr>
                <w:noProof/>
                <w:webHidden/>
              </w:rPr>
              <w:fldChar w:fldCharType="separate"/>
            </w:r>
            <w:r>
              <w:rPr>
                <w:noProof/>
                <w:webHidden/>
              </w:rPr>
              <w:t>7</w:t>
            </w:r>
            <w:r>
              <w:rPr>
                <w:noProof/>
                <w:webHidden/>
              </w:rPr>
              <w:fldChar w:fldCharType="end"/>
            </w:r>
          </w:hyperlink>
        </w:p>
        <w:p w14:paraId="58A4EDFF" w14:textId="3743F385" w:rsidR="00853EA6" w:rsidRDefault="00853EA6">
          <w:pPr>
            <w:pStyle w:val="TOC3"/>
            <w:tabs>
              <w:tab w:val="right" w:leader="dot" w:pos="9016"/>
            </w:tabs>
            <w:rPr>
              <w:rFonts w:eastAsiaTheme="minorEastAsia"/>
              <w:noProof/>
              <w:kern w:val="2"/>
              <w:sz w:val="24"/>
              <w:szCs w:val="24"/>
              <w:lang w:eastAsia="en-GB"/>
              <w14:ligatures w14:val="standardContextual"/>
            </w:rPr>
          </w:pPr>
          <w:hyperlink w:anchor="_Toc203846078" w:history="1">
            <w:r w:rsidRPr="004A69BA">
              <w:rPr>
                <w:rStyle w:val="Hyperlink"/>
                <w:noProof/>
              </w:rPr>
              <w:t>2.2.1 Leadership and Vision</w:t>
            </w:r>
            <w:r>
              <w:rPr>
                <w:noProof/>
                <w:webHidden/>
              </w:rPr>
              <w:tab/>
            </w:r>
            <w:r>
              <w:rPr>
                <w:noProof/>
                <w:webHidden/>
              </w:rPr>
              <w:fldChar w:fldCharType="begin"/>
            </w:r>
            <w:r>
              <w:rPr>
                <w:noProof/>
                <w:webHidden/>
              </w:rPr>
              <w:instrText xml:space="preserve"> PAGEREF _Toc203846078 \h </w:instrText>
            </w:r>
            <w:r>
              <w:rPr>
                <w:noProof/>
                <w:webHidden/>
              </w:rPr>
            </w:r>
            <w:r>
              <w:rPr>
                <w:noProof/>
                <w:webHidden/>
              </w:rPr>
              <w:fldChar w:fldCharType="separate"/>
            </w:r>
            <w:r>
              <w:rPr>
                <w:noProof/>
                <w:webHidden/>
              </w:rPr>
              <w:t>7</w:t>
            </w:r>
            <w:r>
              <w:rPr>
                <w:noProof/>
                <w:webHidden/>
              </w:rPr>
              <w:fldChar w:fldCharType="end"/>
            </w:r>
          </w:hyperlink>
        </w:p>
        <w:p w14:paraId="4A4B480C" w14:textId="2C756559" w:rsidR="00853EA6" w:rsidRDefault="00853EA6">
          <w:pPr>
            <w:pStyle w:val="TOC3"/>
            <w:tabs>
              <w:tab w:val="right" w:leader="dot" w:pos="9016"/>
            </w:tabs>
            <w:rPr>
              <w:rFonts w:eastAsiaTheme="minorEastAsia"/>
              <w:noProof/>
              <w:kern w:val="2"/>
              <w:sz w:val="24"/>
              <w:szCs w:val="24"/>
              <w:lang w:eastAsia="en-GB"/>
              <w14:ligatures w14:val="standardContextual"/>
            </w:rPr>
          </w:pPr>
          <w:hyperlink w:anchor="_Toc203846079" w:history="1">
            <w:r w:rsidRPr="004A69BA">
              <w:rPr>
                <w:rStyle w:val="Hyperlink"/>
                <w:noProof/>
              </w:rPr>
              <w:t>2.2.2 Ethical Orientation</w:t>
            </w:r>
            <w:r>
              <w:rPr>
                <w:noProof/>
                <w:webHidden/>
              </w:rPr>
              <w:tab/>
            </w:r>
            <w:r>
              <w:rPr>
                <w:noProof/>
                <w:webHidden/>
              </w:rPr>
              <w:fldChar w:fldCharType="begin"/>
            </w:r>
            <w:r>
              <w:rPr>
                <w:noProof/>
                <w:webHidden/>
              </w:rPr>
              <w:instrText xml:space="preserve"> PAGEREF _Toc203846079 \h </w:instrText>
            </w:r>
            <w:r>
              <w:rPr>
                <w:noProof/>
                <w:webHidden/>
              </w:rPr>
            </w:r>
            <w:r>
              <w:rPr>
                <w:noProof/>
                <w:webHidden/>
              </w:rPr>
              <w:fldChar w:fldCharType="separate"/>
            </w:r>
            <w:r>
              <w:rPr>
                <w:noProof/>
                <w:webHidden/>
              </w:rPr>
              <w:t>9</w:t>
            </w:r>
            <w:r>
              <w:rPr>
                <w:noProof/>
                <w:webHidden/>
              </w:rPr>
              <w:fldChar w:fldCharType="end"/>
            </w:r>
          </w:hyperlink>
        </w:p>
        <w:p w14:paraId="4517CA3A" w14:textId="41B411DA" w:rsidR="00853EA6" w:rsidRDefault="00853EA6">
          <w:pPr>
            <w:pStyle w:val="TOC2"/>
            <w:tabs>
              <w:tab w:val="right" w:leader="dot" w:pos="9016"/>
            </w:tabs>
            <w:rPr>
              <w:rFonts w:eastAsiaTheme="minorEastAsia"/>
              <w:noProof/>
              <w:kern w:val="2"/>
              <w:sz w:val="24"/>
              <w:szCs w:val="24"/>
              <w:lang w:eastAsia="en-GB"/>
              <w14:ligatures w14:val="standardContextual"/>
            </w:rPr>
          </w:pPr>
          <w:hyperlink w:anchor="_Toc203846080" w:history="1">
            <w:r w:rsidRPr="004A69BA">
              <w:rPr>
                <w:rStyle w:val="Hyperlink"/>
                <w:noProof/>
              </w:rPr>
              <w:t>2.3 Stakeholder Engagement</w:t>
            </w:r>
            <w:r>
              <w:rPr>
                <w:noProof/>
                <w:webHidden/>
              </w:rPr>
              <w:tab/>
            </w:r>
            <w:r>
              <w:rPr>
                <w:noProof/>
                <w:webHidden/>
              </w:rPr>
              <w:fldChar w:fldCharType="begin"/>
            </w:r>
            <w:r>
              <w:rPr>
                <w:noProof/>
                <w:webHidden/>
              </w:rPr>
              <w:instrText xml:space="preserve"> PAGEREF _Toc203846080 \h </w:instrText>
            </w:r>
            <w:r>
              <w:rPr>
                <w:noProof/>
                <w:webHidden/>
              </w:rPr>
            </w:r>
            <w:r>
              <w:rPr>
                <w:noProof/>
                <w:webHidden/>
              </w:rPr>
              <w:fldChar w:fldCharType="separate"/>
            </w:r>
            <w:r>
              <w:rPr>
                <w:noProof/>
                <w:webHidden/>
              </w:rPr>
              <w:t>10</w:t>
            </w:r>
            <w:r>
              <w:rPr>
                <w:noProof/>
                <w:webHidden/>
              </w:rPr>
              <w:fldChar w:fldCharType="end"/>
            </w:r>
          </w:hyperlink>
        </w:p>
        <w:p w14:paraId="3CB5F30E" w14:textId="71805DBC" w:rsidR="00853EA6" w:rsidRDefault="00853EA6">
          <w:pPr>
            <w:pStyle w:val="TOC2"/>
            <w:tabs>
              <w:tab w:val="right" w:leader="dot" w:pos="9016"/>
            </w:tabs>
            <w:rPr>
              <w:rFonts w:eastAsiaTheme="minorEastAsia"/>
              <w:noProof/>
              <w:kern w:val="2"/>
              <w:sz w:val="24"/>
              <w:szCs w:val="24"/>
              <w:lang w:eastAsia="en-GB"/>
              <w14:ligatures w14:val="standardContextual"/>
            </w:rPr>
          </w:pPr>
          <w:hyperlink w:anchor="_Toc203846081" w:history="1">
            <w:r w:rsidRPr="004A69BA">
              <w:rPr>
                <w:rStyle w:val="Hyperlink"/>
                <w:noProof/>
              </w:rPr>
              <w:t>2.4 Global Leadership Challenges</w:t>
            </w:r>
            <w:r>
              <w:rPr>
                <w:noProof/>
                <w:webHidden/>
              </w:rPr>
              <w:tab/>
            </w:r>
            <w:r>
              <w:rPr>
                <w:noProof/>
                <w:webHidden/>
              </w:rPr>
              <w:fldChar w:fldCharType="begin"/>
            </w:r>
            <w:r>
              <w:rPr>
                <w:noProof/>
                <w:webHidden/>
              </w:rPr>
              <w:instrText xml:space="preserve"> PAGEREF _Toc203846081 \h </w:instrText>
            </w:r>
            <w:r>
              <w:rPr>
                <w:noProof/>
                <w:webHidden/>
              </w:rPr>
            </w:r>
            <w:r>
              <w:rPr>
                <w:noProof/>
                <w:webHidden/>
              </w:rPr>
              <w:fldChar w:fldCharType="separate"/>
            </w:r>
            <w:r>
              <w:rPr>
                <w:noProof/>
                <w:webHidden/>
              </w:rPr>
              <w:t>11</w:t>
            </w:r>
            <w:r>
              <w:rPr>
                <w:noProof/>
                <w:webHidden/>
              </w:rPr>
              <w:fldChar w:fldCharType="end"/>
            </w:r>
          </w:hyperlink>
        </w:p>
        <w:p w14:paraId="2B3A2DB7" w14:textId="56FE7010" w:rsidR="00853EA6" w:rsidRDefault="00853EA6">
          <w:pPr>
            <w:pStyle w:val="TOC1"/>
            <w:tabs>
              <w:tab w:val="right" w:leader="dot" w:pos="9016"/>
            </w:tabs>
            <w:rPr>
              <w:rFonts w:eastAsiaTheme="minorEastAsia"/>
              <w:noProof/>
              <w:kern w:val="2"/>
              <w:sz w:val="24"/>
              <w:szCs w:val="24"/>
              <w:lang w:eastAsia="en-GB"/>
              <w14:ligatures w14:val="standardContextual"/>
            </w:rPr>
          </w:pPr>
          <w:hyperlink w:anchor="_Toc203846082" w:history="1">
            <w:r w:rsidRPr="004A69BA">
              <w:rPr>
                <w:rStyle w:val="Hyperlink"/>
                <w:noProof/>
              </w:rPr>
              <w:t>3. Conclusion</w:t>
            </w:r>
            <w:r>
              <w:rPr>
                <w:noProof/>
                <w:webHidden/>
              </w:rPr>
              <w:tab/>
            </w:r>
            <w:r>
              <w:rPr>
                <w:noProof/>
                <w:webHidden/>
              </w:rPr>
              <w:fldChar w:fldCharType="begin"/>
            </w:r>
            <w:r>
              <w:rPr>
                <w:noProof/>
                <w:webHidden/>
              </w:rPr>
              <w:instrText xml:space="preserve"> PAGEREF _Toc203846082 \h </w:instrText>
            </w:r>
            <w:r>
              <w:rPr>
                <w:noProof/>
                <w:webHidden/>
              </w:rPr>
            </w:r>
            <w:r>
              <w:rPr>
                <w:noProof/>
                <w:webHidden/>
              </w:rPr>
              <w:fldChar w:fldCharType="separate"/>
            </w:r>
            <w:r>
              <w:rPr>
                <w:noProof/>
                <w:webHidden/>
              </w:rPr>
              <w:t>13</w:t>
            </w:r>
            <w:r>
              <w:rPr>
                <w:noProof/>
                <w:webHidden/>
              </w:rPr>
              <w:fldChar w:fldCharType="end"/>
            </w:r>
          </w:hyperlink>
        </w:p>
        <w:p w14:paraId="71F87FD9" w14:textId="69D30796" w:rsidR="00853EA6" w:rsidRDefault="00853EA6">
          <w:pPr>
            <w:pStyle w:val="TOC1"/>
            <w:tabs>
              <w:tab w:val="right" w:leader="dot" w:pos="9016"/>
            </w:tabs>
            <w:rPr>
              <w:rFonts w:eastAsiaTheme="minorEastAsia"/>
              <w:noProof/>
              <w:kern w:val="2"/>
              <w:sz w:val="24"/>
              <w:szCs w:val="24"/>
              <w:lang w:eastAsia="en-GB"/>
              <w14:ligatures w14:val="standardContextual"/>
            </w:rPr>
          </w:pPr>
          <w:hyperlink w:anchor="_Toc203846083" w:history="1">
            <w:r w:rsidRPr="004A69BA">
              <w:rPr>
                <w:rStyle w:val="Hyperlink"/>
                <w:noProof/>
              </w:rPr>
              <w:t>4. References</w:t>
            </w:r>
            <w:r>
              <w:rPr>
                <w:noProof/>
                <w:webHidden/>
              </w:rPr>
              <w:tab/>
            </w:r>
            <w:r>
              <w:rPr>
                <w:noProof/>
                <w:webHidden/>
              </w:rPr>
              <w:fldChar w:fldCharType="begin"/>
            </w:r>
            <w:r>
              <w:rPr>
                <w:noProof/>
                <w:webHidden/>
              </w:rPr>
              <w:instrText xml:space="preserve"> PAGEREF _Toc203846083 \h </w:instrText>
            </w:r>
            <w:r>
              <w:rPr>
                <w:noProof/>
                <w:webHidden/>
              </w:rPr>
            </w:r>
            <w:r>
              <w:rPr>
                <w:noProof/>
                <w:webHidden/>
              </w:rPr>
              <w:fldChar w:fldCharType="separate"/>
            </w:r>
            <w:r>
              <w:rPr>
                <w:noProof/>
                <w:webHidden/>
              </w:rPr>
              <w:t>14</w:t>
            </w:r>
            <w:r>
              <w:rPr>
                <w:noProof/>
                <w:webHidden/>
              </w:rPr>
              <w:fldChar w:fldCharType="end"/>
            </w:r>
          </w:hyperlink>
        </w:p>
        <w:p w14:paraId="2EB2A0B6" w14:textId="654D94C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fldChar w:fldCharType="end"/>
          </w:r>
        </w:p>
      </w:sdtContent>
    </w:sdt>
    <w:p w14:paraId="15CC4547" w14:textId="77777777" w:rsidR="00E42EB4" w:rsidRPr="00E42EB4" w:rsidRDefault="00E42EB4" w:rsidP="00E42EB4">
      <w:pPr>
        <w:spacing w:line="360" w:lineRule="auto"/>
        <w:jc w:val="both"/>
        <w:rPr>
          <w:rFonts w:ascii="Times New Roman" w:hAnsi="Times New Roman" w:cs="Times New Roman"/>
          <w:sz w:val="24"/>
          <w:szCs w:val="24"/>
        </w:rPr>
      </w:pPr>
    </w:p>
    <w:p w14:paraId="588A827E" w14:textId="77777777" w:rsidR="00E42EB4" w:rsidRPr="00E42EB4" w:rsidRDefault="00E42EB4" w:rsidP="00E42EB4">
      <w:pPr>
        <w:spacing w:line="360" w:lineRule="auto"/>
        <w:jc w:val="both"/>
        <w:rPr>
          <w:rFonts w:ascii="Times New Roman" w:hAnsi="Times New Roman" w:cs="Times New Roman"/>
          <w:sz w:val="24"/>
          <w:szCs w:val="24"/>
        </w:rPr>
      </w:pPr>
    </w:p>
    <w:p w14:paraId="54BD0379" w14:textId="77777777" w:rsidR="00E42EB4" w:rsidRPr="00E42EB4" w:rsidRDefault="00E42EB4" w:rsidP="00E42EB4">
      <w:pPr>
        <w:spacing w:line="360" w:lineRule="auto"/>
        <w:jc w:val="both"/>
        <w:rPr>
          <w:rFonts w:ascii="Times New Roman" w:hAnsi="Times New Roman" w:cs="Times New Roman"/>
          <w:b/>
          <w:sz w:val="24"/>
          <w:szCs w:val="24"/>
        </w:rPr>
      </w:pPr>
      <w:r w:rsidRPr="00E42EB4">
        <w:rPr>
          <w:rFonts w:ascii="Times New Roman" w:hAnsi="Times New Roman" w:cs="Times New Roman"/>
          <w:sz w:val="24"/>
          <w:szCs w:val="24"/>
        </w:rPr>
        <w:br w:type="page"/>
      </w:r>
    </w:p>
    <w:p w14:paraId="723B21C7" w14:textId="43545B91" w:rsidR="00E42EB4" w:rsidRDefault="00E42EB4" w:rsidP="00E42EB4">
      <w:pPr>
        <w:pStyle w:val="Heading1"/>
        <w:numPr>
          <w:ilvl w:val="0"/>
          <w:numId w:val="1"/>
        </w:numPr>
        <w:jc w:val="center"/>
      </w:pPr>
      <w:bookmarkStart w:id="3" w:name="_Toc203846072"/>
      <w:r w:rsidRPr="00E42EB4">
        <w:lastRenderedPageBreak/>
        <w:t>Introduction</w:t>
      </w:r>
      <w:bookmarkEnd w:id="3"/>
    </w:p>
    <w:p w14:paraId="04D6E679" w14:textId="77777777" w:rsidR="00E42EB4" w:rsidRPr="00E42EB4" w:rsidRDefault="00E42EB4" w:rsidP="00E42EB4"/>
    <w:p w14:paraId="618BD3EA"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Climate change is commonly known as the most important global challenge of the 21st century, demanding urgent and concerted efforts by governments, business organizations, and civil society. According to the World Bank (2023), MNEs bear a double potential of both pushing forward and hindering the mitigation of climate change. Risks to climate change have grown, and the Intergovernmental Panel on Climate Change (IPCC) has lamented, stating that a total lack of response in curbing greenhouse gas emissions will lead to irreparable destruction to the ecosystem and the populace by the year 2050. In that regard, global business leaders have never been more important, especially in guiding ethical, strategic, and sustainable reactions to the climate crisis.</w:t>
      </w:r>
    </w:p>
    <w:p w14:paraId="4C4DA554"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This report used a consumer goods giant, Unilever, which operates in more than 190 countries, as a case study to assess global leadership in climate </w:t>
      </w:r>
      <w:proofErr w:type="gramStart"/>
      <w:r w:rsidRPr="00E42EB4">
        <w:rPr>
          <w:rFonts w:ascii="Times New Roman" w:hAnsi="Times New Roman" w:cs="Times New Roman"/>
          <w:sz w:val="24"/>
          <w:szCs w:val="24"/>
          <w:lang w:val="en-US"/>
        </w:rPr>
        <w:t>with regard to</w:t>
      </w:r>
      <w:proofErr w:type="gramEnd"/>
      <w:r w:rsidRPr="00E42EB4">
        <w:rPr>
          <w:rFonts w:ascii="Times New Roman" w:hAnsi="Times New Roman" w:cs="Times New Roman"/>
          <w:sz w:val="24"/>
          <w:szCs w:val="24"/>
          <w:lang w:val="en-US"/>
        </w:rPr>
        <w:t xml:space="preserve"> action. With a legacy of sustainability initiatives dating back over a decade, Unilever has positioned itself as a leader in responsible business practices. Its Sustainable Living Plan and the more recent Climate Transition Action Plan reflect a clear strategy to achieve net-zero emissions by 2039 while supporting regenerative agriculture, reducing plastic waste, and ensuring ethical sourcing across its supply chain (Unilever PLC, 2024a; Unilever PLC, 2024b). These commitments are reinforced across its regional entities, such as Unilever Indonesia and Hindustan Unilever, which have published independent sustainability reports detailing carbon reductions, water stewardship, and inclusive business models in emerging markets (Unilever Indonesia, 2024; Hindustan Unilever Limited, 2025).</w:t>
      </w:r>
    </w:p>
    <w:p w14:paraId="59CC61E1"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The rationale for selecting Unilever lies not only in its extensive global footprint but also in its demonstrable efforts to integrate climate-conscious strategies into its operational and leadership structures. Its transparency in reporting, including its Form SD on conflict minerals, reflects a broader commitment to ethical supply chain governance and compliance with evolving environmental standards (Unilever PLC, 2025).</w:t>
      </w:r>
    </w:p>
    <w:p w14:paraId="10D3D0D4" w14:textId="1257B915"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lastRenderedPageBreak/>
        <w:drawing>
          <wp:inline distT="0" distB="0" distL="0" distR="0" wp14:anchorId="22C97485" wp14:editId="67FDE56F">
            <wp:extent cx="5991225" cy="2457450"/>
            <wp:effectExtent l="38100" t="0" r="0" b="0"/>
            <wp:docPr id="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8FF118F" w14:textId="77777777" w:rsidR="00E42EB4" w:rsidRPr="00E42EB4" w:rsidRDefault="00E42EB4" w:rsidP="00E42EB4">
      <w:pPr>
        <w:spacing w:line="360" w:lineRule="auto"/>
        <w:jc w:val="both"/>
        <w:rPr>
          <w:rFonts w:ascii="Times New Roman" w:hAnsi="Times New Roman" w:cs="Times New Roman"/>
          <w:i/>
          <w:iCs/>
          <w:sz w:val="24"/>
          <w:szCs w:val="24"/>
          <w:lang w:val="en-US"/>
        </w:rPr>
      </w:pPr>
      <w:r w:rsidRPr="00E42EB4">
        <w:rPr>
          <w:rFonts w:ascii="Times New Roman" w:hAnsi="Times New Roman" w:cs="Times New Roman"/>
          <w:i/>
          <w:iCs/>
          <w:sz w:val="24"/>
          <w:szCs w:val="24"/>
        </w:rPr>
        <w:t xml:space="preserve">Figure </w:t>
      </w:r>
      <w:r w:rsidRPr="00E42EB4">
        <w:rPr>
          <w:rFonts w:ascii="Times New Roman" w:hAnsi="Times New Roman" w:cs="Times New Roman"/>
          <w:i/>
          <w:iCs/>
          <w:sz w:val="24"/>
          <w:szCs w:val="24"/>
        </w:rPr>
        <w:fldChar w:fldCharType="begin"/>
      </w:r>
      <w:r w:rsidRPr="00E42EB4">
        <w:rPr>
          <w:rFonts w:ascii="Times New Roman" w:hAnsi="Times New Roman" w:cs="Times New Roman"/>
          <w:i/>
          <w:iCs/>
          <w:sz w:val="24"/>
          <w:szCs w:val="24"/>
        </w:rPr>
        <w:instrText xml:space="preserve"> SEQ Figure \* ARABIC </w:instrText>
      </w:r>
      <w:r w:rsidRPr="00E42EB4">
        <w:rPr>
          <w:rFonts w:ascii="Times New Roman" w:hAnsi="Times New Roman" w:cs="Times New Roman"/>
          <w:i/>
          <w:iCs/>
          <w:sz w:val="24"/>
          <w:szCs w:val="24"/>
        </w:rPr>
        <w:fldChar w:fldCharType="separate"/>
      </w:r>
      <w:r w:rsidRPr="00E42EB4">
        <w:rPr>
          <w:rFonts w:ascii="Times New Roman" w:hAnsi="Times New Roman" w:cs="Times New Roman"/>
          <w:i/>
          <w:iCs/>
          <w:sz w:val="24"/>
          <w:szCs w:val="24"/>
        </w:rPr>
        <w:t>1</w:t>
      </w:r>
      <w:r w:rsidRPr="00E42EB4">
        <w:rPr>
          <w:rFonts w:ascii="Times New Roman" w:hAnsi="Times New Roman" w:cs="Times New Roman"/>
          <w:sz w:val="24"/>
          <w:szCs w:val="24"/>
        </w:rPr>
        <w:fldChar w:fldCharType="end"/>
      </w:r>
      <w:r w:rsidRPr="00E42EB4">
        <w:rPr>
          <w:rFonts w:ascii="Times New Roman" w:hAnsi="Times New Roman" w:cs="Times New Roman"/>
          <w:i/>
          <w:iCs/>
          <w:sz w:val="24"/>
          <w:szCs w:val="24"/>
          <w:lang w:val="en-US"/>
        </w:rPr>
        <w:t xml:space="preserve"> Aims and Objectives</w:t>
      </w:r>
    </w:p>
    <w:p w14:paraId="5C516BCC"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The report seeks to analyze the ethical, strategic, and operational role of MNEs towards combating climate change by taking the example of Unilever. Second, it offers an unbiased argument on the issue of big business leading the fight on climate change, taking into consideration positive prospects as well as criticisms. Lastly, the report evaluates the significance of individual leadership and the significance of stakeholder involvement towards climate-related results based on the experience of Unilever in terms of leadership development and worldwide effects.</w:t>
      </w:r>
    </w:p>
    <w:p w14:paraId="3AA14A93" w14:textId="77777777" w:rsidR="00E42EB4" w:rsidRPr="00E42EB4" w:rsidRDefault="00E42EB4" w:rsidP="00E42EB4">
      <w:pPr>
        <w:pStyle w:val="Heading1"/>
        <w:jc w:val="center"/>
        <w:rPr>
          <w:lang w:val="en-US"/>
        </w:rPr>
      </w:pPr>
      <w:bookmarkStart w:id="4" w:name="_Toc203846073"/>
      <w:r w:rsidRPr="00E42EB4">
        <w:rPr>
          <w:lang w:val="en-US"/>
        </w:rPr>
        <w:t>2. Analysis</w:t>
      </w:r>
      <w:bookmarkEnd w:id="4"/>
    </w:p>
    <w:p w14:paraId="58B6BE98" w14:textId="77777777" w:rsidR="00E42EB4" w:rsidRPr="00E42EB4" w:rsidRDefault="00E42EB4" w:rsidP="00E42EB4">
      <w:pPr>
        <w:pStyle w:val="Heading2"/>
        <w:jc w:val="center"/>
      </w:pPr>
      <w:bookmarkStart w:id="5" w:name="_Toc203846074"/>
      <w:r w:rsidRPr="00E42EB4">
        <w:rPr>
          <w:lang w:val="en-US"/>
        </w:rPr>
        <w:t xml:space="preserve">2.1 For and Against </w:t>
      </w:r>
      <w:r w:rsidRPr="00E42EB4">
        <w:t>MNCs Leading Climate Action</w:t>
      </w:r>
      <w:bookmarkEnd w:id="5"/>
    </w:p>
    <w:p w14:paraId="75BABB36" w14:textId="74E247E8" w:rsidR="00E42EB4" w:rsidRDefault="00E42EB4" w:rsidP="00E42EB4">
      <w:pPr>
        <w:pStyle w:val="Heading3"/>
        <w:jc w:val="center"/>
        <w:rPr>
          <w:lang w:val="en-US"/>
        </w:rPr>
      </w:pPr>
      <w:bookmarkStart w:id="6" w:name="_Toc203846075"/>
      <w:r w:rsidRPr="00E42EB4">
        <w:rPr>
          <w:lang w:val="en-US"/>
        </w:rPr>
        <w:t xml:space="preserve">2.1.1 Arguments </w:t>
      </w:r>
      <w:r w:rsidRPr="00E42EB4">
        <w:rPr>
          <w:iCs/>
          <w:lang w:val="en-US"/>
        </w:rPr>
        <w:t>for</w:t>
      </w:r>
      <w:r w:rsidRPr="00E42EB4">
        <w:rPr>
          <w:lang w:val="en-US"/>
        </w:rPr>
        <w:t xml:space="preserve"> MNCs Leading Climate Action: The Case of Unilever</w:t>
      </w:r>
      <w:bookmarkEnd w:id="6"/>
    </w:p>
    <w:p w14:paraId="480C6F45" w14:textId="77777777" w:rsidR="00E42EB4" w:rsidRPr="00E42EB4" w:rsidRDefault="00E42EB4" w:rsidP="00E42EB4">
      <w:pPr>
        <w:rPr>
          <w:lang w:val="en-US"/>
        </w:rPr>
      </w:pPr>
    </w:p>
    <w:p w14:paraId="17ACF956" w14:textId="2D78267F"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Multinational corporations (MNCs), with Unilever being one of them, have a never-before-</w:t>
      </w:r>
      <w:r w:rsidRPr="00E42EB4">
        <w:rPr>
          <w:rFonts w:ascii="Times New Roman" w:hAnsi="Times New Roman" w:cs="Times New Roman"/>
          <w:sz w:val="24"/>
          <w:szCs w:val="24"/>
          <w:lang w:val="en-US"/>
        </w:rPr>
        <w:t>seen capability</w:t>
      </w:r>
      <w:r w:rsidRPr="00E42EB4">
        <w:rPr>
          <w:rFonts w:ascii="Times New Roman" w:hAnsi="Times New Roman" w:cs="Times New Roman"/>
          <w:sz w:val="24"/>
          <w:szCs w:val="24"/>
          <w:lang w:val="en-US"/>
        </w:rPr>
        <w:t xml:space="preserve"> to combat climate change due to their international network of infrastructure, far-reaching influence on stakeholders, and innovative ability. Being an international consumer goods giant with operations in more than 190 countries, Unilever has proven that even busting corporates such as it can not only lessen their footprint on the planet but also play stewardship and have a say in the upstream and downstream partner in any supply chain.</w:t>
      </w:r>
    </w:p>
    <w:p w14:paraId="61E60F50" w14:textId="3385CF33"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The vast international presence allows Unilever to influence the expectations of the markets and </w:t>
      </w:r>
      <w:r w:rsidRPr="00E42EB4">
        <w:rPr>
          <w:rFonts w:ascii="Times New Roman" w:hAnsi="Times New Roman" w:cs="Times New Roman"/>
          <w:sz w:val="24"/>
          <w:szCs w:val="24"/>
          <w:lang w:val="en-US"/>
        </w:rPr>
        <w:t>the actions</w:t>
      </w:r>
      <w:r w:rsidRPr="00E42EB4">
        <w:rPr>
          <w:rFonts w:ascii="Times New Roman" w:hAnsi="Times New Roman" w:cs="Times New Roman"/>
          <w:sz w:val="24"/>
          <w:szCs w:val="24"/>
          <w:lang w:val="en-US"/>
        </w:rPr>
        <w:t xml:space="preserve"> of its suppliers. Unilever also indirectly contributes to the sustainable behavior of thousands of suppliers and distributors by establishing high environmental standards in the </w:t>
      </w:r>
      <w:r w:rsidRPr="00E42EB4">
        <w:rPr>
          <w:rFonts w:ascii="Times New Roman" w:hAnsi="Times New Roman" w:cs="Times New Roman"/>
          <w:sz w:val="24"/>
          <w:szCs w:val="24"/>
          <w:lang w:val="en-US"/>
        </w:rPr>
        <w:lastRenderedPageBreak/>
        <w:t xml:space="preserve">way in which it extracts and manufactures its raw materials, and suppliers and distributors </w:t>
      </w:r>
      <w:proofErr w:type="gramStart"/>
      <w:r w:rsidRPr="00E42EB4">
        <w:rPr>
          <w:rFonts w:ascii="Times New Roman" w:hAnsi="Times New Roman" w:cs="Times New Roman"/>
          <w:sz w:val="24"/>
          <w:szCs w:val="24"/>
          <w:lang w:val="en-US"/>
        </w:rPr>
        <w:t>have to</w:t>
      </w:r>
      <w:proofErr w:type="gramEnd"/>
      <w:r w:rsidRPr="00E42EB4">
        <w:rPr>
          <w:rFonts w:ascii="Times New Roman" w:hAnsi="Times New Roman" w:cs="Times New Roman"/>
          <w:sz w:val="24"/>
          <w:szCs w:val="24"/>
          <w:lang w:val="en-US"/>
        </w:rPr>
        <w:t xml:space="preserve"> fall in line with these standards to deliver goods to Unilever. An example is its own Climate Transition Action Plan, in which the company plans to achieve net-zero emissions along its whole value chain by 2039 and its Scope 3 emissions, or more than 98% of its total carbon footprint (Planet Tracker, 2023). This top-down pressure has encouraged suppliers in countries like India, Indonesia, and Brazil to adopt climate-smart agriculture and renewable energy, driving sector-wide transformation beyond Unilever’s direct operations. Innovation is central to Unilever’s climate strategy. The company has pioneered the development of zero-carbon manufacturing sites, such as its Dubai and South Africa factories, powered entirely by renewable energy. Furthermore, Unilever has invested heavily in biodegradable and refillable packaging, aiming to halve its use of virgin plastic by 2025. It also promotes regenerative agriculture across its sourcing of palm oil, soy, and dairy—initiatives that not only reduce emissions but also restore biodiversity and soil health (Planet Tracker, 2024). According to Arslan, Wang, and Rahman (2025), these adaptive and sustainable </w:t>
      </w:r>
      <w:r w:rsidRPr="00E42EB4">
        <w:rPr>
          <w:rFonts w:ascii="Times New Roman" w:hAnsi="Times New Roman" w:cs="Times New Roman"/>
          <w:sz w:val="24"/>
          <w:szCs w:val="24"/>
          <w:lang w:val="en-US"/>
        </w:rPr>
        <w:t>behaviors</w:t>
      </w:r>
      <w:r w:rsidRPr="00E42EB4">
        <w:rPr>
          <w:rFonts w:ascii="Times New Roman" w:hAnsi="Times New Roman" w:cs="Times New Roman"/>
          <w:sz w:val="24"/>
          <w:szCs w:val="24"/>
          <w:lang w:val="en-US"/>
        </w:rPr>
        <w:t xml:space="preserve"> have improved employee engagement and </w:t>
      </w:r>
      <w:r w:rsidRPr="00E42EB4">
        <w:rPr>
          <w:rFonts w:ascii="Times New Roman" w:hAnsi="Times New Roman" w:cs="Times New Roman"/>
          <w:sz w:val="24"/>
          <w:szCs w:val="24"/>
          <w:lang w:val="en-US"/>
        </w:rPr>
        <w:t>organizational</w:t>
      </w:r>
      <w:r w:rsidRPr="00E42EB4">
        <w:rPr>
          <w:rFonts w:ascii="Times New Roman" w:hAnsi="Times New Roman" w:cs="Times New Roman"/>
          <w:sz w:val="24"/>
          <w:szCs w:val="24"/>
          <w:lang w:val="en-US"/>
        </w:rPr>
        <w:t xml:space="preserve"> resilience, suggesting a virtuous cycle between innovation, leadership, and sustainability outcomes.</w:t>
      </w:r>
    </w:p>
    <w:p w14:paraId="51E65D4F" w14:textId="227B077B"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Unilever is also subject to intense pressure from ESG (Environmental, Social, and Governance) investors, activist shareholders, and climate-conscious consumers. The rise of ethical consumerism and responsible investing has placed sustainability at the heart of the company’s brand identity and governance structure. Shareholders have approved climate transition resolutions at AGMs, holding leaders accountable for measurable carbon reductions. As Mbaka and Kasimu (2024) argue, transformational leadership thrives in environments where external pressure meets internal conviction—a dynamic evident in Unilever’s sustainability governance. However, reports also suggest that many firms are retreating from ambitious targets due to implementation challenges, raising concerns about credibility and the risks of greenwashing (Financial Times, 2024; Reuters, 2024). Unilever, though not immune to such scrutiny, continues to publish independent progress updates, including </w:t>
      </w:r>
      <w:r w:rsidR="00853EA6" w:rsidRPr="00E42EB4">
        <w:rPr>
          <w:rFonts w:ascii="Times New Roman" w:hAnsi="Times New Roman" w:cs="Times New Roman"/>
          <w:sz w:val="24"/>
          <w:szCs w:val="24"/>
          <w:lang w:val="en-US"/>
        </w:rPr>
        <w:t>third party</w:t>
      </w:r>
      <w:r w:rsidRPr="00E42EB4">
        <w:rPr>
          <w:rFonts w:ascii="Times New Roman" w:hAnsi="Times New Roman" w:cs="Times New Roman"/>
          <w:sz w:val="24"/>
          <w:szCs w:val="24"/>
          <w:lang w:val="en-US"/>
        </w:rPr>
        <w:t xml:space="preserve">-verified climate disclosures, helping it maintain trust. From a leadership perspective, Unilever’s approach aligns closely with </w:t>
      </w:r>
      <w:r w:rsidRPr="00E42EB4">
        <w:rPr>
          <w:rFonts w:ascii="Times New Roman" w:hAnsi="Times New Roman" w:cs="Times New Roman"/>
          <w:b/>
          <w:bCs/>
          <w:sz w:val="24"/>
          <w:szCs w:val="24"/>
          <w:lang w:val="en-US"/>
        </w:rPr>
        <w:t>transformational leadership theory</w:t>
      </w:r>
      <w:r w:rsidRPr="00E42EB4">
        <w:rPr>
          <w:rFonts w:ascii="Times New Roman" w:hAnsi="Times New Roman" w:cs="Times New Roman"/>
          <w:sz w:val="24"/>
          <w:szCs w:val="24"/>
          <w:lang w:val="en-US"/>
        </w:rPr>
        <w:t xml:space="preserve">, which </w:t>
      </w:r>
      <w:r w:rsidR="00853EA6" w:rsidRPr="00E42EB4">
        <w:rPr>
          <w:rFonts w:ascii="Times New Roman" w:hAnsi="Times New Roman" w:cs="Times New Roman"/>
          <w:sz w:val="24"/>
          <w:szCs w:val="24"/>
          <w:lang w:val="en-US"/>
        </w:rPr>
        <w:t>emphasizes</w:t>
      </w:r>
      <w:r w:rsidRPr="00E42EB4">
        <w:rPr>
          <w:rFonts w:ascii="Times New Roman" w:hAnsi="Times New Roman" w:cs="Times New Roman"/>
          <w:sz w:val="24"/>
          <w:szCs w:val="24"/>
          <w:lang w:val="en-US"/>
        </w:rPr>
        <w:t xml:space="preserve"> vision, inspiration, and moral commitment (Liddle, 2021). CEO-driven initiatives reflect </w:t>
      </w:r>
      <w:r w:rsidRPr="00E42EB4">
        <w:rPr>
          <w:rFonts w:ascii="Times New Roman" w:hAnsi="Times New Roman" w:cs="Times New Roman"/>
          <w:b/>
          <w:bCs/>
          <w:sz w:val="24"/>
          <w:szCs w:val="24"/>
          <w:lang w:val="en-US"/>
        </w:rPr>
        <w:t>responsible leadership</w:t>
      </w:r>
      <w:r w:rsidRPr="00E42EB4">
        <w:rPr>
          <w:rFonts w:ascii="Times New Roman" w:hAnsi="Times New Roman" w:cs="Times New Roman"/>
          <w:sz w:val="24"/>
          <w:szCs w:val="24"/>
          <w:lang w:val="en-US"/>
        </w:rPr>
        <w:t xml:space="preserve">, </w:t>
      </w:r>
      <w:r w:rsidR="00853EA6" w:rsidRPr="00E42EB4">
        <w:rPr>
          <w:rFonts w:ascii="Times New Roman" w:hAnsi="Times New Roman" w:cs="Times New Roman"/>
          <w:sz w:val="24"/>
          <w:szCs w:val="24"/>
          <w:lang w:val="en-US"/>
        </w:rPr>
        <w:t>were</w:t>
      </w:r>
      <w:r w:rsidRPr="00E42EB4">
        <w:rPr>
          <w:rFonts w:ascii="Times New Roman" w:hAnsi="Times New Roman" w:cs="Times New Roman"/>
          <w:sz w:val="24"/>
          <w:szCs w:val="24"/>
          <w:lang w:val="en-US"/>
        </w:rPr>
        <w:t xml:space="preserve"> decisions balance commercial imperatives with societal expectations. Furthermore, </w:t>
      </w:r>
      <w:r w:rsidRPr="00E42EB4">
        <w:rPr>
          <w:rFonts w:ascii="Times New Roman" w:hAnsi="Times New Roman" w:cs="Times New Roman"/>
          <w:b/>
          <w:bCs/>
          <w:sz w:val="24"/>
          <w:szCs w:val="24"/>
          <w:lang w:val="en-US"/>
        </w:rPr>
        <w:t>global mindset theory</w:t>
      </w:r>
      <w:r w:rsidRPr="00E42EB4">
        <w:rPr>
          <w:rFonts w:ascii="Times New Roman" w:hAnsi="Times New Roman" w:cs="Times New Roman"/>
          <w:sz w:val="24"/>
          <w:szCs w:val="24"/>
          <w:lang w:val="en-US"/>
        </w:rPr>
        <w:t xml:space="preserve"> highlights the importance of cultural intelligence and </w:t>
      </w:r>
      <w:r w:rsidRPr="00E42EB4">
        <w:rPr>
          <w:rFonts w:ascii="Times New Roman" w:hAnsi="Times New Roman" w:cs="Times New Roman"/>
          <w:sz w:val="24"/>
          <w:szCs w:val="24"/>
          <w:lang w:val="en-US"/>
        </w:rPr>
        <w:lastRenderedPageBreak/>
        <w:t>stakeholder empathy—skills necessary for navigating diverse regulatory environments and sustainability norms across Unilever’s markets.</w:t>
      </w:r>
    </w:p>
    <w:p w14:paraId="0D967319"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Collectively, these factors illustrate why large MNCs, when led ethically and innovatively, are uniquely positioned to lead global climate action.</w:t>
      </w:r>
    </w:p>
    <w:p w14:paraId="5FCA3FED" w14:textId="77777777" w:rsidR="00E42EB4" w:rsidRDefault="00E42EB4" w:rsidP="00853EA6">
      <w:pPr>
        <w:pStyle w:val="Heading3"/>
        <w:jc w:val="center"/>
        <w:rPr>
          <w:lang w:val="en-US"/>
        </w:rPr>
      </w:pPr>
      <w:bookmarkStart w:id="7" w:name="_Toc203846076"/>
      <w:r w:rsidRPr="00E42EB4">
        <w:rPr>
          <w:lang w:val="en-US"/>
        </w:rPr>
        <w:t xml:space="preserve">2.1.2 Arguments </w:t>
      </w:r>
      <w:r w:rsidRPr="00E42EB4">
        <w:rPr>
          <w:iCs/>
          <w:lang w:val="en-US"/>
        </w:rPr>
        <w:t>Against</w:t>
      </w:r>
      <w:r w:rsidRPr="00E42EB4">
        <w:rPr>
          <w:lang w:val="en-US"/>
        </w:rPr>
        <w:t xml:space="preserve"> MNCs Taking the Lead: A Critical Perspective on Unilever</w:t>
      </w:r>
      <w:bookmarkEnd w:id="7"/>
    </w:p>
    <w:p w14:paraId="3E3E6314" w14:textId="77777777" w:rsidR="00853EA6" w:rsidRPr="00853EA6" w:rsidRDefault="00853EA6" w:rsidP="00853EA6">
      <w:pPr>
        <w:rPr>
          <w:lang w:val="en-US"/>
        </w:rPr>
      </w:pPr>
    </w:p>
    <w:p w14:paraId="6D0349A0" w14:textId="5826DB49"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Although multinational corporations (MNCs) such as Unilever have been widely hailed as potential leaders in climate action, critics say that focusing on the role of business first, rather than other drivers of climate change, might be a mistake based on conflicting interests, power </w:t>
      </w:r>
      <w:r w:rsidR="00853EA6" w:rsidRPr="00E42EB4">
        <w:rPr>
          <w:rFonts w:ascii="Times New Roman" w:hAnsi="Times New Roman" w:cs="Times New Roman"/>
          <w:sz w:val="24"/>
          <w:szCs w:val="24"/>
          <w:lang w:val="en-US"/>
        </w:rPr>
        <w:t>imbalances,</w:t>
      </w:r>
      <w:r w:rsidRPr="00E42EB4">
        <w:rPr>
          <w:rFonts w:ascii="Times New Roman" w:hAnsi="Times New Roman" w:cs="Times New Roman"/>
          <w:sz w:val="24"/>
          <w:szCs w:val="24"/>
          <w:lang w:val="en-US"/>
        </w:rPr>
        <w:t xml:space="preserve"> and disparity of global regulation. </w:t>
      </w:r>
      <w:r w:rsidR="00853EA6" w:rsidRPr="00E42EB4">
        <w:rPr>
          <w:rFonts w:ascii="Times New Roman" w:hAnsi="Times New Roman" w:cs="Times New Roman"/>
          <w:sz w:val="24"/>
          <w:szCs w:val="24"/>
          <w:lang w:val="en-US"/>
        </w:rPr>
        <w:t>The</w:t>
      </w:r>
      <w:r w:rsidRPr="00E42EB4">
        <w:rPr>
          <w:rFonts w:ascii="Times New Roman" w:hAnsi="Times New Roman" w:cs="Times New Roman"/>
          <w:sz w:val="24"/>
          <w:szCs w:val="24"/>
          <w:lang w:val="en-US"/>
        </w:rPr>
        <w:t xml:space="preserve"> legal responsibility of MNCs is to maximize shareholder </w:t>
      </w:r>
      <w:r w:rsidR="00853EA6" w:rsidRPr="00E42EB4">
        <w:rPr>
          <w:rFonts w:ascii="Times New Roman" w:hAnsi="Times New Roman" w:cs="Times New Roman"/>
          <w:sz w:val="24"/>
          <w:szCs w:val="24"/>
          <w:lang w:val="en-US"/>
        </w:rPr>
        <w:t>returns,</w:t>
      </w:r>
      <w:r w:rsidRPr="00E42EB4">
        <w:rPr>
          <w:rFonts w:ascii="Times New Roman" w:hAnsi="Times New Roman" w:cs="Times New Roman"/>
          <w:sz w:val="24"/>
          <w:szCs w:val="24"/>
          <w:lang w:val="en-US"/>
        </w:rPr>
        <w:t xml:space="preserve"> and this can be detrimental to long-term objectives regarding climate change. Unilever has been under fire about whether what it does is in line with what it says, despite its much-publicized commitments to climate. According to Planet Tracker (2024), Unilever bases much of its decarbonization goals on assumptions of the availability of carbon offsets and on the </w:t>
      </w:r>
      <w:r w:rsidR="00853EA6" w:rsidRPr="00E42EB4">
        <w:rPr>
          <w:rFonts w:ascii="Times New Roman" w:hAnsi="Times New Roman" w:cs="Times New Roman"/>
          <w:sz w:val="24"/>
          <w:szCs w:val="24"/>
          <w:lang w:val="en-US"/>
        </w:rPr>
        <w:t>behavior of</w:t>
      </w:r>
      <w:r w:rsidRPr="00E42EB4">
        <w:rPr>
          <w:rFonts w:ascii="Times New Roman" w:hAnsi="Times New Roman" w:cs="Times New Roman"/>
          <w:sz w:val="24"/>
          <w:szCs w:val="24"/>
          <w:lang w:val="en-US"/>
        </w:rPr>
        <w:t xml:space="preserve"> its </w:t>
      </w:r>
      <w:r w:rsidR="00853EA6" w:rsidRPr="00E42EB4">
        <w:rPr>
          <w:rFonts w:ascii="Times New Roman" w:hAnsi="Times New Roman" w:cs="Times New Roman"/>
          <w:sz w:val="24"/>
          <w:szCs w:val="24"/>
          <w:lang w:val="en-US"/>
        </w:rPr>
        <w:t>suppliers,</w:t>
      </w:r>
      <w:r w:rsidRPr="00E42EB4">
        <w:rPr>
          <w:rFonts w:ascii="Times New Roman" w:hAnsi="Times New Roman" w:cs="Times New Roman"/>
          <w:sz w:val="24"/>
          <w:szCs w:val="24"/>
          <w:lang w:val="en-US"/>
        </w:rPr>
        <w:t xml:space="preserve"> and, therefore, the credibility of its goals may be questioned. Critics also say that ESG stories are occasionally treated as defensive devices more than catalysts of structural transformation. A bigger theme highlighted by the </w:t>
      </w:r>
      <w:r w:rsidR="00853EA6" w:rsidRPr="00E42EB4">
        <w:rPr>
          <w:rFonts w:ascii="Times New Roman" w:hAnsi="Times New Roman" w:cs="Times New Roman"/>
          <w:sz w:val="24"/>
          <w:szCs w:val="24"/>
          <w:lang w:val="en-US"/>
        </w:rPr>
        <w:t>Financial</w:t>
      </w:r>
      <w:r w:rsidRPr="00E42EB4">
        <w:rPr>
          <w:rFonts w:ascii="Times New Roman" w:hAnsi="Times New Roman" w:cs="Times New Roman"/>
          <w:sz w:val="24"/>
          <w:szCs w:val="24"/>
          <w:lang w:val="en-US"/>
        </w:rPr>
        <w:t xml:space="preserve"> Times (2024) is that companies all over the world are quietly scaling back big goals of cutting greenhouse gases because of difficulties in implementation, unclear regulations, and investor boredom. Such inconsistencies highlight the moral issue of greenwashing, during which companies sell phony environmental statements that fail to produce any quantifiable effect (Reuters, 2024).</w:t>
      </w:r>
    </w:p>
    <w:p w14:paraId="322C79DC" w14:textId="34A4EC35"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MNCs frequently find themselves in a variety of legal regimes, and this makes it feasible to engage in regulatory arbitrage, </w:t>
      </w:r>
      <w:r w:rsidR="00853EA6" w:rsidRPr="00E42EB4">
        <w:rPr>
          <w:rFonts w:ascii="Times New Roman" w:hAnsi="Times New Roman" w:cs="Times New Roman"/>
          <w:sz w:val="24"/>
          <w:szCs w:val="24"/>
          <w:lang w:val="en-US"/>
        </w:rPr>
        <w:t>i.e.,</w:t>
      </w:r>
      <w:r w:rsidRPr="00E42EB4">
        <w:rPr>
          <w:rFonts w:ascii="Times New Roman" w:hAnsi="Times New Roman" w:cs="Times New Roman"/>
          <w:sz w:val="24"/>
          <w:szCs w:val="24"/>
          <w:lang w:val="en-US"/>
        </w:rPr>
        <w:t xml:space="preserve"> play the game of buying cheaper regulatory trees in developing countries to cut operating costs. Although the international policies of Unilever on sustainability are elaborate, enforcement is the issue in some countries where there is little </w:t>
      </w:r>
      <w:r w:rsidR="00853EA6" w:rsidRPr="00E42EB4">
        <w:rPr>
          <w:rFonts w:ascii="Times New Roman" w:hAnsi="Times New Roman" w:cs="Times New Roman"/>
          <w:sz w:val="24"/>
          <w:szCs w:val="24"/>
          <w:lang w:val="en-US"/>
        </w:rPr>
        <w:t>governance</w:t>
      </w:r>
      <w:r w:rsidR="00853EA6">
        <w:rPr>
          <w:rFonts w:ascii="Times New Roman" w:hAnsi="Times New Roman" w:cs="Times New Roman"/>
          <w:sz w:val="24"/>
          <w:szCs w:val="24"/>
          <w:lang w:val="en-US"/>
        </w:rPr>
        <w:t xml:space="preserve"> a</w:t>
      </w:r>
      <w:r w:rsidR="00853EA6" w:rsidRPr="00E42EB4">
        <w:rPr>
          <w:rFonts w:ascii="Times New Roman" w:hAnsi="Times New Roman" w:cs="Times New Roman"/>
          <w:sz w:val="24"/>
          <w:szCs w:val="24"/>
          <w:lang w:val="en-US"/>
        </w:rPr>
        <w:t>nd</w:t>
      </w:r>
      <w:r w:rsidRPr="00E42EB4">
        <w:rPr>
          <w:rFonts w:ascii="Times New Roman" w:hAnsi="Times New Roman" w:cs="Times New Roman"/>
          <w:sz w:val="24"/>
          <w:szCs w:val="24"/>
          <w:lang w:val="en-US"/>
        </w:rPr>
        <w:t xml:space="preserve"> Zeng (2024) specify, it is essential to have local adaptation and a highly developed resource allocation to achieve sustainability in the operations of such regions, which most companies are not willing to do when short-term profits cannot be observed. Furthermore, supply chain auditing is hard to control continuously, especially in rural areas that depend on </w:t>
      </w:r>
      <w:r w:rsidRPr="00E42EB4">
        <w:rPr>
          <w:rFonts w:ascii="Times New Roman" w:hAnsi="Times New Roman" w:cs="Times New Roman"/>
          <w:sz w:val="24"/>
          <w:szCs w:val="24"/>
          <w:lang w:val="en-US"/>
        </w:rPr>
        <w:lastRenderedPageBreak/>
        <w:t>third-party providers concerning agricultural activities of the Global South (Planet Tracker, 2023).</w:t>
      </w:r>
    </w:p>
    <w:p w14:paraId="6F4BB4C7" w14:textId="4EC6EE8C"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The other is that MNCs have an undue effect on global narratives of sustainability. There have been claims that major companies take center stage in climate discussions and silence those in the Global </w:t>
      </w:r>
      <w:r w:rsidR="00853EA6" w:rsidRPr="00E42EB4">
        <w:rPr>
          <w:rFonts w:ascii="Times New Roman" w:hAnsi="Times New Roman" w:cs="Times New Roman"/>
          <w:sz w:val="24"/>
          <w:szCs w:val="24"/>
          <w:lang w:val="en-US"/>
        </w:rPr>
        <w:t>South,</w:t>
      </w:r>
      <w:r w:rsidRPr="00E42EB4">
        <w:rPr>
          <w:rFonts w:ascii="Times New Roman" w:hAnsi="Times New Roman" w:cs="Times New Roman"/>
          <w:sz w:val="24"/>
          <w:szCs w:val="24"/>
          <w:lang w:val="en-US"/>
        </w:rPr>
        <w:t xml:space="preserve"> where climate change is </w:t>
      </w:r>
      <w:r w:rsidR="00853EA6" w:rsidRPr="00E42EB4">
        <w:rPr>
          <w:rFonts w:ascii="Times New Roman" w:hAnsi="Times New Roman" w:cs="Times New Roman"/>
          <w:sz w:val="24"/>
          <w:szCs w:val="24"/>
          <w:lang w:val="en-US"/>
        </w:rPr>
        <w:t>most prevalent</w:t>
      </w:r>
      <w:r w:rsidRPr="00E42EB4">
        <w:rPr>
          <w:rFonts w:ascii="Times New Roman" w:hAnsi="Times New Roman" w:cs="Times New Roman"/>
          <w:sz w:val="24"/>
          <w:szCs w:val="24"/>
          <w:lang w:val="en-US"/>
        </w:rPr>
        <w:t xml:space="preserve">, yet they are the least emitters. As </w:t>
      </w:r>
      <w:proofErr w:type="spellStart"/>
      <w:r w:rsidRPr="00E42EB4">
        <w:rPr>
          <w:rFonts w:ascii="Times New Roman" w:hAnsi="Times New Roman" w:cs="Times New Roman"/>
          <w:sz w:val="24"/>
          <w:szCs w:val="24"/>
          <w:lang w:val="en-US"/>
        </w:rPr>
        <w:t>Modreanu</w:t>
      </w:r>
      <w:proofErr w:type="spellEnd"/>
      <w:r w:rsidRPr="00E42EB4">
        <w:rPr>
          <w:rFonts w:ascii="Times New Roman" w:hAnsi="Times New Roman" w:cs="Times New Roman"/>
          <w:sz w:val="24"/>
          <w:szCs w:val="24"/>
          <w:lang w:val="en-US"/>
        </w:rPr>
        <w:t xml:space="preserve"> et al. (2022) note, despite the efforts by Unilever to implement farmer support and regenerative programs, they tend to approach benefits as passive recipients rather than as identical parties. This brings to light the issue of neo-colonialism, as corporate climate solutions are based around western interests instead of locally based situations. According to the idea developed by Gross-</w:t>
      </w:r>
      <w:proofErr w:type="spellStart"/>
      <w:r w:rsidRPr="00E42EB4">
        <w:rPr>
          <w:rFonts w:ascii="Times New Roman" w:hAnsi="Times New Roman" w:cs="Times New Roman"/>
          <w:sz w:val="24"/>
          <w:szCs w:val="24"/>
          <w:lang w:val="en-US"/>
        </w:rPr>
        <w:t>Gołacka</w:t>
      </w:r>
      <w:proofErr w:type="spellEnd"/>
      <w:r w:rsidRPr="00E42EB4">
        <w:rPr>
          <w:rFonts w:ascii="Times New Roman" w:hAnsi="Times New Roman" w:cs="Times New Roman"/>
          <w:sz w:val="24"/>
          <w:szCs w:val="24"/>
          <w:lang w:val="en-US"/>
        </w:rPr>
        <w:t xml:space="preserve"> et al. (2023), inclusive and culturally adaptive leadership is the sure way to make sure that sustainability is not imposed but co-created. The latter difficulties may be explained with the use of the theory of Corporate Social Responsibility (CSR), namely, the dispute between the applicability of the stakeholder and shareholder primacy. Most corporations continue to pursue short-term shareholder value after stakeholder theory proposes balancing between environmental and social objectives and the interests of businesses (Freeman, 1984). Besides, ethical leadership theories state that leaders should use moral courage to achieve sustainable goals, but the leadership intentions are likely to be weakened by organizational culture and operating in the market (Colley &amp; </w:t>
      </w:r>
      <w:proofErr w:type="spellStart"/>
      <w:r w:rsidRPr="00E42EB4">
        <w:rPr>
          <w:rFonts w:ascii="Times New Roman" w:hAnsi="Times New Roman" w:cs="Times New Roman"/>
          <w:sz w:val="24"/>
          <w:szCs w:val="24"/>
          <w:lang w:val="en-US"/>
        </w:rPr>
        <w:t>Spyridonidis</w:t>
      </w:r>
      <w:proofErr w:type="spellEnd"/>
      <w:r w:rsidRPr="00E42EB4">
        <w:rPr>
          <w:rFonts w:ascii="Times New Roman" w:hAnsi="Times New Roman" w:cs="Times New Roman"/>
          <w:sz w:val="24"/>
          <w:szCs w:val="24"/>
          <w:lang w:val="en-US"/>
        </w:rPr>
        <w:t xml:space="preserve">, 2022; Murphy, 2022). While Unilever’s leadership exemplifies elements of </w:t>
      </w:r>
      <w:r w:rsidRPr="00E42EB4">
        <w:rPr>
          <w:rFonts w:ascii="Times New Roman" w:hAnsi="Times New Roman" w:cs="Times New Roman"/>
          <w:b/>
          <w:bCs/>
          <w:sz w:val="24"/>
          <w:szCs w:val="24"/>
          <w:lang w:val="en-US"/>
        </w:rPr>
        <w:t>transformational leadership</w:t>
      </w:r>
      <w:r w:rsidRPr="00E42EB4">
        <w:rPr>
          <w:rFonts w:ascii="Times New Roman" w:hAnsi="Times New Roman" w:cs="Times New Roman"/>
          <w:sz w:val="24"/>
          <w:szCs w:val="24"/>
          <w:lang w:val="en-US"/>
        </w:rPr>
        <w:t>, genuine systemic change requires deeper structural shifts that go beyond branding and voluntary commitments (Elsawy &amp; Al-</w:t>
      </w:r>
      <w:proofErr w:type="spellStart"/>
      <w:r w:rsidRPr="00E42EB4">
        <w:rPr>
          <w:rFonts w:ascii="Times New Roman" w:hAnsi="Times New Roman" w:cs="Times New Roman"/>
          <w:sz w:val="24"/>
          <w:szCs w:val="24"/>
          <w:lang w:val="en-US"/>
        </w:rPr>
        <w:t>Ghurabli</w:t>
      </w:r>
      <w:proofErr w:type="spellEnd"/>
      <w:r w:rsidRPr="00E42EB4">
        <w:rPr>
          <w:rFonts w:ascii="Times New Roman" w:hAnsi="Times New Roman" w:cs="Times New Roman"/>
          <w:sz w:val="24"/>
          <w:szCs w:val="24"/>
          <w:lang w:val="en-US"/>
        </w:rPr>
        <w:t>, 2024).</w:t>
      </w:r>
    </w:p>
    <w:p w14:paraId="4663178D" w14:textId="77777777" w:rsidR="00E42EB4" w:rsidRPr="00E42EB4" w:rsidRDefault="00E42EB4" w:rsidP="00E42EB4">
      <w:pPr>
        <w:spacing w:line="360" w:lineRule="auto"/>
        <w:jc w:val="both"/>
        <w:rPr>
          <w:rFonts w:ascii="Times New Roman" w:hAnsi="Times New Roman" w:cs="Times New Roman"/>
          <w:b/>
          <w:i/>
          <w:sz w:val="24"/>
          <w:szCs w:val="24"/>
        </w:rPr>
      </w:pPr>
    </w:p>
    <w:p w14:paraId="628B4D5E" w14:textId="77777777" w:rsidR="00E42EB4" w:rsidRPr="00E42EB4" w:rsidRDefault="00E42EB4" w:rsidP="00853EA6">
      <w:pPr>
        <w:pStyle w:val="Heading2"/>
        <w:jc w:val="center"/>
      </w:pPr>
      <w:bookmarkStart w:id="8" w:name="_Toc203846077"/>
      <w:r w:rsidRPr="00E42EB4">
        <w:t>2.2 Role of Individual Leaders, Ethics, and Stakeholder Engagement</w:t>
      </w:r>
      <w:bookmarkEnd w:id="8"/>
    </w:p>
    <w:p w14:paraId="1524047D" w14:textId="77777777" w:rsidR="00E42EB4" w:rsidRDefault="00E42EB4" w:rsidP="00853EA6">
      <w:pPr>
        <w:pStyle w:val="Heading3"/>
        <w:jc w:val="center"/>
      </w:pPr>
      <w:bookmarkStart w:id="9" w:name="_Toc203846078"/>
      <w:r w:rsidRPr="00E42EB4">
        <w:t>2.2.1 Leadership and Vision</w:t>
      </w:r>
      <w:bookmarkEnd w:id="9"/>
    </w:p>
    <w:p w14:paraId="0264A13F" w14:textId="77777777" w:rsidR="00853EA6" w:rsidRPr="00853EA6" w:rsidRDefault="00853EA6" w:rsidP="00853EA6"/>
    <w:p w14:paraId="21CCF41F"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During Alan Jope’s tenure as Chief Executive Officer (2019–2023), Unilever deepened its commitment to environmental sustainability, embedding climate action into the company’s strategic vision. Jope championed the idea of “brands with purpose,” underlining that brands which stood for something greater than product functionality performed better both financially and reputationally (Unilever PLC, 2020). Notable initiatives under his leadership include the commitment to achieve net-zero emissions across the company’s value chain by 2039 and </w:t>
      </w:r>
      <w:r w:rsidRPr="00E42EB4">
        <w:rPr>
          <w:rFonts w:ascii="Times New Roman" w:hAnsi="Times New Roman" w:cs="Times New Roman"/>
          <w:sz w:val="24"/>
          <w:szCs w:val="24"/>
          <w:lang w:val="en-US"/>
        </w:rPr>
        <w:lastRenderedPageBreak/>
        <w:t>ensuring product transparency regarding carbon footprints. These commitments reflect an ambition to align Unilever’s commercial goals with broader planetary imperatives.</w:t>
      </w:r>
    </w:p>
    <w:p w14:paraId="4EBE1264" w14:textId="07575336"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The leadership style demonstrated by Jope can be understood through the lens of Transformational Leadership Theory originally </w:t>
      </w:r>
      <w:r w:rsidR="00853EA6" w:rsidRPr="00E42EB4">
        <w:rPr>
          <w:rFonts w:ascii="Times New Roman" w:hAnsi="Times New Roman" w:cs="Times New Roman"/>
          <w:sz w:val="24"/>
          <w:szCs w:val="24"/>
          <w:lang w:val="en-US"/>
        </w:rPr>
        <w:t>conceptualized</w:t>
      </w:r>
      <w:r w:rsidRPr="00E42EB4">
        <w:rPr>
          <w:rFonts w:ascii="Times New Roman" w:hAnsi="Times New Roman" w:cs="Times New Roman"/>
          <w:sz w:val="24"/>
          <w:szCs w:val="24"/>
          <w:lang w:val="en-US"/>
        </w:rPr>
        <w:t xml:space="preserve"> by Bass (1990) as shown in Figure 1.</w:t>
      </w:r>
    </w:p>
    <w:p w14:paraId="6CD46AF4" w14:textId="6AD96CE5" w:rsidR="00E42EB4" w:rsidRPr="00E42EB4" w:rsidRDefault="00E42EB4" w:rsidP="00E42EB4">
      <w:pPr>
        <w:spacing w:line="360" w:lineRule="auto"/>
        <w:jc w:val="both"/>
        <w:rPr>
          <w:rFonts w:ascii="Times New Roman" w:hAnsi="Times New Roman" w:cs="Times New Roman"/>
          <w:i/>
          <w:sz w:val="24"/>
          <w:szCs w:val="24"/>
          <w:lang w:val="en-US"/>
        </w:rPr>
      </w:pPr>
      <w:r w:rsidRPr="00E42EB4">
        <w:rPr>
          <w:rFonts w:ascii="Times New Roman" w:hAnsi="Times New Roman" w:cs="Times New Roman"/>
          <w:i/>
          <w:sz w:val="24"/>
          <w:szCs w:val="24"/>
          <w:lang w:val="en-US"/>
        </w:rPr>
        <w:drawing>
          <wp:inline distT="0" distB="0" distL="0" distR="0" wp14:anchorId="2587DF45" wp14:editId="20AEBEC6">
            <wp:extent cx="4352925" cy="4152900"/>
            <wp:effectExtent l="0" t="0" r="0" b="0"/>
            <wp:docPr id="675985969" name="Picture 3" descr="Four I's of Transformational Leadership – BusinessBal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ur I's of Transformational Leadership – BusinessBalls.com"/>
                    <pic:cNvPicPr>
                      <a:picLocks noChangeAspect="1" noChangeArrowheads="1"/>
                    </pic:cNvPicPr>
                  </pic:nvPicPr>
                  <pic:blipFill>
                    <a:blip r:embed="rId13">
                      <a:extLst>
                        <a:ext uri="{28A0092B-C50C-407E-A947-70E740481C1C}">
                          <a14:useLocalDpi xmlns:a14="http://schemas.microsoft.com/office/drawing/2010/main" val="0"/>
                        </a:ext>
                      </a:extLst>
                    </a:blip>
                    <a:srcRect l="6091" t="7028" r="6882" b="8324"/>
                    <a:stretch>
                      <a:fillRect/>
                    </a:stretch>
                  </pic:blipFill>
                  <pic:spPr bwMode="auto">
                    <a:xfrm>
                      <a:off x="0" y="0"/>
                      <a:ext cx="4352925" cy="4152900"/>
                    </a:xfrm>
                    <a:prstGeom prst="rect">
                      <a:avLst/>
                    </a:prstGeom>
                    <a:noFill/>
                    <a:ln>
                      <a:noFill/>
                    </a:ln>
                  </pic:spPr>
                </pic:pic>
              </a:graphicData>
            </a:graphic>
          </wp:inline>
        </w:drawing>
      </w:r>
    </w:p>
    <w:p w14:paraId="2C1810AC" w14:textId="77777777"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rPr>
        <w:t xml:space="preserve">Figure </w:t>
      </w:r>
      <w:r w:rsidRPr="00E42EB4">
        <w:rPr>
          <w:rFonts w:ascii="Times New Roman" w:hAnsi="Times New Roman" w:cs="Times New Roman"/>
          <w:i/>
          <w:sz w:val="24"/>
          <w:szCs w:val="24"/>
        </w:rPr>
        <w:fldChar w:fldCharType="begin"/>
      </w:r>
      <w:r w:rsidRPr="00E42EB4">
        <w:rPr>
          <w:rFonts w:ascii="Times New Roman" w:hAnsi="Times New Roman" w:cs="Times New Roman"/>
          <w:i/>
          <w:sz w:val="24"/>
          <w:szCs w:val="24"/>
        </w:rPr>
        <w:instrText xml:space="preserve"> SEQ Figure \* ARABIC </w:instrText>
      </w:r>
      <w:r w:rsidRPr="00E42EB4">
        <w:rPr>
          <w:rFonts w:ascii="Times New Roman" w:hAnsi="Times New Roman" w:cs="Times New Roman"/>
          <w:i/>
          <w:sz w:val="24"/>
          <w:szCs w:val="24"/>
        </w:rPr>
        <w:fldChar w:fldCharType="separate"/>
      </w:r>
      <w:r w:rsidRPr="00E42EB4">
        <w:rPr>
          <w:rFonts w:ascii="Times New Roman" w:hAnsi="Times New Roman" w:cs="Times New Roman"/>
          <w:i/>
          <w:sz w:val="24"/>
          <w:szCs w:val="24"/>
        </w:rPr>
        <w:t>1</w:t>
      </w:r>
      <w:r w:rsidRPr="00E42EB4">
        <w:rPr>
          <w:rFonts w:ascii="Times New Roman" w:hAnsi="Times New Roman" w:cs="Times New Roman"/>
          <w:sz w:val="24"/>
          <w:szCs w:val="24"/>
        </w:rPr>
        <w:fldChar w:fldCharType="end"/>
      </w:r>
      <w:r w:rsidRPr="00E42EB4">
        <w:rPr>
          <w:rFonts w:ascii="Times New Roman" w:hAnsi="Times New Roman" w:cs="Times New Roman"/>
          <w:i/>
          <w:sz w:val="24"/>
          <w:szCs w:val="24"/>
        </w:rPr>
        <w:t>. Bass (1990) Transformational Leadership</w:t>
      </w:r>
    </w:p>
    <w:p w14:paraId="32445E0B" w14:textId="77777777"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rPr>
        <w:t>Source: (</w:t>
      </w:r>
      <w:proofErr w:type="spellStart"/>
      <w:r w:rsidRPr="00E42EB4">
        <w:rPr>
          <w:rFonts w:ascii="Times New Roman" w:hAnsi="Times New Roman" w:cs="Times New Roman"/>
          <w:i/>
          <w:sz w:val="24"/>
          <w:szCs w:val="24"/>
          <w:lang w:val="en-US"/>
        </w:rPr>
        <w:t>BusinessBalls</w:t>
      </w:r>
      <w:proofErr w:type="spellEnd"/>
      <w:r w:rsidRPr="00E42EB4">
        <w:rPr>
          <w:rFonts w:ascii="Times New Roman" w:hAnsi="Times New Roman" w:cs="Times New Roman"/>
          <w:i/>
          <w:sz w:val="24"/>
          <w:szCs w:val="24"/>
          <w:lang w:val="en-US"/>
        </w:rPr>
        <w:t>, 2025)</w:t>
      </w:r>
    </w:p>
    <w:p w14:paraId="03D89162" w14:textId="32911DA0" w:rsidR="00E42EB4" w:rsidRPr="00E42EB4" w:rsidRDefault="00E42EB4" w:rsidP="00E42EB4">
      <w:pPr>
        <w:spacing w:line="360" w:lineRule="auto"/>
        <w:jc w:val="both"/>
        <w:rPr>
          <w:rFonts w:ascii="Times New Roman" w:hAnsi="Times New Roman" w:cs="Times New Roman"/>
          <w:sz w:val="24"/>
          <w:szCs w:val="24"/>
          <w:lang w:val="en-US"/>
        </w:rPr>
      </w:pPr>
      <w:proofErr w:type="spellStart"/>
      <w:r w:rsidRPr="00E42EB4">
        <w:rPr>
          <w:rFonts w:ascii="Times New Roman" w:hAnsi="Times New Roman" w:cs="Times New Roman"/>
          <w:sz w:val="24"/>
          <w:szCs w:val="24"/>
        </w:rPr>
        <w:t>Tourish</w:t>
      </w:r>
      <w:proofErr w:type="spellEnd"/>
      <w:r w:rsidRPr="00E42EB4">
        <w:rPr>
          <w:rFonts w:ascii="Times New Roman" w:hAnsi="Times New Roman" w:cs="Times New Roman"/>
          <w:sz w:val="24"/>
          <w:szCs w:val="24"/>
        </w:rPr>
        <w:t xml:space="preserve"> and </w:t>
      </w:r>
      <w:proofErr w:type="spellStart"/>
      <w:r w:rsidRPr="00E42EB4">
        <w:rPr>
          <w:rFonts w:ascii="Times New Roman" w:hAnsi="Times New Roman" w:cs="Times New Roman"/>
          <w:sz w:val="24"/>
          <w:szCs w:val="24"/>
        </w:rPr>
        <w:t>Pinnington</w:t>
      </w:r>
      <w:proofErr w:type="spellEnd"/>
      <w:r w:rsidRPr="00E42EB4">
        <w:rPr>
          <w:rFonts w:ascii="Times New Roman" w:hAnsi="Times New Roman" w:cs="Times New Roman"/>
          <w:sz w:val="24"/>
          <w:szCs w:val="24"/>
        </w:rPr>
        <w:t xml:space="preserve"> (2002) argue that transformational leadership can act as an ideological tool, marginalising dissent and reinforcing elitism. Leadership discourse often involves shaping perceptions to support organisational power, yet such dynamics are frequently overlooked in mainstream leadership research. </w:t>
      </w:r>
      <w:r w:rsidRPr="00E42EB4">
        <w:rPr>
          <w:rFonts w:ascii="Times New Roman" w:hAnsi="Times New Roman" w:cs="Times New Roman"/>
          <w:sz w:val="24"/>
          <w:szCs w:val="24"/>
          <w:lang w:val="en-US"/>
        </w:rPr>
        <w:t xml:space="preserve">Jope showed the four key dimensions of transformational leadership: </w:t>
      </w:r>
      <w:r w:rsidR="00853EA6" w:rsidRPr="00E42EB4">
        <w:rPr>
          <w:rFonts w:ascii="Times New Roman" w:hAnsi="Times New Roman" w:cs="Times New Roman"/>
          <w:sz w:val="24"/>
          <w:szCs w:val="24"/>
          <w:lang w:val="en-US"/>
        </w:rPr>
        <w:t>idealized</w:t>
      </w:r>
      <w:r w:rsidRPr="00E42EB4">
        <w:rPr>
          <w:rFonts w:ascii="Times New Roman" w:hAnsi="Times New Roman" w:cs="Times New Roman"/>
          <w:sz w:val="24"/>
          <w:szCs w:val="24"/>
          <w:lang w:val="en-US"/>
        </w:rPr>
        <w:t xml:space="preserve"> influence, inspirational motivation, intellectual stimulation, and </w:t>
      </w:r>
      <w:r w:rsidR="00853EA6" w:rsidRPr="00E42EB4">
        <w:rPr>
          <w:rFonts w:ascii="Times New Roman" w:hAnsi="Times New Roman" w:cs="Times New Roman"/>
          <w:sz w:val="24"/>
          <w:szCs w:val="24"/>
          <w:lang w:val="en-US"/>
        </w:rPr>
        <w:t>individualized</w:t>
      </w:r>
      <w:r w:rsidRPr="00E42EB4">
        <w:rPr>
          <w:rFonts w:ascii="Times New Roman" w:hAnsi="Times New Roman" w:cs="Times New Roman"/>
          <w:sz w:val="24"/>
          <w:szCs w:val="24"/>
          <w:lang w:val="en-US"/>
        </w:rPr>
        <w:t xml:space="preserve"> consideration. His role in the UN Global Compact’s Caring for Climate campaign, including keynote interventions at COP26 and COP27, exemplifies vision</w:t>
      </w:r>
      <w:r w:rsidRPr="00E42EB4">
        <w:rPr>
          <w:rFonts w:ascii="Times New Roman" w:hAnsi="Times New Roman" w:cs="Times New Roman"/>
          <w:sz w:val="24"/>
          <w:szCs w:val="24"/>
          <w:lang w:val="en-US"/>
        </w:rPr>
        <w:noBreakHyphen/>
        <w:t xml:space="preserve">setting and inspirational motivation by </w:t>
      </w:r>
      <w:r w:rsidR="00853EA6" w:rsidRPr="00E42EB4">
        <w:rPr>
          <w:rFonts w:ascii="Times New Roman" w:hAnsi="Times New Roman" w:cs="Times New Roman"/>
          <w:sz w:val="24"/>
          <w:szCs w:val="24"/>
          <w:lang w:val="en-US"/>
        </w:rPr>
        <w:t>mobilizing</w:t>
      </w:r>
      <w:r w:rsidRPr="00E42EB4">
        <w:rPr>
          <w:rFonts w:ascii="Times New Roman" w:hAnsi="Times New Roman" w:cs="Times New Roman"/>
          <w:sz w:val="24"/>
          <w:szCs w:val="24"/>
          <w:lang w:val="en-US"/>
        </w:rPr>
        <w:t xml:space="preserve"> business action on carbon reduction (Unilever PLC, </w:t>
      </w:r>
      <w:r w:rsidRPr="00E42EB4">
        <w:rPr>
          <w:rFonts w:ascii="Times New Roman" w:hAnsi="Times New Roman" w:cs="Times New Roman"/>
          <w:sz w:val="24"/>
          <w:szCs w:val="24"/>
          <w:lang w:val="en-US"/>
        </w:rPr>
        <w:lastRenderedPageBreak/>
        <w:t>2024). Jope also encouraged innovation within Unilever, supporting regenerative agricultural practices and circular packaging innovations, thus demonstrating intellectual stimulation (Flickr, 2025). His leadership fostered a long-term approach to sustainability, not only within Unilever but also across industry coalitions, setting a precedent for climate-aligned corporate strategy.</w:t>
      </w:r>
    </w:p>
    <w:p w14:paraId="264E17B9"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 xml:space="preserve">In supporting innovation toward net-zero objectives, Jope operationalised long-term thinking that extended beyond quarterly performance metrics. This alignment reflects the concept of responsible leadership as defined by </w:t>
      </w:r>
      <w:proofErr w:type="spellStart"/>
      <w:r w:rsidRPr="00E42EB4">
        <w:rPr>
          <w:rFonts w:ascii="Times New Roman" w:hAnsi="Times New Roman" w:cs="Times New Roman"/>
          <w:sz w:val="24"/>
          <w:szCs w:val="24"/>
        </w:rPr>
        <w:t>Jonck</w:t>
      </w:r>
      <w:proofErr w:type="spellEnd"/>
      <w:r w:rsidRPr="00E42EB4">
        <w:rPr>
          <w:rFonts w:ascii="Times New Roman" w:hAnsi="Times New Roman" w:cs="Times New Roman"/>
          <w:sz w:val="24"/>
          <w:szCs w:val="24"/>
        </w:rPr>
        <w:t xml:space="preserve"> (2024), who propose that effective leaders integrate organisational performance with sustainability by engaging a broad network of stakeholders and embedding ethical, long</w:t>
      </w:r>
      <w:r w:rsidRPr="00E42EB4">
        <w:rPr>
          <w:rFonts w:ascii="Times New Roman" w:hAnsi="Times New Roman" w:cs="Times New Roman"/>
          <w:sz w:val="24"/>
          <w:szCs w:val="24"/>
        </w:rPr>
        <w:noBreakHyphen/>
        <w:t>term value creation into corporate strategy. However, Jope’s leadership has faced criticism for an overreliance on aspirational sustainability discourse that at times lacked operational depth. Key initiatives were often accompanied by ambitious pledges but fell short in terms of clearly defined benchmarks, timelines, or third-party verification mechanisms (</w:t>
      </w:r>
      <w:r w:rsidRPr="00E42EB4">
        <w:rPr>
          <w:rFonts w:ascii="Times New Roman" w:hAnsi="Times New Roman" w:cs="Times New Roman"/>
          <w:sz w:val="24"/>
          <w:szCs w:val="24"/>
          <w:lang w:val="en-US"/>
        </w:rPr>
        <w:t>Reddit.com, 2025)</w:t>
      </w:r>
      <w:r w:rsidRPr="00E42EB4">
        <w:rPr>
          <w:rFonts w:ascii="Times New Roman" w:hAnsi="Times New Roman" w:cs="Times New Roman"/>
          <w:sz w:val="24"/>
          <w:szCs w:val="24"/>
        </w:rPr>
        <w:t xml:space="preserve">. This raised concerns about the credibility of Unilever’s environmental commitments and the potential for reputational sustainability to eclipse substantive outcomes. </w:t>
      </w:r>
      <w:r w:rsidRPr="00E42EB4">
        <w:rPr>
          <w:rFonts w:ascii="Times New Roman" w:hAnsi="Times New Roman" w:cs="Times New Roman"/>
          <w:sz w:val="24"/>
          <w:szCs w:val="24"/>
          <w:lang w:val="en-US"/>
        </w:rPr>
        <w:t>‌</w:t>
      </w:r>
      <w:r w:rsidRPr="00E42EB4">
        <w:rPr>
          <w:rFonts w:ascii="Times New Roman" w:hAnsi="Times New Roman" w:cs="Times New Roman"/>
          <w:sz w:val="24"/>
          <w:szCs w:val="24"/>
        </w:rPr>
        <w:t xml:space="preserve">Financial Times. (2024) highlighted that while Jope advanced Unilever’s public image as a climate-conscious corporation, the internal implementation of some strategies remained fragmented and inconsistent, reflecting a gap between vision and execution (Whiting, 2023). </w:t>
      </w:r>
    </w:p>
    <w:p w14:paraId="1CF0D3C0" w14:textId="77777777" w:rsidR="00E42EB4" w:rsidRDefault="00E42EB4" w:rsidP="00853EA6">
      <w:pPr>
        <w:pStyle w:val="Heading3"/>
        <w:jc w:val="center"/>
      </w:pPr>
      <w:bookmarkStart w:id="10" w:name="_Toc203846079"/>
      <w:r w:rsidRPr="00E42EB4">
        <w:t>2.2.2 Ethical Orientation</w:t>
      </w:r>
      <w:bookmarkEnd w:id="10"/>
    </w:p>
    <w:p w14:paraId="30F4D559" w14:textId="77777777" w:rsidR="00853EA6" w:rsidRPr="00853EA6" w:rsidRDefault="00853EA6" w:rsidP="00853EA6"/>
    <w:p w14:paraId="5DF8216C" w14:textId="624A49E9"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Unilever’s climate leadership reflects both deontological and consequentialist ethical frameworks that guide corporate decision-making (Unilever PLC, 2025). The company’s commitment to reducing emissions in regions without regulatory mandates indicates a principle-based approach driven by moral obligation. This aligns with </w:t>
      </w:r>
      <w:proofErr w:type="spellStart"/>
      <w:r w:rsidRPr="00E42EB4">
        <w:rPr>
          <w:rFonts w:ascii="Times New Roman" w:hAnsi="Times New Roman" w:cs="Times New Roman"/>
          <w:sz w:val="24"/>
          <w:szCs w:val="24"/>
          <w:lang w:val="en-US"/>
        </w:rPr>
        <w:t>Hormio’s</w:t>
      </w:r>
      <w:proofErr w:type="spellEnd"/>
      <w:r w:rsidRPr="00E42EB4">
        <w:rPr>
          <w:rFonts w:ascii="Times New Roman" w:hAnsi="Times New Roman" w:cs="Times New Roman"/>
          <w:sz w:val="24"/>
          <w:szCs w:val="24"/>
          <w:lang w:val="en-US"/>
        </w:rPr>
        <w:t xml:space="preserve"> (2017) claim that moral imagination and principled leadership support ethical innovation in business. Unilever also incorporates </w:t>
      </w:r>
      <w:r w:rsidR="00853EA6" w:rsidRPr="00E42EB4">
        <w:rPr>
          <w:rFonts w:ascii="Times New Roman" w:hAnsi="Times New Roman" w:cs="Times New Roman"/>
          <w:sz w:val="24"/>
          <w:szCs w:val="24"/>
          <w:lang w:val="en-US"/>
        </w:rPr>
        <w:t>consequential</w:t>
      </w:r>
      <w:r w:rsidRPr="00E42EB4">
        <w:rPr>
          <w:rFonts w:ascii="Times New Roman" w:hAnsi="Times New Roman" w:cs="Times New Roman"/>
          <w:sz w:val="24"/>
          <w:szCs w:val="24"/>
          <w:lang w:val="en-US"/>
        </w:rPr>
        <w:t xml:space="preserve"> reasoning </w:t>
      </w:r>
      <w:proofErr w:type="gramStart"/>
      <w:r w:rsidRPr="00E42EB4">
        <w:rPr>
          <w:rFonts w:ascii="Times New Roman" w:hAnsi="Times New Roman" w:cs="Times New Roman"/>
          <w:sz w:val="24"/>
          <w:szCs w:val="24"/>
          <w:lang w:val="en-US"/>
        </w:rPr>
        <w:t>through the use of</w:t>
      </w:r>
      <w:proofErr w:type="gramEnd"/>
      <w:r w:rsidRPr="00E42EB4">
        <w:rPr>
          <w:rFonts w:ascii="Times New Roman" w:hAnsi="Times New Roman" w:cs="Times New Roman"/>
          <w:sz w:val="24"/>
          <w:szCs w:val="24"/>
          <w:lang w:val="en-US"/>
        </w:rPr>
        <w:t xml:space="preserve"> carbon offsetting, which allows short-term flexibility but raises concerns about long-term environmental impact. The company has shifted its strategy to </w:t>
      </w:r>
      <w:r w:rsidR="00853EA6" w:rsidRPr="00E42EB4">
        <w:rPr>
          <w:rFonts w:ascii="Times New Roman" w:hAnsi="Times New Roman" w:cs="Times New Roman"/>
          <w:sz w:val="24"/>
          <w:szCs w:val="24"/>
          <w:lang w:val="en-US"/>
        </w:rPr>
        <w:t>emphasize</w:t>
      </w:r>
      <w:r w:rsidRPr="00E42EB4">
        <w:rPr>
          <w:rFonts w:ascii="Times New Roman" w:hAnsi="Times New Roman" w:cs="Times New Roman"/>
          <w:sz w:val="24"/>
          <w:szCs w:val="24"/>
          <w:lang w:val="en-US"/>
        </w:rPr>
        <w:t xml:space="preserve"> direct emissions reductions by adopting 100% renewable grid electricity and </w:t>
      </w:r>
      <w:r w:rsidR="00853EA6" w:rsidRPr="00E42EB4">
        <w:rPr>
          <w:rFonts w:ascii="Times New Roman" w:hAnsi="Times New Roman" w:cs="Times New Roman"/>
          <w:sz w:val="24"/>
          <w:szCs w:val="24"/>
          <w:lang w:val="en-US"/>
        </w:rPr>
        <w:t>decarbonizing</w:t>
      </w:r>
      <w:r w:rsidRPr="00E42EB4">
        <w:rPr>
          <w:rFonts w:ascii="Times New Roman" w:hAnsi="Times New Roman" w:cs="Times New Roman"/>
          <w:sz w:val="24"/>
          <w:szCs w:val="24"/>
          <w:lang w:val="en-US"/>
        </w:rPr>
        <w:t xml:space="preserve"> its logistics and manufacturing operations (Unilever PLC, 2020). This shift reflects a balance between immediate operational goals and enduring environmental responsibility. Bowie’s (2017) model of corporate moral responsibility reinforces this position by advocating that firms go beyond compliance and shape global ethical </w:t>
      </w:r>
      <w:r w:rsidRPr="00E42EB4">
        <w:rPr>
          <w:rFonts w:ascii="Times New Roman" w:hAnsi="Times New Roman" w:cs="Times New Roman"/>
          <w:sz w:val="24"/>
          <w:szCs w:val="24"/>
          <w:lang w:val="en-US"/>
        </w:rPr>
        <w:lastRenderedPageBreak/>
        <w:t>standards. Unilever’s market withdrawal in response to weak environmental regulations illustrates its ethical commitment (FoodNavigator.com, 2017).</w:t>
      </w:r>
      <w:r w:rsidRPr="00E42EB4">
        <w:rPr>
          <w:rFonts w:ascii="Times New Roman" w:hAnsi="Times New Roman" w:cs="Times New Roman"/>
          <w:sz w:val="24"/>
          <w:szCs w:val="24"/>
        </w:rPr>
        <w:t xml:space="preserve"> For instance, the company has ceased operations involving suppliers that fail to meet its standards for deforestation-free palm oil, even when legally permissible in host countries. </w:t>
      </w:r>
      <w:r w:rsidRPr="00E42EB4">
        <w:rPr>
          <w:rFonts w:ascii="Times New Roman" w:hAnsi="Times New Roman" w:cs="Times New Roman"/>
          <w:sz w:val="24"/>
          <w:szCs w:val="24"/>
          <w:lang w:val="en-US"/>
        </w:rPr>
        <w:t xml:space="preserve">This global application of ethical principles also highlights persistent and fundamental national differences in how business ethics is defined, debated, and judged (Schneider and </w:t>
      </w:r>
      <w:proofErr w:type="spellStart"/>
      <w:r w:rsidRPr="00E42EB4">
        <w:rPr>
          <w:rFonts w:ascii="Times New Roman" w:hAnsi="Times New Roman" w:cs="Times New Roman"/>
          <w:sz w:val="24"/>
          <w:szCs w:val="24"/>
          <w:lang w:val="en-US"/>
        </w:rPr>
        <w:t>Barsoux</w:t>
      </w:r>
      <w:proofErr w:type="spellEnd"/>
      <w:r w:rsidRPr="00E42EB4">
        <w:rPr>
          <w:rFonts w:ascii="Times New Roman" w:hAnsi="Times New Roman" w:cs="Times New Roman"/>
          <w:sz w:val="24"/>
          <w:szCs w:val="24"/>
          <w:lang w:val="en-US"/>
        </w:rPr>
        <w:t>, 2008). What may be viewed as discriminatory in one culture such as gender-based hiring practices might be considered a normative expression of traditional roles in another (Thomas, 2008). Such cultural variation underscores the complexity of applying uniform ethical standards across multinational operations.</w:t>
      </w:r>
    </w:p>
    <w:p w14:paraId="132720AD" w14:textId="77777777" w:rsidR="00E42EB4" w:rsidRDefault="00E42EB4" w:rsidP="00853EA6">
      <w:pPr>
        <w:pStyle w:val="Heading2"/>
        <w:jc w:val="center"/>
      </w:pPr>
      <w:bookmarkStart w:id="11" w:name="_Toc203846080"/>
      <w:r w:rsidRPr="00E42EB4">
        <w:t>2.3 Stakeholder Engagement</w:t>
      </w:r>
      <w:bookmarkEnd w:id="11"/>
    </w:p>
    <w:p w14:paraId="5159242F" w14:textId="77777777" w:rsidR="00853EA6" w:rsidRPr="00853EA6" w:rsidRDefault="00853EA6" w:rsidP="00853EA6"/>
    <w:p w14:paraId="5F1D4AA9" w14:textId="6FD01ACE"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Stakeholder engagement has been central to Unilever’s climate leadership. Drawing on Freeman’s (1984) Stakeholder Theory, the company’s strategy maps and responds to both primary and secondary stakeholders. Primary stakeholders include investors, employees, and consumers, while secondary stakeholders include non-governmental </w:t>
      </w:r>
      <w:r w:rsidR="00853EA6" w:rsidRPr="00E42EB4">
        <w:rPr>
          <w:rFonts w:ascii="Times New Roman" w:hAnsi="Times New Roman" w:cs="Times New Roman"/>
          <w:sz w:val="24"/>
          <w:szCs w:val="24"/>
          <w:lang w:val="en-US"/>
        </w:rPr>
        <w:t>organizations</w:t>
      </w:r>
      <w:r w:rsidRPr="00E42EB4">
        <w:rPr>
          <w:rFonts w:ascii="Times New Roman" w:hAnsi="Times New Roman" w:cs="Times New Roman"/>
          <w:sz w:val="24"/>
          <w:szCs w:val="24"/>
          <w:lang w:val="en-US"/>
        </w:rPr>
        <w:t>, media, and regulators. Unilever’s extensive engagement architecture enables it to address diverse expectations across global markets.</w:t>
      </w:r>
    </w:p>
    <w:p w14:paraId="01C62FFB"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The report by Management Exchange (2020) stated that the Unilever Sustainable Living Plan (USLP), operational from 2010 to 2020, was a foundational stakeholder platform aimed at aligning business performance with environmental and social targets. The plan focused on decoupling environmental impact from growth, enhancing livelihoods, and improving health and well-being. Moreover, Unilever PLC (2020) pointed out that by 2020, Unilever reported achievements including a 65% reduction in manufacturing greenhouse</w:t>
      </w:r>
      <w:r w:rsidRPr="00E42EB4">
        <w:rPr>
          <w:rFonts w:ascii="Times New Roman" w:hAnsi="Times New Roman" w:cs="Times New Roman"/>
          <w:sz w:val="24"/>
          <w:szCs w:val="24"/>
        </w:rPr>
        <w:noBreakHyphen/>
        <w:t>gas emissions and 100% renewable grid electricity across its sites. In 2021, Unilever launched its Climate &amp; Nature Action Council, composed of external experts, academic leaders, and internal executives (</w:t>
      </w:r>
      <w:r w:rsidRPr="00E42EB4">
        <w:rPr>
          <w:rFonts w:ascii="Times New Roman" w:hAnsi="Times New Roman" w:cs="Times New Roman"/>
          <w:sz w:val="24"/>
          <w:szCs w:val="24"/>
          <w:lang w:val="en-US"/>
        </w:rPr>
        <w:t xml:space="preserve">‌ </w:t>
      </w:r>
      <w:r w:rsidRPr="00E42EB4">
        <w:rPr>
          <w:rFonts w:ascii="Times New Roman" w:hAnsi="Times New Roman" w:cs="Times New Roman"/>
          <w:sz w:val="24"/>
          <w:szCs w:val="24"/>
        </w:rPr>
        <w:t>Unilever PLC, 2023). The council advises on climate governance, transition risk, and biodiversity. This move institutionalises reflective stakeholder consultation and anticipates evolving societal expectations.</w:t>
      </w:r>
    </w:p>
    <w:p w14:paraId="2B2B69F4" w14:textId="7641D45D"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On the other hand, </w:t>
      </w:r>
      <w:r w:rsidR="00853EA6" w:rsidRPr="00E42EB4">
        <w:rPr>
          <w:rFonts w:ascii="Times New Roman" w:hAnsi="Times New Roman" w:cs="Times New Roman"/>
          <w:sz w:val="24"/>
          <w:szCs w:val="24"/>
          <w:lang w:val="en-US"/>
        </w:rPr>
        <w:t>the report</w:t>
      </w:r>
      <w:r w:rsidRPr="00E42EB4">
        <w:rPr>
          <w:rFonts w:ascii="Times New Roman" w:hAnsi="Times New Roman" w:cs="Times New Roman"/>
          <w:sz w:val="24"/>
          <w:szCs w:val="24"/>
          <w:lang w:val="en-US"/>
        </w:rPr>
        <w:t xml:space="preserve"> published by Climate Action Business Transition (2023) mentioned that Unilever actively engages with institutional investors such as those represented by Climate Action 100+, a coalition managing over $68 trillion in assets. By participating in </w:t>
      </w:r>
      <w:r w:rsidRPr="00E42EB4">
        <w:rPr>
          <w:rFonts w:ascii="Times New Roman" w:hAnsi="Times New Roman" w:cs="Times New Roman"/>
          <w:sz w:val="24"/>
          <w:szCs w:val="24"/>
          <w:lang w:val="en-US"/>
        </w:rPr>
        <w:lastRenderedPageBreak/>
        <w:t>climate disclosure, emissions reduction, and governance alignment, Unilever not only responds to investor concerns but also reinforces its legitimacy as a sustainability leader (‌Sec.gov, 2019). These initiatives support the conclusions that stakeholder-inclusive governance enhances strategic sustainability performance.</w:t>
      </w:r>
    </w:p>
    <w:p w14:paraId="3B8C9135" w14:textId="1DF3CF8B"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mc:AlternateContent>
          <mc:Choice Requires="wps">
            <w:drawing>
              <wp:anchor distT="45720" distB="45720" distL="114300" distR="114300" simplePos="0" relativeHeight="251663360" behindDoc="0" locked="0" layoutInCell="1" allowOverlap="1" wp14:anchorId="61EDDE68" wp14:editId="338F5D1C">
                <wp:simplePos x="0" y="0"/>
                <wp:positionH relativeFrom="margin">
                  <wp:align>left</wp:align>
                </wp:positionH>
                <wp:positionV relativeFrom="paragraph">
                  <wp:posOffset>2982595</wp:posOffset>
                </wp:positionV>
                <wp:extent cx="1191895" cy="273685"/>
                <wp:effectExtent l="1905" t="0" r="0" b="0"/>
                <wp:wrapNone/>
                <wp:docPr id="8"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91260" cy="273685"/>
                        </a:xfrm>
                        <a:prstGeom prst="rect">
                          <a:avLst/>
                        </a:prstGeom>
                        <a:solidFill>
                          <a:srgbClr val="FFFFFF"/>
                        </a:solidFill>
                        <a:ln w="9525">
                          <a:noFill/>
                          <a:miter lim="800000"/>
                          <a:headEnd/>
                          <a:tailEnd/>
                        </a:ln>
                      </wps:spPr>
                      <wps:txbx>
                        <w:txbxContent>
                          <w:p w14:paraId="10063582" w14:textId="77777777" w:rsidR="00E42EB4" w:rsidRDefault="00E42EB4" w:rsidP="00E42EB4">
                            <w:pPr>
                              <w:jc w:val="center"/>
                              <w:rPr>
                                <w:b/>
                                <w:lang w:val="en-US"/>
                              </w:rPr>
                            </w:pPr>
                            <w:r>
                              <w:rPr>
                                <w:b/>
                                <w:lang w:val="en-US"/>
                              </w:rPr>
                              <w:t xml:space="preserve">Low Power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EDDE68" id="Text Box 9" o:spid="_x0000_s1027" type="#_x0000_t202" style="position:absolute;left:0;text-align:left;margin-left:0;margin-top:234.85pt;width:93.85pt;height:21.55pt;rotation:-90;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" stroked="f">
                <v:textbox>
                  <w:txbxContent>
                    <w:p w14:paraId="10063582" w14:textId="77777777" w:rsidR="00E42EB4" w:rsidRDefault="00E42EB4" w:rsidP="00E42EB4">
                      <w:pPr>
                        <w:jc w:val="center"/>
                        <w:rPr>
                          <w:b/>
                          <w:lang w:val="en-US"/>
                        </w:rPr>
                      </w:pPr>
                      <w:r>
                        <w:rPr>
                          <w:b/>
                          <w:lang w:val="en-US"/>
                        </w:rPr>
                        <w:t xml:space="preserve">Low Power </w:t>
                      </w:r>
                    </w:p>
                  </w:txbxContent>
                </v:textbox>
                <w10:wrap anchorx="margin"/>
              </v:shape>
            </w:pict>
          </mc:Fallback>
        </mc:AlternateContent>
      </w:r>
      <w:r w:rsidRPr="00E42EB4">
        <w:rPr>
          <w:rFonts w:ascii="Times New Roman" w:hAnsi="Times New Roman" w:cs="Times New Roman"/>
          <w:sz w:val="24"/>
          <w:szCs w:val="24"/>
          <w:lang w:val="en-US"/>
        </w:rPr>
        <mc:AlternateContent>
          <mc:Choice Requires="wps">
            <w:drawing>
              <wp:anchor distT="45720" distB="45720" distL="114300" distR="114300" simplePos="0" relativeHeight="251664384" behindDoc="0" locked="0" layoutInCell="1" allowOverlap="1" wp14:anchorId="7D7A2367" wp14:editId="46D1665C">
                <wp:simplePos x="0" y="0"/>
                <wp:positionH relativeFrom="margin">
                  <wp:align>left</wp:align>
                </wp:positionH>
                <wp:positionV relativeFrom="paragraph">
                  <wp:posOffset>1251585</wp:posOffset>
                </wp:positionV>
                <wp:extent cx="1333500" cy="276225"/>
                <wp:effectExtent l="0" t="4763"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33500" cy="276225"/>
                        </a:xfrm>
                        <a:prstGeom prst="rect">
                          <a:avLst/>
                        </a:prstGeom>
                        <a:solidFill>
                          <a:srgbClr val="FFFFFF"/>
                        </a:solidFill>
                        <a:ln w="9525">
                          <a:noFill/>
                          <a:miter lim="800000"/>
                          <a:headEnd/>
                          <a:tailEnd/>
                        </a:ln>
                      </wps:spPr>
                      <wps:txbx>
                        <w:txbxContent>
                          <w:p w14:paraId="741A0220" w14:textId="77777777" w:rsidR="00E42EB4" w:rsidRDefault="00E42EB4" w:rsidP="00E42EB4">
                            <w:pPr>
                              <w:jc w:val="center"/>
                              <w:rPr>
                                <w:b/>
                                <w:lang w:val="en-US"/>
                              </w:rPr>
                            </w:pPr>
                            <w:r>
                              <w:rPr>
                                <w:b/>
                                <w:lang w:val="en-US"/>
                              </w:rPr>
                              <w:t xml:space="preserve">High Power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A2367" id="_x0000_s1028" type="#_x0000_t202" style="position:absolute;left:0;text-align:left;margin-left:0;margin-top:98.55pt;width:105pt;height:21.75pt;rotation:-90;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" stroked="f">
                <v:textbox>
                  <w:txbxContent>
                    <w:p w14:paraId="741A0220" w14:textId="77777777" w:rsidR="00E42EB4" w:rsidRDefault="00E42EB4" w:rsidP="00E42EB4">
                      <w:pPr>
                        <w:jc w:val="center"/>
                        <w:rPr>
                          <w:b/>
                          <w:lang w:val="en-US"/>
                        </w:rPr>
                      </w:pPr>
                      <w:r>
                        <w:rPr>
                          <w:b/>
                          <w:lang w:val="en-US"/>
                        </w:rPr>
                        <w:t xml:space="preserve">High Power </w:t>
                      </w:r>
                    </w:p>
                  </w:txbxContent>
                </v:textbox>
                <w10:wrap anchorx="margin"/>
              </v:shape>
            </w:pict>
          </mc:Fallback>
        </mc:AlternateConten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50"/>
        <w:gridCol w:w="4140"/>
      </w:tblGrid>
      <w:tr w:rsidR="00E42EB4" w:rsidRPr="00E42EB4" w14:paraId="60B15219" w14:textId="77777777" w:rsidTr="00E42EB4">
        <w:trPr>
          <w:jc w:val="center"/>
        </w:trPr>
        <w:tc>
          <w:tcPr>
            <w:tcW w:w="4050" w:type="dxa"/>
            <w:tcBorders>
              <w:top w:val="nil"/>
              <w:left w:val="nil"/>
              <w:bottom w:val="single" w:sz="4" w:space="0" w:color="auto"/>
              <w:right w:val="nil"/>
            </w:tcBorders>
            <w:hideMark/>
          </w:tcPr>
          <w:p w14:paraId="1AAB6763" w14:textId="77777777" w:rsidR="00E42EB4" w:rsidRPr="00E42EB4" w:rsidRDefault="00E42EB4" w:rsidP="00E42EB4">
            <w:pPr>
              <w:spacing w:after="160" w:line="360" w:lineRule="auto"/>
              <w:jc w:val="both"/>
              <w:rPr>
                <w:rFonts w:ascii="Times New Roman" w:hAnsi="Times New Roman" w:cs="Times New Roman"/>
                <w:b/>
                <w:sz w:val="24"/>
                <w:szCs w:val="24"/>
              </w:rPr>
            </w:pPr>
            <w:r w:rsidRPr="00E42EB4">
              <w:rPr>
                <w:rFonts w:ascii="Times New Roman" w:hAnsi="Times New Roman" w:cs="Times New Roman"/>
                <w:b/>
                <w:sz w:val="24"/>
                <w:szCs w:val="24"/>
              </w:rPr>
              <w:t>High Interest</w:t>
            </w:r>
          </w:p>
        </w:tc>
        <w:tc>
          <w:tcPr>
            <w:tcW w:w="4140" w:type="dxa"/>
            <w:tcBorders>
              <w:top w:val="nil"/>
              <w:left w:val="nil"/>
              <w:bottom w:val="single" w:sz="4" w:space="0" w:color="auto"/>
              <w:right w:val="nil"/>
            </w:tcBorders>
            <w:hideMark/>
          </w:tcPr>
          <w:p w14:paraId="3CA9FF3B" w14:textId="77777777" w:rsidR="00E42EB4" w:rsidRPr="00E42EB4" w:rsidRDefault="00E42EB4" w:rsidP="00E42EB4">
            <w:pPr>
              <w:spacing w:after="160" w:line="360" w:lineRule="auto"/>
              <w:jc w:val="both"/>
              <w:rPr>
                <w:rFonts w:ascii="Times New Roman" w:hAnsi="Times New Roman" w:cs="Times New Roman"/>
                <w:b/>
                <w:sz w:val="24"/>
                <w:szCs w:val="24"/>
              </w:rPr>
            </w:pPr>
            <w:r w:rsidRPr="00E42EB4">
              <w:rPr>
                <w:rFonts w:ascii="Times New Roman" w:hAnsi="Times New Roman" w:cs="Times New Roman"/>
                <w:b/>
                <w:sz w:val="24"/>
                <w:szCs w:val="24"/>
              </w:rPr>
              <w:t>Low Interest</w:t>
            </w:r>
          </w:p>
        </w:tc>
      </w:tr>
      <w:tr w:rsidR="00E42EB4" w:rsidRPr="00E42EB4" w14:paraId="21877B17" w14:textId="77777777" w:rsidTr="00E42EB4">
        <w:trPr>
          <w:trHeight w:val="2663"/>
          <w:jc w:val="center"/>
        </w:trPr>
        <w:tc>
          <w:tcPr>
            <w:tcW w:w="4050" w:type="dxa"/>
            <w:tcBorders>
              <w:top w:val="single" w:sz="4" w:space="0" w:color="auto"/>
              <w:left w:val="single" w:sz="4" w:space="0" w:color="auto"/>
              <w:bottom w:val="single" w:sz="4" w:space="0" w:color="auto"/>
              <w:right w:val="single" w:sz="4" w:space="0" w:color="auto"/>
            </w:tcBorders>
            <w:hideMark/>
          </w:tcPr>
          <w:p w14:paraId="0DA776DB" w14:textId="6BA69026" w:rsidR="00E42EB4" w:rsidRPr="00E42EB4" w:rsidRDefault="00E42EB4" w:rsidP="00E42EB4">
            <w:pPr>
              <w:spacing w:after="160"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mc:AlternateContent>
                <mc:Choice Requires="wps">
                  <w:drawing>
                    <wp:anchor distT="45720" distB="45720" distL="114300" distR="114300" simplePos="0" relativeHeight="251659264" behindDoc="0" locked="0" layoutInCell="1" allowOverlap="1" wp14:anchorId="51AD2EA3" wp14:editId="4CA83282">
                      <wp:simplePos x="0" y="0"/>
                      <wp:positionH relativeFrom="column">
                        <wp:posOffset>215900</wp:posOffset>
                      </wp:positionH>
                      <wp:positionV relativeFrom="paragraph">
                        <wp:posOffset>466725</wp:posOffset>
                      </wp:positionV>
                      <wp:extent cx="1914525" cy="723900"/>
                      <wp:effectExtent l="0" t="0" r="9525" b="0"/>
                      <wp:wrapNone/>
                      <wp:docPr id="21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723900"/>
                              </a:xfrm>
                              <a:prstGeom prst="rect">
                                <a:avLst/>
                              </a:prstGeom>
                              <a:solidFill>
                                <a:srgbClr val="FFFFFF"/>
                              </a:solidFill>
                              <a:ln w="9525">
                                <a:noFill/>
                                <a:miter lim="800000"/>
                                <a:headEnd/>
                                <a:tailEnd/>
                              </a:ln>
                            </wps:spPr>
                            <wps:txbx>
                              <w:txbxContent>
                                <w:p w14:paraId="6D6EB5FC" w14:textId="77777777" w:rsidR="00E42EB4" w:rsidRDefault="00E42EB4" w:rsidP="00E42EB4">
                                  <w:pPr>
                                    <w:jc w:val="center"/>
                                    <w:rPr>
                                      <w:sz w:val="20"/>
                                    </w:rPr>
                                  </w:pPr>
                                  <w:r>
                                    <w:rPr>
                                      <w:sz w:val="20"/>
                                    </w:rPr>
                                    <w:t>Consumers, Employees, Non-Governmental Organisations (NGOs)</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D2EA3" id="Text Box 8" o:spid="_x0000_s1029" type="#_x0000_t202" style="position:absolute;left:0;text-align:left;margin-left:17pt;margin-top:36.75pt;width:150.75pt;height:57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" stroked="f">
                      <v:textbox>
                        <w:txbxContent>
                          <w:p w14:paraId="6D6EB5FC" w14:textId="77777777" w:rsidR="00E42EB4" w:rsidRDefault="00E42EB4" w:rsidP="00E42EB4">
                            <w:pPr>
                              <w:jc w:val="center"/>
                              <w:rPr>
                                <w:sz w:val="20"/>
                              </w:rPr>
                            </w:pPr>
                            <w:r>
                              <w:rPr>
                                <w:sz w:val="20"/>
                              </w:rPr>
                              <w:t>Consumers, Employees, Non-Governmental Organisations (NGOs)</w:t>
                            </w:r>
                          </w:p>
                        </w:txbxContent>
                      </v:textbox>
                    </v:shape>
                  </w:pict>
                </mc:Fallback>
              </mc:AlternateContent>
            </w:r>
          </w:p>
        </w:tc>
        <w:tc>
          <w:tcPr>
            <w:tcW w:w="4140" w:type="dxa"/>
            <w:tcBorders>
              <w:top w:val="single" w:sz="4" w:space="0" w:color="auto"/>
              <w:left w:val="single" w:sz="4" w:space="0" w:color="auto"/>
              <w:bottom w:val="single" w:sz="4" w:space="0" w:color="auto"/>
              <w:right w:val="single" w:sz="4" w:space="0" w:color="auto"/>
            </w:tcBorders>
            <w:hideMark/>
          </w:tcPr>
          <w:p w14:paraId="6C876701" w14:textId="0CE1469E" w:rsidR="00E42EB4" w:rsidRPr="00E42EB4" w:rsidRDefault="00E42EB4" w:rsidP="00E42EB4">
            <w:pPr>
              <w:spacing w:after="160"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mc:AlternateContent>
                <mc:Choice Requires="wps">
                  <w:drawing>
                    <wp:anchor distT="45720" distB="45720" distL="114300" distR="114300" simplePos="0" relativeHeight="251661312" behindDoc="0" locked="0" layoutInCell="1" allowOverlap="1" wp14:anchorId="7BE305BE" wp14:editId="675A43A0">
                      <wp:simplePos x="0" y="0"/>
                      <wp:positionH relativeFrom="column">
                        <wp:posOffset>158750</wp:posOffset>
                      </wp:positionH>
                      <wp:positionV relativeFrom="paragraph">
                        <wp:posOffset>666750</wp:posOffset>
                      </wp:positionV>
                      <wp:extent cx="1914525" cy="723900"/>
                      <wp:effectExtent l="0" t="0" r="9525" b="0"/>
                      <wp:wrapNone/>
                      <wp:docPr id="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723900"/>
                              </a:xfrm>
                              <a:prstGeom prst="rect">
                                <a:avLst/>
                              </a:prstGeom>
                              <a:solidFill>
                                <a:srgbClr val="FFFFFF"/>
                              </a:solidFill>
                              <a:ln w="9525">
                                <a:noFill/>
                                <a:miter lim="800000"/>
                                <a:headEnd/>
                                <a:tailEnd/>
                              </a:ln>
                            </wps:spPr>
                            <wps:txbx>
                              <w:txbxContent>
                                <w:p w14:paraId="38056C54" w14:textId="77777777" w:rsidR="00E42EB4" w:rsidRDefault="00E42EB4" w:rsidP="00E42EB4">
                                  <w:pPr>
                                    <w:jc w:val="center"/>
                                    <w:rPr>
                                      <w:sz w:val="20"/>
                                    </w:rPr>
                                  </w:pPr>
                                  <w:r>
                                    <w:rPr>
                                      <w:sz w:val="20"/>
                                    </w:rPr>
                                    <w:t>Institutional investors (e.g., Climate Action 100+), Executive leadership, Regulators</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E305BE" id="Text Box 7" o:spid="_x0000_s1030" type="#_x0000_t202" style="position:absolute;left:0;text-align:left;margin-left:12.5pt;margin-top:52.5pt;width:150.75pt;height:5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" stroked="f">
                      <v:textbox>
                        <w:txbxContent>
                          <w:p w14:paraId="38056C54" w14:textId="77777777" w:rsidR="00E42EB4" w:rsidRDefault="00E42EB4" w:rsidP="00E42EB4">
                            <w:pPr>
                              <w:jc w:val="center"/>
                              <w:rPr>
                                <w:sz w:val="20"/>
                              </w:rPr>
                            </w:pPr>
                            <w:r>
                              <w:rPr>
                                <w:sz w:val="20"/>
                              </w:rPr>
                              <w:t>Institutional investors (e.g., Climate Action 100+), Executive leadership, Regulators</w:t>
                            </w:r>
                          </w:p>
                        </w:txbxContent>
                      </v:textbox>
                    </v:shape>
                  </w:pict>
                </mc:Fallback>
              </mc:AlternateContent>
            </w:r>
          </w:p>
        </w:tc>
      </w:tr>
      <w:tr w:rsidR="00E42EB4" w:rsidRPr="00E42EB4" w14:paraId="3EE7C87E" w14:textId="77777777" w:rsidTr="00E42EB4">
        <w:trPr>
          <w:trHeight w:val="2690"/>
          <w:jc w:val="center"/>
        </w:trPr>
        <w:tc>
          <w:tcPr>
            <w:tcW w:w="4050" w:type="dxa"/>
            <w:tcBorders>
              <w:top w:val="single" w:sz="4" w:space="0" w:color="auto"/>
              <w:left w:val="single" w:sz="4" w:space="0" w:color="auto"/>
              <w:bottom w:val="single" w:sz="4" w:space="0" w:color="auto"/>
              <w:right w:val="single" w:sz="4" w:space="0" w:color="auto"/>
            </w:tcBorders>
            <w:hideMark/>
          </w:tcPr>
          <w:p w14:paraId="6589E038" w14:textId="0102E98E" w:rsidR="00E42EB4" w:rsidRPr="00E42EB4" w:rsidRDefault="00E42EB4" w:rsidP="00E42EB4">
            <w:pPr>
              <w:spacing w:after="160"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mc:AlternateContent>
                <mc:Choice Requires="wps">
                  <w:drawing>
                    <wp:anchor distT="45720" distB="45720" distL="114300" distR="114300" simplePos="0" relativeHeight="251660288" behindDoc="0" locked="0" layoutInCell="1" allowOverlap="1" wp14:anchorId="4F6044C1" wp14:editId="6D3763F7">
                      <wp:simplePos x="0" y="0"/>
                      <wp:positionH relativeFrom="column">
                        <wp:posOffset>196850</wp:posOffset>
                      </wp:positionH>
                      <wp:positionV relativeFrom="paragraph">
                        <wp:posOffset>474345</wp:posOffset>
                      </wp:positionV>
                      <wp:extent cx="1914525" cy="723900"/>
                      <wp:effectExtent l="0" t="0" r="9525" b="0"/>
                      <wp:wrapNone/>
                      <wp:docPr id="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723900"/>
                              </a:xfrm>
                              <a:prstGeom prst="rect">
                                <a:avLst/>
                              </a:prstGeom>
                              <a:solidFill>
                                <a:srgbClr val="FFFFFF"/>
                              </a:solidFill>
                              <a:ln w="9525">
                                <a:noFill/>
                                <a:miter lim="800000"/>
                                <a:headEnd/>
                                <a:tailEnd/>
                              </a:ln>
                            </wps:spPr>
                            <wps:txbx>
                              <w:txbxContent>
                                <w:p w14:paraId="4977A1EE" w14:textId="77777777" w:rsidR="00E42EB4" w:rsidRDefault="00E42EB4" w:rsidP="00E42EB4">
                                  <w:pPr>
                                    <w:jc w:val="center"/>
                                    <w:rPr>
                                      <w:sz w:val="20"/>
                                    </w:rPr>
                                  </w:pPr>
                                  <w:r>
                                    <w:rPr>
                                      <w:sz w:val="20"/>
                                    </w:rPr>
                                    <w:t>General public, local communities not directly impacted</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6044C1" id="Text Box 6" o:spid="_x0000_s1031" type="#_x0000_t202" style="position:absolute;left:0;text-align:left;margin-left:15.5pt;margin-top:37.35pt;width:150.75pt;height:5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" stroked="f">
                      <v:textbox>
                        <w:txbxContent>
                          <w:p w14:paraId="4977A1EE" w14:textId="77777777" w:rsidR="00E42EB4" w:rsidRDefault="00E42EB4" w:rsidP="00E42EB4">
                            <w:pPr>
                              <w:jc w:val="center"/>
                              <w:rPr>
                                <w:sz w:val="20"/>
                              </w:rPr>
                            </w:pPr>
                            <w:r>
                              <w:rPr>
                                <w:sz w:val="20"/>
                              </w:rPr>
                              <w:t>General public, local communities not directly impacted</w:t>
                            </w:r>
                          </w:p>
                        </w:txbxContent>
                      </v:textbox>
                    </v:shape>
                  </w:pict>
                </mc:Fallback>
              </mc:AlternateContent>
            </w:r>
          </w:p>
        </w:tc>
        <w:tc>
          <w:tcPr>
            <w:tcW w:w="4140" w:type="dxa"/>
            <w:tcBorders>
              <w:top w:val="single" w:sz="4" w:space="0" w:color="auto"/>
              <w:left w:val="single" w:sz="4" w:space="0" w:color="auto"/>
              <w:bottom w:val="single" w:sz="4" w:space="0" w:color="auto"/>
              <w:right w:val="single" w:sz="4" w:space="0" w:color="auto"/>
            </w:tcBorders>
            <w:hideMark/>
          </w:tcPr>
          <w:p w14:paraId="756BAD64" w14:textId="02A9B10A" w:rsidR="00E42EB4" w:rsidRPr="00E42EB4" w:rsidRDefault="00E42EB4" w:rsidP="00E42EB4">
            <w:pPr>
              <w:spacing w:after="160"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mc:AlternateContent>
                <mc:Choice Requires="wps">
                  <w:drawing>
                    <wp:anchor distT="45720" distB="45720" distL="114300" distR="114300" simplePos="0" relativeHeight="251662336" behindDoc="0" locked="0" layoutInCell="1" allowOverlap="1" wp14:anchorId="3B3A8E55" wp14:editId="1D3E860F">
                      <wp:simplePos x="0" y="0"/>
                      <wp:positionH relativeFrom="column">
                        <wp:posOffset>226695</wp:posOffset>
                      </wp:positionH>
                      <wp:positionV relativeFrom="paragraph">
                        <wp:posOffset>704215</wp:posOffset>
                      </wp:positionV>
                      <wp:extent cx="1914525" cy="323850"/>
                      <wp:effectExtent l="0" t="0" r="9525" b="0"/>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323850"/>
                              </a:xfrm>
                              <a:prstGeom prst="rect">
                                <a:avLst/>
                              </a:prstGeom>
                              <a:solidFill>
                                <a:srgbClr val="FFFFFF"/>
                              </a:solidFill>
                              <a:ln w="9525">
                                <a:noFill/>
                                <a:miter lim="800000"/>
                                <a:headEnd/>
                                <a:tailEnd/>
                              </a:ln>
                            </wps:spPr>
                            <wps:txbx>
                              <w:txbxContent>
                                <w:p w14:paraId="50B00669" w14:textId="77777777" w:rsidR="00E42EB4" w:rsidRDefault="00E42EB4" w:rsidP="00E42EB4">
                                  <w:pPr>
                                    <w:jc w:val="center"/>
                                    <w:rPr>
                                      <w:sz w:val="20"/>
                                    </w:rPr>
                                  </w:pPr>
                                  <w:r>
                                    <w:rPr>
                                      <w:sz w:val="20"/>
                                    </w:rPr>
                                    <w:t>Governments, Media</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A8E55" id="Text Box 5" o:spid="_x0000_s1032" type="#_x0000_t202" style="position:absolute;left:0;text-align:left;margin-left:17.85pt;margin-top:55.45pt;width:150.75pt;height:25.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" stroked="f">
                      <v:textbox>
                        <w:txbxContent>
                          <w:p w14:paraId="50B00669" w14:textId="77777777" w:rsidR="00E42EB4" w:rsidRDefault="00E42EB4" w:rsidP="00E42EB4">
                            <w:pPr>
                              <w:jc w:val="center"/>
                              <w:rPr>
                                <w:sz w:val="20"/>
                              </w:rPr>
                            </w:pPr>
                            <w:r>
                              <w:rPr>
                                <w:sz w:val="20"/>
                              </w:rPr>
                              <w:t>Governments, Media</w:t>
                            </w:r>
                          </w:p>
                        </w:txbxContent>
                      </v:textbox>
                    </v:shape>
                  </w:pict>
                </mc:Fallback>
              </mc:AlternateContent>
            </w:r>
          </w:p>
        </w:tc>
      </w:tr>
      <w:tr w:rsidR="00E42EB4" w:rsidRPr="00E42EB4" w14:paraId="3F068DDE" w14:textId="77777777" w:rsidTr="00E42EB4">
        <w:trPr>
          <w:jc w:val="center"/>
        </w:trPr>
        <w:tc>
          <w:tcPr>
            <w:tcW w:w="4050" w:type="dxa"/>
            <w:tcBorders>
              <w:top w:val="single" w:sz="4" w:space="0" w:color="auto"/>
              <w:left w:val="nil"/>
              <w:bottom w:val="nil"/>
              <w:right w:val="nil"/>
            </w:tcBorders>
          </w:tcPr>
          <w:p w14:paraId="5D036AA7" w14:textId="77777777" w:rsidR="00E42EB4" w:rsidRPr="00E42EB4" w:rsidRDefault="00E42EB4" w:rsidP="00E42EB4">
            <w:pPr>
              <w:spacing w:after="160" w:line="360" w:lineRule="auto"/>
              <w:jc w:val="both"/>
              <w:rPr>
                <w:rFonts w:ascii="Times New Roman" w:hAnsi="Times New Roman" w:cs="Times New Roman"/>
                <w:i/>
                <w:sz w:val="24"/>
                <w:szCs w:val="24"/>
              </w:rPr>
            </w:pPr>
          </w:p>
        </w:tc>
        <w:tc>
          <w:tcPr>
            <w:tcW w:w="4140" w:type="dxa"/>
            <w:tcBorders>
              <w:top w:val="single" w:sz="4" w:space="0" w:color="auto"/>
              <w:left w:val="nil"/>
              <w:bottom w:val="nil"/>
              <w:right w:val="nil"/>
            </w:tcBorders>
          </w:tcPr>
          <w:p w14:paraId="671F838C" w14:textId="77777777" w:rsidR="00E42EB4" w:rsidRPr="00E42EB4" w:rsidRDefault="00E42EB4" w:rsidP="00E42EB4">
            <w:pPr>
              <w:spacing w:after="160" w:line="360" w:lineRule="auto"/>
              <w:jc w:val="both"/>
              <w:rPr>
                <w:rFonts w:ascii="Times New Roman" w:hAnsi="Times New Roman" w:cs="Times New Roman"/>
                <w:i/>
                <w:sz w:val="24"/>
                <w:szCs w:val="24"/>
              </w:rPr>
            </w:pPr>
          </w:p>
        </w:tc>
      </w:tr>
    </w:tbl>
    <w:p w14:paraId="797D48B9" w14:textId="77777777"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rPr>
        <w:t xml:space="preserve">Figure </w:t>
      </w:r>
      <w:r w:rsidRPr="00E42EB4">
        <w:rPr>
          <w:rFonts w:ascii="Times New Roman" w:hAnsi="Times New Roman" w:cs="Times New Roman"/>
          <w:i/>
          <w:sz w:val="24"/>
          <w:szCs w:val="24"/>
        </w:rPr>
        <w:fldChar w:fldCharType="begin"/>
      </w:r>
      <w:r w:rsidRPr="00E42EB4">
        <w:rPr>
          <w:rFonts w:ascii="Times New Roman" w:hAnsi="Times New Roman" w:cs="Times New Roman"/>
          <w:i/>
          <w:sz w:val="24"/>
          <w:szCs w:val="24"/>
        </w:rPr>
        <w:instrText xml:space="preserve"> SEQ Figure \* ARABIC </w:instrText>
      </w:r>
      <w:r w:rsidRPr="00E42EB4">
        <w:rPr>
          <w:rFonts w:ascii="Times New Roman" w:hAnsi="Times New Roman" w:cs="Times New Roman"/>
          <w:i/>
          <w:sz w:val="24"/>
          <w:szCs w:val="24"/>
        </w:rPr>
        <w:fldChar w:fldCharType="separate"/>
      </w:r>
      <w:r w:rsidRPr="00E42EB4">
        <w:rPr>
          <w:rFonts w:ascii="Times New Roman" w:hAnsi="Times New Roman" w:cs="Times New Roman"/>
          <w:i/>
          <w:sz w:val="24"/>
          <w:szCs w:val="24"/>
        </w:rPr>
        <w:t>2</w:t>
      </w:r>
      <w:r w:rsidRPr="00E42EB4">
        <w:rPr>
          <w:rFonts w:ascii="Times New Roman" w:hAnsi="Times New Roman" w:cs="Times New Roman"/>
          <w:sz w:val="24"/>
          <w:szCs w:val="24"/>
        </w:rPr>
        <w:fldChar w:fldCharType="end"/>
      </w:r>
      <w:r w:rsidRPr="00E42EB4">
        <w:rPr>
          <w:rFonts w:ascii="Times New Roman" w:hAnsi="Times New Roman" w:cs="Times New Roman"/>
          <w:i/>
          <w:sz w:val="24"/>
          <w:szCs w:val="24"/>
        </w:rPr>
        <w:t>, Stakeholder Matrix</w:t>
      </w:r>
    </w:p>
    <w:p w14:paraId="565BE18F" w14:textId="77777777"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rPr>
        <w:t>Source: (Own Illustration)</w:t>
      </w:r>
    </w:p>
    <w:p w14:paraId="1DE90AA3" w14:textId="77777777" w:rsidR="00E42EB4" w:rsidRDefault="00E42EB4" w:rsidP="00853EA6">
      <w:pPr>
        <w:pStyle w:val="Heading2"/>
        <w:jc w:val="center"/>
      </w:pPr>
      <w:bookmarkStart w:id="12" w:name="_Toc203846081"/>
      <w:r w:rsidRPr="00E42EB4">
        <w:t>2.4 Global Leadership Challenges</w:t>
      </w:r>
      <w:bookmarkEnd w:id="12"/>
    </w:p>
    <w:p w14:paraId="31DD43AF" w14:textId="77777777" w:rsidR="00853EA6" w:rsidRPr="00853EA6" w:rsidRDefault="00853EA6" w:rsidP="00853EA6"/>
    <w:p w14:paraId="1049C0F8"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Despite Unilever’s strong sustainability commitments, the company encounters leadership challenges in markets with unequal regulations and limited waste</w:t>
      </w:r>
      <w:r w:rsidRPr="00E42EB4">
        <w:rPr>
          <w:rFonts w:ascii="Times New Roman" w:hAnsi="Times New Roman" w:cs="Times New Roman"/>
          <w:sz w:val="24"/>
          <w:szCs w:val="24"/>
        </w:rPr>
        <w:noBreakHyphen/>
        <w:t>management infrastructure. In India, six refill stations piloted in Mumbai during 2021–22 sold only around ten bottles’ worth of product per day, highlighting low consumer uptake and logistical barriers (</w:t>
      </w:r>
      <w:r w:rsidRPr="00E42EB4">
        <w:rPr>
          <w:rFonts w:ascii="Times New Roman" w:hAnsi="Times New Roman" w:cs="Times New Roman"/>
          <w:sz w:val="24"/>
          <w:szCs w:val="24"/>
          <w:lang w:val="en-US"/>
        </w:rPr>
        <w:t>Rappler, 2022)</w:t>
      </w:r>
      <w:r w:rsidRPr="00E42EB4">
        <w:rPr>
          <w:rFonts w:ascii="Times New Roman" w:hAnsi="Times New Roman" w:cs="Times New Roman"/>
          <w:sz w:val="24"/>
          <w:szCs w:val="24"/>
        </w:rPr>
        <w:t xml:space="preserve">.  </w:t>
      </w:r>
      <w:r w:rsidRPr="00E42EB4">
        <w:rPr>
          <w:rFonts w:ascii="Times New Roman" w:hAnsi="Times New Roman" w:cs="Times New Roman"/>
          <w:sz w:val="24"/>
          <w:szCs w:val="24"/>
          <w:lang w:val="en-US"/>
        </w:rPr>
        <w:t xml:space="preserve">Lovelace (2025) observed that </w:t>
      </w:r>
      <w:r w:rsidRPr="00E42EB4">
        <w:rPr>
          <w:rFonts w:ascii="Times New Roman" w:hAnsi="Times New Roman" w:cs="Times New Roman"/>
          <w:sz w:val="24"/>
          <w:szCs w:val="24"/>
        </w:rPr>
        <w:t xml:space="preserve">in the Philippines, the 2019 “All Things Hair </w:t>
      </w:r>
      <w:proofErr w:type="spellStart"/>
      <w:r w:rsidRPr="00E42EB4">
        <w:rPr>
          <w:rFonts w:ascii="Times New Roman" w:hAnsi="Times New Roman" w:cs="Times New Roman"/>
          <w:sz w:val="24"/>
          <w:szCs w:val="24"/>
        </w:rPr>
        <w:t>Refillery</w:t>
      </w:r>
      <w:proofErr w:type="spellEnd"/>
      <w:r w:rsidRPr="00E42EB4">
        <w:rPr>
          <w:rFonts w:ascii="Times New Roman" w:hAnsi="Times New Roman" w:cs="Times New Roman"/>
          <w:sz w:val="24"/>
          <w:szCs w:val="24"/>
        </w:rPr>
        <w:t xml:space="preserve">” pilot in three Metro Manila malls was withdrawn within weeks due to minimal engagement and operational complexity. Unilever’s “Misis </w:t>
      </w:r>
      <w:proofErr w:type="spellStart"/>
      <w:r w:rsidRPr="00E42EB4">
        <w:rPr>
          <w:rFonts w:ascii="Times New Roman" w:hAnsi="Times New Roman" w:cs="Times New Roman"/>
          <w:sz w:val="24"/>
          <w:szCs w:val="24"/>
        </w:rPr>
        <w:t>Walastik</w:t>
      </w:r>
      <w:proofErr w:type="spellEnd"/>
      <w:r w:rsidRPr="00E42EB4">
        <w:rPr>
          <w:rFonts w:ascii="Times New Roman" w:hAnsi="Times New Roman" w:cs="Times New Roman"/>
          <w:sz w:val="24"/>
          <w:szCs w:val="24"/>
        </w:rPr>
        <w:t>” sachet</w:t>
      </w:r>
      <w:r w:rsidRPr="00E42EB4">
        <w:rPr>
          <w:rFonts w:ascii="Times New Roman" w:hAnsi="Times New Roman" w:cs="Times New Roman"/>
          <w:sz w:val="24"/>
          <w:szCs w:val="24"/>
        </w:rPr>
        <w:noBreakHyphen/>
        <w:t xml:space="preserve">recovery programme in nearly </w:t>
      </w:r>
      <w:r w:rsidRPr="00E42EB4">
        <w:rPr>
          <w:rFonts w:ascii="Times New Roman" w:hAnsi="Times New Roman" w:cs="Times New Roman"/>
          <w:sz w:val="24"/>
          <w:szCs w:val="24"/>
        </w:rPr>
        <w:lastRenderedPageBreak/>
        <w:t xml:space="preserve">400 barangays around Manila depends heavily on informal waste collectors and faces challenges scaling beyond its existing footprint </w:t>
      </w:r>
      <w:proofErr w:type="gramStart"/>
      <w:r w:rsidRPr="00E42EB4">
        <w:rPr>
          <w:rFonts w:ascii="Times New Roman" w:hAnsi="Times New Roman" w:cs="Times New Roman"/>
          <w:sz w:val="24"/>
          <w:szCs w:val="24"/>
          <w:lang w:val="en-US"/>
        </w:rPr>
        <w:t>‌(</w:t>
      </w:r>
      <w:proofErr w:type="gramEnd"/>
      <w:r w:rsidRPr="00E42EB4">
        <w:rPr>
          <w:rFonts w:ascii="Times New Roman" w:hAnsi="Times New Roman" w:cs="Times New Roman"/>
          <w:sz w:val="24"/>
          <w:szCs w:val="24"/>
          <w:lang w:val="en-US"/>
        </w:rPr>
        <w:t>GMA News, 2015)</w:t>
      </w:r>
      <w:r w:rsidRPr="00E42EB4">
        <w:rPr>
          <w:rFonts w:ascii="Times New Roman" w:hAnsi="Times New Roman" w:cs="Times New Roman"/>
          <w:sz w:val="24"/>
          <w:szCs w:val="24"/>
        </w:rPr>
        <w:t>.</w:t>
      </w:r>
    </w:p>
    <w:p w14:paraId="787CB4F2" w14:textId="5C0B7E23"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lang w:val="en-US"/>
        </w:rPr>
        <w:drawing>
          <wp:inline distT="0" distB="0" distL="0" distR="0" wp14:anchorId="688D2272" wp14:editId="1A5F7B57">
            <wp:extent cx="5076825" cy="2667000"/>
            <wp:effectExtent l="0" t="0" r="9525" b="0"/>
            <wp:docPr id="2091798995" name="Picture 2" descr="Why do you continue to sell plastic sachets?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y do you continue to sell plastic sachets? | Unilev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6825" cy="2667000"/>
                    </a:xfrm>
                    <a:prstGeom prst="rect">
                      <a:avLst/>
                    </a:prstGeom>
                    <a:noFill/>
                    <a:ln>
                      <a:noFill/>
                    </a:ln>
                  </pic:spPr>
                </pic:pic>
              </a:graphicData>
            </a:graphic>
          </wp:inline>
        </w:drawing>
      </w:r>
    </w:p>
    <w:p w14:paraId="6336935C" w14:textId="77777777"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rPr>
        <w:t xml:space="preserve">Figure </w:t>
      </w:r>
      <w:r w:rsidRPr="00E42EB4">
        <w:rPr>
          <w:rFonts w:ascii="Times New Roman" w:hAnsi="Times New Roman" w:cs="Times New Roman"/>
          <w:i/>
          <w:sz w:val="24"/>
          <w:szCs w:val="24"/>
        </w:rPr>
        <w:fldChar w:fldCharType="begin"/>
      </w:r>
      <w:r w:rsidRPr="00E42EB4">
        <w:rPr>
          <w:rFonts w:ascii="Times New Roman" w:hAnsi="Times New Roman" w:cs="Times New Roman"/>
          <w:i/>
          <w:sz w:val="24"/>
          <w:szCs w:val="24"/>
        </w:rPr>
        <w:instrText xml:space="preserve"> SEQ Figure \* ARABIC </w:instrText>
      </w:r>
      <w:r w:rsidRPr="00E42EB4">
        <w:rPr>
          <w:rFonts w:ascii="Times New Roman" w:hAnsi="Times New Roman" w:cs="Times New Roman"/>
          <w:i/>
          <w:sz w:val="24"/>
          <w:szCs w:val="24"/>
        </w:rPr>
        <w:fldChar w:fldCharType="separate"/>
      </w:r>
      <w:r w:rsidRPr="00E42EB4">
        <w:rPr>
          <w:rFonts w:ascii="Times New Roman" w:hAnsi="Times New Roman" w:cs="Times New Roman"/>
          <w:i/>
          <w:sz w:val="24"/>
          <w:szCs w:val="24"/>
        </w:rPr>
        <w:t>3</w:t>
      </w:r>
      <w:r w:rsidRPr="00E42EB4">
        <w:rPr>
          <w:rFonts w:ascii="Times New Roman" w:hAnsi="Times New Roman" w:cs="Times New Roman"/>
          <w:sz w:val="24"/>
          <w:szCs w:val="24"/>
        </w:rPr>
        <w:fldChar w:fldCharType="end"/>
      </w:r>
      <w:r w:rsidRPr="00E42EB4">
        <w:rPr>
          <w:rFonts w:ascii="Times New Roman" w:hAnsi="Times New Roman" w:cs="Times New Roman"/>
          <w:i/>
          <w:sz w:val="24"/>
          <w:szCs w:val="24"/>
        </w:rPr>
        <w:t xml:space="preserve">.Misis </w:t>
      </w:r>
      <w:proofErr w:type="spellStart"/>
      <w:r w:rsidRPr="00E42EB4">
        <w:rPr>
          <w:rFonts w:ascii="Times New Roman" w:hAnsi="Times New Roman" w:cs="Times New Roman"/>
          <w:i/>
          <w:sz w:val="24"/>
          <w:szCs w:val="24"/>
        </w:rPr>
        <w:t>Walastik</w:t>
      </w:r>
      <w:proofErr w:type="spellEnd"/>
    </w:p>
    <w:p w14:paraId="3FC01C8B" w14:textId="77777777"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rPr>
        <w:t xml:space="preserve"> Source: (Unilever PLC, 2022)</w:t>
      </w:r>
    </w:p>
    <w:p w14:paraId="4813DE75"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Unilever’s palm oil sourcing involves ethical challenges such as deforestation, human rights violations, and biodiversity loss. Although Unilever committed to a 100% deforestation</w:t>
      </w:r>
      <w:r w:rsidRPr="00E42EB4">
        <w:rPr>
          <w:rFonts w:ascii="Times New Roman" w:hAnsi="Times New Roman" w:cs="Times New Roman"/>
          <w:sz w:val="24"/>
          <w:szCs w:val="24"/>
        </w:rPr>
        <w:noBreakHyphen/>
        <w:t>free supply chain by 2023, only 97.5% of its palm oil volumes were independently verified as deforestation</w:t>
      </w:r>
      <w:r w:rsidRPr="00E42EB4">
        <w:rPr>
          <w:rFonts w:ascii="Times New Roman" w:hAnsi="Times New Roman" w:cs="Times New Roman"/>
          <w:sz w:val="24"/>
          <w:szCs w:val="24"/>
        </w:rPr>
        <w:noBreakHyphen/>
        <w:t xml:space="preserve">free at the end of 2023, and traceability to plantation level reached 98.7%, indicating persistent gaps (Unilever PLC, 2024; </w:t>
      </w:r>
      <w:r w:rsidRPr="00E42EB4">
        <w:rPr>
          <w:rFonts w:ascii="Times New Roman" w:hAnsi="Times New Roman" w:cs="Times New Roman"/>
          <w:sz w:val="24"/>
          <w:szCs w:val="24"/>
          <w:lang w:val="en-US"/>
        </w:rPr>
        <w:t>‌</w:t>
      </w:r>
      <w:r w:rsidRPr="00E42EB4">
        <w:rPr>
          <w:rFonts w:ascii="Times New Roman" w:hAnsi="Times New Roman" w:cs="Times New Roman"/>
          <w:sz w:val="24"/>
          <w:szCs w:val="24"/>
        </w:rPr>
        <w:t>Unilever PLC, 2021). The company has invested in satellite monitoring, geolocation tracking, blockchain, and AI to enhance transparency. Joe (2021) emphasised that environmental NGOs have criticised the Roundtable on Sustainable Palm Oil’s auditing regime for inadequate enforcement and flawed third</w:t>
      </w:r>
      <w:r w:rsidRPr="00E42EB4">
        <w:rPr>
          <w:rFonts w:ascii="Times New Roman" w:hAnsi="Times New Roman" w:cs="Times New Roman"/>
          <w:sz w:val="24"/>
          <w:szCs w:val="24"/>
        </w:rPr>
        <w:noBreakHyphen/>
        <w:t>party assessments. Unilever has also advocated within the Tropical Forest Alliance for mandatory deforestation due diligence under emerging EU legislation (Unilever PLC, 2025). Under CEO Alan Jope, the company linked executive incentives to sustainability targets and launched a €1 billion Climate &amp; Nature Fund to protect forests and biodiversity (Unilever PLC, 2020).</w:t>
      </w:r>
    </w:p>
    <w:p w14:paraId="3D49FFCD" w14:textId="1C03E0C1"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lang w:val="en-US"/>
        </w:rPr>
        <w:lastRenderedPageBreak/>
        <w:drawing>
          <wp:inline distT="0" distB="0" distL="0" distR="0" wp14:anchorId="096F5B17" wp14:editId="0051DDD7">
            <wp:extent cx="5731510" cy="2921000"/>
            <wp:effectExtent l="0" t="0" r="2540" b="0"/>
            <wp:docPr id="2100314746" name="Picture 1" descr="A blue and white photo of a snowy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14746" name="Picture 1" descr="A blue and white photo of a snowy mountai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21000"/>
                    </a:xfrm>
                    <a:prstGeom prst="rect">
                      <a:avLst/>
                    </a:prstGeom>
                    <a:noFill/>
                    <a:ln>
                      <a:noFill/>
                    </a:ln>
                  </pic:spPr>
                </pic:pic>
              </a:graphicData>
            </a:graphic>
          </wp:inline>
        </w:drawing>
      </w:r>
    </w:p>
    <w:p w14:paraId="5AE73862" w14:textId="77777777" w:rsidR="00E42EB4" w:rsidRPr="00E42EB4" w:rsidRDefault="00E42EB4" w:rsidP="00E42EB4">
      <w:pPr>
        <w:spacing w:line="360" w:lineRule="auto"/>
        <w:jc w:val="both"/>
        <w:rPr>
          <w:rFonts w:ascii="Times New Roman" w:hAnsi="Times New Roman" w:cs="Times New Roman"/>
          <w:i/>
          <w:sz w:val="24"/>
          <w:szCs w:val="24"/>
        </w:rPr>
      </w:pPr>
      <w:r w:rsidRPr="00E42EB4">
        <w:rPr>
          <w:rFonts w:ascii="Times New Roman" w:hAnsi="Times New Roman" w:cs="Times New Roman"/>
          <w:i/>
          <w:sz w:val="24"/>
          <w:szCs w:val="24"/>
        </w:rPr>
        <w:t xml:space="preserve">Figure </w:t>
      </w:r>
      <w:r w:rsidRPr="00E42EB4">
        <w:rPr>
          <w:rFonts w:ascii="Times New Roman" w:hAnsi="Times New Roman" w:cs="Times New Roman"/>
          <w:i/>
          <w:sz w:val="24"/>
          <w:szCs w:val="24"/>
        </w:rPr>
        <w:fldChar w:fldCharType="begin"/>
      </w:r>
      <w:r w:rsidRPr="00E42EB4">
        <w:rPr>
          <w:rFonts w:ascii="Times New Roman" w:hAnsi="Times New Roman" w:cs="Times New Roman"/>
          <w:i/>
          <w:sz w:val="24"/>
          <w:szCs w:val="24"/>
        </w:rPr>
        <w:instrText xml:space="preserve"> SEQ Figure \* ARABIC </w:instrText>
      </w:r>
      <w:r w:rsidRPr="00E42EB4">
        <w:rPr>
          <w:rFonts w:ascii="Times New Roman" w:hAnsi="Times New Roman" w:cs="Times New Roman"/>
          <w:i/>
          <w:sz w:val="24"/>
          <w:szCs w:val="24"/>
        </w:rPr>
        <w:fldChar w:fldCharType="separate"/>
      </w:r>
      <w:r w:rsidRPr="00E42EB4">
        <w:rPr>
          <w:rFonts w:ascii="Times New Roman" w:hAnsi="Times New Roman" w:cs="Times New Roman"/>
          <w:i/>
          <w:sz w:val="24"/>
          <w:szCs w:val="24"/>
        </w:rPr>
        <w:t>4</w:t>
      </w:r>
      <w:r w:rsidRPr="00E42EB4">
        <w:rPr>
          <w:rFonts w:ascii="Times New Roman" w:hAnsi="Times New Roman" w:cs="Times New Roman"/>
          <w:sz w:val="24"/>
          <w:szCs w:val="24"/>
        </w:rPr>
        <w:fldChar w:fldCharType="end"/>
      </w:r>
      <w:r w:rsidRPr="00E42EB4">
        <w:rPr>
          <w:rFonts w:ascii="Times New Roman" w:hAnsi="Times New Roman" w:cs="Times New Roman"/>
          <w:i/>
          <w:sz w:val="24"/>
          <w:szCs w:val="24"/>
        </w:rPr>
        <w:t>. Alan Jope on Climate Crises</w:t>
      </w:r>
    </w:p>
    <w:p w14:paraId="736AEA6E"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i/>
          <w:sz w:val="24"/>
          <w:szCs w:val="24"/>
        </w:rPr>
        <w:t>Source: (Unilever PLC, 2020)</w:t>
      </w:r>
    </w:p>
    <w:p w14:paraId="67B06E34" w14:textId="77777777" w:rsidR="00E42EB4" w:rsidRDefault="00E42EB4" w:rsidP="00853EA6">
      <w:pPr>
        <w:pStyle w:val="Heading1"/>
        <w:jc w:val="center"/>
      </w:pPr>
      <w:bookmarkStart w:id="13" w:name="_Toc203846082"/>
      <w:r w:rsidRPr="00E42EB4">
        <w:t>3. Conclusion</w:t>
      </w:r>
      <w:bookmarkEnd w:id="13"/>
    </w:p>
    <w:p w14:paraId="79A4DCF3" w14:textId="77777777" w:rsidR="00853EA6" w:rsidRPr="00853EA6" w:rsidRDefault="00853EA6" w:rsidP="00853EA6"/>
    <w:p w14:paraId="76809E9F" w14:textId="3A7D996D"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 xml:space="preserve">This report has explained that the role played by multinational </w:t>
      </w:r>
      <w:proofErr w:type="gramStart"/>
      <w:r w:rsidRPr="00E42EB4">
        <w:rPr>
          <w:rFonts w:ascii="Times New Roman" w:hAnsi="Times New Roman" w:cs="Times New Roman"/>
          <w:sz w:val="24"/>
          <w:szCs w:val="24"/>
        </w:rPr>
        <w:t>corporations</w:t>
      </w:r>
      <w:proofErr w:type="gramEnd"/>
      <w:r w:rsidRPr="00E42EB4">
        <w:rPr>
          <w:rFonts w:ascii="Times New Roman" w:hAnsi="Times New Roman" w:cs="Times New Roman"/>
          <w:sz w:val="24"/>
          <w:szCs w:val="24"/>
        </w:rPr>
        <w:t xml:space="preserve"> leadership in the response to climate change across the world is not only essential but also complex. Based on the example of Unilever, it becomes clear that a properly led corporation with the assistance of ethical values, stakeholder involvement, and strategic focus can greatly contribute to climate action. A proactive outlook can be observed in the work of the company under the direction of names like Alan Jope, with its values and “brands with purpose,” and their aim to achieve net zero emissions. Nevertheless, tension still exists between commercial pressures, ethical trade-offs, and cross-market regulations. Unilever is a trend-setting example of climate-responsible leadership, and its story contains the lesson to be cautious about paying off stakeholder demands over long-term sustainability objectives. To the new generation of leaders, there is a need to give priority to transparency, go beyond mere token green actions, and establish strong ties with governments and civil society. This course of action not only extends ethical validity but also establishes dynamic and recoverable corporate strategies in a world that becomes </w:t>
      </w:r>
      <w:r w:rsidR="00853EA6" w:rsidRPr="00E42EB4">
        <w:rPr>
          <w:rFonts w:ascii="Times New Roman" w:hAnsi="Times New Roman" w:cs="Times New Roman"/>
          <w:sz w:val="24"/>
          <w:szCs w:val="24"/>
        </w:rPr>
        <w:t>climate susceptible</w:t>
      </w:r>
      <w:r w:rsidRPr="00E42EB4">
        <w:rPr>
          <w:rFonts w:ascii="Times New Roman" w:hAnsi="Times New Roman" w:cs="Times New Roman"/>
          <w:sz w:val="24"/>
          <w:szCs w:val="24"/>
        </w:rPr>
        <w:t>.</w:t>
      </w:r>
    </w:p>
    <w:p w14:paraId="3F5242E2"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br w:type="page"/>
      </w:r>
    </w:p>
    <w:p w14:paraId="51DC9B29" w14:textId="4C4E190A" w:rsidR="00E42EB4" w:rsidRDefault="00853EA6" w:rsidP="00853EA6">
      <w:pPr>
        <w:pStyle w:val="Heading1"/>
        <w:jc w:val="center"/>
      </w:pPr>
      <w:bookmarkStart w:id="14" w:name="_Toc203846083"/>
      <w:r>
        <w:lastRenderedPageBreak/>
        <w:t xml:space="preserve">4. </w:t>
      </w:r>
      <w:r w:rsidR="00E42EB4" w:rsidRPr="00E42EB4">
        <w:t>References</w:t>
      </w:r>
      <w:bookmarkEnd w:id="14"/>
    </w:p>
    <w:p w14:paraId="4741016D" w14:textId="77777777" w:rsidR="00853EA6" w:rsidRPr="00853EA6" w:rsidRDefault="00853EA6" w:rsidP="00853EA6"/>
    <w:p w14:paraId="1739638A"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 xml:space="preserve">Arslan, A. M., Wang, H., &amp; Rahman, A. U. (2025). Exploring the Relationship between Adaptive Organizational </w:t>
      </w:r>
      <w:proofErr w:type="spellStart"/>
      <w:r w:rsidRPr="00E42EB4">
        <w:rPr>
          <w:rFonts w:ascii="Times New Roman" w:hAnsi="Times New Roman" w:cs="Times New Roman"/>
          <w:sz w:val="24"/>
          <w:szCs w:val="24"/>
        </w:rPr>
        <w:t>Behavior</w:t>
      </w:r>
      <w:proofErr w:type="spellEnd"/>
      <w:r w:rsidRPr="00E42EB4">
        <w:rPr>
          <w:rFonts w:ascii="Times New Roman" w:hAnsi="Times New Roman" w:cs="Times New Roman"/>
          <w:sz w:val="24"/>
          <w:szCs w:val="24"/>
        </w:rPr>
        <w:t>, Innovation, and Employee Mental Health: A Case Study of Unilever’s Sustainable Living Plan. </w:t>
      </w:r>
      <w:r w:rsidRPr="00E42EB4">
        <w:rPr>
          <w:rFonts w:ascii="Times New Roman" w:hAnsi="Times New Roman" w:cs="Times New Roman"/>
          <w:i/>
          <w:iCs/>
          <w:sz w:val="24"/>
          <w:szCs w:val="24"/>
        </w:rPr>
        <w:t>Journal of Human Resource and Sustainability Studies</w:t>
      </w:r>
      <w:r w:rsidRPr="00E42EB4">
        <w:rPr>
          <w:rFonts w:ascii="Times New Roman" w:hAnsi="Times New Roman" w:cs="Times New Roman"/>
          <w:sz w:val="24"/>
          <w:szCs w:val="24"/>
        </w:rPr>
        <w:t>, </w:t>
      </w:r>
      <w:r w:rsidRPr="00E42EB4">
        <w:rPr>
          <w:rFonts w:ascii="Times New Roman" w:hAnsi="Times New Roman" w:cs="Times New Roman"/>
          <w:i/>
          <w:iCs/>
          <w:sz w:val="24"/>
          <w:szCs w:val="24"/>
        </w:rPr>
        <w:t>13</w:t>
      </w:r>
      <w:r w:rsidRPr="00E42EB4">
        <w:rPr>
          <w:rFonts w:ascii="Times New Roman" w:hAnsi="Times New Roman" w:cs="Times New Roman"/>
          <w:sz w:val="24"/>
          <w:szCs w:val="24"/>
        </w:rPr>
        <w:t>(1), 40-52.</w:t>
      </w:r>
    </w:p>
    <w:p w14:paraId="0FAC7157"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 xml:space="preserve">Bass, B.M., 1990. </w:t>
      </w:r>
      <w:r w:rsidRPr="00E42EB4">
        <w:rPr>
          <w:rFonts w:ascii="Times New Roman" w:hAnsi="Times New Roman" w:cs="Times New Roman"/>
          <w:i/>
          <w:iCs/>
          <w:sz w:val="24"/>
          <w:szCs w:val="24"/>
        </w:rPr>
        <w:t>From transactional to transformational leadership: Learning to share the vision</w:t>
      </w:r>
      <w:r w:rsidRPr="00E42EB4">
        <w:rPr>
          <w:rFonts w:ascii="Times New Roman" w:hAnsi="Times New Roman" w:cs="Times New Roman"/>
          <w:sz w:val="24"/>
          <w:szCs w:val="24"/>
        </w:rPr>
        <w:t xml:space="preserve">. Organizational Dynamics, 18(3), pp.19–31. </w:t>
      </w:r>
      <w:hyperlink r:id="rId16" w:history="1">
        <w:r w:rsidRPr="00E42EB4">
          <w:rPr>
            <w:rStyle w:val="Hyperlink"/>
            <w:rFonts w:ascii="Times New Roman" w:hAnsi="Times New Roman" w:cs="Times New Roman"/>
            <w:sz w:val="24"/>
            <w:szCs w:val="24"/>
          </w:rPr>
          <w:t>https://doi.org/10.1016/0090-2616(90)90061-S</w:t>
        </w:r>
      </w:hyperlink>
    </w:p>
    <w:p w14:paraId="6584BFAA"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Bowie, N.E., 2017. </w:t>
      </w:r>
      <w:r w:rsidRPr="00E42EB4">
        <w:rPr>
          <w:rFonts w:ascii="Times New Roman" w:hAnsi="Times New Roman" w:cs="Times New Roman"/>
          <w:i/>
          <w:iCs/>
          <w:sz w:val="24"/>
          <w:szCs w:val="24"/>
          <w:lang w:val="en-US"/>
        </w:rPr>
        <w:t>Business ethics: A Kantian perspective</w:t>
      </w:r>
      <w:r w:rsidRPr="00E42EB4">
        <w:rPr>
          <w:rFonts w:ascii="Times New Roman" w:hAnsi="Times New Roman" w:cs="Times New Roman"/>
          <w:sz w:val="24"/>
          <w:szCs w:val="24"/>
          <w:lang w:val="en-US"/>
        </w:rPr>
        <w:t>. 2nd ed. Cambridge: Cambridge University Press. https://www.cambridge.org/core/books/business-ethics-a-kantian-perspective/E114144BFE0A271F1B12C8178C7D1C97</w:t>
      </w:r>
    </w:p>
    <w:p w14:paraId="30B9CB47" w14:textId="77777777" w:rsidR="00E42EB4" w:rsidRPr="00E42EB4" w:rsidRDefault="00E42EB4" w:rsidP="00E42EB4">
      <w:pPr>
        <w:spacing w:line="360" w:lineRule="auto"/>
        <w:jc w:val="both"/>
        <w:rPr>
          <w:rFonts w:ascii="Times New Roman" w:hAnsi="Times New Roman" w:cs="Times New Roman"/>
          <w:sz w:val="24"/>
          <w:szCs w:val="24"/>
          <w:lang w:val="en-US"/>
        </w:rPr>
      </w:pPr>
      <w:proofErr w:type="spellStart"/>
      <w:proofErr w:type="gramStart"/>
      <w:r w:rsidRPr="00E42EB4">
        <w:rPr>
          <w:rFonts w:ascii="Times New Roman" w:hAnsi="Times New Roman" w:cs="Times New Roman"/>
          <w:sz w:val="24"/>
          <w:szCs w:val="24"/>
          <w:lang w:val="en-US"/>
        </w:rPr>
        <w:t>BusinessBalls</w:t>
      </w:r>
      <w:proofErr w:type="spellEnd"/>
      <w:proofErr w:type="gramEnd"/>
      <w:r w:rsidRPr="00E42EB4">
        <w:rPr>
          <w:rFonts w:ascii="Times New Roman" w:hAnsi="Times New Roman" w:cs="Times New Roman"/>
          <w:sz w:val="24"/>
          <w:szCs w:val="24"/>
          <w:lang w:val="en-US"/>
        </w:rPr>
        <w:t>: Leadership, Compliance, Soft Skills Training. (2025). </w:t>
      </w:r>
      <w:r w:rsidRPr="00E42EB4">
        <w:rPr>
          <w:rFonts w:ascii="Times New Roman" w:hAnsi="Times New Roman" w:cs="Times New Roman"/>
          <w:i/>
          <w:iCs/>
          <w:sz w:val="24"/>
          <w:szCs w:val="24"/>
          <w:lang w:val="en-US"/>
        </w:rPr>
        <w:t>Four I’s of Transformational Leadership – BusinessBalls.com</w:t>
      </w:r>
      <w:r w:rsidRPr="00E42EB4">
        <w:rPr>
          <w:rFonts w:ascii="Times New Roman" w:hAnsi="Times New Roman" w:cs="Times New Roman"/>
          <w:sz w:val="24"/>
          <w:szCs w:val="24"/>
          <w:lang w:val="en-US"/>
        </w:rPr>
        <w:t>. [online] Available at: https://www.businessballs.com/leadership-styles/four-is-transformational-leadership/ [Accessed 18 Jul. 2025].</w:t>
      </w:r>
    </w:p>
    <w:p w14:paraId="62B8398F"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Climate Action Business Transition. (2023). Available at: https://www.climateaction100.org/wp-content/uploads/2024/01/Climate-Action-100-Progress-Update-2023.pdf?utm_source=chatgpt.com [Accessed 18 Jul. 2025].</w:t>
      </w:r>
    </w:p>
    <w:p w14:paraId="508509D3"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 xml:space="preserve">Colley, J., &amp; </w:t>
      </w:r>
      <w:proofErr w:type="spellStart"/>
      <w:r w:rsidRPr="00E42EB4">
        <w:rPr>
          <w:rFonts w:ascii="Times New Roman" w:hAnsi="Times New Roman" w:cs="Times New Roman"/>
          <w:sz w:val="24"/>
          <w:szCs w:val="24"/>
        </w:rPr>
        <w:t>Spyridonidis</w:t>
      </w:r>
      <w:proofErr w:type="spellEnd"/>
      <w:r w:rsidRPr="00E42EB4">
        <w:rPr>
          <w:rFonts w:ascii="Times New Roman" w:hAnsi="Times New Roman" w:cs="Times New Roman"/>
          <w:sz w:val="24"/>
          <w:szCs w:val="24"/>
        </w:rPr>
        <w:t>, D. (2022). Responsible leadership and sustainability. In </w:t>
      </w:r>
      <w:r w:rsidRPr="00E42EB4">
        <w:rPr>
          <w:rFonts w:ascii="Times New Roman" w:hAnsi="Times New Roman" w:cs="Times New Roman"/>
          <w:i/>
          <w:iCs/>
          <w:sz w:val="24"/>
          <w:szCs w:val="24"/>
        </w:rPr>
        <w:t>Unprecedented Leadership: Learning to Lead in Turbulent Times</w:t>
      </w:r>
      <w:r w:rsidRPr="00E42EB4">
        <w:rPr>
          <w:rFonts w:ascii="Times New Roman" w:hAnsi="Times New Roman" w:cs="Times New Roman"/>
          <w:sz w:val="24"/>
          <w:szCs w:val="24"/>
        </w:rPr>
        <w:t> (pp. 139-159). Cham: Springer International Publishing.</w:t>
      </w:r>
    </w:p>
    <w:p w14:paraId="1AD6CC8E"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Elsawy, M., &amp; Al-</w:t>
      </w:r>
      <w:proofErr w:type="spellStart"/>
      <w:r w:rsidRPr="00E42EB4">
        <w:rPr>
          <w:rFonts w:ascii="Times New Roman" w:hAnsi="Times New Roman" w:cs="Times New Roman"/>
          <w:sz w:val="24"/>
          <w:szCs w:val="24"/>
        </w:rPr>
        <w:t>Ghurabli</w:t>
      </w:r>
      <w:proofErr w:type="spellEnd"/>
      <w:r w:rsidRPr="00E42EB4">
        <w:rPr>
          <w:rFonts w:ascii="Times New Roman" w:hAnsi="Times New Roman" w:cs="Times New Roman"/>
          <w:sz w:val="24"/>
          <w:szCs w:val="24"/>
        </w:rPr>
        <w:t>, Z. (2024). Sustainable leadership: steering organisations towards a greener future. In </w:t>
      </w:r>
      <w:r w:rsidRPr="00E42EB4">
        <w:rPr>
          <w:rFonts w:ascii="Times New Roman" w:hAnsi="Times New Roman" w:cs="Times New Roman"/>
          <w:i/>
          <w:iCs/>
          <w:sz w:val="24"/>
          <w:szCs w:val="24"/>
        </w:rPr>
        <w:t>Information and Communication Technology in Technical and Vocational Education and Training for Sustainable and Equal Opportunity: Business Governance and Digitalization of Business Education</w:t>
      </w:r>
      <w:r w:rsidRPr="00E42EB4">
        <w:rPr>
          <w:rFonts w:ascii="Times New Roman" w:hAnsi="Times New Roman" w:cs="Times New Roman"/>
          <w:sz w:val="24"/>
          <w:szCs w:val="24"/>
        </w:rPr>
        <w:t> (pp. 235-246). Singapore: Springer Nature Singapore.</w:t>
      </w:r>
    </w:p>
    <w:p w14:paraId="3D722274"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Financial Times (2024) </w:t>
      </w:r>
      <w:r w:rsidRPr="00E42EB4">
        <w:rPr>
          <w:rFonts w:ascii="Times New Roman" w:hAnsi="Times New Roman" w:cs="Times New Roman"/>
          <w:i/>
          <w:iCs/>
          <w:sz w:val="24"/>
          <w:szCs w:val="24"/>
          <w:lang w:val="en-US"/>
        </w:rPr>
        <w:t>Companies take step back from making climate target promises</w:t>
      </w:r>
      <w:r w:rsidRPr="00E42EB4">
        <w:rPr>
          <w:rFonts w:ascii="Times New Roman" w:hAnsi="Times New Roman" w:cs="Times New Roman"/>
          <w:sz w:val="24"/>
          <w:szCs w:val="24"/>
          <w:lang w:val="en-US"/>
        </w:rPr>
        <w:t>. Financial Times, 15 March. Available at: https://www.ft.com/content/3ebc5b56-a8f0-4fcd-99dd-9023d7a20013 (Accessed: 18 July 2025).</w:t>
      </w:r>
    </w:p>
    <w:p w14:paraId="5EA07ED3"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lastRenderedPageBreak/>
        <w:t>‌</w:t>
      </w:r>
      <w:r w:rsidRPr="00E42EB4">
        <w:rPr>
          <w:rFonts w:ascii="Times New Roman" w:hAnsi="Times New Roman" w:cs="Times New Roman"/>
          <w:sz w:val="24"/>
          <w:szCs w:val="24"/>
        </w:rPr>
        <w:t>Flickr. (2025). </w:t>
      </w:r>
      <w:r w:rsidRPr="00E42EB4">
        <w:rPr>
          <w:rFonts w:ascii="Times New Roman" w:hAnsi="Times New Roman" w:cs="Times New Roman"/>
          <w:i/>
          <w:iCs/>
          <w:sz w:val="24"/>
          <w:szCs w:val="24"/>
        </w:rPr>
        <w:t>Sustainable Development Impact Meetings</w:t>
      </w:r>
      <w:r w:rsidRPr="00E42EB4">
        <w:rPr>
          <w:rFonts w:ascii="Times New Roman" w:hAnsi="Times New Roman" w:cs="Times New Roman"/>
          <w:sz w:val="24"/>
          <w:szCs w:val="24"/>
        </w:rPr>
        <w:t>. [online] Available at: https://www.flickr.com/photos/worldeconomicforum/52374713452?utm_source=chatgpt.com [Accessed 18 Jul. 2025].</w:t>
      </w:r>
    </w:p>
    <w:p w14:paraId="4E2E57D1"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FoodNavigator.com. (2017). </w:t>
      </w:r>
      <w:r w:rsidRPr="00E42EB4">
        <w:rPr>
          <w:rFonts w:ascii="Times New Roman" w:hAnsi="Times New Roman" w:cs="Times New Roman"/>
          <w:i/>
          <w:iCs/>
          <w:sz w:val="24"/>
          <w:szCs w:val="24"/>
        </w:rPr>
        <w:t>Unilever slaps palm oil supplier SMS with suspension following damning deforestation report</w:t>
      </w:r>
      <w:r w:rsidRPr="00E42EB4">
        <w:rPr>
          <w:rFonts w:ascii="Times New Roman" w:hAnsi="Times New Roman" w:cs="Times New Roman"/>
          <w:sz w:val="24"/>
          <w:szCs w:val="24"/>
        </w:rPr>
        <w:t>. [online] Available at: https://www.foodnavigator.com/Article/2017/07/17/Unilever-slaps-palm-oil-supplier-SMS-with-suspension-following-damning-deforestation-report/?utm_source=chatgpt.com [Accessed 18 Jul. 2025].</w:t>
      </w:r>
    </w:p>
    <w:p w14:paraId="62EBCDBB"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‌Freeman, R.E., 1984. </w:t>
      </w:r>
      <w:r w:rsidRPr="00E42EB4">
        <w:rPr>
          <w:rFonts w:ascii="Times New Roman" w:hAnsi="Times New Roman" w:cs="Times New Roman"/>
          <w:i/>
          <w:iCs/>
          <w:sz w:val="24"/>
          <w:szCs w:val="24"/>
          <w:lang w:val="en-US"/>
        </w:rPr>
        <w:t>Strategic management: A stakeholder approach</w:t>
      </w:r>
      <w:r w:rsidRPr="00E42EB4">
        <w:rPr>
          <w:rFonts w:ascii="Times New Roman" w:hAnsi="Times New Roman" w:cs="Times New Roman"/>
          <w:sz w:val="24"/>
          <w:szCs w:val="24"/>
          <w:lang w:val="en-US"/>
        </w:rPr>
        <w:t>. Boston: Pitman.</w:t>
      </w:r>
    </w:p>
    <w:p w14:paraId="0B4072DA"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 xml:space="preserve">‌GMA </w:t>
      </w:r>
      <w:r w:rsidRPr="00E42EB4">
        <w:rPr>
          <w:rFonts w:ascii="Times New Roman" w:hAnsi="Times New Roman" w:cs="Times New Roman"/>
          <w:sz w:val="24"/>
          <w:szCs w:val="24"/>
        </w:rPr>
        <w:t>News, (2015). </w:t>
      </w:r>
      <w:r w:rsidRPr="00E42EB4">
        <w:rPr>
          <w:rFonts w:ascii="Times New Roman" w:hAnsi="Times New Roman" w:cs="Times New Roman"/>
          <w:i/>
          <w:iCs/>
          <w:sz w:val="24"/>
          <w:szCs w:val="24"/>
        </w:rPr>
        <w:t>Unilever makes progress on its sustainable packaging goals</w:t>
      </w:r>
      <w:r w:rsidRPr="00E42EB4">
        <w:rPr>
          <w:rFonts w:ascii="Times New Roman" w:hAnsi="Times New Roman" w:cs="Times New Roman"/>
          <w:sz w:val="24"/>
          <w:szCs w:val="24"/>
        </w:rPr>
        <w:t>. [online] GMA News Online. Available at: https://www.gmanetwork.com/news/cbb/content/765775/unilever-makes-progress-on-its-sustainable-packaging-goals/story/?utm_source=chatgpt.com [Accessed 18 Jul. 2025].</w:t>
      </w:r>
    </w:p>
    <w:p w14:paraId="4282C899"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Gross-</w:t>
      </w:r>
      <w:proofErr w:type="spellStart"/>
      <w:r w:rsidRPr="00E42EB4">
        <w:rPr>
          <w:rFonts w:ascii="Times New Roman" w:hAnsi="Times New Roman" w:cs="Times New Roman"/>
          <w:sz w:val="24"/>
          <w:szCs w:val="24"/>
        </w:rPr>
        <w:t>Gołacka</w:t>
      </w:r>
      <w:proofErr w:type="spellEnd"/>
      <w:r w:rsidRPr="00E42EB4">
        <w:rPr>
          <w:rFonts w:ascii="Times New Roman" w:hAnsi="Times New Roman" w:cs="Times New Roman"/>
          <w:sz w:val="24"/>
          <w:szCs w:val="24"/>
        </w:rPr>
        <w:t xml:space="preserve">, E., </w:t>
      </w:r>
      <w:proofErr w:type="spellStart"/>
      <w:r w:rsidRPr="00E42EB4">
        <w:rPr>
          <w:rFonts w:ascii="Times New Roman" w:hAnsi="Times New Roman" w:cs="Times New Roman"/>
          <w:sz w:val="24"/>
          <w:szCs w:val="24"/>
        </w:rPr>
        <w:t>Ożga</w:t>
      </w:r>
      <w:proofErr w:type="spellEnd"/>
      <w:r w:rsidRPr="00E42EB4">
        <w:rPr>
          <w:rFonts w:ascii="Times New Roman" w:hAnsi="Times New Roman" w:cs="Times New Roman"/>
          <w:sz w:val="24"/>
          <w:szCs w:val="24"/>
        </w:rPr>
        <w:t xml:space="preserve">, J., &amp; </w:t>
      </w:r>
      <w:proofErr w:type="spellStart"/>
      <w:r w:rsidRPr="00E42EB4">
        <w:rPr>
          <w:rFonts w:ascii="Times New Roman" w:hAnsi="Times New Roman" w:cs="Times New Roman"/>
          <w:sz w:val="24"/>
          <w:szCs w:val="24"/>
        </w:rPr>
        <w:t>Więcławski</w:t>
      </w:r>
      <w:proofErr w:type="spellEnd"/>
      <w:r w:rsidRPr="00E42EB4">
        <w:rPr>
          <w:rFonts w:ascii="Times New Roman" w:hAnsi="Times New Roman" w:cs="Times New Roman"/>
          <w:sz w:val="24"/>
          <w:szCs w:val="24"/>
        </w:rPr>
        <w:t>, Ł. (2023). Implementing the Concept of Sustainable Development in an Organisation and Leadership Style–Selected Aspects. </w:t>
      </w:r>
      <w:r w:rsidRPr="00E42EB4">
        <w:rPr>
          <w:rFonts w:ascii="Times New Roman" w:hAnsi="Times New Roman" w:cs="Times New Roman"/>
          <w:i/>
          <w:iCs/>
          <w:sz w:val="24"/>
          <w:szCs w:val="24"/>
        </w:rPr>
        <w:t>Journal of Intercultural Management</w:t>
      </w:r>
      <w:r w:rsidRPr="00E42EB4">
        <w:rPr>
          <w:rFonts w:ascii="Times New Roman" w:hAnsi="Times New Roman" w:cs="Times New Roman"/>
          <w:sz w:val="24"/>
          <w:szCs w:val="24"/>
        </w:rPr>
        <w:t>, </w:t>
      </w:r>
      <w:r w:rsidRPr="00E42EB4">
        <w:rPr>
          <w:rFonts w:ascii="Times New Roman" w:hAnsi="Times New Roman" w:cs="Times New Roman"/>
          <w:i/>
          <w:iCs/>
          <w:sz w:val="24"/>
          <w:szCs w:val="24"/>
        </w:rPr>
        <w:t>15</w:t>
      </w:r>
      <w:r w:rsidRPr="00E42EB4">
        <w:rPr>
          <w:rFonts w:ascii="Times New Roman" w:hAnsi="Times New Roman" w:cs="Times New Roman"/>
          <w:sz w:val="24"/>
          <w:szCs w:val="24"/>
        </w:rPr>
        <w:t>(2), 4-20.</w:t>
      </w:r>
    </w:p>
    <w:p w14:paraId="2E566049"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Hindustan Unilever Limited (2025) </w:t>
      </w:r>
      <w:r w:rsidRPr="00E42EB4">
        <w:rPr>
          <w:rFonts w:ascii="Times New Roman" w:hAnsi="Times New Roman" w:cs="Times New Roman"/>
          <w:i/>
          <w:iCs/>
          <w:sz w:val="24"/>
          <w:szCs w:val="24"/>
          <w:lang w:val="en-US"/>
        </w:rPr>
        <w:t>Business Responsibility and Sustainability Report 2024–25</w:t>
      </w:r>
      <w:r w:rsidRPr="00E42EB4">
        <w:rPr>
          <w:rFonts w:ascii="Times New Roman" w:hAnsi="Times New Roman" w:cs="Times New Roman"/>
          <w:sz w:val="24"/>
          <w:szCs w:val="24"/>
          <w:lang w:val="en-US"/>
        </w:rPr>
        <w:t>. Hindustan Unilever. Available at: https://www.hul.co.in/sustainability/sustainability-reporting-centre/sustainability-report/ (Accessed: 18 July 2025).</w:t>
      </w:r>
    </w:p>
    <w:p w14:paraId="42B8AE08"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Hong, T. K. (2025). Integrating Sustainability into the Corporate Strategy: A Critical Analysis of Unilever's Sustainable Living Plan.</w:t>
      </w:r>
    </w:p>
    <w:p w14:paraId="41F936C2"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proofErr w:type="spellStart"/>
      <w:r w:rsidRPr="00E42EB4">
        <w:rPr>
          <w:rFonts w:ascii="Times New Roman" w:hAnsi="Times New Roman" w:cs="Times New Roman"/>
          <w:sz w:val="24"/>
          <w:szCs w:val="24"/>
        </w:rPr>
        <w:t>Hormio</w:t>
      </w:r>
      <w:proofErr w:type="spellEnd"/>
      <w:r w:rsidRPr="00E42EB4">
        <w:rPr>
          <w:rFonts w:ascii="Times New Roman" w:hAnsi="Times New Roman" w:cs="Times New Roman"/>
          <w:sz w:val="24"/>
          <w:szCs w:val="24"/>
        </w:rPr>
        <w:t>, S. (2017). Can Corporations Have (Moral) Responsibility Regarding Climate Change Mitigation? </w:t>
      </w:r>
      <w:r w:rsidRPr="00E42EB4">
        <w:rPr>
          <w:rFonts w:ascii="Times New Roman" w:hAnsi="Times New Roman" w:cs="Times New Roman"/>
          <w:i/>
          <w:iCs/>
          <w:sz w:val="24"/>
          <w:szCs w:val="24"/>
        </w:rPr>
        <w:t>Ethics, Policy &amp; Environment</w:t>
      </w:r>
      <w:r w:rsidRPr="00E42EB4">
        <w:rPr>
          <w:rFonts w:ascii="Times New Roman" w:hAnsi="Times New Roman" w:cs="Times New Roman"/>
          <w:sz w:val="24"/>
          <w:szCs w:val="24"/>
        </w:rPr>
        <w:t xml:space="preserve">, [online] 20(3), pp.314–332. </w:t>
      </w:r>
      <w:proofErr w:type="spellStart"/>
      <w:proofErr w:type="gramStart"/>
      <w:r w:rsidRPr="00E42EB4">
        <w:rPr>
          <w:rFonts w:ascii="Times New Roman" w:hAnsi="Times New Roman" w:cs="Times New Roman"/>
          <w:sz w:val="24"/>
          <w:szCs w:val="24"/>
        </w:rPr>
        <w:t>doi:https</w:t>
      </w:r>
      <w:proofErr w:type="spellEnd"/>
      <w:r w:rsidRPr="00E42EB4">
        <w:rPr>
          <w:rFonts w:ascii="Times New Roman" w:hAnsi="Times New Roman" w:cs="Times New Roman"/>
          <w:sz w:val="24"/>
          <w:szCs w:val="24"/>
        </w:rPr>
        <w:t>://doi.org/10.1080/21550085.2017.1374015</w:t>
      </w:r>
      <w:proofErr w:type="gramEnd"/>
      <w:r w:rsidRPr="00E42EB4">
        <w:rPr>
          <w:rFonts w:ascii="Times New Roman" w:hAnsi="Times New Roman" w:cs="Times New Roman"/>
          <w:sz w:val="24"/>
          <w:szCs w:val="24"/>
        </w:rPr>
        <w:t>.</w:t>
      </w:r>
    </w:p>
    <w:p w14:paraId="10B67FC1"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Hu, Y., &amp; Zeng, Y. (2024). Achieving sustainable operations: challenges, countermeasures, and the case of Unilever. In </w:t>
      </w:r>
      <w:r w:rsidRPr="00E42EB4">
        <w:rPr>
          <w:rFonts w:ascii="Times New Roman" w:hAnsi="Times New Roman" w:cs="Times New Roman"/>
          <w:i/>
          <w:iCs/>
          <w:sz w:val="24"/>
          <w:szCs w:val="24"/>
        </w:rPr>
        <w:t>SHS Web of Conferences</w:t>
      </w:r>
      <w:r w:rsidRPr="00E42EB4">
        <w:rPr>
          <w:rFonts w:ascii="Times New Roman" w:hAnsi="Times New Roman" w:cs="Times New Roman"/>
          <w:sz w:val="24"/>
          <w:szCs w:val="24"/>
        </w:rPr>
        <w:t> (Vol. 181, p. 01036). EDP Sciences.</w:t>
      </w:r>
    </w:p>
    <w:p w14:paraId="444FC955"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Joe, C.-S. (2021). </w:t>
      </w:r>
      <w:r w:rsidRPr="00E42EB4">
        <w:rPr>
          <w:rFonts w:ascii="Times New Roman" w:hAnsi="Times New Roman" w:cs="Times New Roman"/>
          <w:i/>
          <w:iCs/>
          <w:sz w:val="24"/>
          <w:szCs w:val="24"/>
        </w:rPr>
        <w:t>Certification fails to transform the palm oil industry – what next?</w:t>
      </w:r>
      <w:r w:rsidRPr="00E42EB4">
        <w:rPr>
          <w:rFonts w:ascii="Times New Roman" w:hAnsi="Times New Roman" w:cs="Times New Roman"/>
          <w:sz w:val="24"/>
          <w:szCs w:val="24"/>
        </w:rPr>
        <w:t> [online] Dialogue Earth. Available at: https://dialogue.earth/en/forests/certification-fails-to-transform-the-palm-oil-industry-what-next/?utm_source=chatgpt.com [Accessed 18 Jul. 2025].</w:t>
      </w:r>
    </w:p>
    <w:p w14:paraId="43EBA0E3" w14:textId="77777777" w:rsidR="00E42EB4" w:rsidRPr="00E42EB4" w:rsidRDefault="00E42EB4" w:rsidP="00E42EB4">
      <w:pPr>
        <w:spacing w:line="360" w:lineRule="auto"/>
        <w:jc w:val="both"/>
        <w:rPr>
          <w:rFonts w:ascii="Times New Roman" w:hAnsi="Times New Roman" w:cs="Times New Roman"/>
          <w:sz w:val="24"/>
          <w:szCs w:val="24"/>
          <w:lang w:val="en-US"/>
        </w:rPr>
      </w:pPr>
      <w:proofErr w:type="spellStart"/>
      <w:r w:rsidRPr="00E42EB4">
        <w:rPr>
          <w:rFonts w:ascii="Times New Roman" w:hAnsi="Times New Roman" w:cs="Times New Roman"/>
          <w:sz w:val="24"/>
          <w:szCs w:val="24"/>
          <w:lang w:val="en-US"/>
        </w:rPr>
        <w:lastRenderedPageBreak/>
        <w:t>Jonck</w:t>
      </w:r>
      <w:proofErr w:type="spellEnd"/>
      <w:r w:rsidRPr="00E42EB4">
        <w:rPr>
          <w:rFonts w:ascii="Times New Roman" w:hAnsi="Times New Roman" w:cs="Times New Roman"/>
          <w:sz w:val="24"/>
          <w:szCs w:val="24"/>
          <w:lang w:val="en-US"/>
        </w:rPr>
        <w:t xml:space="preserve"> P. (2024). Responsible leadership in the public sector: A sector-specific interpretation. </w:t>
      </w:r>
      <w:r w:rsidRPr="00E42EB4">
        <w:rPr>
          <w:rFonts w:ascii="Times New Roman" w:hAnsi="Times New Roman" w:cs="Times New Roman"/>
          <w:i/>
          <w:iCs/>
          <w:sz w:val="24"/>
          <w:szCs w:val="24"/>
          <w:lang w:val="en-US"/>
        </w:rPr>
        <w:t>South African Journal of Business Management</w:t>
      </w:r>
      <w:r w:rsidRPr="00E42EB4">
        <w:rPr>
          <w:rFonts w:ascii="Times New Roman" w:hAnsi="Times New Roman" w:cs="Times New Roman"/>
          <w:sz w:val="24"/>
          <w:szCs w:val="24"/>
          <w:lang w:val="en-US"/>
        </w:rPr>
        <w:t>, [online] 55(1), p.11. Available at: https://sajbm.org/index.php/sajbm/article/view/4272/2893?utm_source=chatgpt.com [Accessed 18 Jul. 2025].</w:t>
      </w:r>
    </w:p>
    <w:p w14:paraId="41880A98"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Lovelace, A. (2025). </w:t>
      </w:r>
      <w:r w:rsidRPr="00E42EB4">
        <w:rPr>
          <w:rFonts w:ascii="Times New Roman" w:hAnsi="Times New Roman" w:cs="Times New Roman"/>
          <w:i/>
          <w:iCs/>
          <w:sz w:val="24"/>
          <w:szCs w:val="24"/>
        </w:rPr>
        <w:t xml:space="preserve">Break Free </w:t>
      </w:r>
      <w:proofErr w:type="gramStart"/>
      <w:r w:rsidRPr="00E42EB4">
        <w:rPr>
          <w:rFonts w:ascii="Times New Roman" w:hAnsi="Times New Roman" w:cs="Times New Roman"/>
          <w:i/>
          <w:iCs/>
          <w:sz w:val="24"/>
          <w:szCs w:val="24"/>
        </w:rPr>
        <w:t>From</w:t>
      </w:r>
      <w:proofErr w:type="gramEnd"/>
      <w:r w:rsidRPr="00E42EB4">
        <w:rPr>
          <w:rFonts w:ascii="Times New Roman" w:hAnsi="Times New Roman" w:cs="Times New Roman"/>
          <w:i/>
          <w:iCs/>
          <w:sz w:val="24"/>
          <w:szCs w:val="24"/>
        </w:rPr>
        <w:t xml:space="preserve"> Plastic report reveals major corporations use sustainability claims to mask sachet pollution crisis; brand audits identify Unilever, Nestlé, Coca-Cola as leading offenders</w:t>
      </w:r>
      <w:r w:rsidRPr="00E42EB4">
        <w:rPr>
          <w:rFonts w:ascii="Times New Roman" w:hAnsi="Times New Roman" w:cs="Times New Roman"/>
          <w:sz w:val="24"/>
          <w:szCs w:val="24"/>
        </w:rPr>
        <w:t>. [online] Industry Intelligence Inc. Available at: https://www.industryintel.com/news/break-free-from-plastic-report-reveals-major-corporations-use-sustainability-claims-to-mask-sachet-pollution-crisis-brand-audits-identify-unilever-nestl-coca-cola-as-leading-offenders-171698636472 [Accessed 18 Jul. 2025].</w:t>
      </w:r>
    </w:p>
    <w:p w14:paraId="1B0B32CD"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Management Exchange. (2020). </w:t>
      </w:r>
      <w:r w:rsidRPr="00E42EB4">
        <w:rPr>
          <w:rFonts w:ascii="Times New Roman" w:hAnsi="Times New Roman" w:cs="Times New Roman"/>
          <w:i/>
          <w:iCs/>
          <w:sz w:val="24"/>
          <w:szCs w:val="24"/>
        </w:rPr>
        <w:t xml:space="preserve">How sustainability is becoming a driver of growth for Unilever | Management Innovation </w:t>
      </w:r>
      <w:proofErr w:type="spellStart"/>
      <w:r w:rsidRPr="00E42EB4">
        <w:rPr>
          <w:rFonts w:ascii="Times New Roman" w:hAnsi="Times New Roman" w:cs="Times New Roman"/>
          <w:i/>
          <w:iCs/>
          <w:sz w:val="24"/>
          <w:szCs w:val="24"/>
        </w:rPr>
        <w:t>eXchange</w:t>
      </w:r>
      <w:proofErr w:type="spellEnd"/>
      <w:r w:rsidRPr="00E42EB4">
        <w:rPr>
          <w:rFonts w:ascii="Times New Roman" w:hAnsi="Times New Roman" w:cs="Times New Roman"/>
          <w:sz w:val="24"/>
          <w:szCs w:val="24"/>
        </w:rPr>
        <w:t>. [online] Available at: https://www.managementexchange.com/story/unilever-sustainable-living-plan?utm_source=chatgpt.com [Accessed 18 Jul. 2025].</w:t>
      </w:r>
    </w:p>
    <w:p w14:paraId="17A8A430"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Mbaka, M. B., &amp; KASIMU, A. Sustainable Leadership in Nigeria Organization: A Transformational Approach. </w:t>
      </w:r>
      <w:r w:rsidRPr="00E42EB4">
        <w:rPr>
          <w:rFonts w:ascii="Times New Roman" w:hAnsi="Times New Roman" w:cs="Times New Roman"/>
          <w:i/>
          <w:iCs/>
          <w:sz w:val="24"/>
          <w:szCs w:val="24"/>
        </w:rPr>
        <w:t>Strategic Management Practices &amp; Sustainable Development in a Global Economy</w:t>
      </w:r>
      <w:r w:rsidRPr="00E42EB4">
        <w:rPr>
          <w:rFonts w:ascii="Times New Roman" w:hAnsi="Times New Roman" w:cs="Times New Roman"/>
          <w:sz w:val="24"/>
          <w:szCs w:val="24"/>
        </w:rPr>
        <w:t>, 74.</w:t>
      </w:r>
    </w:p>
    <w:p w14:paraId="3BAF8461"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McKee, L. (2021). Sustainability Leadership at DeLaval International AB: The case for driving Sustainability Leadership in the Dairy Industry. </w:t>
      </w:r>
      <w:r w:rsidRPr="00E42EB4">
        <w:rPr>
          <w:rFonts w:ascii="Times New Roman" w:hAnsi="Times New Roman" w:cs="Times New Roman"/>
          <w:i/>
          <w:iCs/>
          <w:sz w:val="24"/>
          <w:szCs w:val="24"/>
        </w:rPr>
        <w:t>Journal of Asia Entrepreneurship and Sustainability</w:t>
      </w:r>
      <w:r w:rsidRPr="00E42EB4">
        <w:rPr>
          <w:rFonts w:ascii="Times New Roman" w:hAnsi="Times New Roman" w:cs="Times New Roman"/>
          <w:sz w:val="24"/>
          <w:szCs w:val="24"/>
        </w:rPr>
        <w:t>, </w:t>
      </w:r>
      <w:r w:rsidRPr="00E42EB4">
        <w:rPr>
          <w:rFonts w:ascii="Times New Roman" w:hAnsi="Times New Roman" w:cs="Times New Roman"/>
          <w:i/>
          <w:iCs/>
          <w:sz w:val="24"/>
          <w:szCs w:val="24"/>
        </w:rPr>
        <w:t>17</w:t>
      </w:r>
      <w:r w:rsidRPr="00E42EB4">
        <w:rPr>
          <w:rFonts w:ascii="Times New Roman" w:hAnsi="Times New Roman" w:cs="Times New Roman"/>
          <w:sz w:val="24"/>
          <w:szCs w:val="24"/>
        </w:rPr>
        <w:t>(4), 113-124.</w:t>
      </w:r>
    </w:p>
    <w:p w14:paraId="577646E4" w14:textId="77777777" w:rsidR="00E42EB4" w:rsidRPr="00E42EB4" w:rsidRDefault="00E42EB4" w:rsidP="00E42EB4">
      <w:pPr>
        <w:spacing w:line="360" w:lineRule="auto"/>
        <w:jc w:val="both"/>
        <w:rPr>
          <w:rFonts w:ascii="Times New Roman" w:hAnsi="Times New Roman" w:cs="Times New Roman"/>
          <w:sz w:val="24"/>
          <w:szCs w:val="24"/>
        </w:rPr>
      </w:pPr>
      <w:proofErr w:type="spellStart"/>
      <w:r w:rsidRPr="00E42EB4">
        <w:rPr>
          <w:rFonts w:ascii="Times New Roman" w:hAnsi="Times New Roman" w:cs="Times New Roman"/>
          <w:sz w:val="24"/>
          <w:szCs w:val="24"/>
        </w:rPr>
        <w:t>Modreanu</w:t>
      </w:r>
      <w:proofErr w:type="spellEnd"/>
      <w:r w:rsidRPr="00E42EB4">
        <w:rPr>
          <w:rFonts w:ascii="Times New Roman" w:hAnsi="Times New Roman" w:cs="Times New Roman"/>
          <w:sz w:val="24"/>
          <w:szCs w:val="24"/>
        </w:rPr>
        <w:t xml:space="preserve">, A., Andrișan, G. N., Sârbu, A. M., &amp; </w:t>
      </w:r>
      <w:proofErr w:type="spellStart"/>
      <w:r w:rsidRPr="00E42EB4">
        <w:rPr>
          <w:rFonts w:ascii="Times New Roman" w:hAnsi="Times New Roman" w:cs="Times New Roman"/>
          <w:sz w:val="24"/>
          <w:szCs w:val="24"/>
        </w:rPr>
        <w:t>Grădinaru</w:t>
      </w:r>
      <w:proofErr w:type="spellEnd"/>
      <w:r w:rsidRPr="00E42EB4">
        <w:rPr>
          <w:rFonts w:ascii="Times New Roman" w:hAnsi="Times New Roman" w:cs="Times New Roman"/>
          <w:sz w:val="24"/>
          <w:szCs w:val="24"/>
        </w:rPr>
        <w:t>, C. (2022). Corporate Social Responsibility, a Strategic Tool for Sustainable Value Creation: A Case Study of Unilever’s Sustainable Living Plan. In </w:t>
      </w:r>
      <w:r w:rsidRPr="00E42EB4">
        <w:rPr>
          <w:rFonts w:ascii="Times New Roman" w:hAnsi="Times New Roman" w:cs="Times New Roman"/>
          <w:i/>
          <w:iCs/>
          <w:sz w:val="24"/>
          <w:szCs w:val="24"/>
        </w:rPr>
        <w:t>BASIQ 2022 International Conference on New Trends in Sustainable Business and Consumption</w:t>
      </w:r>
      <w:r w:rsidRPr="00E42EB4">
        <w:rPr>
          <w:rFonts w:ascii="Times New Roman" w:hAnsi="Times New Roman" w:cs="Times New Roman"/>
          <w:sz w:val="24"/>
          <w:szCs w:val="24"/>
        </w:rPr>
        <w:t> (pp. 575-582).</w:t>
      </w:r>
    </w:p>
    <w:p w14:paraId="6F8A87DF"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Murphy, C. (2022). </w:t>
      </w:r>
      <w:r w:rsidRPr="00E42EB4">
        <w:rPr>
          <w:rFonts w:ascii="Times New Roman" w:hAnsi="Times New Roman" w:cs="Times New Roman"/>
          <w:i/>
          <w:iCs/>
          <w:sz w:val="24"/>
          <w:szCs w:val="24"/>
        </w:rPr>
        <w:t>Sustainable leadership: Lessons of vision, courage, and grit from the CEOs who dared to build a better world</w:t>
      </w:r>
      <w:r w:rsidRPr="00E42EB4">
        <w:rPr>
          <w:rFonts w:ascii="Times New Roman" w:hAnsi="Times New Roman" w:cs="Times New Roman"/>
          <w:sz w:val="24"/>
          <w:szCs w:val="24"/>
        </w:rPr>
        <w:t>. John Wiley &amp; Sons.</w:t>
      </w:r>
    </w:p>
    <w:p w14:paraId="308B5732"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Planet Tracker (2023) </w:t>
      </w:r>
      <w:r w:rsidRPr="00E42EB4">
        <w:rPr>
          <w:rFonts w:ascii="Times New Roman" w:hAnsi="Times New Roman" w:cs="Times New Roman"/>
          <w:i/>
          <w:iCs/>
          <w:sz w:val="24"/>
          <w:szCs w:val="24"/>
          <w:lang w:val="en-US"/>
        </w:rPr>
        <w:t>Unilever PLC (</w:t>
      </w:r>
      <w:proofErr w:type="gramStart"/>
      <w:r w:rsidRPr="00E42EB4">
        <w:rPr>
          <w:rFonts w:ascii="Times New Roman" w:hAnsi="Times New Roman" w:cs="Times New Roman"/>
          <w:i/>
          <w:iCs/>
          <w:sz w:val="24"/>
          <w:szCs w:val="24"/>
          <w:lang w:val="en-US"/>
        </w:rPr>
        <w:t>ULVR:LN</w:t>
      </w:r>
      <w:proofErr w:type="gramEnd"/>
      <w:r w:rsidRPr="00E42EB4">
        <w:rPr>
          <w:rFonts w:ascii="Times New Roman" w:hAnsi="Times New Roman" w:cs="Times New Roman"/>
          <w:i/>
          <w:iCs/>
          <w:sz w:val="24"/>
          <w:szCs w:val="24"/>
          <w:lang w:val="en-US"/>
        </w:rPr>
        <w:t>) Climate Transition Analysis</w:t>
      </w:r>
      <w:r w:rsidRPr="00E42EB4">
        <w:rPr>
          <w:rFonts w:ascii="Times New Roman" w:hAnsi="Times New Roman" w:cs="Times New Roman"/>
          <w:sz w:val="24"/>
          <w:szCs w:val="24"/>
          <w:lang w:val="en-US"/>
        </w:rPr>
        <w:t>. Planet Tracker. Available at: https://planet-tracker.org/wp-content/uploads/2023/05/Unilever-Climate-Transition.pdf (Accessed: 18 July 2025).</w:t>
      </w:r>
    </w:p>
    <w:p w14:paraId="6C9CE344"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lastRenderedPageBreak/>
        <w:t xml:space="preserve">Planet Tracker (2024) </w:t>
      </w:r>
      <w:r w:rsidRPr="00E42EB4">
        <w:rPr>
          <w:rFonts w:ascii="Times New Roman" w:hAnsi="Times New Roman" w:cs="Times New Roman"/>
          <w:i/>
          <w:iCs/>
          <w:sz w:val="24"/>
          <w:szCs w:val="24"/>
          <w:lang w:val="en-US"/>
        </w:rPr>
        <w:t>Unilever’s 2024 Climate Transition Update</w:t>
      </w:r>
      <w:r w:rsidRPr="00E42EB4">
        <w:rPr>
          <w:rFonts w:ascii="Times New Roman" w:hAnsi="Times New Roman" w:cs="Times New Roman"/>
          <w:sz w:val="24"/>
          <w:szCs w:val="24"/>
          <w:lang w:val="en-US"/>
        </w:rPr>
        <w:t>. Planet Tracker. Available at: https://planet-tracker.org/unilevers-2024-climate-transition-update/ (Accessed: 18 July 2025).</w:t>
      </w:r>
    </w:p>
    <w:p w14:paraId="59C79A31"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Rappler. (2022). </w:t>
      </w:r>
      <w:r w:rsidRPr="00E42EB4">
        <w:rPr>
          <w:rFonts w:ascii="Times New Roman" w:hAnsi="Times New Roman" w:cs="Times New Roman"/>
          <w:i/>
          <w:iCs/>
          <w:sz w:val="24"/>
          <w:szCs w:val="24"/>
          <w:lang w:val="en-US"/>
        </w:rPr>
        <w:t>SPECIAL REPORT: Unilever vowed to scrap polluting plastic packets, then fought to keep them</w:t>
      </w:r>
      <w:r w:rsidRPr="00E42EB4">
        <w:rPr>
          <w:rFonts w:ascii="Times New Roman" w:hAnsi="Times New Roman" w:cs="Times New Roman"/>
          <w:sz w:val="24"/>
          <w:szCs w:val="24"/>
          <w:lang w:val="en-US"/>
        </w:rPr>
        <w:t>. [online] RAPPLER. Available at: https://www.rappler.com/environment/pollution/unilever-vowed-scrap-polluting-plastic-packets-then-fought-keep-them/?utm_source=chatgpt.com [Accessed 18 Jul. 2025].</w:t>
      </w:r>
    </w:p>
    <w:p w14:paraId="5973389E"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Reuters (2024) </w:t>
      </w:r>
      <w:r w:rsidRPr="00E42EB4">
        <w:rPr>
          <w:rFonts w:ascii="Times New Roman" w:hAnsi="Times New Roman" w:cs="Times New Roman"/>
          <w:i/>
          <w:iCs/>
          <w:sz w:val="24"/>
          <w:szCs w:val="24"/>
          <w:lang w:val="en-US"/>
        </w:rPr>
        <w:t>How to avoid greenwash tag when "stretch" targets prove a stretch too far</w:t>
      </w:r>
      <w:r w:rsidRPr="00E42EB4">
        <w:rPr>
          <w:rFonts w:ascii="Times New Roman" w:hAnsi="Times New Roman" w:cs="Times New Roman"/>
          <w:sz w:val="24"/>
          <w:szCs w:val="24"/>
          <w:lang w:val="en-US"/>
        </w:rPr>
        <w:t>. Reuters, 8 July. Available at: https://www.reuters.com/sustainability/boards-policy-regulation/brand-watch-how-avoid-greenwash-tag-when-stretch-targets-prove-stretch-too-far-2024-07-08/ (Accessed: 18 July 2025).</w:t>
      </w:r>
    </w:p>
    <w:p w14:paraId="344FF80A"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Sec.gov. (2019). </w:t>
      </w:r>
      <w:r w:rsidRPr="00E42EB4">
        <w:rPr>
          <w:rFonts w:ascii="Times New Roman" w:hAnsi="Times New Roman" w:cs="Times New Roman"/>
          <w:i/>
          <w:iCs/>
          <w:sz w:val="24"/>
          <w:szCs w:val="24"/>
        </w:rPr>
        <w:t>20-F</w:t>
      </w:r>
      <w:r w:rsidRPr="00E42EB4">
        <w:rPr>
          <w:rFonts w:ascii="Times New Roman" w:hAnsi="Times New Roman" w:cs="Times New Roman"/>
          <w:sz w:val="24"/>
          <w:szCs w:val="24"/>
        </w:rPr>
        <w:t>. [online] Available at: https://www.sec.gov/Archives/edgar/data/217410/000119312520067343/d836658d20f.htm?utm_source=chatgpt.com [Accessed 18 Jul. 2025].</w:t>
      </w:r>
    </w:p>
    <w:p w14:paraId="7AEB6E06"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Unilever Indonesia (2024) </w:t>
      </w:r>
      <w:r w:rsidRPr="00E42EB4">
        <w:rPr>
          <w:rFonts w:ascii="Times New Roman" w:hAnsi="Times New Roman" w:cs="Times New Roman"/>
          <w:i/>
          <w:iCs/>
          <w:sz w:val="24"/>
          <w:szCs w:val="24"/>
          <w:lang w:val="en-US"/>
        </w:rPr>
        <w:t>Sustainability Report 2024</w:t>
      </w:r>
      <w:r w:rsidRPr="00E42EB4">
        <w:rPr>
          <w:rFonts w:ascii="Times New Roman" w:hAnsi="Times New Roman" w:cs="Times New Roman"/>
          <w:sz w:val="24"/>
          <w:szCs w:val="24"/>
          <w:lang w:val="en-US"/>
        </w:rPr>
        <w:t>. Unilever Indonesia. Available at: https://www.unilever.co.id/en/investors/annual-financial-and-sustainability-report/sustainability-reports/ (Accessed: 18 July 2025).</w:t>
      </w:r>
    </w:p>
    <w:p w14:paraId="34E8C694"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Unilever PLC (2020). </w:t>
      </w:r>
      <w:r w:rsidRPr="00E42EB4">
        <w:rPr>
          <w:rFonts w:ascii="Times New Roman" w:hAnsi="Times New Roman" w:cs="Times New Roman"/>
          <w:i/>
          <w:iCs/>
          <w:sz w:val="24"/>
          <w:szCs w:val="24"/>
        </w:rPr>
        <w:t>How we will improve the health of our planet</w:t>
      </w:r>
      <w:r w:rsidRPr="00E42EB4">
        <w:rPr>
          <w:rFonts w:ascii="Times New Roman" w:hAnsi="Times New Roman" w:cs="Times New Roman"/>
          <w:sz w:val="24"/>
          <w:szCs w:val="24"/>
        </w:rPr>
        <w:t>. [online] Unilever. Available at: https://www.unilever.com/news/news-search/2020/climate-and-nature/?utm_source=chatgpt.com [Accessed 18 Jul. 2025].</w:t>
      </w:r>
    </w:p>
    <w:p w14:paraId="6116F2E8"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rPr>
        <w:t>Unilever PLC (2020). </w:t>
      </w:r>
      <w:r w:rsidRPr="00E42EB4">
        <w:rPr>
          <w:rFonts w:ascii="Times New Roman" w:hAnsi="Times New Roman" w:cs="Times New Roman"/>
          <w:i/>
          <w:iCs/>
          <w:sz w:val="24"/>
          <w:szCs w:val="24"/>
        </w:rPr>
        <w:t>Unilever celebrates 10 years of the Sustainable Living Plan</w:t>
      </w:r>
      <w:r w:rsidRPr="00E42EB4">
        <w:rPr>
          <w:rFonts w:ascii="Times New Roman" w:hAnsi="Times New Roman" w:cs="Times New Roman"/>
          <w:sz w:val="24"/>
          <w:szCs w:val="24"/>
        </w:rPr>
        <w:t>. [online] Unilever. Available at: https://www.unilever.com/news/press-and-media/press-releases/2020/unilever-celebrates-10-years-of-the-sustainable-living-plan/?utm_source=chatgpt.com [Accessed 18 Jul. 2025].</w:t>
      </w:r>
    </w:p>
    <w:p w14:paraId="487191A3"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Unilever PLC (2020). </w:t>
      </w:r>
      <w:r w:rsidRPr="00E42EB4">
        <w:rPr>
          <w:rFonts w:ascii="Times New Roman" w:hAnsi="Times New Roman" w:cs="Times New Roman"/>
          <w:i/>
          <w:iCs/>
          <w:sz w:val="24"/>
          <w:szCs w:val="24"/>
          <w:lang w:val="en-US"/>
        </w:rPr>
        <w:t>We now use 100% renewable grid electricity globally</w:t>
      </w:r>
      <w:r w:rsidRPr="00E42EB4">
        <w:rPr>
          <w:rFonts w:ascii="Times New Roman" w:hAnsi="Times New Roman" w:cs="Times New Roman"/>
          <w:sz w:val="24"/>
          <w:szCs w:val="24"/>
          <w:lang w:val="en-US"/>
        </w:rPr>
        <w:t>. [online] Unilever. Available at: https://www.unileverusa.com/news/2020/we-now-use-100-renewable-grid-electricity-globally/?utm_source=chatgpt.com [Accessed 18 Jul. 2025].</w:t>
      </w:r>
    </w:p>
    <w:p w14:paraId="47ECEE82"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Unilever PLC (2021). </w:t>
      </w:r>
      <w:r w:rsidRPr="00E42EB4">
        <w:rPr>
          <w:rFonts w:ascii="Times New Roman" w:hAnsi="Times New Roman" w:cs="Times New Roman"/>
          <w:i/>
          <w:iCs/>
          <w:sz w:val="24"/>
          <w:szCs w:val="24"/>
        </w:rPr>
        <w:t>Sustainable and deforestation-free palm oil</w:t>
      </w:r>
      <w:r w:rsidRPr="00E42EB4">
        <w:rPr>
          <w:rFonts w:ascii="Times New Roman" w:hAnsi="Times New Roman" w:cs="Times New Roman"/>
          <w:sz w:val="24"/>
          <w:szCs w:val="24"/>
        </w:rPr>
        <w:t>. [online] Unilever. Available at: https://www.unilver.com/sustainability/nature/sustainable-palm-oil/?utm_source=chatgpt.com [Accessed 18 Jul. 2025].</w:t>
      </w:r>
    </w:p>
    <w:p w14:paraId="6786D853"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lastRenderedPageBreak/>
        <w:t>Unilever PLC (2022). </w:t>
      </w:r>
      <w:r w:rsidRPr="00E42EB4">
        <w:rPr>
          <w:rFonts w:ascii="Times New Roman" w:hAnsi="Times New Roman" w:cs="Times New Roman"/>
          <w:i/>
          <w:iCs/>
          <w:sz w:val="24"/>
          <w:szCs w:val="24"/>
          <w:lang w:val="en-US"/>
        </w:rPr>
        <w:t>‘Why do you continue to sell plastic sachets?’</w:t>
      </w:r>
      <w:r w:rsidRPr="00E42EB4">
        <w:rPr>
          <w:rFonts w:ascii="Times New Roman" w:hAnsi="Times New Roman" w:cs="Times New Roman"/>
          <w:sz w:val="24"/>
          <w:szCs w:val="24"/>
          <w:lang w:val="en-US"/>
        </w:rPr>
        <w:t> [online] Unilever. Available at: https://www.unilever.com/news/news-search/2022/why-do-you-continue-to-sell-plastic-sachets/ [Accessed 18 Jul. 2025].</w:t>
      </w:r>
    </w:p>
    <w:p w14:paraId="3B25E5F5"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Unilever PLC (2023). </w:t>
      </w:r>
      <w:r w:rsidRPr="00E42EB4">
        <w:rPr>
          <w:rFonts w:ascii="Times New Roman" w:hAnsi="Times New Roman" w:cs="Times New Roman"/>
          <w:i/>
          <w:iCs/>
          <w:sz w:val="24"/>
          <w:szCs w:val="24"/>
        </w:rPr>
        <w:t>Unilever Climate &amp; Nature Fund</w:t>
      </w:r>
      <w:r w:rsidRPr="00E42EB4">
        <w:rPr>
          <w:rFonts w:ascii="Times New Roman" w:hAnsi="Times New Roman" w:cs="Times New Roman"/>
          <w:sz w:val="24"/>
          <w:szCs w:val="24"/>
        </w:rPr>
        <w:t>. [online] Unilever. Available at: https://www.unilever.com/sustainability/nature/unilever-climate-nature-fund/?utm_source=chatgpt.com [Accessed 18 Jul. 2025].</w:t>
      </w:r>
    </w:p>
    <w:p w14:paraId="37F3C0DF"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Unilever PLC (2024) </w:t>
      </w:r>
      <w:r w:rsidRPr="00E42EB4">
        <w:rPr>
          <w:rFonts w:ascii="Times New Roman" w:hAnsi="Times New Roman" w:cs="Times New Roman"/>
          <w:i/>
          <w:iCs/>
          <w:sz w:val="24"/>
          <w:szCs w:val="24"/>
          <w:lang w:val="en-US"/>
        </w:rPr>
        <w:t>Annual Report and Accounts 2023</w:t>
      </w:r>
      <w:r w:rsidRPr="00E42EB4">
        <w:rPr>
          <w:rFonts w:ascii="Times New Roman" w:hAnsi="Times New Roman" w:cs="Times New Roman"/>
          <w:sz w:val="24"/>
          <w:szCs w:val="24"/>
          <w:lang w:val="en-US"/>
        </w:rPr>
        <w:t>. Unilever. Available at: https://www.unilever.com/investors/annual-report-and-accounts/ (Accessed: 18 July 2025).</w:t>
      </w:r>
    </w:p>
    <w:p w14:paraId="1D3AEED3"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Unilever PLC (2024) </w:t>
      </w:r>
      <w:r w:rsidRPr="00E42EB4">
        <w:rPr>
          <w:rFonts w:ascii="Times New Roman" w:hAnsi="Times New Roman" w:cs="Times New Roman"/>
          <w:i/>
          <w:iCs/>
          <w:sz w:val="24"/>
          <w:szCs w:val="24"/>
          <w:lang w:val="en-US"/>
        </w:rPr>
        <w:t>Annual Report and Accounts 2024</w:t>
      </w:r>
      <w:r w:rsidRPr="00E42EB4">
        <w:rPr>
          <w:rFonts w:ascii="Times New Roman" w:hAnsi="Times New Roman" w:cs="Times New Roman"/>
          <w:sz w:val="24"/>
          <w:szCs w:val="24"/>
          <w:lang w:val="en-US"/>
        </w:rPr>
        <w:t>. Unilever. Available at: https://www.unilever.com/investors/annual-report-and-accounts/ (Accessed: 18 July 2025).</w:t>
      </w:r>
    </w:p>
    <w:p w14:paraId="78E8D6E3"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Unilever PLC (2024) </w:t>
      </w:r>
      <w:r w:rsidRPr="00E42EB4">
        <w:rPr>
          <w:rFonts w:ascii="Times New Roman" w:hAnsi="Times New Roman" w:cs="Times New Roman"/>
          <w:i/>
          <w:iCs/>
          <w:sz w:val="24"/>
          <w:szCs w:val="24"/>
          <w:lang w:val="en-US"/>
        </w:rPr>
        <w:t>Our Climate Transition Action Plan</w:t>
      </w:r>
      <w:r w:rsidRPr="00E42EB4">
        <w:rPr>
          <w:rFonts w:ascii="Times New Roman" w:hAnsi="Times New Roman" w:cs="Times New Roman"/>
          <w:sz w:val="24"/>
          <w:szCs w:val="24"/>
          <w:lang w:val="en-US"/>
        </w:rPr>
        <w:t>. Unilever. Available at: https://www.unilever.com/sustainability/climate/our-climate-transition-action-plan/ (Accessed: 18 July 2025).</w:t>
      </w:r>
    </w:p>
    <w:p w14:paraId="1788B230"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Unilever PLC (2024). </w:t>
      </w:r>
      <w:r w:rsidRPr="00E42EB4">
        <w:rPr>
          <w:rFonts w:ascii="Times New Roman" w:hAnsi="Times New Roman" w:cs="Times New Roman"/>
          <w:i/>
          <w:iCs/>
          <w:sz w:val="24"/>
          <w:szCs w:val="24"/>
          <w:lang w:val="en-US"/>
        </w:rPr>
        <w:t>Climate</w:t>
      </w:r>
      <w:r w:rsidRPr="00E42EB4">
        <w:rPr>
          <w:rFonts w:ascii="Times New Roman" w:hAnsi="Times New Roman" w:cs="Times New Roman"/>
          <w:sz w:val="24"/>
          <w:szCs w:val="24"/>
          <w:lang w:val="en-US"/>
        </w:rPr>
        <w:t>. [online] Unilever. Available at: https://www.unilver.com/sustainability/climate/?utm_source=chatgpt.com [Accessed 18 Jul. 2025].</w:t>
      </w:r>
    </w:p>
    <w:p w14:paraId="72288851"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Unilever PLC (2024). </w:t>
      </w:r>
      <w:r w:rsidRPr="00E42EB4">
        <w:rPr>
          <w:rFonts w:ascii="Times New Roman" w:hAnsi="Times New Roman" w:cs="Times New Roman"/>
          <w:i/>
          <w:iCs/>
          <w:sz w:val="24"/>
          <w:szCs w:val="24"/>
        </w:rPr>
        <w:t>Our deforestation-free progress</w:t>
      </w:r>
      <w:r w:rsidRPr="00E42EB4">
        <w:rPr>
          <w:rFonts w:ascii="Times New Roman" w:hAnsi="Times New Roman" w:cs="Times New Roman"/>
          <w:sz w:val="24"/>
          <w:szCs w:val="24"/>
        </w:rPr>
        <w:t>. [online] Unilever. Available at: https://www.unilver.com/sustainability/nature/deforestation-free-supply-chain/our-deforestation-free-progress/?utm_source=chatgpt.com [Accessed 18 Jul. 2025].</w:t>
      </w:r>
    </w:p>
    <w:p w14:paraId="18028410"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 xml:space="preserve">Unilever PLC (2025) </w:t>
      </w:r>
      <w:r w:rsidRPr="00E42EB4">
        <w:rPr>
          <w:rFonts w:ascii="Times New Roman" w:hAnsi="Times New Roman" w:cs="Times New Roman"/>
          <w:i/>
          <w:iCs/>
          <w:sz w:val="24"/>
          <w:szCs w:val="24"/>
          <w:lang w:val="en-US"/>
        </w:rPr>
        <w:t>Form SD – Conflict Minerals 2025</w:t>
      </w:r>
      <w:r w:rsidRPr="00E42EB4">
        <w:rPr>
          <w:rFonts w:ascii="Times New Roman" w:hAnsi="Times New Roman" w:cs="Times New Roman"/>
          <w:sz w:val="24"/>
          <w:szCs w:val="24"/>
          <w:lang w:val="en-US"/>
        </w:rPr>
        <w:t>. Unilever. Available at: https://www.unilever.com/sustainability/responsible-business/reporting-archive/ (Accessed: 18 July 2025).</w:t>
      </w:r>
    </w:p>
    <w:p w14:paraId="33911E5F"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t>Unilever PLC (2025). </w:t>
      </w:r>
      <w:r w:rsidRPr="00E42EB4">
        <w:rPr>
          <w:rFonts w:ascii="Times New Roman" w:hAnsi="Times New Roman" w:cs="Times New Roman"/>
          <w:i/>
          <w:iCs/>
          <w:sz w:val="24"/>
          <w:szCs w:val="24"/>
          <w:lang w:val="en-US"/>
        </w:rPr>
        <w:t>Unilever sees early signs of progress on global sustainability goals</w:t>
      </w:r>
      <w:r w:rsidRPr="00E42EB4">
        <w:rPr>
          <w:rFonts w:ascii="Times New Roman" w:hAnsi="Times New Roman" w:cs="Times New Roman"/>
          <w:sz w:val="24"/>
          <w:szCs w:val="24"/>
          <w:lang w:val="en-US"/>
        </w:rPr>
        <w:t>. [online] Unilever. Available at: https://www.unilever.co.uk/news/2025/unilever-sees-early-signs-of-progress-on-global-sustainability-goals/?utm_source=chatgpt.com [Accessed 18 Jul. 2025].</w:t>
      </w:r>
    </w:p>
    <w:p w14:paraId="61470411" w14:textId="77777777" w:rsidR="00E42EB4" w:rsidRPr="00E42EB4" w:rsidRDefault="00E42EB4" w:rsidP="00E42EB4">
      <w:pPr>
        <w:spacing w:line="360" w:lineRule="auto"/>
        <w:jc w:val="both"/>
        <w:rPr>
          <w:rFonts w:ascii="Times New Roman" w:hAnsi="Times New Roman" w:cs="Times New Roman"/>
          <w:sz w:val="24"/>
          <w:szCs w:val="24"/>
        </w:rPr>
      </w:pPr>
      <w:r w:rsidRPr="00E42EB4">
        <w:rPr>
          <w:rFonts w:ascii="Times New Roman" w:hAnsi="Times New Roman" w:cs="Times New Roman"/>
          <w:sz w:val="24"/>
          <w:szCs w:val="24"/>
          <w:lang w:val="en-US"/>
        </w:rPr>
        <w:t>‌</w:t>
      </w:r>
      <w:r w:rsidRPr="00E42EB4">
        <w:rPr>
          <w:rFonts w:ascii="Times New Roman" w:hAnsi="Times New Roman" w:cs="Times New Roman"/>
          <w:sz w:val="24"/>
          <w:szCs w:val="24"/>
        </w:rPr>
        <w:t>Unilever PLC (2025). </w:t>
      </w:r>
      <w:r w:rsidRPr="00E42EB4">
        <w:rPr>
          <w:rFonts w:ascii="Times New Roman" w:hAnsi="Times New Roman" w:cs="Times New Roman"/>
          <w:i/>
          <w:iCs/>
          <w:sz w:val="24"/>
          <w:szCs w:val="24"/>
        </w:rPr>
        <w:t>Unilever sees early signs of progress on sustainability goals</w:t>
      </w:r>
      <w:r w:rsidRPr="00E42EB4">
        <w:rPr>
          <w:rFonts w:ascii="Times New Roman" w:hAnsi="Times New Roman" w:cs="Times New Roman"/>
          <w:sz w:val="24"/>
          <w:szCs w:val="24"/>
        </w:rPr>
        <w:t>. [online] Unilever. Available at: https://www.unilever.co.za/news/2025/unilever-sees-early-signs-of-progress-on-sustainability-goals/?utm_source=chatgpt.com [Accessed 18 Jul. 2025].</w:t>
      </w:r>
    </w:p>
    <w:p w14:paraId="7C73ED0B" w14:textId="77777777" w:rsidR="00E42EB4" w:rsidRPr="00E42EB4" w:rsidRDefault="00E42EB4" w:rsidP="00E42EB4">
      <w:pPr>
        <w:spacing w:line="360" w:lineRule="auto"/>
        <w:jc w:val="both"/>
        <w:rPr>
          <w:rFonts w:ascii="Times New Roman" w:hAnsi="Times New Roman" w:cs="Times New Roman"/>
          <w:sz w:val="24"/>
          <w:szCs w:val="24"/>
          <w:lang w:val="en-US"/>
        </w:rPr>
      </w:pPr>
      <w:r w:rsidRPr="00E42EB4">
        <w:rPr>
          <w:rFonts w:ascii="Times New Roman" w:hAnsi="Times New Roman" w:cs="Times New Roman"/>
          <w:sz w:val="24"/>
          <w:szCs w:val="24"/>
          <w:lang w:val="en-US"/>
        </w:rPr>
        <w:lastRenderedPageBreak/>
        <w:t xml:space="preserve">World Bank (2023) </w:t>
      </w:r>
      <w:r w:rsidRPr="00E42EB4">
        <w:rPr>
          <w:rFonts w:ascii="Times New Roman" w:hAnsi="Times New Roman" w:cs="Times New Roman"/>
          <w:i/>
          <w:iCs/>
          <w:sz w:val="24"/>
          <w:szCs w:val="24"/>
          <w:lang w:val="en-US"/>
        </w:rPr>
        <w:t>World Development Report 2023: Migrants, Refugees, and Societies</w:t>
      </w:r>
      <w:r w:rsidRPr="00E42EB4">
        <w:rPr>
          <w:rFonts w:ascii="Times New Roman" w:hAnsi="Times New Roman" w:cs="Times New Roman"/>
          <w:sz w:val="24"/>
          <w:szCs w:val="24"/>
          <w:lang w:val="en-US"/>
        </w:rPr>
        <w:t xml:space="preserve">. Washington, DC: World Bank. Available at: </w:t>
      </w:r>
      <w:hyperlink r:id="rId17" w:tgtFrame="_new" w:history="1">
        <w:r w:rsidRPr="00E42EB4">
          <w:rPr>
            <w:rStyle w:val="Hyperlink"/>
            <w:rFonts w:ascii="Times New Roman" w:hAnsi="Times New Roman" w:cs="Times New Roman"/>
            <w:sz w:val="24"/>
            <w:szCs w:val="24"/>
            <w:lang w:val="en-US"/>
          </w:rPr>
          <w:t>https://www.worldbank.org/en/publication/wdr2023</w:t>
        </w:r>
      </w:hyperlink>
      <w:r w:rsidRPr="00E42EB4">
        <w:rPr>
          <w:rFonts w:ascii="Times New Roman" w:hAnsi="Times New Roman" w:cs="Times New Roman"/>
          <w:sz w:val="24"/>
          <w:szCs w:val="24"/>
          <w:lang w:val="en-US"/>
        </w:rPr>
        <w:t xml:space="preserve"> (Accessed: 17 July 2025).</w:t>
      </w:r>
    </w:p>
    <w:p w14:paraId="0659BC48" w14:textId="77777777" w:rsidR="00E42EB4" w:rsidRPr="00E42EB4" w:rsidRDefault="00E42EB4" w:rsidP="00E42EB4">
      <w:pPr>
        <w:spacing w:line="360" w:lineRule="auto"/>
        <w:jc w:val="both"/>
        <w:rPr>
          <w:rFonts w:ascii="Times New Roman" w:hAnsi="Times New Roman" w:cs="Times New Roman"/>
          <w:b/>
          <w:sz w:val="24"/>
          <w:szCs w:val="24"/>
        </w:rPr>
      </w:pPr>
    </w:p>
    <w:p w14:paraId="3D1B63BB" w14:textId="77777777" w:rsidR="00352F73" w:rsidRPr="00E42EB4" w:rsidRDefault="00352F73" w:rsidP="00E42EB4">
      <w:pPr>
        <w:spacing w:line="360" w:lineRule="auto"/>
        <w:jc w:val="both"/>
        <w:rPr>
          <w:rFonts w:ascii="Times New Roman" w:hAnsi="Times New Roman" w:cs="Times New Roman"/>
          <w:sz w:val="24"/>
          <w:szCs w:val="24"/>
        </w:rPr>
      </w:pPr>
    </w:p>
    <w:sectPr w:rsidR="00352F73" w:rsidRPr="00E42EB4" w:rsidSect="00E42E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017102"/>
    <w:multiLevelType w:val="hybridMultilevel"/>
    <w:tmpl w:val="7F043436"/>
    <w:lvl w:ilvl="0" w:tplc="02EC9744">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27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B58"/>
    <w:rsid w:val="000E5183"/>
    <w:rsid w:val="00352F73"/>
    <w:rsid w:val="00564565"/>
    <w:rsid w:val="00853EA6"/>
    <w:rsid w:val="00C443E3"/>
    <w:rsid w:val="00CD1B58"/>
    <w:rsid w:val="00D66847"/>
    <w:rsid w:val="00E42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07777"/>
  <w15:chartTrackingRefBased/>
  <w15:docId w15:val="{2314B7E4-012A-454F-9B02-43434E9F1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B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1B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1B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1B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1B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1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1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1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1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1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1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1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1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1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1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1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1B58"/>
    <w:rPr>
      <w:rFonts w:eastAsiaTheme="majorEastAsia" w:cstheme="majorBidi"/>
      <w:color w:val="272727" w:themeColor="text1" w:themeTint="D8"/>
    </w:rPr>
  </w:style>
  <w:style w:type="paragraph" w:styleId="Title">
    <w:name w:val="Title"/>
    <w:basedOn w:val="Normal"/>
    <w:next w:val="Normal"/>
    <w:link w:val="TitleChar"/>
    <w:uiPriority w:val="10"/>
    <w:qFormat/>
    <w:rsid w:val="00CD1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1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1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1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1B58"/>
    <w:pPr>
      <w:spacing w:before="160"/>
      <w:jc w:val="center"/>
    </w:pPr>
    <w:rPr>
      <w:i/>
      <w:iCs/>
      <w:color w:val="404040" w:themeColor="text1" w:themeTint="BF"/>
    </w:rPr>
  </w:style>
  <w:style w:type="character" w:customStyle="1" w:styleId="QuoteChar">
    <w:name w:val="Quote Char"/>
    <w:basedOn w:val="DefaultParagraphFont"/>
    <w:link w:val="Quote"/>
    <w:uiPriority w:val="29"/>
    <w:rsid w:val="00CD1B58"/>
    <w:rPr>
      <w:i/>
      <w:iCs/>
      <w:color w:val="404040" w:themeColor="text1" w:themeTint="BF"/>
    </w:rPr>
  </w:style>
  <w:style w:type="paragraph" w:styleId="ListParagraph">
    <w:name w:val="List Paragraph"/>
    <w:basedOn w:val="Normal"/>
    <w:uiPriority w:val="34"/>
    <w:qFormat/>
    <w:rsid w:val="00CD1B58"/>
    <w:pPr>
      <w:ind w:left="720"/>
      <w:contextualSpacing/>
    </w:pPr>
  </w:style>
  <w:style w:type="character" w:styleId="IntenseEmphasis">
    <w:name w:val="Intense Emphasis"/>
    <w:basedOn w:val="DefaultParagraphFont"/>
    <w:uiPriority w:val="21"/>
    <w:qFormat/>
    <w:rsid w:val="00CD1B58"/>
    <w:rPr>
      <w:i/>
      <w:iCs/>
      <w:color w:val="0F4761" w:themeColor="accent1" w:themeShade="BF"/>
    </w:rPr>
  </w:style>
  <w:style w:type="paragraph" w:styleId="IntenseQuote">
    <w:name w:val="Intense Quote"/>
    <w:basedOn w:val="Normal"/>
    <w:next w:val="Normal"/>
    <w:link w:val="IntenseQuoteChar"/>
    <w:uiPriority w:val="30"/>
    <w:qFormat/>
    <w:rsid w:val="00CD1B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1B58"/>
    <w:rPr>
      <w:i/>
      <w:iCs/>
      <w:color w:val="0F4761" w:themeColor="accent1" w:themeShade="BF"/>
    </w:rPr>
  </w:style>
  <w:style w:type="character" w:styleId="IntenseReference">
    <w:name w:val="Intense Reference"/>
    <w:basedOn w:val="DefaultParagraphFont"/>
    <w:uiPriority w:val="32"/>
    <w:qFormat/>
    <w:rsid w:val="00CD1B58"/>
    <w:rPr>
      <w:b/>
      <w:bCs/>
      <w:smallCaps/>
      <w:color w:val="0F4761" w:themeColor="accent1" w:themeShade="BF"/>
      <w:spacing w:val="5"/>
    </w:rPr>
  </w:style>
  <w:style w:type="table" w:styleId="TableGrid">
    <w:name w:val="Table Grid"/>
    <w:basedOn w:val="TableNormal"/>
    <w:uiPriority w:val="39"/>
    <w:rsid w:val="00E42E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42EB4"/>
    <w:rPr>
      <w:color w:val="467886" w:themeColor="hyperlink"/>
      <w:u w:val="single"/>
    </w:rPr>
  </w:style>
  <w:style w:type="character" w:styleId="UnresolvedMention">
    <w:name w:val="Unresolved Mention"/>
    <w:basedOn w:val="DefaultParagraphFont"/>
    <w:uiPriority w:val="99"/>
    <w:semiHidden/>
    <w:unhideWhenUsed/>
    <w:rsid w:val="00E42EB4"/>
    <w:rPr>
      <w:color w:val="605E5C"/>
      <w:shd w:val="clear" w:color="auto" w:fill="E1DFDD"/>
    </w:rPr>
  </w:style>
  <w:style w:type="paragraph" w:styleId="NoSpacing">
    <w:name w:val="No Spacing"/>
    <w:link w:val="NoSpacingChar"/>
    <w:uiPriority w:val="1"/>
    <w:qFormat/>
    <w:rsid w:val="00E42EB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42EB4"/>
    <w:rPr>
      <w:rFonts w:eastAsiaTheme="minorEastAsia"/>
      <w:lang w:eastAsia="en-GB"/>
    </w:rPr>
  </w:style>
  <w:style w:type="paragraph" w:styleId="TOC1">
    <w:name w:val="toc 1"/>
    <w:basedOn w:val="Normal"/>
    <w:next w:val="Normal"/>
    <w:autoRedefine/>
    <w:uiPriority w:val="39"/>
    <w:unhideWhenUsed/>
    <w:rsid w:val="00853EA6"/>
    <w:pPr>
      <w:spacing w:after="100"/>
    </w:pPr>
  </w:style>
  <w:style w:type="paragraph" w:styleId="TOC2">
    <w:name w:val="toc 2"/>
    <w:basedOn w:val="Normal"/>
    <w:next w:val="Normal"/>
    <w:autoRedefine/>
    <w:uiPriority w:val="39"/>
    <w:unhideWhenUsed/>
    <w:rsid w:val="00853EA6"/>
    <w:pPr>
      <w:spacing w:after="100"/>
      <w:ind w:left="220"/>
    </w:pPr>
  </w:style>
  <w:style w:type="paragraph" w:styleId="TOC3">
    <w:name w:val="toc 3"/>
    <w:basedOn w:val="Normal"/>
    <w:next w:val="Normal"/>
    <w:autoRedefine/>
    <w:uiPriority w:val="39"/>
    <w:unhideWhenUsed/>
    <w:rsid w:val="00853EA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985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17" Type="http://schemas.openxmlformats.org/officeDocument/2006/relationships/hyperlink" Target="https://www.worldbank.org/en/publication/wdr2023" TargetMode="External"/><Relationship Id="rId2" Type="http://schemas.openxmlformats.org/officeDocument/2006/relationships/numbering" Target="numbering.xml"/><Relationship Id="rId16" Type="http://schemas.openxmlformats.org/officeDocument/2006/relationships/hyperlink" Target="https://doi.org/10.1016/0090-2616(90)90061-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diagramQuickStyle" Target="diagrams/quickStyle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78A7B2-C382-4439-A065-8682BEA7204C}" type="doc">
      <dgm:prSet loTypeId="urn:microsoft.com/office/officeart/2005/8/layout/vList2" loCatId="list" qsTypeId="urn:microsoft.com/office/officeart/2005/8/quickstyle/simple1" qsCatId="simple" csTypeId="urn:microsoft.com/office/officeart/2005/8/colors/colorful3" csCatId="colorful"/>
      <dgm:spPr/>
      <dgm:t>
        <a:bodyPr/>
        <a:lstStyle/>
        <a:p>
          <a:endParaRPr lang="en-US"/>
        </a:p>
      </dgm:t>
    </dgm:pt>
    <dgm:pt modelId="{DACA00F5-29FB-41DC-8E69-3DA4E9C9B508}">
      <dgm:prSet/>
      <dgm:spPr/>
      <dgm:t>
        <a:bodyPr/>
        <a:lstStyle/>
        <a:p>
          <a:pPr rtl="0"/>
          <a:r>
            <a:rPr lang="en-GB" b="1"/>
            <a:t>Aim: </a:t>
          </a:r>
          <a:r>
            <a:rPr lang="en-GB"/>
            <a:t>To critically evaluate the role and responsibilities of multinational corporations in addressing climate change, using Unilever as a case study of global leadership in sustainability.</a:t>
          </a:r>
          <a:endParaRPr lang="en-US"/>
        </a:p>
      </dgm:t>
    </dgm:pt>
    <dgm:pt modelId="{8F88B1B2-350B-44C1-A956-0BDF64AC8876}" type="parTrans" cxnId="{C89C1B78-2D1A-442C-AE29-B1B68758F646}">
      <dgm:prSet/>
      <dgm:spPr/>
      <dgm:t>
        <a:bodyPr/>
        <a:lstStyle/>
        <a:p>
          <a:endParaRPr lang="en-US"/>
        </a:p>
      </dgm:t>
    </dgm:pt>
    <dgm:pt modelId="{D534849E-C956-4C86-B1EF-6D432E79A228}" type="sibTrans" cxnId="{C89C1B78-2D1A-442C-AE29-B1B68758F646}">
      <dgm:prSet/>
      <dgm:spPr/>
      <dgm:t>
        <a:bodyPr/>
        <a:lstStyle/>
        <a:p>
          <a:endParaRPr lang="en-US"/>
        </a:p>
      </dgm:t>
    </dgm:pt>
    <dgm:pt modelId="{661B79E1-03CE-4383-8F9F-4BC6319F4036}">
      <dgm:prSet/>
      <dgm:spPr/>
      <dgm:t>
        <a:bodyPr/>
        <a:lstStyle/>
        <a:p>
          <a:pPr rtl="0"/>
          <a:r>
            <a:rPr lang="en-GB" b="1"/>
            <a:t>Objectives:</a:t>
          </a:r>
          <a:endParaRPr lang="en-US"/>
        </a:p>
      </dgm:t>
    </dgm:pt>
    <dgm:pt modelId="{74CFA98F-46FB-4FE9-9CD0-88BBEC5E5D77}" type="parTrans" cxnId="{D7CAE520-A51A-45C0-B147-7F3D6913A9E1}">
      <dgm:prSet/>
      <dgm:spPr/>
      <dgm:t>
        <a:bodyPr/>
        <a:lstStyle/>
        <a:p>
          <a:endParaRPr lang="en-US"/>
        </a:p>
      </dgm:t>
    </dgm:pt>
    <dgm:pt modelId="{CA6C8CFB-5862-436D-B1AE-A2C4F39FE5D1}" type="sibTrans" cxnId="{D7CAE520-A51A-45C0-B147-7F3D6913A9E1}">
      <dgm:prSet/>
      <dgm:spPr/>
      <dgm:t>
        <a:bodyPr/>
        <a:lstStyle/>
        <a:p>
          <a:endParaRPr lang="en-US"/>
        </a:p>
      </dgm:t>
    </dgm:pt>
    <dgm:pt modelId="{7E7B9792-F89F-4EC0-AC5B-E66015A9DF69}">
      <dgm:prSet/>
      <dgm:spPr/>
      <dgm:t>
        <a:bodyPr/>
        <a:lstStyle/>
        <a:p>
          <a:pPr rtl="0"/>
          <a:r>
            <a:rPr lang="en-GB"/>
            <a:t>To analyse Unilever’s ethical and strategic leadership responses to climate change within a global operational context.</a:t>
          </a:r>
          <a:endParaRPr lang="en-US"/>
        </a:p>
      </dgm:t>
    </dgm:pt>
    <dgm:pt modelId="{7F739F4E-5840-4A72-B2E5-5DE43E3F4AB1}" type="parTrans" cxnId="{525AA31C-187E-46F4-BE98-561CF26F25F9}">
      <dgm:prSet/>
      <dgm:spPr/>
      <dgm:t>
        <a:bodyPr/>
        <a:lstStyle/>
        <a:p>
          <a:endParaRPr lang="en-US"/>
        </a:p>
      </dgm:t>
    </dgm:pt>
    <dgm:pt modelId="{7679CCD8-8443-4C68-ABE5-55426533B459}" type="sibTrans" cxnId="{525AA31C-187E-46F4-BE98-561CF26F25F9}">
      <dgm:prSet/>
      <dgm:spPr/>
      <dgm:t>
        <a:bodyPr/>
        <a:lstStyle/>
        <a:p>
          <a:endParaRPr lang="en-US"/>
        </a:p>
      </dgm:t>
    </dgm:pt>
    <dgm:pt modelId="{8D0781EF-C568-41F4-90C2-5A17D0802CBD}">
      <dgm:prSet/>
      <dgm:spPr/>
      <dgm:t>
        <a:bodyPr/>
        <a:lstStyle/>
        <a:p>
          <a:pPr rtl="0"/>
          <a:r>
            <a:rPr lang="en-GB"/>
            <a:t>To assess the impact of individual leadership and decision-making in driving Unilever’s climate and sustainability agenda.</a:t>
          </a:r>
          <a:endParaRPr lang="en-US"/>
        </a:p>
      </dgm:t>
    </dgm:pt>
    <dgm:pt modelId="{BC3F1AC8-E63C-43F2-8502-2CDA1E25D1A6}" type="parTrans" cxnId="{4E4A56F3-15E5-4A47-9710-5F7750BC1ECA}">
      <dgm:prSet/>
      <dgm:spPr/>
      <dgm:t>
        <a:bodyPr/>
        <a:lstStyle/>
        <a:p>
          <a:endParaRPr lang="en-US"/>
        </a:p>
      </dgm:t>
    </dgm:pt>
    <dgm:pt modelId="{998BC6E6-482D-4C39-8371-1F55104F0E93}" type="sibTrans" cxnId="{4E4A56F3-15E5-4A47-9710-5F7750BC1ECA}">
      <dgm:prSet/>
      <dgm:spPr/>
      <dgm:t>
        <a:bodyPr/>
        <a:lstStyle/>
        <a:p>
          <a:endParaRPr lang="en-US"/>
        </a:p>
      </dgm:t>
    </dgm:pt>
    <dgm:pt modelId="{85CC29F4-92D2-4B2F-880F-A88F442D8FCD}">
      <dgm:prSet/>
      <dgm:spPr/>
      <dgm:t>
        <a:bodyPr/>
        <a:lstStyle/>
        <a:p>
          <a:pPr rtl="0"/>
          <a:r>
            <a:rPr lang="en-GB"/>
            <a:t>To examine how stakeholder engagement and accountability contribute to Unilever’s effectiveness in delivering on its climate commitments.</a:t>
          </a:r>
          <a:endParaRPr lang="en-US"/>
        </a:p>
      </dgm:t>
    </dgm:pt>
    <dgm:pt modelId="{22D45E31-6D1D-4695-BA9E-D3742A28B397}" type="parTrans" cxnId="{D5EF21C9-354A-4F9B-8E49-10B7A55D4BC9}">
      <dgm:prSet/>
      <dgm:spPr/>
      <dgm:t>
        <a:bodyPr/>
        <a:lstStyle/>
        <a:p>
          <a:endParaRPr lang="en-US"/>
        </a:p>
      </dgm:t>
    </dgm:pt>
    <dgm:pt modelId="{304FB181-2AF1-4B50-9834-B7F043FC13B6}" type="sibTrans" cxnId="{D5EF21C9-354A-4F9B-8E49-10B7A55D4BC9}">
      <dgm:prSet/>
      <dgm:spPr/>
      <dgm:t>
        <a:bodyPr/>
        <a:lstStyle/>
        <a:p>
          <a:endParaRPr lang="en-US"/>
        </a:p>
      </dgm:t>
    </dgm:pt>
    <dgm:pt modelId="{8993C7EB-2D34-4C60-888E-9A56EDFA6644}" type="pres">
      <dgm:prSet presAssocID="{9478A7B2-C382-4439-A065-8682BEA7204C}" presName="linear" presStyleCnt="0">
        <dgm:presLayoutVars>
          <dgm:animLvl val="lvl"/>
          <dgm:resizeHandles val="exact"/>
        </dgm:presLayoutVars>
      </dgm:prSet>
      <dgm:spPr/>
    </dgm:pt>
    <dgm:pt modelId="{927E8278-5269-4FC2-BAC0-DE70D690865B}" type="pres">
      <dgm:prSet presAssocID="{DACA00F5-29FB-41DC-8E69-3DA4E9C9B508}" presName="parentText" presStyleLbl="node1" presStyleIdx="0" presStyleCnt="2">
        <dgm:presLayoutVars>
          <dgm:chMax val="0"/>
          <dgm:bulletEnabled val="1"/>
        </dgm:presLayoutVars>
      </dgm:prSet>
      <dgm:spPr/>
    </dgm:pt>
    <dgm:pt modelId="{BA93E61C-9C5F-4A5C-BDA2-BC76F9EDFD09}" type="pres">
      <dgm:prSet presAssocID="{D534849E-C956-4C86-B1EF-6D432E79A228}" presName="spacer" presStyleCnt="0"/>
      <dgm:spPr/>
    </dgm:pt>
    <dgm:pt modelId="{F75B652A-AAFB-448F-A2D8-84C90DF2DCB8}" type="pres">
      <dgm:prSet presAssocID="{661B79E1-03CE-4383-8F9F-4BC6319F4036}" presName="parentText" presStyleLbl="node1" presStyleIdx="1" presStyleCnt="2">
        <dgm:presLayoutVars>
          <dgm:chMax val="0"/>
          <dgm:bulletEnabled val="1"/>
        </dgm:presLayoutVars>
      </dgm:prSet>
      <dgm:spPr/>
    </dgm:pt>
    <dgm:pt modelId="{B5C39420-F72F-4AE5-9CE4-961AEACCBA74}" type="pres">
      <dgm:prSet presAssocID="{661B79E1-03CE-4383-8F9F-4BC6319F4036}" presName="childText" presStyleLbl="revTx" presStyleIdx="0" presStyleCnt="1">
        <dgm:presLayoutVars>
          <dgm:bulletEnabled val="1"/>
        </dgm:presLayoutVars>
      </dgm:prSet>
      <dgm:spPr/>
    </dgm:pt>
  </dgm:ptLst>
  <dgm:cxnLst>
    <dgm:cxn modelId="{525AA31C-187E-46F4-BE98-561CF26F25F9}" srcId="{661B79E1-03CE-4383-8F9F-4BC6319F4036}" destId="{7E7B9792-F89F-4EC0-AC5B-E66015A9DF69}" srcOrd="0" destOrd="0" parTransId="{7F739F4E-5840-4A72-B2E5-5DE43E3F4AB1}" sibTransId="{7679CCD8-8443-4C68-ABE5-55426533B459}"/>
    <dgm:cxn modelId="{D7CAE520-A51A-45C0-B147-7F3D6913A9E1}" srcId="{9478A7B2-C382-4439-A065-8682BEA7204C}" destId="{661B79E1-03CE-4383-8F9F-4BC6319F4036}" srcOrd="1" destOrd="0" parTransId="{74CFA98F-46FB-4FE9-9CD0-88BBEC5E5D77}" sibTransId="{CA6C8CFB-5862-436D-B1AE-A2C4F39FE5D1}"/>
    <dgm:cxn modelId="{48C3D644-CD47-4C5A-B5FD-3FDFE827654C}" type="presOf" srcId="{7E7B9792-F89F-4EC0-AC5B-E66015A9DF69}" destId="{B5C39420-F72F-4AE5-9CE4-961AEACCBA74}" srcOrd="0" destOrd="0" presId="urn:microsoft.com/office/officeart/2005/8/layout/vList2"/>
    <dgm:cxn modelId="{876F9967-C6DE-4047-BC67-67E77BCAEE9F}" type="presOf" srcId="{9478A7B2-C382-4439-A065-8682BEA7204C}" destId="{8993C7EB-2D34-4C60-888E-9A56EDFA6644}" srcOrd="0" destOrd="0" presId="urn:microsoft.com/office/officeart/2005/8/layout/vList2"/>
    <dgm:cxn modelId="{3E718A74-6B1A-4944-B75F-D3E26837AA94}" type="presOf" srcId="{8D0781EF-C568-41F4-90C2-5A17D0802CBD}" destId="{B5C39420-F72F-4AE5-9CE4-961AEACCBA74}" srcOrd="0" destOrd="1" presId="urn:microsoft.com/office/officeart/2005/8/layout/vList2"/>
    <dgm:cxn modelId="{13702776-EA2E-4634-8281-99E33ED4204D}" type="presOf" srcId="{661B79E1-03CE-4383-8F9F-4BC6319F4036}" destId="{F75B652A-AAFB-448F-A2D8-84C90DF2DCB8}" srcOrd="0" destOrd="0" presId="urn:microsoft.com/office/officeart/2005/8/layout/vList2"/>
    <dgm:cxn modelId="{C89C1B78-2D1A-442C-AE29-B1B68758F646}" srcId="{9478A7B2-C382-4439-A065-8682BEA7204C}" destId="{DACA00F5-29FB-41DC-8E69-3DA4E9C9B508}" srcOrd="0" destOrd="0" parTransId="{8F88B1B2-350B-44C1-A956-0BDF64AC8876}" sibTransId="{D534849E-C956-4C86-B1EF-6D432E79A228}"/>
    <dgm:cxn modelId="{CF2016B0-AED7-4915-B45A-23CD914A232B}" type="presOf" srcId="{85CC29F4-92D2-4B2F-880F-A88F442D8FCD}" destId="{B5C39420-F72F-4AE5-9CE4-961AEACCBA74}" srcOrd="0" destOrd="2" presId="urn:microsoft.com/office/officeart/2005/8/layout/vList2"/>
    <dgm:cxn modelId="{D5EF21C9-354A-4F9B-8E49-10B7A55D4BC9}" srcId="{661B79E1-03CE-4383-8F9F-4BC6319F4036}" destId="{85CC29F4-92D2-4B2F-880F-A88F442D8FCD}" srcOrd="2" destOrd="0" parTransId="{22D45E31-6D1D-4695-BA9E-D3742A28B397}" sibTransId="{304FB181-2AF1-4B50-9834-B7F043FC13B6}"/>
    <dgm:cxn modelId="{4E4A56F3-15E5-4A47-9710-5F7750BC1ECA}" srcId="{661B79E1-03CE-4383-8F9F-4BC6319F4036}" destId="{8D0781EF-C568-41F4-90C2-5A17D0802CBD}" srcOrd="1" destOrd="0" parTransId="{BC3F1AC8-E63C-43F2-8502-2CDA1E25D1A6}" sibTransId="{998BC6E6-482D-4C39-8371-1F55104F0E93}"/>
    <dgm:cxn modelId="{ADF118FF-BE72-406F-B4B3-06C5F9863848}" type="presOf" srcId="{DACA00F5-29FB-41DC-8E69-3DA4E9C9B508}" destId="{927E8278-5269-4FC2-BAC0-DE70D690865B}" srcOrd="0" destOrd="0" presId="urn:microsoft.com/office/officeart/2005/8/layout/vList2"/>
    <dgm:cxn modelId="{079B1648-7AD3-4D3A-AC36-F03BFD15E1E7}" type="presParOf" srcId="{8993C7EB-2D34-4C60-888E-9A56EDFA6644}" destId="{927E8278-5269-4FC2-BAC0-DE70D690865B}" srcOrd="0" destOrd="0" presId="urn:microsoft.com/office/officeart/2005/8/layout/vList2"/>
    <dgm:cxn modelId="{5C24480D-F6C7-47A5-B2C4-FA673336E040}" type="presParOf" srcId="{8993C7EB-2D34-4C60-888E-9A56EDFA6644}" destId="{BA93E61C-9C5F-4A5C-BDA2-BC76F9EDFD09}" srcOrd="1" destOrd="0" presId="urn:microsoft.com/office/officeart/2005/8/layout/vList2"/>
    <dgm:cxn modelId="{0552B3AC-381D-42E0-A6BA-5BE79E47C9A4}" type="presParOf" srcId="{8993C7EB-2D34-4C60-888E-9A56EDFA6644}" destId="{F75B652A-AAFB-448F-A2D8-84C90DF2DCB8}" srcOrd="2" destOrd="0" presId="urn:microsoft.com/office/officeart/2005/8/layout/vList2"/>
    <dgm:cxn modelId="{457F6568-17E4-4AE7-8666-44FCED1928BB}" type="presParOf" srcId="{8993C7EB-2D34-4C60-888E-9A56EDFA6644}" destId="{B5C39420-F72F-4AE5-9CE4-961AEACCBA74}" srcOrd="3" destOrd="0" presId="urn:microsoft.com/office/officeart/2005/8/layout/vList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7E8278-5269-4FC2-BAC0-DE70D690865B}">
      <dsp:nvSpPr>
        <dsp:cNvPr id="0" name=""/>
        <dsp:cNvSpPr/>
      </dsp:nvSpPr>
      <dsp:spPr>
        <a:xfrm>
          <a:off x="0" y="25162"/>
          <a:ext cx="5943600" cy="71487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rtl="0">
            <a:lnSpc>
              <a:spcPct val="90000"/>
            </a:lnSpc>
            <a:spcBef>
              <a:spcPct val="0"/>
            </a:spcBef>
            <a:spcAft>
              <a:spcPct val="35000"/>
            </a:spcAft>
            <a:buNone/>
          </a:pPr>
          <a:r>
            <a:rPr lang="en-GB" sz="1300" b="1" kern="1200"/>
            <a:t>Aim: </a:t>
          </a:r>
          <a:r>
            <a:rPr lang="en-GB" sz="1300" kern="1200"/>
            <a:t>To critically evaluate the role and responsibilities of multinational corporations in addressing climate change, using Unilever as a case study of global leadership in sustainability.</a:t>
          </a:r>
          <a:endParaRPr lang="en-US" sz="1300" kern="1200"/>
        </a:p>
      </dsp:txBody>
      <dsp:txXfrm>
        <a:off x="34897" y="60059"/>
        <a:ext cx="5873806" cy="645076"/>
      </dsp:txXfrm>
    </dsp:sp>
    <dsp:sp modelId="{F75B652A-AAFB-448F-A2D8-84C90DF2DCB8}">
      <dsp:nvSpPr>
        <dsp:cNvPr id="0" name=""/>
        <dsp:cNvSpPr/>
      </dsp:nvSpPr>
      <dsp:spPr>
        <a:xfrm>
          <a:off x="0" y="777472"/>
          <a:ext cx="5943600" cy="714870"/>
        </a:xfrm>
        <a:prstGeom prst="roundRect">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l" defTabSz="577850" rtl="0">
            <a:lnSpc>
              <a:spcPct val="90000"/>
            </a:lnSpc>
            <a:spcBef>
              <a:spcPct val="0"/>
            </a:spcBef>
            <a:spcAft>
              <a:spcPct val="35000"/>
            </a:spcAft>
            <a:buNone/>
          </a:pPr>
          <a:r>
            <a:rPr lang="en-GB" sz="1300" b="1" kern="1200"/>
            <a:t>Objectives:</a:t>
          </a:r>
          <a:endParaRPr lang="en-US" sz="1300" kern="1200"/>
        </a:p>
      </dsp:txBody>
      <dsp:txXfrm>
        <a:off x="34897" y="812369"/>
        <a:ext cx="5873806" cy="645076"/>
      </dsp:txXfrm>
    </dsp:sp>
    <dsp:sp modelId="{B5C39420-F72F-4AE5-9CE4-961AEACCBA74}">
      <dsp:nvSpPr>
        <dsp:cNvPr id="0" name=""/>
        <dsp:cNvSpPr/>
      </dsp:nvSpPr>
      <dsp:spPr>
        <a:xfrm>
          <a:off x="0" y="1492342"/>
          <a:ext cx="5943600" cy="9418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8709" tIns="16510" rIns="92456" bIns="16510" numCol="1" spcCol="1270" anchor="t" anchorCtr="0">
          <a:noAutofit/>
        </a:bodyPr>
        <a:lstStyle/>
        <a:p>
          <a:pPr marL="57150" lvl="1" indent="-57150" algn="l" defTabSz="444500" rtl="0">
            <a:lnSpc>
              <a:spcPct val="90000"/>
            </a:lnSpc>
            <a:spcBef>
              <a:spcPct val="0"/>
            </a:spcBef>
            <a:spcAft>
              <a:spcPct val="20000"/>
            </a:spcAft>
            <a:buChar char="•"/>
          </a:pPr>
          <a:r>
            <a:rPr lang="en-GB" sz="1000" kern="1200"/>
            <a:t>To analyse Unilever’s ethical and strategic leadership responses to climate change within a global operational context.</a:t>
          </a:r>
          <a:endParaRPr lang="en-US" sz="1000" kern="1200"/>
        </a:p>
        <a:p>
          <a:pPr marL="57150" lvl="1" indent="-57150" algn="l" defTabSz="444500" rtl="0">
            <a:lnSpc>
              <a:spcPct val="90000"/>
            </a:lnSpc>
            <a:spcBef>
              <a:spcPct val="0"/>
            </a:spcBef>
            <a:spcAft>
              <a:spcPct val="20000"/>
            </a:spcAft>
            <a:buChar char="•"/>
          </a:pPr>
          <a:r>
            <a:rPr lang="en-GB" sz="1000" kern="1200"/>
            <a:t>To assess the impact of individual leadership and decision-making in driving Unilever’s climate and sustainability agenda.</a:t>
          </a:r>
          <a:endParaRPr lang="en-US" sz="1000" kern="1200"/>
        </a:p>
        <a:p>
          <a:pPr marL="57150" lvl="1" indent="-57150" algn="l" defTabSz="444500" rtl="0">
            <a:lnSpc>
              <a:spcPct val="90000"/>
            </a:lnSpc>
            <a:spcBef>
              <a:spcPct val="0"/>
            </a:spcBef>
            <a:spcAft>
              <a:spcPct val="20000"/>
            </a:spcAft>
            <a:buChar char="•"/>
          </a:pPr>
          <a:r>
            <a:rPr lang="en-GB" sz="1000" kern="1200"/>
            <a:t>To examine how stakeholder engagement and accountability contribute to Unilever’s effectiveness in delivering on its climate commitments.</a:t>
          </a:r>
          <a:endParaRPr lang="en-US" sz="1000" kern="1200"/>
        </a:p>
      </dsp:txBody>
      <dsp:txXfrm>
        <a:off x="0" y="1492342"/>
        <a:ext cx="5943600" cy="941850"/>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9732DAE52464EDEB1571DE0E2F8F2D0"/>
        <w:category>
          <w:name w:val="General"/>
          <w:gallery w:val="placeholder"/>
        </w:category>
        <w:types>
          <w:type w:val="bbPlcHdr"/>
        </w:types>
        <w:behaviors>
          <w:behavior w:val="content"/>
        </w:behaviors>
        <w:guid w:val="{5A9B461F-0CCC-464E-962F-E7982BC08945}"/>
      </w:docPartPr>
      <w:docPartBody>
        <w:p w:rsidR="00000000" w:rsidRDefault="00C4665B" w:rsidP="00C4665B">
          <w:pPr>
            <w:pStyle w:val="39732DAE52464EDEB1571DE0E2F8F2D0"/>
          </w:pPr>
          <w:r>
            <w:rPr>
              <w:rFonts w:asciiTheme="majorHAnsi" w:eastAsiaTheme="majorEastAsia" w:hAnsiTheme="majorHAnsi" w:cstheme="majorBidi"/>
              <w:caps/>
              <w:color w:val="156082" w:themeColor="accent1"/>
              <w:sz w:val="80"/>
              <w:szCs w:val="80"/>
            </w:rPr>
            <w:t>[Document title]</w:t>
          </w:r>
        </w:p>
      </w:docPartBody>
    </w:docPart>
    <w:docPart>
      <w:docPartPr>
        <w:name w:val="E02FB8C3F6F74FDDA30E283B241DED78"/>
        <w:category>
          <w:name w:val="General"/>
          <w:gallery w:val="placeholder"/>
        </w:category>
        <w:types>
          <w:type w:val="bbPlcHdr"/>
        </w:types>
        <w:behaviors>
          <w:behavior w:val="content"/>
        </w:behaviors>
        <w:guid w:val="{368377CA-FD06-4E2E-B5F6-619687CB32DA}"/>
      </w:docPartPr>
      <w:docPartBody>
        <w:p w:rsidR="00000000" w:rsidRDefault="00C4665B" w:rsidP="00C4665B">
          <w:pPr>
            <w:pStyle w:val="E02FB8C3F6F74FDDA30E283B241DED7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65B"/>
    <w:rsid w:val="00C443E3"/>
    <w:rsid w:val="00C4665B"/>
    <w:rsid w:val="00F23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732DAE52464EDEB1571DE0E2F8F2D0">
    <w:name w:val="39732DAE52464EDEB1571DE0E2F8F2D0"/>
    <w:rsid w:val="00C4665B"/>
  </w:style>
  <w:style w:type="paragraph" w:customStyle="1" w:styleId="E02FB8C3F6F74FDDA30E283B241DED78">
    <w:name w:val="E02FB8C3F6F74FDDA30E283B241DED78"/>
    <w:rsid w:val="00C466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2025-07-21T00:00:00</PublishDate>
  <Abstract/>
  <CompanyAddress>Andrei Selaru 2112461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20</Pages>
  <Words>5359</Words>
  <Characters>30547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 in a Global Business</dc:title>
  <dc:subject>UNILEVER CASE STUDY</dc:subject>
  <dc:creator>Andrei Selaru (2112461)</dc:creator>
  <cp:keywords/>
  <dc:description/>
  <cp:lastModifiedBy>Andrei Selaru (2112461)</cp:lastModifiedBy>
  <cp:revision>2</cp:revision>
  <dcterms:created xsi:type="dcterms:W3CDTF">2025-07-19T18:14:00Z</dcterms:created>
  <dcterms:modified xsi:type="dcterms:W3CDTF">2025-07-19T18:36:00Z</dcterms:modified>
</cp:coreProperties>
</file>