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83615" w14:textId="77777777" w:rsidR="00D357AF" w:rsidRDefault="00D357AF">
      <w:pPr>
        <w:spacing w:before="60" w:after="60"/>
      </w:pPr>
    </w:p>
    <w:p w14:paraId="6ABF8976" w14:textId="77777777" w:rsidR="00D357AF" w:rsidRDefault="00D357AF">
      <w:pPr>
        <w:spacing w:before="60" w:after="60"/>
      </w:pPr>
    </w:p>
    <w:p w14:paraId="510958CB" w14:textId="77777777" w:rsidR="00D357AF" w:rsidRDefault="00D357AF">
      <w:pPr>
        <w:spacing w:before="60" w:after="60"/>
      </w:pPr>
    </w:p>
    <w:p w14:paraId="6EA05748" w14:textId="77777777" w:rsidR="00D357AF" w:rsidRDefault="00D357AF">
      <w:pPr>
        <w:spacing w:before="60" w:after="60"/>
      </w:pPr>
    </w:p>
    <w:p w14:paraId="184168CF" w14:textId="77777777" w:rsidR="00D357AF" w:rsidRDefault="00000000">
      <w:pPr>
        <w:spacing w:before="480" w:after="80"/>
        <w:jc w:val="center"/>
      </w:pPr>
      <w:r>
        <w:rPr>
          <w:b/>
          <w:bCs/>
          <w:color w:val="1F3864"/>
          <w:sz w:val="46"/>
          <w:szCs w:val="46"/>
        </w:rPr>
        <w:t>UNDERSTANDING THE IMPORTANCE OF STAKEHOLDER ENGAGEMENT</w:t>
      </w:r>
    </w:p>
    <w:p w14:paraId="205E8639" w14:textId="77777777" w:rsidR="00D357AF" w:rsidRDefault="00000000">
      <w:pPr>
        <w:spacing w:before="80" w:after="480"/>
        <w:jc w:val="center"/>
      </w:pPr>
      <w:r>
        <w:rPr>
          <w:b/>
          <w:bCs/>
          <w:color w:val="1F3864"/>
          <w:sz w:val="36"/>
          <w:szCs w:val="36"/>
        </w:rPr>
        <w:t>IN THE SUCCESSFUL COMMENCEMENT AND COMPLETION OF A PROJECT</w:t>
      </w:r>
    </w:p>
    <w:p w14:paraId="654FF4F3" w14:textId="77777777" w:rsidR="00D357AF" w:rsidRDefault="00000000">
      <w:pPr>
        <w:pBdr>
          <w:bottom w:val="single" w:sz="10" w:space="1" w:color="C9A227"/>
        </w:pBdr>
        <w:spacing w:after="60"/>
        <w:jc w:val="center"/>
      </w:pPr>
      <w:r>
        <w:rPr>
          <w:i/>
          <w:iCs/>
          <w:color w:val="C9A227"/>
          <w:sz w:val="26"/>
          <w:szCs w:val="26"/>
        </w:rPr>
        <w:t xml:space="preserve">A Case Study on the </w:t>
      </w:r>
      <w:proofErr w:type="spellStart"/>
      <w:r>
        <w:rPr>
          <w:i/>
          <w:iCs/>
          <w:color w:val="C9A227"/>
          <w:sz w:val="26"/>
          <w:szCs w:val="26"/>
        </w:rPr>
        <w:t>StaySmart</w:t>
      </w:r>
      <w:proofErr w:type="spellEnd"/>
      <w:r>
        <w:rPr>
          <w:i/>
          <w:iCs/>
          <w:color w:val="C9A227"/>
          <w:sz w:val="26"/>
          <w:szCs w:val="26"/>
        </w:rPr>
        <w:t>+ Service Launch at Hilton Hotels &amp; Resorts</w:t>
      </w:r>
    </w:p>
    <w:p w14:paraId="4774E99D" w14:textId="77777777" w:rsidR="00D357AF" w:rsidRDefault="00D357AF">
      <w:pPr>
        <w:spacing w:before="60" w:after="60"/>
      </w:pPr>
    </w:p>
    <w:p w14:paraId="6B3315FB" w14:textId="77777777" w:rsidR="00D357AF" w:rsidRDefault="00D357AF">
      <w:pPr>
        <w:spacing w:before="60" w:after="60"/>
      </w:pPr>
    </w:p>
    <w:p w14:paraId="21DF383E" w14:textId="77777777" w:rsidR="00D357AF" w:rsidRDefault="00000000">
      <w:pPr>
        <w:spacing w:before="60" w:after="60"/>
        <w:jc w:val="center"/>
      </w:pPr>
      <w:r>
        <w:rPr>
          <w:b/>
          <w:bCs/>
        </w:rPr>
        <w:t>Module:</w:t>
      </w:r>
      <w:r>
        <w:t xml:space="preserve">  LCLM5001 – Understanding and Engaging Stakeholders</w:t>
      </w:r>
    </w:p>
    <w:p w14:paraId="0B7D7852" w14:textId="77777777" w:rsidR="00D357AF" w:rsidRDefault="00000000">
      <w:pPr>
        <w:spacing w:before="60" w:after="60"/>
        <w:jc w:val="center"/>
      </w:pPr>
      <w:r>
        <w:rPr>
          <w:b/>
          <w:bCs/>
        </w:rPr>
        <w:t>Programme:</w:t>
      </w:r>
      <w:r>
        <w:t xml:space="preserve">  BA (Hons) Leadership and Management Skills for the Workplace</w:t>
      </w:r>
    </w:p>
    <w:p w14:paraId="677D9470" w14:textId="77777777" w:rsidR="00D357AF" w:rsidRDefault="00000000">
      <w:pPr>
        <w:spacing w:before="60" w:after="60"/>
        <w:jc w:val="center"/>
      </w:pPr>
      <w:r>
        <w:rPr>
          <w:b/>
          <w:bCs/>
        </w:rPr>
        <w:t>Assignment Title:</w:t>
      </w:r>
      <w:r>
        <w:t xml:space="preserve">  Understanding Stakeholder Engagement in Project Commencement and Completion</w:t>
      </w:r>
    </w:p>
    <w:p w14:paraId="57B484CC" w14:textId="1A58A0AD" w:rsidR="00D357AF" w:rsidRDefault="00000000">
      <w:pPr>
        <w:spacing w:before="60" w:after="60"/>
        <w:jc w:val="center"/>
      </w:pPr>
      <w:r>
        <w:rPr>
          <w:b/>
          <w:bCs/>
        </w:rPr>
        <w:t>Word Count:</w:t>
      </w:r>
      <w:r>
        <w:t xml:space="preserve">  4,000 words </w:t>
      </w:r>
    </w:p>
    <w:p w14:paraId="43576678" w14:textId="77777777" w:rsidR="00D357AF" w:rsidRDefault="00000000">
      <w:pPr>
        <w:spacing w:before="60" w:after="60"/>
        <w:jc w:val="center"/>
      </w:pPr>
      <w:r>
        <w:rPr>
          <w:b/>
          <w:bCs/>
        </w:rPr>
        <w:t>Submission Date:</w:t>
      </w:r>
      <w:r>
        <w:t xml:space="preserve">  23 March 2026</w:t>
      </w:r>
    </w:p>
    <w:p w14:paraId="3101888D" w14:textId="74FA7711" w:rsidR="003A06AF" w:rsidRDefault="003A06AF">
      <w:pPr>
        <w:spacing w:before="60" w:after="60"/>
        <w:jc w:val="center"/>
      </w:pPr>
      <w:r>
        <w:t xml:space="preserve">Florin </w:t>
      </w:r>
      <w:proofErr w:type="spellStart"/>
      <w:r>
        <w:t>Lefter</w:t>
      </w:r>
      <w:proofErr w:type="spellEnd"/>
    </w:p>
    <w:p w14:paraId="47EF3E4C" w14:textId="45315801" w:rsidR="003A06AF" w:rsidRDefault="003A06AF">
      <w:pPr>
        <w:spacing w:before="60" w:after="60"/>
        <w:jc w:val="center"/>
      </w:pPr>
      <w:r>
        <w:t xml:space="preserve">Lecturer Name: </w:t>
      </w:r>
      <w:r w:rsidRPr="003A06AF">
        <w:t>Eric Osei</w:t>
      </w:r>
    </w:p>
    <w:p w14:paraId="0B02D3B4" w14:textId="77777777" w:rsidR="00D357AF" w:rsidRDefault="00D357AF">
      <w:pPr>
        <w:spacing w:before="60" w:after="60"/>
      </w:pPr>
    </w:p>
    <w:p w14:paraId="06804629" w14:textId="77777777" w:rsidR="00D357AF" w:rsidRDefault="00D357AF">
      <w:pPr>
        <w:spacing w:before="60" w:after="60"/>
      </w:pPr>
    </w:p>
    <w:p w14:paraId="021034FE" w14:textId="77777777" w:rsidR="00D357AF" w:rsidRDefault="00D357AF">
      <w:pPr>
        <w:spacing w:before="60" w:after="60"/>
      </w:pPr>
    </w:p>
    <w:p w14:paraId="42CD9A30" w14:textId="77777777" w:rsidR="00D357AF" w:rsidRDefault="00D357AF">
      <w:pPr>
        <w:spacing w:before="60" w:after="60"/>
      </w:pPr>
    </w:p>
    <w:p w14:paraId="64A0F9D5" w14:textId="77777777" w:rsidR="00D357AF" w:rsidRDefault="00000000">
      <w:r>
        <w:br w:type="page"/>
      </w:r>
    </w:p>
    <w:p w14:paraId="0E9D3B6C" w14:textId="77777777" w:rsidR="00D357AF" w:rsidRPr="003A06AF" w:rsidRDefault="00000000" w:rsidP="003A06AF">
      <w:pPr>
        <w:pStyle w:val="Heading1"/>
        <w:spacing w:line="360" w:lineRule="auto"/>
        <w:rPr>
          <w:rFonts w:ascii="Times New Roman" w:hAnsi="Times New Roman" w:cs="Times New Roman"/>
          <w:sz w:val="24"/>
          <w:szCs w:val="24"/>
        </w:rPr>
      </w:pPr>
      <w:r w:rsidRPr="003A06AF">
        <w:rPr>
          <w:rFonts w:ascii="Times New Roman" w:hAnsi="Times New Roman" w:cs="Times New Roman"/>
          <w:sz w:val="24"/>
          <w:szCs w:val="24"/>
        </w:rPr>
        <w:lastRenderedPageBreak/>
        <w:t>Executive Summary</w:t>
      </w:r>
    </w:p>
    <w:p w14:paraId="76C5041F" w14:textId="77777777" w:rsidR="003A06AF" w:rsidRDefault="003A06AF" w:rsidP="003A06AF">
      <w:pPr>
        <w:pStyle w:val="NormalWeb"/>
        <w:spacing w:line="360" w:lineRule="auto"/>
        <w:rPr>
          <w:color w:val="000000"/>
        </w:rPr>
      </w:pPr>
      <w:r>
        <w:rPr>
          <w:color w:val="000000"/>
        </w:rPr>
        <w:t xml:space="preserve">This report is prepared as Project Manager for the global implementation of </w:t>
      </w:r>
      <w:proofErr w:type="spellStart"/>
      <w:r>
        <w:rPr>
          <w:color w:val="000000"/>
        </w:rPr>
        <w:t>StaySmart</w:t>
      </w:r>
      <w:proofErr w:type="spellEnd"/>
      <w:r>
        <w:rPr>
          <w:color w:val="000000"/>
        </w:rPr>
        <w:t>+, an AI-based guest experience service created by Hilton Hotels &amp; Resorts. In this report we examine critically the role of stakeholder involvement as a key factor in the success of projects globally within different hospitality sectors.</w:t>
      </w:r>
    </w:p>
    <w:p w14:paraId="7F3C1EA1" w14:textId="77777777" w:rsidR="003A06AF" w:rsidRDefault="003A06AF" w:rsidP="003A06AF">
      <w:pPr>
        <w:pStyle w:val="NormalWeb"/>
        <w:spacing w:line="360" w:lineRule="auto"/>
        <w:rPr>
          <w:color w:val="000000"/>
        </w:rPr>
      </w:pPr>
      <w:r>
        <w:rPr>
          <w:color w:val="000000"/>
        </w:rPr>
        <w:t xml:space="preserve">In addition, this report will identify and categorize internal and external stakeholders. It will </w:t>
      </w:r>
      <w:proofErr w:type="spellStart"/>
      <w:r>
        <w:rPr>
          <w:color w:val="000000"/>
        </w:rPr>
        <w:t>analyze</w:t>
      </w:r>
      <w:proofErr w:type="spellEnd"/>
      <w:r>
        <w:rPr>
          <w:color w:val="000000"/>
        </w:rPr>
        <w:t xml:space="preserve"> their roles and responsibilities using the RACI matrix (PMI, 2021). It will also position these stakeholders on </w:t>
      </w:r>
      <w:proofErr w:type="spellStart"/>
      <w:r>
        <w:rPr>
          <w:color w:val="000000"/>
        </w:rPr>
        <w:t>Mendelow's</w:t>
      </w:r>
      <w:proofErr w:type="spellEnd"/>
      <w:r>
        <w:rPr>
          <w:color w:val="000000"/>
        </w:rPr>
        <w:t xml:space="preserve"> (2021) Power/Interest matrix. The report will also carry out a comprehensive situational analysis of the context in which the project will operate using the SWOT and PESTLE frameworks.</w:t>
      </w:r>
    </w:p>
    <w:p w14:paraId="407012FB" w14:textId="77777777" w:rsidR="003A06AF" w:rsidRDefault="003A06AF" w:rsidP="003A06AF">
      <w:pPr>
        <w:pStyle w:val="NormalWeb"/>
        <w:spacing w:line="360" w:lineRule="auto"/>
        <w:rPr>
          <w:color w:val="000000"/>
        </w:rPr>
      </w:pPr>
      <w:r>
        <w:rPr>
          <w:color w:val="000000"/>
        </w:rPr>
        <w:t xml:space="preserve">This report will draw upon the Stakeholder Theory of Freeman, Harrison and </w:t>
      </w:r>
      <w:proofErr w:type="spellStart"/>
      <w:r>
        <w:rPr>
          <w:color w:val="000000"/>
        </w:rPr>
        <w:t>Zyglidopoulos</w:t>
      </w:r>
      <w:proofErr w:type="spellEnd"/>
      <w:r>
        <w:rPr>
          <w:color w:val="000000"/>
        </w:rPr>
        <w:t xml:space="preserve"> (2022) and the Project Stakeholder Management Framework of </w:t>
      </w:r>
      <w:proofErr w:type="spellStart"/>
      <w:r>
        <w:rPr>
          <w:color w:val="000000"/>
        </w:rPr>
        <w:t>Eskerod</w:t>
      </w:r>
      <w:proofErr w:type="spellEnd"/>
      <w:r>
        <w:rPr>
          <w:color w:val="000000"/>
        </w:rPr>
        <w:t xml:space="preserve"> and Jepsen (2023) to apply the 4 C's model of Communication, Collaboration, Consultation and Commitment to articulate how the engagement process works. The analysis demonstrates that engaging effectively and sensitively with cultural differences of stakeholders can positively affect guest satisfaction, operational efficiency, brand value, </w:t>
      </w:r>
      <w:proofErr w:type="gramStart"/>
      <w:r>
        <w:rPr>
          <w:color w:val="000000"/>
        </w:rPr>
        <w:t>risks</w:t>
      </w:r>
      <w:proofErr w:type="gramEnd"/>
      <w:r>
        <w:rPr>
          <w:color w:val="000000"/>
        </w:rPr>
        <w:t xml:space="preserve"> and sustainability performance.</w:t>
      </w:r>
    </w:p>
    <w:p w14:paraId="2694F0D7" w14:textId="77777777" w:rsidR="003A06AF" w:rsidRDefault="003A06AF" w:rsidP="003A06AF">
      <w:pPr>
        <w:pStyle w:val="NormalWeb"/>
        <w:spacing w:line="360" w:lineRule="auto"/>
        <w:rPr>
          <w:color w:val="000000"/>
        </w:rPr>
      </w:pPr>
      <w:r>
        <w:rPr>
          <w:color w:val="000000"/>
        </w:rPr>
        <w:t>Finally, the report will provide 5 strategic recommendations that are aimed at embedding stakeholder engagement as an organizational capability at Hilton, which will enable Hilton to be seen globally as a leader in digitalized sustainable hospitality.</w:t>
      </w:r>
    </w:p>
    <w:p w14:paraId="5E2AD452" w14:textId="77777777" w:rsidR="00D357AF" w:rsidRPr="003A06AF" w:rsidRDefault="00D357AF" w:rsidP="003A06AF">
      <w:pPr>
        <w:spacing w:before="60" w:after="60" w:line="360" w:lineRule="auto"/>
        <w:rPr>
          <w:rFonts w:ascii="Times New Roman" w:hAnsi="Times New Roman" w:cs="Times New Roman"/>
          <w:sz w:val="24"/>
          <w:szCs w:val="24"/>
        </w:rPr>
      </w:pPr>
    </w:p>
    <w:p w14:paraId="2C20295A"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br w:type="page"/>
      </w:r>
    </w:p>
    <w:p w14:paraId="68DF3A2F" w14:textId="77777777" w:rsidR="00D357AF" w:rsidRPr="003A06AF" w:rsidRDefault="00000000" w:rsidP="003A06AF">
      <w:pPr>
        <w:pStyle w:val="Heading1"/>
        <w:spacing w:line="360" w:lineRule="auto"/>
        <w:rPr>
          <w:rFonts w:ascii="Times New Roman" w:hAnsi="Times New Roman" w:cs="Times New Roman"/>
          <w:sz w:val="24"/>
          <w:szCs w:val="24"/>
        </w:rPr>
      </w:pPr>
      <w:r w:rsidRPr="003A06AF">
        <w:rPr>
          <w:rFonts w:ascii="Times New Roman" w:hAnsi="Times New Roman" w:cs="Times New Roman"/>
          <w:sz w:val="24"/>
          <w:szCs w:val="24"/>
        </w:rPr>
        <w:lastRenderedPageBreak/>
        <w:t>Table of Contents</w:t>
      </w:r>
    </w:p>
    <w:p w14:paraId="56C80AC5"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r w:rsidRPr="003A06AF">
        <w:rPr>
          <w:rFonts w:ascii="Times New Roman" w:hAnsi="Times New Roman" w:cs="Times New Roman"/>
          <w:color w:val="000000"/>
          <w:sz w:val="24"/>
          <w:szCs w:val="24"/>
        </w:rPr>
        <w:t>Executive Summary</w:t>
      </w:r>
      <w:r w:rsidRPr="003A06AF">
        <w:rPr>
          <w:rFonts w:ascii="Times New Roman" w:hAnsi="Times New Roman" w:cs="Times New Roman"/>
          <w:color w:val="2E75B6"/>
          <w:sz w:val="24"/>
          <w:szCs w:val="24"/>
        </w:rPr>
        <w:tab/>
        <w:t>2</w:t>
      </w:r>
    </w:p>
    <w:p w14:paraId="5351FE68"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proofErr w:type="gramStart"/>
      <w:r w:rsidRPr="003A06AF">
        <w:rPr>
          <w:rFonts w:ascii="Times New Roman" w:hAnsi="Times New Roman" w:cs="Times New Roman"/>
          <w:color w:val="000000"/>
          <w:sz w:val="24"/>
          <w:szCs w:val="24"/>
        </w:rPr>
        <w:t>1.0  Introduction</w:t>
      </w:r>
      <w:proofErr w:type="gramEnd"/>
      <w:r w:rsidRPr="003A06AF">
        <w:rPr>
          <w:rFonts w:ascii="Times New Roman" w:hAnsi="Times New Roman" w:cs="Times New Roman"/>
          <w:color w:val="2E75B6"/>
          <w:sz w:val="24"/>
          <w:szCs w:val="24"/>
        </w:rPr>
        <w:tab/>
        <w:t>4</w:t>
      </w:r>
    </w:p>
    <w:p w14:paraId="0B99C9A1"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proofErr w:type="gramStart"/>
      <w:r w:rsidRPr="003A06AF">
        <w:rPr>
          <w:rFonts w:ascii="Times New Roman" w:hAnsi="Times New Roman" w:cs="Times New Roman"/>
          <w:color w:val="000000"/>
          <w:sz w:val="24"/>
          <w:szCs w:val="24"/>
        </w:rPr>
        <w:t>2.0  Situational</w:t>
      </w:r>
      <w:proofErr w:type="gramEnd"/>
      <w:r w:rsidRPr="003A06AF">
        <w:rPr>
          <w:rFonts w:ascii="Times New Roman" w:hAnsi="Times New Roman" w:cs="Times New Roman"/>
          <w:color w:val="000000"/>
          <w:sz w:val="24"/>
          <w:szCs w:val="24"/>
        </w:rPr>
        <w:t xml:space="preserve"> Analysis</w:t>
      </w:r>
      <w:r w:rsidRPr="003A06AF">
        <w:rPr>
          <w:rFonts w:ascii="Times New Roman" w:hAnsi="Times New Roman" w:cs="Times New Roman"/>
          <w:color w:val="2E75B6"/>
          <w:sz w:val="24"/>
          <w:szCs w:val="24"/>
        </w:rPr>
        <w:tab/>
        <w:t>5</w:t>
      </w:r>
    </w:p>
    <w:p w14:paraId="25D8E3E8"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r w:rsidRPr="003A06AF">
        <w:rPr>
          <w:rFonts w:ascii="Times New Roman" w:hAnsi="Times New Roman" w:cs="Times New Roman"/>
          <w:color w:val="555555"/>
          <w:sz w:val="24"/>
          <w:szCs w:val="24"/>
        </w:rPr>
        <w:t xml:space="preserve">   </w:t>
      </w:r>
      <w:proofErr w:type="gramStart"/>
      <w:r w:rsidRPr="003A06AF">
        <w:rPr>
          <w:rFonts w:ascii="Times New Roman" w:hAnsi="Times New Roman" w:cs="Times New Roman"/>
          <w:color w:val="555555"/>
          <w:sz w:val="24"/>
          <w:szCs w:val="24"/>
        </w:rPr>
        <w:t>2.1  SWOT</w:t>
      </w:r>
      <w:proofErr w:type="gramEnd"/>
      <w:r w:rsidRPr="003A06AF">
        <w:rPr>
          <w:rFonts w:ascii="Times New Roman" w:hAnsi="Times New Roman" w:cs="Times New Roman"/>
          <w:color w:val="555555"/>
          <w:sz w:val="24"/>
          <w:szCs w:val="24"/>
        </w:rPr>
        <w:t xml:space="preserve"> Analysis</w:t>
      </w:r>
      <w:r w:rsidRPr="003A06AF">
        <w:rPr>
          <w:rFonts w:ascii="Times New Roman" w:hAnsi="Times New Roman" w:cs="Times New Roman"/>
          <w:color w:val="2E75B6"/>
          <w:sz w:val="24"/>
          <w:szCs w:val="24"/>
        </w:rPr>
        <w:tab/>
        <w:t>5</w:t>
      </w:r>
    </w:p>
    <w:p w14:paraId="0CABFA86"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r w:rsidRPr="003A06AF">
        <w:rPr>
          <w:rFonts w:ascii="Times New Roman" w:hAnsi="Times New Roman" w:cs="Times New Roman"/>
          <w:color w:val="555555"/>
          <w:sz w:val="24"/>
          <w:szCs w:val="24"/>
        </w:rPr>
        <w:t xml:space="preserve">   </w:t>
      </w:r>
      <w:proofErr w:type="gramStart"/>
      <w:r w:rsidRPr="003A06AF">
        <w:rPr>
          <w:rFonts w:ascii="Times New Roman" w:hAnsi="Times New Roman" w:cs="Times New Roman"/>
          <w:color w:val="555555"/>
          <w:sz w:val="24"/>
          <w:szCs w:val="24"/>
        </w:rPr>
        <w:t>2.2  PESTLE</w:t>
      </w:r>
      <w:proofErr w:type="gramEnd"/>
      <w:r w:rsidRPr="003A06AF">
        <w:rPr>
          <w:rFonts w:ascii="Times New Roman" w:hAnsi="Times New Roman" w:cs="Times New Roman"/>
          <w:color w:val="555555"/>
          <w:sz w:val="24"/>
          <w:szCs w:val="24"/>
        </w:rPr>
        <w:t xml:space="preserve"> Analysis</w:t>
      </w:r>
      <w:r w:rsidRPr="003A06AF">
        <w:rPr>
          <w:rFonts w:ascii="Times New Roman" w:hAnsi="Times New Roman" w:cs="Times New Roman"/>
          <w:color w:val="2E75B6"/>
          <w:sz w:val="24"/>
          <w:szCs w:val="24"/>
        </w:rPr>
        <w:tab/>
        <w:t>5</w:t>
      </w:r>
    </w:p>
    <w:p w14:paraId="3CB6A5D8"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r w:rsidRPr="003A06AF">
        <w:rPr>
          <w:rFonts w:ascii="Times New Roman" w:hAnsi="Times New Roman" w:cs="Times New Roman"/>
          <w:color w:val="555555"/>
          <w:sz w:val="24"/>
          <w:szCs w:val="24"/>
        </w:rPr>
        <w:t xml:space="preserve">   </w:t>
      </w:r>
      <w:proofErr w:type="gramStart"/>
      <w:r w:rsidRPr="003A06AF">
        <w:rPr>
          <w:rFonts w:ascii="Times New Roman" w:hAnsi="Times New Roman" w:cs="Times New Roman"/>
          <w:color w:val="555555"/>
          <w:sz w:val="24"/>
          <w:szCs w:val="24"/>
        </w:rPr>
        <w:t>2.3  SMART</w:t>
      </w:r>
      <w:proofErr w:type="gramEnd"/>
      <w:r w:rsidRPr="003A06AF">
        <w:rPr>
          <w:rFonts w:ascii="Times New Roman" w:hAnsi="Times New Roman" w:cs="Times New Roman"/>
          <w:color w:val="555555"/>
          <w:sz w:val="24"/>
          <w:szCs w:val="24"/>
        </w:rPr>
        <w:t xml:space="preserve"> Objectives</w:t>
      </w:r>
      <w:r w:rsidRPr="003A06AF">
        <w:rPr>
          <w:rFonts w:ascii="Times New Roman" w:hAnsi="Times New Roman" w:cs="Times New Roman"/>
          <w:color w:val="2E75B6"/>
          <w:sz w:val="24"/>
          <w:szCs w:val="24"/>
        </w:rPr>
        <w:tab/>
        <w:t>6</w:t>
      </w:r>
    </w:p>
    <w:p w14:paraId="46052E07"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proofErr w:type="gramStart"/>
      <w:r w:rsidRPr="003A06AF">
        <w:rPr>
          <w:rFonts w:ascii="Times New Roman" w:hAnsi="Times New Roman" w:cs="Times New Roman"/>
          <w:color w:val="000000"/>
          <w:sz w:val="24"/>
          <w:szCs w:val="24"/>
        </w:rPr>
        <w:t>3.0  Identification</w:t>
      </w:r>
      <w:proofErr w:type="gramEnd"/>
      <w:r w:rsidRPr="003A06AF">
        <w:rPr>
          <w:rFonts w:ascii="Times New Roman" w:hAnsi="Times New Roman" w:cs="Times New Roman"/>
          <w:color w:val="000000"/>
          <w:sz w:val="24"/>
          <w:szCs w:val="24"/>
        </w:rPr>
        <w:t xml:space="preserve"> and Categorisation of Key Stakeholders</w:t>
      </w:r>
      <w:r w:rsidRPr="003A06AF">
        <w:rPr>
          <w:rFonts w:ascii="Times New Roman" w:hAnsi="Times New Roman" w:cs="Times New Roman"/>
          <w:color w:val="2E75B6"/>
          <w:sz w:val="24"/>
          <w:szCs w:val="24"/>
        </w:rPr>
        <w:tab/>
        <w:t>7</w:t>
      </w:r>
    </w:p>
    <w:p w14:paraId="4FC3A539"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proofErr w:type="gramStart"/>
      <w:r w:rsidRPr="003A06AF">
        <w:rPr>
          <w:rFonts w:ascii="Times New Roman" w:hAnsi="Times New Roman" w:cs="Times New Roman"/>
          <w:color w:val="000000"/>
          <w:sz w:val="24"/>
          <w:szCs w:val="24"/>
        </w:rPr>
        <w:t>4.0  Roles</w:t>
      </w:r>
      <w:proofErr w:type="gramEnd"/>
      <w:r w:rsidRPr="003A06AF">
        <w:rPr>
          <w:rFonts w:ascii="Times New Roman" w:hAnsi="Times New Roman" w:cs="Times New Roman"/>
          <w:color w:val="000000"/>
          <w:sz w:val="24"/>
          <w:szCs w:val="24"/>
        </w:rPr>
        <w:t>, Responsibilities, Benefits, and Challenges</w:t>
      </w:r>
      <w:r w:rsidRPr="003A06AF">
        <w:rPr>
          <w:rFonts w:ascii="Times New Roman" w:hAnsi="Times New Roman" w:cs="Times New Roman"/>
          <w:color w:val="2E75B6"/>
          <w:sz w:val="24"/>
          <w:szCs w:val="24"/>
        </w:rPr>
        <w:tab/>
        <w:t>8</w:t>
      </w:r>
    </w:p>
    <w:p w14:paraId="1FA65E04"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r w:rsidRPr="003A06AF">
        <w:rPr>
          <w:rFonts w:ascii="Times New Roman" w:hAnsi="Times New Roman" w:cs="Times New Roman"/>
          <w:color w:val="555555"/>
          <w:sz w:val="24"/>
          <w:szCs w:val="24"/>
        </w:rPr>
        <w:t xml:space="preserve">   </w:t>
      </w:r>
      <w:proofErr w:type="gramStart"/>
      <w:r w:rsidRPr="003A06AF">
        <w:rPr>
          <w:rFonts w:ascii="Times New Roman" w:hAnsi="Times New Roman" w:cs="Times New Roman"/>
          <w:color w:val="555555"/>
          <w:sz w:val="24"/>
          <w:szCs w:val="24"/>
        </w:rPr>
        <w:t>4.1  Internal</w:t>
      </w:r>
      <w:proofErr w:type="gramEnd"/>
      <w:r w:rsidRPr="003A06AF">
        <w:rPr>
          <w:rFonts w:ascii="Times New Roman" w:hAnsi="Times New Roman" w:cs="Times New Roman"/>
          <w:color w:val="555555"/>
          <w:sz w:val="24"/>
          <w:szCs w:val="24"/>
        </w:rPr>
        <w:t xml:space="preserve"> Stakeholders</w:t>
      </w:r>
      <w:r w:rsidRPr="003A06AF">
        <w:rPr>
          <w:rFonts w:ascii="Times New Roman" w:hAnsi="Times New Roman" w:cs="Times New Roman"/>
          <w:color w:val="2E75B6"/>
          <w:sz w:val="24"/>
          <w:szCs w:val="24"/>
        </w:rPr>
        <w:tab/>
        <w:t>8</w:t>
      </w:r>
    </w:p>
    <w:p w14:paraId="4C717EEB"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r w:rsidRPr="003A06AF">
        <w:rPr>
          <w:rFonts w:ascii="Times New Roman" w:hAnsi="Times New Roman" w:cs="Times New Roman"/>
          <w:color w:val="555555"/>
          <w:sz w:val="24"/>
          <w:szCs w:val="24"/>
        </w:rPr>
        <w:t xml:space="preserve">   </w:t>
      </w:r>
      <w:proofErr w:type="gramStart"/>
      <w:r w:rsidRPr="003A06AF">
        <w:rPr>
          <w:rFonts w:ascii="Times New Roman" w:hAnsi="Times New Roman" w:cs="Times New Roman"/>
          <w:color w:val="555555"/>
          <w:sz w:val="24"/>
          <w:szCs w:val="24"/>
        </w:rPr>
        <w:t>4.2  External</w:t>
      </w:r>
      <w:proofErr w:type="gramEnd"/>
      <w:r w:rsidRPr="003A06AF">
        <w:rPr>
          <w:rFonts w:ascii="Times New Roman" w:hAnsi="Times New Roman" w:cs="Times New Roman"/>
          <w:color w:val="555555"/>
          <w:sz w:val="24"/>
          <w:szCs w:val="24"/>
        </w:rPr>
        <w:t xml:space="preserve"> Stakeholders</w:t>
      </w:r>
      <w:r w:rsidRPr="003A06AF">
        <w:rPr>
          <w:rFonts w:ascii="Times New Roman" w:hAnsi="Times New Roman" w:cs="Times New Roman"/>
          <w:color w:val="2E75B6"/>
          <w:sz w:val="24"/>
          <w:szCs w:val="24"/>
        </w:rPr>
        <w:tab/>
        <w:t>9</w:t>
      </w:r>
    </w:p>
    <w:p w14:paraId="391ED171"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r w:rsidRPr="003A06AF">
        <w:rPr>
          <w:rFonts w:ascii="Times New Roman" w:hAnsi="Times New Roman" w:cs="Times New Roman"/>
          <w:color w:val="555555"/>
          <w:sz w:val="24"/>
          <w:szCs w:val="24"/>
        </w:rPr>
        <w:t xml:space="preserve">   </w:t>
      </w:r>
      <w:proofErr w:type="gramStart"/>
      <w:r w:rsidRPr="003A06AF">
        <w:rPr>
          <w:rFonts w:ascii="Times New Roman" w:hAnsi="Times New Roman" w:cs="Times New Roman"/>
          <w:color w:val="555555"/>
          <w:sz w:val="24"/>
          <w:szCs w:val="24"/>
        </w:rPr>
        <w:t>4.3  RACI</w:t>
      </w:r>
      <w:proofErr w:type="gramEnd"/>
      <w:r w:rsidRPr="003A06AF">
        <w:rPr>
          <w:rFonts w:ascii="Times New Roman" w:hAnsi="Times New Roman" w:cs="Times New Roman"/>
          <w:color w:val="555555"/>
          <w:sz w:val="24"/>
          <w:szCs w:val="24"/>
        </w:rPr>
        <w:t xml:space="preserve"> Matrix</w:t>
      </w:r>
      <w:r w:rsidRPr="003A06AF">
        <w:rPr>
          <w:rFonts w:ascii="Times New Roman" w:hAnsi="Times New Roman" w:cs="Times New Roman"/>
          <w:color w:val="2E75B6"/>
          <w:sz w:val="24"/>
          <w:szCs w:val="24"/>
        </w:rPr>
        <w:tab/>
        <w:t>9</w:t>
      </w:r>
    </w:p>
    <w:p w14:paraId="6E55AE3F"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proofErr w:type="gramStart"/>
      <w:r w:rsidRPr="003A06AF">
        <w:rPr>
          <w:rFonts w:ascii="Times New Roman" w:hAnsi="Times New Roman" w:cs="Times New Roman"/>
          <w:color w:val="000000"/>
          <w:sz w:val="24"/>
          <w:szCs w:val="24"/>
        </w:rPr>
        <w:t>5.0  Frameworks</w:t>
      </w:r>
      <w:proofErr w:type="gramEnd"/>
      <w:r w:rsidRPr="003A06AF">
        <w:rPr>
          <w:rFonts w:ascii="Times New Roman" w:hAnsi="Times New Roman" w:cs="Times New Roman"/>
          <w:color w:val="000000"/>
          <w:sz w:val="24"/>
          <w:szCs w:val="24"/>
        </w:rPr>
        <w:t xml:space="preserve"> and Models for Stakeholder Engagement</w:t>
      </w:r>
      <w:r w:rsidRPr="003A06AF">
        <w:rPr>
          <w:rFonts w:ascii="Times New Roman" w:hAnsi="Times New Roman" w:cs="Times New Roman"/>
          <w:color w:val="2E75B6"/>
          <w:sz w:val="24"/>
          <w:szCs w:val="24"/>
        </w:rPr>
        <w:tab/>
        <w:t>10</w:t>
      </w:r>
    </w:p>
    <w:p w14:paraId="680A8AB0"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r w:rsidRPr="003A06AF">
        <w:rPr>
          <w:rFonts w:ascii="Times New Roman" w:hAnsi="Times New Roman" w:cs="Times New Roman"/>
          <w:color w:val="555555"/>
          <w:sz w:val="24"/>
          <w:szCs w:val="24"/>
        </w:rPr>
        <w:t xml:space="preserve">   </w:t>
      </w:r>
      <w:proofErr w:type="gramStart"/>
      <w:r w:rsidRPr="003A06AF">
        <w:rPr>
          <w:rFonts w:ascii="Times New Roman" w:hAnsi="Times New Roman" w:cs="Times New Roman"/>
          <w:color w:val="555555"/>
          <w:sz w:val="24"/>
          <w:szCs w:val="24"/>
        </w:rPr>
        <w:t xml:space="preserve">5.1  </w:t>
      </w:r>
      <w:proofErr w:type="spellStart"/>
      <w:r w:rsidRPr="003A06AF">
        <w:rPr>
          <w:rFonts w:ascii="Times New Roman" w:hAnsi="Times New Roman" w:cs="Times New Roman"/>
          <w:color w:val="555555"/>
          <w:sz w:val="24"/>
          <w:szCs w:val="24"/>
        </w:rPr>
        <w:t>Mendelow's</w:t>
      </w:r>
      <w:proofErr w:type="spellEnd"/>
      <w:proofErr w:type="gramEnd"/>
      <w:r w:rsidRPr="003A06AF">
        <w:rPr>
          <w:rFonts w:ascii="Times New Roman" w:hAnsi="Times New Roman" w:cs="Times New Roman"/>
          <w:color w:val="555555"/>
          <w:sz w:val="24"/>
          <w:szCs w:val="24"/>
        </w:rPr>
        <w:t xml:space="preserve"> Power/Interest Matrix</w:t>
      </w:r>
      <w:r w:rsidRPr="003A06AF">
        <w:rPr>
          <w:rFonts w:ascii="Times New Roman" w:hAnsi="Times New Roman" w:cs="Times New Roman"/>
          <w:color w:val="2E75B6"/>
          <w:sz w:val="24"/>
          <w:szCs w:val="24"/>
        </w:rPr>
        <w:tab/>
        <w:t>10</w:t>
      </w:r>
    </w:p>
    <w:p w14:paraId="7777800A"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r w:rsidRPr="003A06AF">
        <w:rPr>
          <w:rFonts w:ascii="Times New Roman" w:hAnsi="Times New Roman" w:cs="Times New Roman"/>
          <w:color w:val="555555"/>
          <w:sz w:val="24"/>
          <w:szCs w:val="24"/>
        </w:rPr>
        <w:t xml:space="preserve">   </w:t>
      </w:r>
      <w:proofErr w:type="gramStart"/>
      <w:r w:rsidRPr="003A06AF">
        <w:rPr>
          <w:rFonts w:ascii="Times New Roman" w:hAnsi="Times New Roman" w:cs="Times New Roman"/>
          <w:color w:val="555555"/>
          <w:sz w:val="24"/>
          <w:szCs w:val="24"/>
        </w:rPr>
        <w:t>5.2  Stakeholder</w:t>
      </w:r>
      <w:proofErr w:type="gramEnd"/>
      <w:r w:rsidRPr="003A06AF">
        <w:rPr>
          <w:rFonts w:ascii="Times New Roman" w:hAnsi="Times New Roman" w:cs="Times New Roman"/>
          <w:color w:val="555555"/>
          <w:sz w:val="24"/>
          <w:szCs w:val="24"/>
        </w:rPr>
        <w:t xml:space="preserve"> Engagement and Communication Plans</w:t>
      </w:r>
      <w:r w:rsidRPr="003A06AF">
        <w:rPr>
          <w:rFonts w:ascii="Times New Roman" w:hAnsi="Times New Roman" w:cs="Times New Roman"/>
          <w:color w:val="2E75B6"/>
          <w:sz w:val="24"/>
          <w:szCs w:val="24"/>
        </w:rPr>
        <w:tab/>
        <w:t>11</w:t>
      </w:r>
    </w:p>
    <w:p w14:paraId="3E77F45F"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proofErr w:type="gramStart"/>
      <w:r w:rsidRPr="003A06AF">
        <w:rPr>
          <w:rFonts w:ascii="Times New Roman" w:hAnsi="Times New Roman" w:cs="Times New Roman"/>
          <w:color w:val="000000"/>
          <w:sz w:val="24"/>
          <w:szCs w:val="24"/>
        </w:rPr>
        <w:t>6.0  Process</w:t>
      </w:r>
      <w:proofErr w:type="gramEnd"/>
      <w:r w:rsidRPr="003A06AF">
        <w:rPr>
          <w:rFonts w:ascii="Times New Roman" w:hAnsi="Times New Roman" w:cs="Times New Roman"/>
          <w:color w:val="000000"/>
          <w:sz w:val="24"/>
          <w:szCs w:val="24"/>
        </w:rPr>
        <w:t xml:space="preserve"> of Stakeholder Engagement and Conflict Management</w:t>
      </w:r>
      <w:r w:rsidRPr="003A06AF">
        <w:rPr>
          <w:rFonts w:ascii="Times New Roman" w:hAnsi="Times New Roman" w:cs="Times New Roman"/>
          <w:color w:val="2E75B6"/>
          <w:sz w:val="24"/>
          <w:szCs w:val="24"/>
        </w:rPr>
        <w:tab/>
        <w:t>12</w:t>
      </w:r>
    </w:p>
    <w:p w14:paraId="1AE6BA34"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r w:rsidRPr="003A06AF">
        <w:rPr>
          <w:rFonts w:ascii="Times New Roman" w:hAnsi="Times New Roman" w:cs="Times New Roman"/>
          <w:color w:val="555555"/>
          <w:sz w:val="24"/>
          <w:szCs w:val="24"/>
        </w:rPr>
        <w:t xml:space="preserve">   </w:t>
      </w:r>
      <w:proofErr w:type="gramStart"/>
      <w:r w:rsidRPr="003A06AF">
        <w:rPr>
          <w:rFonts w:ascii="Times New Roman" w:hAnsi="Times New Roman" w:cs="Times New Roman"/>
          <w:color w:val="555555"/>
          <w:sz w:val="24"/>
          <w:szCs w:val="24"/>
        </w:rPr>
        <w:t>6.1  The</w:t>
      </w:r>
      <w:proofErr w:type="gramEnd"/>
      <w:r w:rsidRPr="003A06AF">
        <w:rPr>
          <w:rFonts w:ascii="Times New Roman" w:hAnsi="Times New Roman" w:cs="Times New Roman"/>
          <w:color w:val="555555"/>
          <w:sz w:val="24"/>
          <w:szCs w:val="24"/>
        </w:rPr>
        <w:t xml:space="preserve"> 4C's Model of Engagement</w:t>
      </w:r>
      <w:r w:rsidRPr="003A06AF">
        <w:rPr>
          <w:rFonts w:ascii="Times New Roman" w:hAnsi="Times New Roman" w:cs="Times New Roman"/>
          <w:color w:val="2E75B6"/>
          <w:sz w:val="24"/>
          <w:szCs w:val="24"/>
        </w:rPr>
        <w:tab/>
        <w:t>12</w:t>
      </w:r>
    </w:p>
    <w:p w14:paraId="208220A1"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r w:rsidRPr="003A06AF">
        <w:rPr>
          <w:rFonts w:ascii="Times New Roman" w:hAnsi="Times New Roman" w:cs="Times New Roman"/>
          <w:color w:val="555555"/>
          <w:sz w:val="24"/>
          <w:szCs w:val="24"/>
        </w:rPr>
        <w:t xml:space="preserve">   </w:t>
      </w:r>
      <w:proofErr w:type="gramStart"/>
      <w:r w:rsidRPr="003A06AF">
        <w:rPr>
          <w:rFonts w:ascii="Times New Roman" w:hAnsi="Times New Roman" w:cs="Times New Roman"/>
          <w:color w:val="555555"/>
          <w:sz w:val="24"/>
          <w:szCs w:val="24"/>
        </w:rPr>
        <w:t>6.2  Conflict</w:t>
      </w:r>
      <w:proofErr w:type="gramEnd"/>
      <w:r w:rsidRPr="003A06AF">
        <w:rPr>
          <w:rFonts w:ascii="Times New Roman" w:hAnsi="Times New Roman" w:cs="Times New Roman"/>
          <w:color w:val="555555"/>
          <w:sz w:val="24"/>
          <w:szCs w:val="24"/>
        </w:rPr>
        <w:t xml:space="preserve"> Management Strategies</w:t>
      </w:r>
      <w:r w:rsidRPr="003A06AF">
        <w:rPr>
          <w:rFonts w:ascii="Times New Roman" w:hAnsi="Times New Roman" w:cs="Times New Roman"/>
          <w:color w:val="2E75B6"/>
          <w:sz w:val="24"/>
          <w:szCs w:val="24"/>
        </w:rPr>
        <w:tab/>
        <w:t>14</w:t>
      </w:r>
    </w:p>
    <w:p w14:paraId="3B2A7BC2"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proofErr w:type="gramStart"/>
      <w:r w:rsidRPr="003A06AF">
        <w:rPr>
          <w:rFonts w:ascii="Times New Roman" w:hAnsi="Times New Roman" w:cs="Times New Roman"/>
          <w:color w:val="000000"/>
          <w:sz w:val="24"/>
          <w:szCs w:val="24"/>
        </w:rPr>
        <w:t>7.0  Impact</w:t>
      </w:r>
      <w:proofErr w:type="gramEnd"/>
      <w:r w:rsidRPr="003A06AF">
        <w:rPr>
          <w:rFonts w:ascii="Times New Roman" w:hAnsi="Times New Roman" w:cs="Times New Roman"/>
          <w:color w:val="000000"/>
          <w:sz w:val="24"/>
          <w:szCs w:val="24"/>
        </w:rPr>
        <w:t xml:space="preserve"> Evaluation and Recommendations</w:t>
      </w:r>
      <w:r w:rsidRPr="003A06AF">
        <w:rPr>
          <w:rFonts w:ascii="Times New Roman" w:hAnsi="Times New Roman" w:cs="Times New Roman"/>
          <w:color w:val="2E75B6"/>
          <w:sz w:val="24"/>
          <w:szCs w:val="24"/>
        </w:rPr>
        <w:tab/>
        <w:t>15</w:t>
      </w:r>
    </w:p>
    <w:p w14:paraId="67DA8EF3"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r w:rsidRPr="003A06AF">
        <w:rPr>
          <w:rFonts w:ascii="Times New Roman" w:hAnsi="Times New Roman" w:cs="Times New Roman"/>
          <w:color w:val="555555"/>
          <w:sz w:val="24"/>
          <w:szCs w:val="24"/>
        </w:rPr>
        <w:t xml:space="preserve">   </w:t>
      </w:r>
      <w:proofErr w:type="gramStart"/>
      <w:r w:rsidRPr="003A06AF">
        <w:rPr>
          <w:rFonts w:ascii="Times New Roman" w:hAnsi="Times New Roman" w:cs="Times New Roman"/>
          <w:color w:val="555555"/>
          <w:sz w:val="24"/>
          <w:szCs w:val="24"/>
        </w:rPr>
        <w:t>7.1  Business</w:t>
      </w:r>
      <w:proofErr w:type="gramEnd"/>
      <w:r w:rsidRPr="003A06AF">
        <w:rPr>
          <w:rFonts w:ascii="Times New Roman" w:hAnsi="Times New Roman" w:cs="Times New Roman"/>
          <w:color w:val="555555"/>
          <w:sz w:val="24"/>
          <w:szCs w:val="24"/>
        </w:rPr>
        <w:t xml:space="preserve"> Performance Impact</w:t>
      </w:r>
      <w:r w:rsidRPr="003A06AF">
        <w:rPr>
          <w:rFonts w:ascii="Times New Roman" w:hAnsi="Times New Roman" w:cs="Times New Roman"/>
          <w:color w:val="2E75B6"/>
          <w:sz w:val="24"/>
          <w:szCs w:val="24"/>
        </w:rPr>
        <w:tab/>
        <w:t>15</w:t>
      </w:r>
    </w:p>
    <w:p w14:paraId="46AAF970"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r w:rsidRPr="003A06AF">
        <w:rPr>
          <w:rFonts w:ascii="Times New Roman" w:hAnsi="Times New Roman" w:cs="Times New Roman"/>
          <w:color w:val="555555"/>
          <w:sz w:val="24"/>
          <w:szCs w:val="24"/>
        </w:rPr>
        <w:t xml:space="preserve">   </w:t>
      </w:r>
      <w:proofErr w:type="gramStart"/>
      <w:r w:rsidRPr="003A06AF">
        <w:rPr>
          <w:rFonts w:ascii="Times New Roman" w:hAnsi="Times New Roman" w:cs="Times New Roman"/>
          <w:color w:val="555555"/>
          <w:sz w:val="24"/>
          <w:szCs w:val="24"/>
        </w:rPr>
        <w:t>7.2  Recommendations</w:t>
      </w:r>
      <w:proofErr w:type="gramEnd"/>
      <w:r w:rsidRPr="003A06AF">
        <w:rPr>
          <w:rFonts w:ascii="Times New Roman" w:hAnsi="Times New Roman" w:cs="Times New Roman"/>
          <w:color w:val="2E75B6"/>
          <w:sz w:val="24"/>
          <w:szCs w:val="24"/>
        </w:rPr>
        <w:tab/>
        <w:t>16</w:t>
      </w:r>
    </w:p>
    <w:p w14:paraId="28300C84"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proofErr w:type="gramStart"/>
      <w:r w:rsidRPr="003A06AF">
        <w:rPr>
          <w:rFonts w:ascii="Times New Roman" w:hAnsi="Times New Roman" w:cs="Times New Roman"/>
          <w:color w:val="000000"/>
          <w:sz w:val="24"/>
          <w:szCs w:val="24"/>
        </w:rPr>
        <w:t>8.0  Conclusion</w:t>
      </w:r>
      <w:proofErr w:type="gramEnd"/>
      <w:r w:rsidRPr="003A06AF">
        <w:rPr>
          <w:rFonts w:ascii="Times New Roman" w:hAnsi="Times New Roman" w:cs="Times New Roman"/>
          <w:color w:val="2E75B6"/>
          <w:sz w:val="24"/>
          <w:szCs w:val="24"/>
        </w:rPr>
        <w:tab/>
        <w:t>17</w:t>
      </w:r>
    </w:p>
    <w:p w14:paraId="565CDABA" w14:textId="77777777" w:rsidR="00D357AF" w:rsidRPr="003A06AF" w:rsidRDefault="00000000" w:rsidP="003A06AF">
      <w:pPr>
        <w:tabs>
          <w:tab w:val="right" w:leader="dot" w:pos="8500"/>
        </w:tabs>
        <w:spacing w:before="60" w:after="60" w:line="360" w:lineRule="auto"/>
        <w:rPr>
          <w:rFonts w:ascii="Times New Roman" w:hAnsi="Times New Roman" w:cs="Times New Roman"/>
          <w:sz w:val="24"/>
          <w:szCs w:val="24"/>
        </w:rPr>
      </w:pPr>
      <w:r w:rsidRPr="003A06AF">
        <w:rPr>
          <w:rFonts w:ascii="Times New Roman" w:hAnsi="Times New Roman" w:cs="Times New Roman"/>
          <w:color w:val="000000"/>
          <w:sz w:val="24"/>
          <w:szCs w:val="24"/>
        </w:rPr>
        <w:t>References</w:t>
      </w:r>
      <w:r w:rsidRPr="003A06AF">
        <w:rPr>
          <w:rFonts w:ascii="Times New Roman" w:hAnsi="Times New Roman" w:cs="Times New Roman"/>
          <w:color w:val="2E75B6"/>
          <w:sz w:val="24"/>
          <w:szCs w:val="24"/>
        </w:rPr>
        <w:tab/>
        <w:t>18</w:t>
      </w:r>
    </w:p>
    <w:p w14:paraId="433FE2F1" w14:textId="77777777" w:rsidR="00D357AF" w:rsidRPr="003A06AF" w:rsidRDefault="00D357AF" w:rsidP="003A06AF">
      <w:pPr>
        <w:spacing w:before="60" w:after="60" w:line="360" w:lineRule="auto"/>
        <w:rPr>
          <w:rFonts w:ascii="Times New Roman" w:hAnsi="Times New Roman" w:cs="Times New Roman"/>
          <w:sz w:val="24"/>
          <w:szCs w:val="24"/>
        </w:rPr>
      </w:pPr>
    </w:p>
    <w:p w14:paraId="04F21B6F"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br w:type="page"/>
      </w:r>
    </w:p>
    <w:p w14:paraId="571329AB" w14:textId="77777777" w:rsidR="00D357AF" w:rsidRPr="003A06AF" w:rsidRDefault="00000000" w:rsidP="003A06AF">
      <w:pPr>
        <w:pStyle w:val="Heading1"/>
        <w:spacing w:line="360" w:lineRule="auto"/>
        <w:rPr>
          <w:rFonts w:ascii="Times New Roman" w:hAnsi="Times New Roman" w:cs="Times New Roman"/>
          <w:sz w:val="24"/>
          <w:szCs w:val="24"/>
        </w:rPr>
      </w:pPr>
      <w:proofErr w:type="gramStart"/>
      <w:r w:rsidRPr="003A06AF">
        <w:rPr>
          <w:rFonts w:ascii="Times New Roman" w:hAnsi="Times New Roman" w:cs="Times New Roman"/>
          <w:sz w:val="24"/>
          <w:szCs w:val="24"/>
        </w:rPr>
        <w:lastRenderedPageBreak/>
        <w:t>1.0  Introduction</w:t>
      </w:r>
      <w:proofErr w:type="gramEnd"/>
    </w:p>
    <w:p w14:paraId="0C932967" w14:textId="77777777" w:rsidR="003A06AF" w:rsidRDefault="003A06AF" w:rsidP="003A06AF">
      <w:pPr>
        <w:pStyle w:val="NormalWeb"/>
        <w:spacing w:line="360" w:lineRule="auto"/>
        <w:rPr>
          <w:color w:val="000000"/>
        </w:rPr>
      </w:pPr>
      <w:r>
        <w:rPr>
          <w:color w:val="000000"/>
        </w:rPr>
        <w:t xml:space="preserve">Hilton Hotels &amp; Resorts is probably the oldest and most </w:t>
      </w:r>
      <w:proofErr w:type="spellStart"/>
      <w:proofErr w:type="gramStart"/>
      <w:r>
        <w:rPr>
          <w:color w:val="000000"/>
        </w:rPr>
        <w:t>well known</w:t>
      </w:r>
      <w:proofErr w:type="spellEnd"/>
      <w:proofErr w:type="gramEnd"/>
      <w:r>
        <w:rPr>
          <w:color w:val="000000"/>
        </w:rPr>
        <w:t xml:space="preserve"> hospitality brand around the world. It was founded in 1919 in Cisco, Texas by Conrad Hilton. Since </w:t>
      </w:r>
      <w:proofErr w:type="gramStart"/>
      <w:r>
        <w:rPr>
          <w:color w:val="000000"/>
        </w:rPr>
        <w:t>then</w:t>
      </w:r>
      <w:proofErr w:type="gramEnd"/>
      <w:r>
        <w:rPr>
          <w:color w:val="000000"/>
        </w:rPr>
        <w:t xml:space="preserve"> it has grown into the premier full service tier of Hilton Worldwide Holdings, a company based in McLean, Virginia, USA. Hilton Worldwide Holdings has over 7,600 properties across 126 countries and employs nearly 400,000 people worldwide (Hilton Hotels &amp; Resorts, 2024). Hilton Hotels &amp; Resorts represents the full-service portion of Hilton’s portfolio of products; it offers high quality accommodations, meeting spaces, unique dining options, and a variety of wellness services to each of its guests.</w:t>
      </w:r>
      <w:r>
        <w:rPr>
          <w:color w:val="000000"/>
        </w:rPr>
        <w:br/>
        <w:t xml:space="preserve">In the United Kingdom, Hilton has an important operational presence, which has </w:t>
      </w:r>
      <w:proofErr w:type="gramStart"/>
      <w:r>
        <w:rPr>
          <w:color w:val="000000"/>
        </w:rPr>
        <w:t>a number of</w:t>
      </w:r>
      <w:proofErr w:type="gramEnd"/>
      <w:r>
        <w:rPr>
          <w:color w:val="000000"/>
        </w:rPr>
        <w:t xml:space="preserve"> flagship properties. The Hilton London Metropole in Paddington is one of the largest convention hotels in Europe and contains over 1,000 bedrooms and 40 meeting suites. In addition, the Hilton London Bankside is a modern design-based hotel that is well-recognized for its sustainable practices and proximity to the Tate Modern. Each of these London hotels demonstrate Hilton’s ability to deliver excellent guest experiences in very competitive urban hospitality markets and both will be used as primary pilot locations for the roll-out of </w:t>
      </w:r>
      <w:proofErr w:type="spellStart"/>
      <w:r>
        <w:rPr>
          <w:color w:val="000000"/>
        </w:rPr>
        <w:t>StaySmart</w:t>
      </w:r>
      <w:proofErr w:type="spellEnd"/>
      <w:r>
        <w:rPr>
          <w:color w:val="000000"/>
        </w:rPr>
        <w:t>+.</w:t>
      </w:r>
      <w:r>
        <w:rPr>
          <w:color w:val="000000"/>
        </w:rPr>
        <w:br/>
      </w:r>
      <w:proofErr w:type="spellStart"/>
      <w:r>
        <w:rPr>
          <w:color w:val="000000"/>
        </w:rPr>
        <w:t>StaySmart</w:t>
      </w:r>
      <w:proofErr w:type="spellEnd"/>
      <w:r>
        <w:rPr>
          <w:color w:val="000000"/>
        </w:rPr>
        <w:t xml:space="preserve">+ is a strategic investment made by Hilton to integrate artificial intelligence with personalized digital services and to provide guests with environmentally friendly services. As a premium customer service experience, </w:t>
      </w:r>
      <w:proofErr w:type="spellStart"/>
      <w:r>
        <w:rPr>
          <w:color w:val="000000"/>
        </w:rPr>
        <w:t>StaySmart</w:t>
      </w:r>
      <w:proofErr w:type="spellEnd"/>
      <w:r>
        <w:rPr>
          <w:color w:val="000000"/>
        </w:rPr>
        <w:t xml:space="preserve">+ is intended to be rolled out on 20 locally owned and internationally owned hotel properties within six months. Therefore, the rollout will require cooperation among all stakeholders including those in technology, operations, marketing, regulatory and guest service areas. The </w:t>
      </w:r>
      <w:proofErr w:type="spellStart"/>
      <w:r>
        <w:rPr>
          <w:color w:val="000000"/>
        </w:rPr>
        <w:t>StaySmart</w:t>
      </w:r>
      <w:proofErr w:type="spellEnd"/>
      <w:r>
        <w:rPr>
          <w:color w:val="000000"/>
        </w:rPr>
        <w:t>+ customer service experience includes using artificial intelligence to provide guests with hyper-personalized recommendations, to automate the management of their preferred room type and to offer them real-time concierge assistance in conjunction with providing guests with environmentally friendly amenities that support Hilton’s Travel with Purpose environmental program.</w:t>
      </w:r>
      <w:r>
        <w:rPr>
          <w:color w:val="000000"/>
        </w:rPr>
        <w:br/>
        <w:t xml:space="preserve">This report reviews the process for identifying, engaging and managing stakeholders to create the successful development, launch and acceptance of the </w:t>
      </w:r>
      <w:proofErr w:type="spellStart"/>
      <w:r>
        <w:rPr>
          <w:color w:val="000000"/>
        </w:rPr>
        <w:t>StaySmart</w:t>
      </w:r>
      <w:proofErr w:type="spellEnd"/>
      <w:r>
        <w:rPr>
          <w:color w:val="000000"/>
        </w:rPr>
        <w:t>+ service. This review uses stakeholder theory (Freeman et al., 2022), engagement frameworks (</w:t>
      </w:r>
      <w:proofErr w:type="spellStart"/>
      <w:r>
        <w:rPr>
          <w:color w:val="000000"/>
        </w:rPr>
        <w:t>Eskerod</w:t>
      </w:r>
      <w:proofErr w:type="spellEnd"/>
      <w:r>
        <w:rPr>
          <w:color w:val="000000"/>
        </w:rPr>
        <w:t xml:space="preserve"> and Jepsen, 2023), and strategic management principles (Johnson et al., 2023) to create a structured analysis of how to develop stakeholder relationships to facilitate project success in multiple different cultures and market environments.</w:t>
      </w:r>
    </w:p>
    <w:p w14:paraId="04A80367" w14:textId="77777777" w:rsidR="003A06AF" w:rsidRDefault="003A06AF" w:rsidP="003A06AF">
      <w:pPr>
        <w:pStyle w:val="NormalWeb"/>
        <w:spacing w:line="360" w:lineRule="auto"/>
        <w:rPr>
          <w:color w:val="000000"/>
        </w:rPr>
      </w:pPr>
      <w:r>
        <w:rPr>
          <w:color w:val="000000"/>
        </w:rPr>
        <w:lastRenderedPageBreak/>
        <w:t>2.0 Situational Analysis</w:t>
      </w:r>
      <w:r>
        <w:rPr>
          <w:color w:val="000000"/>
        </w:rPr>
        <w:br/>
        <w:t>2.1 SWOT Analysis</w:t>
      </w:r>
      <w:r>
        <w:rPr>
          <w:color w:val="000000"/>
        </w:rPr>
        <w:br/>
        <w:t>A SWOT analysis is a systematic approach to evaluating an organization's internal environment and external environment related to the project. Bryson (2023) states that SWOT analysis continues to be a useful strategic tool for organizations to understand their internal preparedness and external environmental position before launching major new service innovations, allowing project managers to recognize the internal strengths that can be leveraged, internal weaknesses that must be addressed, potential external opportunities that should be pursued, and the potential external threats that need to be mitigated.</w:t>
      </w:r>
    </w:p>
    <w:p w14:paraId="0A26A522" w14:textId="2E8692DB" w:rsidR="003A06AF" w:rsidRDefault="003A06AF" w:rsidP="003A06AF">
      <w:pPr>
        <w:pStyle w:val="NormalWeb"/>
        <w:spacing w:line="360" w:lineRule="auto"/>
        <w:rPr>
          <w:color w:val="000000"/>
        </w:rPr>
      </w:pPr>
      <w:r>
        <w:rPr>
          <w:noProof/>
          <w:color w:val="000000"/>
        </w:rPr>
        <w:drawing>
          <wp:inline distT="0" distB="0" distL="0" distR="0" wp14:anchorId="7BBC9EFE" wp14:editId="2576F79D">
            <wp:extent cx="5960110" cy="6134735"/>
            <wp:effectExtent l="0" t="0" r="0" b="0"/>
            <wp:docPr id="1206590623" name="Picture 1" descr="A char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590623" name="Picture 1" descr="A chart with text and images&#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5960110" cy="6134735"/>
                    </a:xfrm>
                    <a:prstGeom prst="rect">
                      <a:avLst/>
                    </a:prstGeom>
                  </pic:spPr>
                </pic:pic>
              </a:graphicData>
            </a:graphic>
          </wp:inline>
        </w:drawing>
      </w:r>
    </w:p>
    <w:p w14:paraId="0673FD36" w14:textId="77777777" w:rsidR="00D357AF" w:rsidRPr="003A06AF" w:rsidRDefault="00D357AF" w:rsidP="003A06AF">
      <w:pPr>
        <w:spacing w:before="60" w:after="60" w:line="360" w:lineRule="auto"/>
        <w:rPr>
          <w:rFonts w:ascii="Times New Roman" w:hAnsi="Times New Roman" w:cs="Times New Roman"/>
          <w:sz w:val="24"/>
          <w:szCs w:val="24"/>
        </w:rPr>
      </w:pPr>
    </w:p>
    <w:p w14:paraId="5E1339F6" w14:textId="77777777" w:rsidR="00D357AF" w:rsidRPr="003A06AF" w:rsidRDefault="00000000" w:rsidP="003A06AF">
      <w:pPr>
        <w:spacing w:before="60" w:after="140" w:line="360" w:lineRule="auto"/>
        <w:jc w:val="center"/>
        <w:rPr>
          <w:rFonts w:ascii="Times New Roman" w:hAnsi="Times New Roman" w:cs="Times New Roman"/>
          <w:sz w:val="24"/>
          <w:szCs w:val="24"/>
        </w:rPr>
      </w:pPr>
      <w:r w:rsidRPr="003A06AF">
        <w:rPr>
          <w:rFonts w:ascii="Times New Roman" w:hAnsi="Times New Roman" w:cs="Times New Roman"/>
          <w:i/>
          <w:iCs/>
          <w:color w:val="555555"/>
          <w:sz w:val="24"/>
          <w:szCs w:val="24"/>
        </w:rPr>
        <w:t xml:space="preserve">Figure 1: SWOT Analysis – Hilton Hotels &amp; Resorts in relation to the </w:t>
      </w:r>
      <w:proofErr w:type="spellStart"/>
      <w:r w:rsidRPr="003A06AF">
        <w:rPr>
          <w:rFonts w:ascii="Times New Roman" w:hAnsi="Times New Roman" w:cs="Times New Roman"/>
          <w:i/>
          <w:iCs/>
          <w:color w:val="555555"/>
          <w:sz w:val="24"/>
          <w:szCs w:val="24"/>
        </w:rPr>
        <w:t>StaySmart</w:t>
      </w:r>
      <w:proofErr w:type="spellEnd"/>
      <w:r w:rsidRPr="003A06AF">
        <w:rPr>
          <w:rFonts w:ascii="Times New Roman" w:hAnsi="Times New Roman" w:cs="Times New Roman"/>
          <w:i/>
          <w:iCs/>
          <w:color w:val="555555"/>
          <w:sz w:val="24"/>
          <w:szCs w:val="24"/>
        </w:rPr>
        <w:t>+ Project (Author's own, 2025)</w:t>
      </w:r>
    </w:p>
    <w:p w14:paraId="22A3792C" w14:textId="77777777" w:rsidR="00D357AF" w:rsidRPr="003A06AF" w:rsidRDefault="00D357AF" w:rsidP="003A06AF">
      <w:pPr>
        <w:spacing w:before="60" w:after="60" w:line="360" w:lineRule="auto"/>
        <w:rPr>
          <w:rFonts w:ascii="Times New Roman" w:hAnsi="Times New Roman" w:cs="Times New Roman"/>
          <w:sz w:val="24"/>
          <w:szCs w:val="24"/>
        </w:rPr>
      </w:pPr>
    </w:p>
    <w:p w14:paraId="746C488D" w14:textId="77777777" w:rsidR="00D357AF" w:rsidRPr="003A06AF" w:rsidRDefault="00000000" w:rsidP="003A06AF">
      <w:pPr>
        <w:pStyle w:val="Heading2"/>
        <w:spacing w:after="100" w:line="360" w:lineRule="auto"/>
        <w:rPr>
          <w:rFonts w:ascii="Times New Roman" w:hAnsi="Times New Roman" w:cs="Times New Roman"/>
          <w:sz w:val="24"/>
          <w:szCs w:val="24"/>
        </w:rPr>
      </w:pPr>
      <w:proofErr w:type="gramStart"/>
      <w:r w:rsidRPr="003A06AF">
        <w:rPr>
          <w:rFonts w:ascii="Times New Roman" w:hAnsi="Times New Roman" w:cs="Times New Roman"/>
          <w:sz w:val="24"/>
          <w:szCs w:val="24"/>
        </w:rPr>
        <w:t>2.2  PESTLE</w:t>
      </w:r>
      <w:proofErr w:type="gramEnd"/>
      <w:r w:rsidRPr="003A06AF">
        <w:rPr>
          <w:rFonts w:ascii="Times New Roman" w:hAnsi="Times New Roman" w:cs="Times New Roman"/>
          <w:sz w:val="24"/>
          <w:szCs w:val="24"/>
        </w:rPr>
        <w:t xml:space="preserve"> Analysis</w:t>
      </w:r>
    </w:p>
    <w:p w14:paraId="7D5E98F5" w14:textId="77777777" w:rsidR="003A06AF" w:rsidRDefault="003A06AF" w:rsidP="003A06AF">
      <w:pPr>
        <w:pStyle w:val="NormalWeb"/>
        <w:spacing w:line="360" w:lineRule="auto"/>
        <w:rPr>
          <w:color w:val="000000"/>
        </w:rPr>
      </w:pPr>
      <w:r>
        <w:rPr>
          <w:color w:val="000000"/>
        </w:rPr>
        <w:t xml:space="preserve">Using the PESTLE framework allows for an organized examination of the six macro-environmental factors outside of the </w:t>
      </w:r>
      <w:proofErr w:type="spellStart"/>
      <w:r>
        <w:rPr>
          <w:color w:val="000000"/>
        </w:rPr>
        <w:t>StaySmart</w:t>
      </w:r>
      <w:proofErr w:type="spellEnd"/>
      <w:r>
        <w:rPr>
          <w:color w:val="000000"/>
        </w:rPr>
        <w:t xml:space="preserve">+ project that can impact its overall strategic direction. According to Johnson et al. (2023), a PESTLE analysis can be especially useful for large-scale international projects, such as the </w:t>
      </w:r>
      <w:proofErr w:type="spellStart"/>
      <w:r>
        <w:rPr>
          <w:color w:val="000000"/>
        </w:rPr>
        <w:t>StaySmart</w:t>
      </w:r>
      <w:proofErr w:type="spellEnd"/>
      <w:r>
        <w:rPr>
          <w:color w:val="000000"/>
        </w:rPr>
        <w:t xml:space="preserve">+, since it provides a comprehensive view of the different regulatory environments, economies, social and cultural norms, and technologies that exist in each country that would need to be addressed to successfully deploy the </w:t>
      </w:r>
      <w:proofErr w:type="spellStart"/>
      <w:r>
        <w:rPr>
          <w:color w:val="000000"/>
        </w:rPr>
        <w:t>StaySmart</w:t>
      </w:r>
      <w:proofErr w:type="spellEnd"/>
      <w:r>
        <w:rPr>
          <w:color w:val="000000"/>
        </w:rPr>
        <w:t>+ internationally.</w:t>
      </w:r>
    </w:p>
    <w:p w14:paraId="1628F3B7" w14:textId="77777777" w:rsidR="00D357AF" w:rsidRPr="003A06AF" w:rsidRDefault="00D357AF" w:rsidP="003A06AF">
      <w:pPr>
        <w:spacing w:before="60" w:after="60" w:line="360" w:lineRule="auto"/>
        <w:rPr>
          <w:rFonts w:ascii="Times New Roman" w:hAnsi="Times New Roman" w:cs="Times New Roman"/>
          <w:sz w:val="24"/>
          <w:szCs w:val="24"/>
        </w:rPr>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87"/>
        <w:gridCol w:w="7213"/>
      </w:tblGrid>
      <w:tr w:rsidR="00D357AF" w:rsidRPr="003A06AF" w14:paraId="6488EE08" w14:textId="77777777">
        <w:tblPrEx>
          <w:tblCellMar>
            <w:top w:w="0" w:type="dxa"/>
            <w:bottom w:w="0" w:type="dxa"/>
          </w:tblCellMar>
        </w:tblPrEx>
        <w:tc>
          <w:tcPr>
            <w:tcW w:w="15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20" w:type="dxa"/>
              <w:bottom w:w="80" w:type="dxa"/>
              <w:right w:w="120" w:type="dxa"/>
            </w:tcMar>
            <w:vAlign w:val="center"/>
          </w:tcPr>
          <w:p w14:paraId="3C1A83E1"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color w:val="FFFFFF"/>
                <w:sz w:val="24"/>
                <w:szCs w:val="24"/>
              </w:rPr>
              <w:t>FACTOR</w:t>
            </w:r>
          </w:p>
        </w:tc>
        <w:tc>
          <w:tcPr>
            <w:tcW w:w="75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20" w:type="dxa"/>
              <w:bottom w:w="80" w:type="dxa"/>
              <w:right w:w="120" w:type="dxa"/>
            </w:tcMar>
            <w:vAlign w:val="center"/>
          </w:tcPr>
          <w:p w14:paraId="604224C1"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color w:val="FFFFFF"/>
                <w:sz w:val="24"/>
                <w:szCs w:val="24"/>
              </w:rPr>
              <w:t>ANALYSIS AND IMPLICATIONS FOR STAYSMART+</w:t>
            </w:r>
          </w:p>
        </w:tc>
      </w:tr>
      <w:tr w:rsidR="00D357AF" w:rsidRPr="003A06AF" w14:paraId="3F2013C8" w14:textId="77777777">
        <w:tblPrEx>
          <w:tblCellMar>
            <w:top w:w="0" w:type="dxa"/>
            <w:bottom w:w="0" w:type="dxa"/>
          </w:tblCellMar>
        </w:tblPrEx>
        <w:tc>
          <w:tcPr>
            <w:tcW w:w="15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20" w:type="dxa"/>
              <w:bottom w:w="80" w:type="dxa"/>
              <w:right w:w="120" w:type="dxa"/>
            </w:tcMar>
          </w:tcPr>
          <w:p w14:paraId="742094A6"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b/>
                <w:bCs/>
                <w:sz w:val="24"/>
                <w:szCs w:val="24"/>
              </w:rPr>
              <w:t>Political</w:t>
            </w:r>
          </w:p>
        </w:tc>
        <w:tc>
          <w:tcPr>
            <w:tcW w:w="75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20" w:type="dxa"/>
              <w:bottom w:w="80" w:type="dxa"/>
              <w:right w:w="120" w:type="dxa"/>
            </w:tcMar>
          </w:tcPr>
          <w:p w14:paraId="20F3AC27"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 xml:space="preserve">Government travel policies, international relations, and visa regulations affect cross-border hotel operations. The UK government's National AI Strategy (2022) encourages responsible digital adoption in service sectors, creating a supportive policy environment for </w:t>
            </w:r>
            <w:proofErr w:type="spellStart"/>
            <w:r w:rsidRPr="003A06AF">
              <w:rPr>
                <w:rFonts w:ascii="Times New Roman" w:hAnsi="Times New Roman" w:cs="Times New Roman"/>
                <w:sz w:val="24"/>
                <w:szCs w:val="24"/>
              </w:rPr>
              <w:t>StaySmart</w:t>
            </w:r>
            <w:proofErr w:type="spellEnd"/>
            <w:r w:rsidRPr="003A06AF">
              <w:rPr>
                <w:rFonts w:ascii="Times New Roman" w:hAnsi="Times New Roman" w:cs="Times New Roman"/>
                <w:sz w:val="24"/>
                <w:szCs w:val="24"/>
              </w:rPr>
              <w:t>+.</w:t>
            </w:r>
          </w:p>
        </w:tc>
      </w:tr>
      <w:tr w:rsidR="00D357AF" w:rsidRPr="003A06AF" w14:paraId="37100AAC" w14:textId="77777777">
        <w:tblPrEx>
          <w:tblCellMar>
            <w:top w:w="0" w:type="dxa"/>
            <w:bottom w:w="0" w:type="dxa"/>
          </w:tblCellMar>
        </w:tblPrEx>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20" w:type="dxa"/>
              <w:bottom w:w="80" w:type="dxa"/>
              <w:right w:w="120" w:type="dxa"/>
            </w:tcMar>
          </w:tcPr>
          <w:p w14:paraId="4CA3C1A9"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b/>
                <w:bCs/>
                <w:sz w:val="24"/>
                <w:szCs w:val="24"/>
              </w:rPr>
              <w:t>Economic</w:t>
            </w:r>
          </w:p>
        </w:tc>
        <w:tc>
          <w:tcPr>
            <w:tcW w:w="7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20" w:type="dxa"/>
              <w:bottom w:w="80" w:type="dxa"/>
              <w:right w:w="120" w:type="dxa"/>
            </w:tcMar>
          </w:tcPr>
          <w:p w14:paraId="414960B6"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Post-pandemic hospitality recovery creates favourable market conditions for premium service investment. However, inflationary pressures and cost-of-living concerns may constrain discretionary travel spending in key consumer markets, requiring careful pricing strategy alignment (Hilton Hotels &amp; Resorts, 2024).</w:t>
            </w:r>
          </w:p>
        </w:tc>
      </w:tr>
      <w:tr w:rsidR="00D357AF" w:rsidRPr="003A06AF" w14:paraId="34047062" w14:textId="77777777">
        <w:tblPrEx>
          <w:tblCellMar>
            <w:top w:w="0" w:type="dxa"/>
            <w:bottom w:w="0" w:type="dxa"/>
          </w:tblCellMar>
        </w:tblPrEx>
        <w:tc>
          <w:tcPr>
            <w:tcW w:w="15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20" w:type="dxa"/>
              <w:bottom w:w="80" w:type="dxa"/>
              <w:right w:w="120" w:type="dxa"/>
            </w:tcMar>
          </w:tcPr>
          <w:p w14:paraId="7D76392E"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b/>
                <w:bCs/>
                <w:sz w:val="24"/>
                <w:szCs w:val="24"/>
              </w:rPr>
              <w:t>Social</w:t>
            </w:r>
          </w:p>
        </w:tc>
        <w:tc>
          <w:tcPr>
            <w:tcW w:w="75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20" w:type="dxa"/>
              <w:bottom w:w="80" w:type="dxa"/>
              <w:right w:w="120" w:type="dxa"/>
            </w:tcMar>
          </w:tcPr>
          <w:p w14:paraId="3B7C8B9A"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 xml:space="preserve">Growing consumer demand for personalised, seamless digital experiences and sustainable travel practices reflects evolving traveller values (Sharma and Gupta, 2023). The cultural diversity of international markets requires </w:t>
            </w:r>
            <w:proofErr w:type="spellStart"/>
            <w:r w:rsidRPr="003A06AF">
              <w:rPr>
                <w:rFonts w:ascii="Times New Roman" w:hAnsi="Times New Roman" w:cs="Times New Roman"/>
                <w:sz w:val="24"/>
                <w:szCs w:val="24"/>
              </w:rPr>
              <w:t>StaySmart</w:t>
            </w:r>
            <w:proofErr w:type="spellEnd"/>
            <w:r w:rsidRPr="003A06AF">
              <w:rPr>
                <w:rFonts w:ascii="Times New Roman" w:hAnsi="Times New Roman" w:cs="Times New Roman"/>
                <w:sz w:val="24"/>
                <w:szCs w:val="24"/>
              </w:rPr>
              <w:t>+ to accommodate varied hospitality preferences and digital literacy levels.</w:t>
            </w:r>
          </w:p>
        </w:tc>
      </w:tr>
      <w:tr w:rsidR="00D357AF" w:rsidRPr="003A06AF" w14:paraId="033A6D43" w14:textId="77777777">
        <w:tblPrEx>
          <w:tblCellMar>
            <w:top w:w="0" w:type="dxa"/>
            <w:bottom w:w="0" w:type="dxa"/>
          </w:tblCellMar>
        </w:tblPrEx>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20" w:type="dxa"/>
              <w:bottom w:w="80" w:type="dxa"/>
              <w:right w:w="120" w:type="dxa"/>
            </w:tcMar>
          </w:tcPr>
          <w:p w14:paraId="2958267C"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b/>
                <w:bCs/>
                <w:sz w:val="24"/>
                <w:szCs w:val="24"/>
              </w:rPr>
              <w:lastRenderedPageBreak/>
              <w:t>Technological</w:t>
            </w:r>
          </w:p>
        </w:tc>
        <w:tc>
          <w:tcPr>
            <w:tcW w:w="7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20" w:type="dxa"/>
              <w:bottom w:w="80" w:type="dxa"/>
              <w:right w:w="120" w:type="dxa"/>
            </w:tcMar>
          </w:tcPr>
          <w:p w14:paraId="35C93671"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 xml:space="preserve">AI-driven customer interaction, IoT room technology, and advanced data analytics are transforming hospitality service delivery. Digital transformation is both the primary driver and enabling infrastructure of the </w:t>
            </w:r>
            <w:proofErr w:type="spellStart"/>
            <w:r w:rsidRPr="003A06AF">
              <w:rPr>
                <w:rFonts w:ascii="Times New Roman" w:hAnsi="Times New Roman" w:cs="Times New Roman"/>
                <w:sz w:val="24"/>
                <w:szCs w:val="24"/>
              </w:rPr>
              <w:t>StaySmart</w:t>
            </w:r>
            <w:proofErr w:type="spellEnd"/>
            <w:r w:rsidRPr="003A06AF">
              <w:rPr>
                <w:rFonts w:ascii="Times New Roman" w:hAnsi="Times New Roman" w:cs="Times New Roman"/>
                <w:sz w:val="24"/>
                <w:szCs w:val="24"/>
              </w:rPr>
              <w:t>+ deployment strategy (Kerzner, 2022).</w:t>
            </w:r>
          </w:p>
        </w:tc>
      </w:tr>
      <w:tr w:rsidR="00D357AF" w:rsidRPr="003A06AF" w14:paraId="1CF61638" w14:textId="77777777">
        <w:tblPrEx>
          <w:tblCellMar>
            <w:top w:w="0" w:type="dxa"/>
            <w:bottom w:w="0" w:type="dxa"/>
          </w:tblCellMar>
        </w:tblPrEx>
        <w:tc>
          <w:tcPr>
            <w:tcW w:w="15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20" w:type="dxa"/>
              <w:bottom w:w="80" w:type="dxa"/>
              <w:right w:w="120" w:type="dxa"/>
            </w:tcMar>
          </w:tcPr>
          <w:p w14:paraId="737E5F81"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b/>
                <w:bCs/>
                <w:sz w:val="24"/>
                <w:szCs w:val="24"/>
              </w:rPr>
              <w:t>Legal</w:t>
            </w:r>
          </w:p>
        </w:tc>
        <w:tc>
          <w:tcPr>
            <w:tcW w:w="75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20" w:type="dxa"/>
              <w:bottom w:w="80" w:type="dxa"/>
              <w:right w:w="120" w:type="dxa"/>
            </w:tcMar>
          </w:tcPr>
          <w:p w14:paraId="5222D299"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GDPR compliance, data protection legislation, and employment law across multiple jurisdictions create complex compliance obligations. AI systems are subject to rapidly evolving regulatory frameworks, including the EU AI Act (2024), requiring proactive legal stakeholder engagement (Freeman et al., 2022).</w:t>
            </w:r>
          </w:p>
        </w:tc>
      </w:tr>
      <w:tr w:rsidR="00D357AF" w:rsidRPr="003A06AF" w14:paraId="63AFFFAF" w14:textId="77777777">
        <w:tblPrEx>
          <w:tblCellMar>
            <w:top w:w="0" w:type="dxa"/>
            <w:bottom w:w="0" w:type="dxa"/>
          </w:tblCellMar>
        </w:tblPrEx>
        <w:tc>
          <w:tcPr>
            <w:tcW w:w="1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20" w:type="dxa"/>
              <w:bottom w:w="80" w:type="dxa"/>
              <w:right w:w="120" w:type="dxa"/>
            </w:tcMar>
          </w:tcPr>
          <w:p w14:paraId="27BF25A2"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b/>
                <w:bCs/>
                <w:sz w:val="24"/>
                <w:szCs w:val="24"/>
              </w:rPr>
              <w:t>Environmental</w:t>
            </w:r>
          </w:p>
        </w:tc>
        <w:tc>
          <w:tcPr>
            <w:tcW w:w="75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20" w:type="dxa"/>
              <w:bottom w:w="80" w:type="dxa"/>
              <w:right w:w="120" w:type="dxa"/>
            </w:tcMar>
          </w:tcPr>
          <w:p w14:paraId="6B136FAC"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 xml:space="preserve">Increasing pressure for carbon-neutral operations and net-zero commitments directly aligns with the sustainability-focused amenities central to </w:t>
            </w:r>
            <w:proofErr w:type="spellStart"/>
            <w:r w:rsidRPr="003A06AF">
              <w:rPr>
                <w:rFonts w:ascii="Times New Roman" w:hAnsi="Times New Roman" w:cs="Times New Roman"/>
                <w:sz w:val="24"/>
                <w:szCs w:val="24"/>
              </w:rPr>
              <w:t>StaySmart</w:t>
            </w:r>
            <w:proofErr w:type="spellEnd"/>
            <w:r w:rsidRPr="003A06AF">
              <w:rPr>
                <w:rFonts w:ascii="Times New Roman" w:hAnsi="Times New Roman" w:cs="Times New Roman"/>
                <w:sz w:val="24"/>
                <w:szCs w:val="24"/>
              </w:rPr>
              <w:t>+. Mandatory ESG reporting requirements are being introduced across Hilton's key operating markets (Sloan et al., 2023).</w:t>
            </w:r>
          </w:p>
        </w:tc>
      </w:tr>
    </w:tbl>
    <w:p w14:paraId="71F0D37C" w14:textId="77777777" w:rsidR="00D357AF" w:rsidRPr="003A06AF" w:rsidRDefault="00000000" w:rsidP="003A06AF">
      <w:pPr>
        <w:spacing w:before="60" w:after="140" w:line="360" w:lineRule="auto"/>
        <w:jc w:val="center"/>
        <w:rPr>
          <w:rFonts w:ascii="Times New Roman" w:hAnsi="Times New Roman" w:cs="Times New Roman"/>
          <w:sz w:val="24"/>
          <w:szCs w:val="24"/>
        </w:rPr>
      </w:pPr>
      <w:r w:rsidRPr="003A06AF">
        <w:rPr>
          <w:rFonts w:ascii="Times New Roman" w:hAnsi="Times New Roman" w:cs="Times New Roman"/>
          <w:i/>
          <w:iCs/>
          <w:color w:val="555555"/>
          <w:sz w:val="24"/>
          <w:szCs w:val="24"/>
        </w:rPr>
        <w:t xml:space="preserve">Figure 2: PESTLE Analysis – </w:t>
      </w:r>
      <w:proofErr w:type="spellStart"/>
      <w:r w:rsidRPr="003A06AF">
        <w:rPr>
          <w:rFonts w:ascii="Times New Roman" w:hAnsi="Times New Roman" w:cs="Times New Roman"/>
          <w:i/>
          <w:iCs/>
          <w:color w:val="555555"/>
          <w:sz w:val="24"/>
          <w:szCs w:val="24"/>
        </w:rPr>
        <w:t>StaySmart</w:t>
      </w:r>
      <w:proofErr w:type="spellEnd"/>
      <w:r w:rsidRPr="003A06AF">
        <w:rPr>
          <w:rFonts w:ascii="Times New Roman" w:hAnsi="Times New Roman" w:cs="Times New Roman"/>
          <w:i/>
          <w:iCs/>
          <w:color w:val="555555"/>
          <w:sz w:val="24"/>
          <w:szCs w:val="24"/>
        </w:rPr>
        <w:t>+ Global Launch (Author's own, 2025)</w:t>
      </w:r>
    </w:p>
    <w:p w14:paraId="3EEE2000" w14:textId="77777777" w:rsidR="00D357AF" w:rsidRPr="003A06AF" w:rsidRDefault="00D357AF" w:rsidP="003A06AF">
      <w:pPr>
        <w:spacing w:before="60" w:after="60" w:line="360" w:lineRule="auto"/>
        <w:rPr>
          <w:rFonts w:ascii="Times New Roman" w:hAnsi="Times New Roman" w:cs="Times New Roman"/>
          <w:sz w:val="24"/>
          <w:szCs w:val="24"/>
        </w:rPr>
      </w:pPr>
    </w:p>
    <w:p w14:paraId="504E85AD" w14:textId="77777777" w:rsidR="00D357AF" w:rsidRPr="003A06AF" w:rsidRDefault="00000000" w:rsidP="003A06AF">
      <w:pPr>
        <w:pStyle w:val="Heading2"/>
        <w:spacing w:after="100" w:line="360" w:lineRule="auto"/>
        <w:rPr>
          <w:rFonts w:ascii="Times New Roman" w:hAnsi="Times New Roman" w:cs="Times New Roman"/>
          <w:sz w:val="24"/>
          <w:szCs w:val="24"/>
        </w:rPr>
      </w:pPr>
      <w:proofErr w:type="gramStart"/>
      <w:r w:rsidRPr="003A06AF">
        <w:rPr>
          <w:rFonts w:ascii="Times New Roman" w:hAnsi="Times New Roman" w:cs="Times New Roman"/>
          <w:sz w:val="24"/>
          <w:szCs w:val="24"/>
        </w:rPr>
        <w:t>2.3  SMART</w:t>
      </w:r>
      <w:proofErr w:type="gramEnd"/>
      <w:r w:rsidRPr="003A06AF">
        <w:rPr>
          <w:rFonts w:ascii="Times New Roman" w:hAnsi="Times New Roman" w:cs="Times New Roman"/>
          <w:sz w:val="24"/>
          <w:szCs w:val="24"/>
        </w:rPr>
        <w:t xml:space="preserve"> Objectives</w:t>
      </w:r>
    </w:p>
    <w:p w14:paraId="424C66AE" w14:textId="77777777" w:rsidR="003A06AF" w:rsidRDefault="003A06AF" w:rsidP="003A06AF">
      <w:pPr>
        <w:pStyle w:val="NormalWeb"/>
        <w:spacing w:line="360" w:lineRule="auto"/>
        <w:rPr>
          <w:color w:val="000000"/>
        </w:rPr>
      </w:pPr>
      <w:r>
        <w:rPr>
          <w:color w:val="000000"/>
        </w:rPr>
        <w:t xml:space="preserve">In line with Kerzner (2022), SMART objectives will be developed to ensure that there is an agreement on what needs to happen, when it should happen, by whom, how often and how they will measure success to achieve the desired outcomes of the </w:t>
      </w:r>
      <w:proofErr w:type="spellStart"/>
      <w:r>
        <w:rPr>
          <w:color w:val="000000"/>
        </w:rPr>
        <w:t>StaySmart</w:t>
      </w:r>
      <w:proofErr w:type="spellEnd"/>
      <w:r>
        <w:rPr>
          <w:color w:val="000000"/>
        </w:rPr>
        <w:t>+ project:</w:t>
      </w:r>
      <w:r>
        <w:rPr>
          <w:color w:val="000000"/>
        </w:rPr>
        <w:br/>
        <w:t xml:space="preserve">Specifically; To successfully deploy </w:t>
      </w:r>
      <w:proofErr w:type="spellStart"/>
      <w:r>
        <w:rPr>
          <w:color w:val="000000"/>
        </w:rPr>
        <w:t>StaySmart</w:t>
      </w:r>
      <w:proofErr w:type="spellEnd"/>
      <w:r>
        <w:rPr>
          <w:color w:val="000000"/>
        </w:rPr>
        <w:t>+ across 20 selected Hilton hotels in the 5 International Markets of UK, UAE, Germany, Singapore and USA within the agreed upon 6 month timeframe.</w:t>
      </w:r>
    </w:p>
    <w:p w14:paraId="080C0A44" w14:textId="77777777" w:rsidR="003A06AF" w:rsidRDefault="003A06AF" w:rsidP="003A06AF">
      <w:pPr>
        <w:pStyle w:val="NormalWeb"/>
        <w:spacing w:line="360" w:lineRule="auto"/>
        <w:rPr>
          <w:color w:val="000000"/>
        </w:rPr>
      </w:pPr>
      <w:r>
        <w:rPr>
          <w:color w:val="000000"/>
        </w:rPr>
        <w:t xml:space="preserve">To demonstrate the successful adoption of </w:t>
      </w:r>
      <w:proofErr w:type="spellStart"/>
      <w:r>
        <w:rPr>
          <w:color w:val="000000"/>
        </w:rPr>
        <w:t>StaySmart</w:t>
      </w:r>
      <w:proofErr w:type="spellEnd"/>
      <w:r>
        <w:rPr>
          <w:color w:val="000000"/>
        </w:rPr>
        <w:t>+ by achieving a minimum guest satisfaction score increase of 15%, as measured by NPS Surveys and Post-Stay Digital Feedback within the first year of deployment.</w:t>
      </w:r>
    </w:p>
    <w:p w14:paraId="50F27924" w14:textId="77777777" w:rsidR="003A06AF" w:rsidRDefault="003A06AF" w:rsidP="003A06AF">
      <w:pPr>
        <w:pStyle w:val="NormalWeb"/>
        <w:spacing w:line="360" w:lineRule="auto"/>
        <w:rPr>
          <w:color w:val="000000"/>
        </w:rPr>
      </w:pPr>
      <w:r>
        <w:rPr>
          <w:color w:val="000000"/>
        </w:rPr>
        <w:t>To secure full stakeholder alignment and formal Board Approval of the Project Budget, Governance Structure, and Implementation Timeline within 30 days of Project Initiation.</w:t>
      </w:r>
    </w:p>
    <w:p w14:paraId="011E3AE4" w14:textId="77777777" w:rsidR="003A06AF" w:rsidRDefault="003A06AF" w:rsidP="003A06AF">
      <w:pPr>
        <w:pStyle w:val="NormalWeb"/>
        <w:spacing w:line="360" w:lineRule="auto"/>
        <w:rPr>
          <w:color w:val="000000"/>
        </w:rPr>
      </w:pPr>
      <w:r>
        <w:rPr>
          <w:color w:val="000000"/>
        </w:rPr>
        <w:lastRenderedPageBreak/>
        <w:t xml:space="preserve">To align the </w:t>
      </w:r>
      <w:proofErr w:type="spellStart"/>
      <w:r>
        <w:rPr>
          <w:color w:val="000000"/>
        </w:rPr>
        <w:t>StaySmart</w:t>
      </w:r>
      <w:proofErr w:type="spellEnd"/>
      <w:r>
        <w:rPr>
          <w:color w:val="000000"/>
        </w:rPr>
        <w:t>+ project with Hilton’s Travel with Purpose ESG Strategy to ensure that sustainability focused amenities and carbon reduction features are integrated into a minimum of 90% of the Participating Hotels.</w:t>
      </w:r>
    </w:p>
    <w:p w14:paraId="7FC5E403" w14:textId="77777777" w:rsidR="003A06AF" w:rsidRDefault="003A06AF" w:rsidP="003A06AF">
      <w:pPr>
        <w:pStyle w:val="NormalWeb"/>
        <w:spacing w:line="360" w:lineRule="auto"/>
        <w:rPr>
          <w:color w:val="000000"/>
        </w:rPr>
      </w:pPr>
      <w:r>
        <w:rPr>
          <w:color w:val="000000"/>
        </w:rPr>
        <w:t>To complete all Staff Training Programs, System Integration Testing and Operational Readiness Reviews within Four Months of Project Launch Commencement and allow for a Final Six Week Pre-Launch Testing and Refining Period.</w:t>
      </w:r>
    </w:p>
    <w:p w14:paraId="60136677" w14:textId="77777777" w:rsidR="00D357AF" w:rsidRPr="003A06AF" w:rsidRDefault="00D357AF" w:rsidP="003A06AF">
      <w:pPr>
        <w:spacing w:before="60" w:after="60" w:line="360" w:lineRule="auto"/>
        <w:rPr>
          <w:rFonts w:ascii="Times New Roman" w:hAnsi="Times New Roman" w:cs="Times New Roman"/>
          <w:sz w:val="24"/>
          <w:szCs w:val="24"/>
        </w:rPr>
      </w:pPr>
    </w:p>
    <w:p w14:paraId="5E67B0D5" w14:textId="6B5EA24F" w:rsidR="00D357AF" w:rsidRPr="003A06AF" w:rsidRDefault="00000000" w:rsidP="003A06AF">
      <w:pPr>
        <w:spacing w:line="360" w:lineRule="auto"/>
        <w:rPr>
          <w:rFonts w:ascii="Times New Roman" w:hAnsi="Times New Roman" w:cs="Times New Roman"/>
          <w:sz w:val="24"/>
          <w:szCs w:val="24"/>
        </w:rPr>
      </w:pPr>
      <w:proofErr w:type="gramStart"/>
      <w:r w:rsidRPr="003A06AF">
        <w:rPr>
          <w:rFonts w:ascii="Times New Roman" w:hAnsi="Times New Roman" w:cs="Times New Roman"/>
          <w:b/>
          <w:bCs/>
          <w:color w:val="1F3864"/>
          <w:sz w:val="24"/>
          <w:szCs w:val="24"/>
        </w:rPr>
        <w:t>3.0  Identification</w:t>
      </w:r>
      <w:proofErr w:type="gramEnd"/>
      <w:r w:rsidRPr="003A06AF">
        <w:rPr>
          <w:rFonts w:ascii="Times New Roman" w:hAnsi="Times New Roman" w:cs="Times New Roman"/>
          <w:b/>
          <w:bCs/>
          <w:color w:val="1F3864"/>
          <w:sz w:val="24"/>
          <w:szCs w:val="24"/>
        </w:rPr>
        <w:t xml:space="preserve"> and Categorisation of Key Stakeholders</w:t>
      </w:r>
    </w:p>
    <w:p w14:paraId="54AB7F74" w14:textId="77777777" w:rsidR="003A06AF" w:rsidRDefault="003A06AF" w:rsidP="003A06AF">
      <w:pPr>
        <w:pStyle w:val="NormalWeb"/>
        <w:spacing w:line="360" w:lineRule="auto"/>
        <w:rPr>
          <w:color w:val="000000"/>
        </w:rPr>
      </w:pPr>
      <w:r>
        <w:rPr>
          <w:color w:val="000000"/>
        </w:rPr>
        <w:t xml:space="preserve">The first step in successfully managing stakeholders in a project is to identify them (PMI, 2021). Freeman et al. (2022, p. 4) defined stakeholders as any person(s) or group(s) that have the capacity to </w:t>
      </w:r>
      <w:proofErr w:type="gramStart"/>
      <w:r>
        <w:rPr>
          <w:color w:val="000000"/>
        </w:rPr>
        <w:t>positively or negatively affect an organization’s operations (create relational obligations)</w:t>
      </w:r>
      <w:proofErr w:type="gramEnd"/>
      <w:r>
        <w:rPr>
          <w:color w:val="000000"/>
        </w:rPr>
        <w:t xml:space="preserve"> or strategically support an organization’s objectives (strategic interdependencies). In the case of the </w:t>
      </w:r>
      <w:proofErr w:type="spellStart"/>
      <w:r>
        <w:rPr>
          <w:color w:val="000000"/>
        </w:rPr>
        <w:t>StaySmart</w:t>
      </w:r>
      <w:proofErr w:type="spellEnd"/>
      <w:r>
        <w:rPr>
          <w:color w:val="000000"/>
        </w:rPr>
        <w:t>+ project, Hilton has identified its stakeholders and categorized them according to their role as either internal or external stakeholders, identifying those stakeholders who are part of Hilton’s organizational structure versus those who are outside of the organizational structure (</w:t>
      </w:r>
      <w:proofErr w:type="spellStart"/>
      <w:r>
        <w:rPr>
          <w:color w:val="000000"/>
        </w:rPr>
        <w:t>Bourne</w:t>
      </w:r>
      <w:proofErr w:type="spellEnd"/>
      <w:r>
        <w:rPr>
          <w:color w:val="000000"/>
        </w:rPr>
        <w:t>, 2020).</w:t>
      </w:r>
      <w:r>
        <w:rPr>
          <w:color w:val="000000"/>
        </w:rPr>
        <w:br/>
        <w:t>Internal stakeholders are those operating inside Hilton’s organizational boundaries, and they are directly responsible for the design, approval and execution of the project:</w:t>
      </w:r>
      <w:r>
        <w:rPr>
          <w:color w:val="000000"/>
        </w:rPr>
        <w:br/>
        <w:t xml:space="preserve">• The Board of Directors and Senior Executive Team: They provide strategic guidance, allocate resources, provide risk governance, and are ultimately accountable for the investment in </w:t>
      </w:r>
      <w:proofErr w:type="spellStart"/>
      <w:r>
        <w:rPr>
          <w:color w:val="000000"/>
        </w:rPr>
        <w:t>StaySmart</w:t>
      </w:r>
      <w:proofErr w:type="spellEnd"/>
      <w:r>
        <w:rPr>
          <w:color w:val="000000"/>
        </w:rPr>
        <w:t>+ as a global business initiative.</w:t>
      </w:r>
      <w:r>
        <w:rPr>
          <w:color w:val="000000"/>
        </w:rPr>
        <w:br/>
        <w:t xml:space="preserve">• The IT and Technology Development Teams: They develop, build, integrate and test the AI-based guest interactive platform, IoT hardware and software, and other digital systems needed for the successful operation of </w:t>
      </w:r>
      <w:proofErr w:type="spellStart"/>
      <w:r>
        <w:rPr>
          <w:color w:val="000000"/>
        </w:rPr>
        <w:t>StaySmart</w:t>
      </w:r>
      <w:proofErr w:type="spellEnd"/>
      <w:r>
        <w:rPr>
          <w:color w:val="000000"/>
        </w:rPr>
        <w:t>+.</w:t>
      </w:r>
      <w:r>
        <w:rPr>
          <w:color w:val="000000"/>
        </w:rPr>
        <w:br/>
        <w:t xml:space="preserve">• The Marketing and Sales Departments: They will create and implement branding communications strategies, customer recruitment initiatives, establish alliances with distributors, and develop loyalty program enhancements tied to the introduction of </w:t>
      </w:r>
      <w:proofErr w:type="spellStart"/>
      <w:r>
        <w:rPr>
          <w:color w:val="000000"/>
        </w:rPr>
        <w:t>StaySmart</w:t>
      </w:r>
      <w:proofErr w:type="spellEnd"/>
      <w:r>
        <w:rPr>
          <w:color w:val="000000"/>
        </w:rPr>
        <w:t>+.</w:t>
      </w:r>
      <w:r>
        <w:rPr>
          <w:color w:val="000000"/>
        </w:rPr>
        <w:br/>
        <w:t xml:space="preserve">• The Hotel Operations Teams and General Managers: These teams will oversee the operational implementation of </w:t>
      </w:r>
      <w:proofErr w:type="spellStart"/>
      <w:r>
        <w:rPr>
          <w:color w:val="000000"/>
        </w:rPr>
        <w:t>StaySmart</w:t>
      </w:r>
      <w:proofErr w:type="spellEnd"/>
      <w:r>
        <w:rPr>
          <w:color w:val="000000"/>
        </w:rPr>
        <w:t>+ at each hotel location; this includes developing service standards, staffing levels and guest experience management.</w:t>
      </w:r>
      <w:r>
        <w:rPr>
          <w:color w:val="000000"/>
        </w:rPr>
        <w:br/>
        <w:t xml:space="preserve">• The Human Resource Department: This department will manage work force planning, </w:t>
      </w:r>
      <w:r>
        <w:rPr>
          <w:color w:val="000000"/>
        </w:rPr>
        <w:lastRenderedPageBreak/>
        <w:t>employee training and development, communicate changes required to employees, and maintain employee morale during the time that Hilton is transforming the way services are provided through the use of AI and IoT technologies.</w:t>
      </w:r>
      <w:r>
        <w:rPr>
          <w:color w:val="000000"/>
        </w:rPr>
        <w:br/>
        <w:t>• The Finance Department: They will oversee the budgeting process, assess financial risks, evaluate the ROI of the project, and govern purchasing procedures throughout the project cycle.</w:t>
      </w:r>
    </w:p>
    <w:p w14:paraId="4CA6DA58" w14:textId="5DDE0672" w:rsidR="003A06AF" w:rsidRDefault="003A06AF" w:rsidP="003A06AF">
      <w:pPr>
        <w:pStyle w:val="NormalWeb"/>
        <w:spacing w:line="360" w:lineRule="auto"/>
        <w:rPr>
          <w:color w:val="000000"/>
        </w:rPr>
      </w:pPr>
      <w:r>
        <w:rPr>
          <w:color w:val="000000"/>
        </w:rPr>
        <w:t xml:space="preserve">External stakeholders are those that operate outside of Hilton’s organizational boundaries and/or have a direct interest in the outcome of the project or </w:t>
      </w:r>
      <w:proofErr w:type="gramStart"/>
      <w:r>
        <w:rPr>
          <w:color w:val="000000"/>
        </w:rPr>
        <w:t>have the ability to</w:t>
      </w:r>
      <w:proofErr w:type="gramEnd"/>
      <w:r>
        <w:rPr>
          <w:color w:val="000000"/>
        </w:rPr>
        <w:t xml:space="preserve"> impact Hilton’s operations:</w:t>
      </w:r>
      <w:r>
        <w:rPr>
          <w:color w:val="000000"/>
        </w:rPr>
        <w:br/>
        <w:t xml:space="preserve">• </w:t>
      </w:r>
      <w:proofErr w:type="spellStart"/>
      <w:r>
        <w:rPr>
          <w:color w:val="000000"/>
        </w:rPr>
        <w:t>StaySmart</w:t>
      </w:r>
      <w:proofErr w:type="spellEnd"/>
      <w:r>
        <w:rPr>
          <w:color w:val="000000"/>
        </w:rPr>
        <w:t xml:space="preserve">+ guests/end customers: These individuals are the primary recipients/beneficiaries of </w:t>
      </w:r>
      <w:proofErr w:type="spellStart"/>
      <w:r>
        <w:rPr>
          <w:color w:val="000000"/>
        </w:rPr>
        <w:t>StaySmart</w:t>
      </w:r>
      <w:proofErr w:type="spellEnd"/>
      <w:r>
        <w:rPr>
          <w:color w:val="000000"/>
        </w:rPr>
        <w:t>+, and their feedback/needs/preferences directly influence the development/design of the service. Ultimately, their acceptance/adoption rates determine whether the project was successful from a financial standpoint.</w:t>
      </w:r>
      <w:r>
        <w:rPr>
          <w:color w:val="000000"/>
        </w:rPr>
        <w:br/>
        <w:t xml:space="preserve">• Ai technology providers/vendors: These organizations supply the AI platforms, IoT systems, data analytics infrastructure, and software integration solutions that comprise the core of the technology ecosystem for </w:t>
      </w:r>
      <w:proofErr w:type="spellStart"/>
      <w:r>
        <w:rPr>
          <w:color w:val="000000"/>
        </w:rPr>
        <w:t>StaySmart</w:t>
      </w:r>
      <w:proofErr w:type="spellEnd"/>
      <w:r>
        <w:rPr>
          <w:color w:val="000000"/>
        </w:rPr>
        <w:t>+.</w:t>
      </w:r>
      <w:r>
        <w:rPr>
          <w:color w:val="000000"/>
        </w:rPr>
        <w:br/>
        <w:t>• Government regulatory agencies and departments: These include national data protection authorities (for example, the UK ICO), tourism regulators, and health and safety inspectors across all markets where Hilton operates. The regulations governing these areas will dictate the legal limitations of using AI.</w:t>
      </w:r>
      <w:r>
        <w:rPr>
          <w:color w:val="000000"/>
        </w:rPr>
        <w:br/>
        <w:t xml:space="preserve">• Shareholders/investors: They monitor the financial performance outcomes of the </w:t>
      </w:r>
      <w:proofErr w:type="spellStart"/>
      <w:r>
        <w:rPr>
          <w:color w:val="000000"/>
        </w:rPr>
        <w:t>StaySmart</w:t>
      </w:r>
      <w:proofErr w:type="spellEnd"/>
      <w:r>
        <w:rPr>
          <w:color w:val="000000"/>
        </w:rPr>
        <w:t>+ capital expenditures and expect regular reports regarding the project’s status and potential financial returns.</w:t>
      </w:r>
      <w:r>
        <w:rPr>
          <w:color w:val="000000"/>
        </w:rPr>
        <w:br/>
        <w:t xml:space="preserve">These categories follow </w:t>
      </w:r>
      <w:proofErr w:type="spellStart"/>
      <w:r>
        <w:rPr>
          <w:color w:val="000000"/>
        </w:rPr>
        <w:t>Bourne’s</w:t>
      </w:r>
      <w:proofErr w:type="spellEnd"/>
      <w:r>
        <w:rPr>
          <w:color w:val="000000"/>
        </w:rPr>
        <w:t xml:space="preserve"> (2020) stakeholder relationship management maturity model, which advocates for a systemic and comprehensive method of identifying stakeholders that encompasses the entire range of </w:t>
      </w:r>
      <w:proofErr w:type="spellStart"/>
      <w:r>
        <w:rPr>
          <w:color w:val="000000"/>
        </w:rPr>
        <w:t>influe</w:t>
      </w:r>
      <w:proofErr w:type="spellEnd"/>
    </w:p>
    <w:p w14:paraId="6C68970D"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br w:type="page"/>
      </w:r>
    </w:p>
    <w:p w14:paraId="0377C5C3" w14:textId="77777777" w:rsidR="00D357AF" w:rsidRPr="003A06AF" w:rsidRDefault="00000000" w:rsidP="003A06AF">
      <w:pPr>
        <w:pStyle w:val="Heading1"/>
        <w:spacing w:line="360" w:lineRule="auto"/>
        <w:rPr>
          <w:rFonts w:ascii="Times New Roman" w:hAnsi="Times New Roman" w:cs="Times New Roman"/>
          <w:sz w:val="24"/>
          <w:szCs w:val="24"/>
        </w:rPr>
      </w:pPr>
      <w:proofErr w:type="gramStart"/>
      <w:r w:rsidRPr="003A06AF">
        <w:rPr>
          <w:rFonts w:ascii="Times New Roman" w:hAnsi="Times New Roman" w:cs="Times New Roman"/>
          <w:sz w:val="24"/>
          <w:szCs w:val="24"/>
        </w:rPr>
        <w:lastRenderedPageBreak/>
        <w:t>4.0  Roles</w:t>
      </w:r>
      <w:proofErr w:type="gramEnd"/>
      <w:r w:rsidRPr="003A06AF">
        <w:rPr>
          <w:rFonts w:ascii="Times New Roman" w:hAnsi="Times New Roman" w:cs="Times New Roman"/>
          <w:sz w:val="24"/>
          <w:szCs w:val="24"/>
        </w:rPr>
        <w:t>, Responsibilities, Benefits, and Challenges of Key Stakeholders</w:t>
      </w:r>
    </w:p>
    <w:p w14:paraId="24EA7CDE" w14:textId="77777777" w:rsidR="00D357AF" w:rsidRPr="003A06AF" w:rsidRDefault="00000000" w:rsidP="003A06AF">
      <w:pPr>
        <w:pStyle w:val="Heading2"/>
        <w:spacing w:after="100" w:line="360" w:lineRule="auto"/>
        <w:rPr>
          <w:rFonts w:ascii="Times New Roman" w:hAnsi="Times New Roman" w:cs="Times New Roman"/>
          <w:sz w:val="24"/>
          <w:szCs w:val="24"/>
        </w:rPr>
      </w:pPr>
      <w:proofErr w:type="gramStart"/>
      <w:r w:rsidRPr="003A06AF">
        <w:rPr>
          <w:rFonts w:ascii="Times New Roman" w:hAnsi="Times New Roman" w:cs="Times New Roman"/>
          <w:sz w:val="24"/>
          <w:szCs w:val="24"/>
        </w:rPr>
        <w:t>4.1  Internal</w:t>
      </w:r>
      <w:proofErr w:type="gramEnd"/>
      <w:r w:rsidRPr="003A06AF">
        <w:rPr>
          <w:rFonts w:ascii="Times New Roman" w:hAnsi="Times New Roman" w:cs="Times New Roman"/>
          <w:sz w:val="24"/>
          <w:szCs w:val="24"/>
        </w:rPr>
        <w:t xml:space="preserve"> Stakeholders</w:t>
      </w:r>
    </w:p>
    <w:p w14:paraId="6BA7B140" w14:textId="77777777" w:rsidR="003A06AF" w:rsidRDefault="003A06AF" w:rsidP="003A06AF">
      <w:pPr>
        <w:pStyle w:val="NormalWeb"/>
        <w:spacing w:line="360" w:lineRule="auto"/>
        <w:rPr>
          <w:color w:val="000000"/>
        </w:rPr>
      </w:pPr>
      <w:r>
        <w:rPr>
          <w:color w:val="000000"/>
        </w:rPr>
        <w:t xml:space="preserve">As the ultimate decision-making body, the Board of Directors and Senior Executive Team are accountable for all strategic decisions and risk governance regarding </w:t>
      </w:r>
      <w:proofErr w:type="spellStart"/>
      <w:r>
        <w:rPr>
          <w:color w:val="000000"/>
        </w:rPr>
        <w:t>StaySmart</w:t>
      </w:r>
      <w:proofErr w:type="spellEnd"/>
      <w:r>
        <w:rPr>
          <w:color w:val="000000"/>
        </w:rPr>
        <w:t xml:space="preserve">+, as well as for making capital commitments toward the project. One of the most important roles that the Board of Directors and Senior Executive Team play in this project is to provide strategic direction for the initiative, approve resources for it, and demonstrate senior-level support by committing to the success of the initiative at an organisational level. A key challenge facing the Board of Directors and Senior Executive Team is to make the case for the large-scale investment in technology represented by </w:t>
      </w:r>
      <w:proofErr w:type="spellStart"/>
      <w:r>
        <w:rPr>
          <w:color w:val="000000"/>
        </w:rPr>
        <w:t>StaySmart</w:t>
      </w:r>
      <w:proofErr w:type="spellEnd"/>
      <w:r>
        <w:rPr>
          <w:color w:val="000000"/>
        </w:rPr>
        <w:t>+ relative to other capital initiatives that are competing for funding within Hilton’s extensive global portfolio, and to develop and articulate a convincing ROI that can be shared with stakeholders in a timely manner (Jensen, 2020; Waddock, 2020).</w:t>
      </w:r>
      <w:r>
        <w:rPr>
          <w:rStyle w:val="apple-converted-space"/>
          <w:color w:val="000000"/>
        </w:rPr>
        <w:t> </w:t>
      </w:r>
      <w:r>
        <w:rPr>
          <w:color w:val="000000"/>
        </w:rPr>
        <w:br/>
        <w:t xml:space="preserve">The IT and Technology Development Team are responsible for the technical aspects of the project. They will translate the strategic vision of </w:t>
      </w:r>
      <w:proofErr w:type="spellStart"/>
      <w:r>
        <w:rPr>
          <w:color w:val="000000"/>
        </w:rPr>
        <w:t>StaySmart</w:t>
      </w:r>
      <w:proofErr w:type="spellEnd"/>
      <w:r>
        <w:rPr>
          <w:color w:val="000000"/>
        </w:rPr>
        <w:t xml:space="preserve">+ into functioning, secure, and scalable technology. The key advantage that the IT and Technology Development Team has in executing this role is based on their technical experience and their pre-existing relationships with the vendors who supply the AI components of the platform, which enable them to expedite the platform’s development. The key disadvantage for the IT and Technology Development Team is the complexity of integrating the AI capabilities of </w:t>
      </w:r>
      <w:proofErr w:type="spellStart"/>
      <w:r>
        <w:rPr>
          <w:color w:val="000000"/>
        </w:rPr>
        <w:t>StaySmart</w:t>
      </w:r>
      <w:proofErr w:type="spellEnd"/>
      <w:r>
        <w:rPr>
          <w:color w:val="000000"/>
        </w:rPr>
        <w:t>+ with the legacy systems already in place in the hotels across Hilton’s global property portfolio. Additionally, the IT and Technology Development Team must ensure that the platform complies with the regulations related to data protection, specifically GDPR, and the use of AI technology in Europe, as well as ensure that the platform maintains the required security standards as the company undergoes its transformation to digital technologies (Kerzner, 2022; Sharma &amp; Gupta, 2023).</w:t>
      </w:r>
      <w:r>
        <w:rPr>
          <w:color w:val="000000"/>
        </w:rPr>
        <w:br/>
        <w:t xml:space="preserve">The Marketing and Sales Department are the champions of creating awareness of </w:t>
      </w:r>
      <w:proofErr w:type="spellStart"/>
      <w:r>
        <w:rPr>
          <w:color w:val="000000"/>
        </w:rPr>
        <w:t>StaySmart</w:t>
      </w:r>
      <w:proofErr w:type="spellEnd"/>
      <w:r>
        <w:rPr>
          <w:color w:val="000000"/>
        </w:rPr>
        <w:t xml:space="preserve">+ in the marketplace and acquiring guests for the service. Their key contribution is in leveraging Hilton’s global loyalty program – Hilton </w:t>
      </w:r>
      <w:proofErr w:type="spellStart"/>
      <w:r>
        <w:rPr>
          <w:color w:val="000000"/>
        </w:rPr>
        <w:t>Honors</w:t>
      </w:r>
      <w:proofErr w:type="spellEnd"/>
      <w:r>
        <w:rPr>
          <w:color w:val="000000"/>
        </w:rPr>
        <w:t xml:space="preserve">, which has 175 million members — to increase the adoption rate of the </w:t>
      </w:r>
      <w:proofErr w:type="spellStart"/>
      <w:r>
        <w:rPr>
          <w:color w:val="000000"/>
        </w:rPr>
        <w:t>StaySmart</w:t>
      </w:r>
      <w:proofErr w:type="spellEnd"/>
      <w:r>
        <w:rPr>
          <w:color w:val="000000"/>
        </w:rPr>
        <w:t>+ service by Hilton’s most valuable guests. A major disadvantage for the Marketing and Sales Department is developing marketing messages that clearly communicate the value proposition of AI-driven personalization to guests with different levels of familiarity with digital technology and who have different cultural views about how hospitality should be mediated through technology (Nguyen et al., 2022).</w:t>
      </w:r>
      <w:r>
        <w:rPr>
          <w:color w:val="000000"/>
        </w:rPr>
        <w:br/>
      </w:r>
      <w:r>
        <w:rPr>
          <w:color w:val="000000"/>
        </w:rPr>
        <w:lastRenderedPageBreak/>
        <w:t xml:space="preserve">Human Resources is responsible for facilitating the people side of the </w:t>
      </w:r>
      <w:proofErr w:type="spellStart"/>
      <w:r>
        <w:rPr>
          <w:color w:val="000000"/>
        </w:rPr>
        <w:t>StaySmart</w:t>
      </w:r>
      <w:proofErr w:type="spellEnd"/>
      <w:r>
        <w:rPr>
          <w:color w:val="000000"/>
        </w:rPr>
        <w:t xml:space="preserve">+ transformation including developing and delivering training programs, designing competency frameworks, communicating changes to employees, and mitigating employee resistance to changes in their work practices. There is a considerable amount of work involved in Human Resources' role in this regard because they must embed a cultural change that is inclusive of all nationalities, languages, and values, across a multinational workforce of approximately 400,000 employees within a </w:t>
      </w:r>
      <w:proofErr w:type="gramStart"/>
      <w:r>
        <w:rPr>
          <w:color w:val="000000"/>
        </w:rPr>
        <w:t>six month</w:t>
      </w:r>
      <w:proofErr w:type="gramEnd"/>
      <w:r>
        <w:rPr>
          <w:color w:val="000000"/>
        </w:rPr>
        <w:t xml:space="preserve"> implementation timeline. In addition, Human Resources must maintain employee morale and service quality during the transformation process.</w:t>
      </w:r>
    </w:p>
    <w:p w14:paraId="4A21E38E" w14:textId="77777777" w:rsidR="00D357AF" w:rsidRPr="003A06AF" w:rsidRDefault="00000000" w:rsidP="003A06AF">
      <w:pPr>
        <w:pStyle w:val="Heading2"/>
        <w:spacing w:after="100" w:line="360" w:lineRule="auto"/>
        <w:rPr>
          <w:rFonts w:ascii="Times New Roman" w:hAnsi="Times New Roman" w:cs="Times New Roman"/>
          <w:sz w:val="24"/>
          <w:szCs w:val="24"/>
        </w:rPr>
      </w:pPr>
      <w:proofErr w:type="gramStart"/>
      <w:r w:rsidRPr="003A06AF">
        <w:rPr>
          <w:rFonts w:ascii="Times New Roman" w:hAnsi="Times New Roman" w:cs="Times New Roman"/>
          <w:sz w:val="24"/>
          <w:szCs w:val="24"/>
        </w:rPr>
        <w:t>4.2  External</w:t>
      </w:r>
      <w:proofErr w:type="gramEnd"/>
      <w:r w:rsidRPr="003A06AF">
        <w:rPr>
          <w:rFonts w:ascii="Times New Roman" w:hAnsi="Times New Roman" w:cs="Times New Roman"/>
          <w:sz w:val="24"/>
          <w:szCs w:val="24"/>
        </w:rPr>
        <w:t xml:space="preserve"> Stakeholders</w:t>
      </w:r>
    </w:p>
    <w:p w14:paraId="01578DB3" w14:textId="77777777" w:rsidR="003A06AF" w:rsidRDefault="003A06AF" w:rsidP="003A06AF">
      <w:pPr>
        <w:pStyle w:val="NormalWeb"/>
        <w:spacing w:line="360" w:lineRule="auto"/>
        <w:rPr>
          <w:color w:val="000000"/>
        </w:rPr>
      </w:pPr>
      <w:r>
        <w:rPr>
          <w:color w:val="000000"/>
        </w:rPr>
        <w:t xml:space="preserve">Guests are the single most important commercial external stakeholder group and function in a dual capacity of being the first and foremost co-creators of the </w:t>
      </w:r>
      <w:proofErr w:type="spellStart"/>
      <w:r>
        <w:rPr>
          <w:color w:val="000000"/>
        </w:rPr>
        <w:t>StaySmart</w:t>
      </w:r>
      <w:proofErr w:type="spellEnd"/>
      <w:r>
        <w:rPr>
          <w:color w:val="000000"/>
        </w:rPr>
        <w:t xml:space="preserve">+ service experience as well as the ultimate judges of the service’s success. Proactive guest engagement will lead to increased service personalization, </w:t>
      </w:r>
      <w:proofErr w:type="gramStart"/>
      <w:r>
        <w:rPr>
          <w:color w:val="000000"/>
        </w:rPr>
        <w:t>loyalty</w:t>
      </w:r>
      <w:proofErr w:type="gramEnd"/>
      <w:r>
        <w:rPr>
          <w:color w:val="000000"/>
        </w:rPr>
        <w:t xml:space="preserve"> and advocacy on the part of guests. This will ultimately result in an increase in RevPAR and a competitive advantage (Nguyen et al. 2022). The major disadvantage of engaging with guests proactively is managing the differences in their expectations, digital literacy levels and cultural attitudes toward AI-based services globally. Furthermore, the challenge of managing cultural attitudes toward AI-based services and the expectation of an interpersonal relationship with hospitality staff in some global markets is significantly higher than in other markets (e.g. Western Europe vs. India).</w:t>
      </w:r>
      <w:r>
        <w:rPr>
          <w:color w:val="000000"/>
        </w:rPr>
        <w:br/>
        <w:t xml:space="preserve">AI Technology Partners and Vendors are providing the necessary technological innovations, processing infrastructure and integration expertise required to implement the core functionality of </w:t>
      </w:r>
      <w:proofErr w:type="spellStart"/>
      <w:r>
        <w:rPr>
          <w:color w:val="000000"/>
        </w:rPr>
        <w:t>StaySmart</w:t>
      </w:r>
      <w:proofErr w:type="spellEnd"/>
      <w:r>
        <w:rPr>
          <w:color w:val="000000"/>
        </w:rPr>
        <w:t xml:space="preserve">+. They bring significant innovation capabilities to the project; however, they also bring challenges such as vendor dependency risk, the complexity of governing IP rights, and the possibility of a mismatch between the commercial goals of the vendors and Hilton's unique service delivery standards (Kerzner 2022). In accordance with </w:t>
      </w:r>
      <w:proofErr w:type="spellStart"/>
      <w:r>
        <w:rPr>
          <w:color w:val="000000"/>
        </w:rPr>
        <w:t>Littau</w:t>
      </w:r>
      <w:proofErr w:type="spellEnd"/>
      <w:r>
        <w:rPr>
          <w:color w:val="000000"/>
        </w:rPr>
        <w:t xml:space="preserve">, </w:t>
      </w:r>
      <w:proofErr w:type="spellStart"/>
      <w:r>
        <w:rPr>
          <w:color w:val="000000"/>
        </w:rPr>
        <w:t>Jujagiri</w:t>
      </w:r>
      <w:proofErr w:type="spellEnd"/>
      <w:r>
        <w:rPr>
          <w:color w:val="000000"/>
        </w:rPr>
        <w:t xml:space="preserve"> and </w:t>
      </w:r>
      <w:proofErr w:type="spellStart"/>
      <w:r>
        <w:rPr>
          <w:color w:val="000000"/>
        </w:rPr>
        <w:t>Adlbrecht</w:t>
      </w:r>
      <w:proofErr w:type="spellEnd"/>
      <w:r>
        <w:rPr>
          <w:color w:val="000000"/>
        </w:rPr>
        <w:t xml:space="preserve"> (2020), the management of the technology partner relationships in large complex projects involves the development of strong contractual governance, clear service level agreements, and continuous dialogue and communication to ensure alignment between the parties.</w:t>
      </w:r>
      <w:r>
        <w:rPr>
          <w:color w:val="000000"/>
        </w:rPr>
        <w:br/>
        <w:t xml:space="preserve">Regulatory bodies define the extent to which the AI components of </w:t>
      </w:r>
      <w:proofErr w:type="spellStart"/>
      <w:r>
        <w:rPr>
          <w:color w:val="000000"/>
        </w:rPr>
        <w:t>StaySmart</w:t>
      </w:r>
      <w:proofErr w:type="spellEnd"/>
      <w:r>
        <w:rPr>
          <w:color w:val="000000"/>
        </w:rPr>
        <w:t xml:space="preserve">+ may function by determining the boundaries of permissible operation, especially in relation to data privacy (GDPR, etc.), AI transparency under the EU AI Act (2024), and the level of consumer protection afforded by the regulatory framework. Regulatory bodies pose a significant challenge to the </w:t>
      </w:r>
      <w:r>
        <w:rPr>
          <w:color w:val="000000"/>
        </w:rPr>
        <w:lastRenderedPageBreak/>
        <w:t xml:space="preserve">project as there is considerable heterogeneity of regulatory requirements for the AI elements of the </w:t>
      </w:r>
      <w:proofErr w:type="spellStart"/>
      <w:r>
        <w:rPr>
          <w:color w:val="000000"/>
        </w:rPr>
        <w:t>StaySmart</w:t>
      </w:r>
      <w:proofErr w:type="spellEnd"/>
      <w:r>
        <w:rPr>
          <w:color w:val="000000"/>
        </w:rPr>
        <w:t>+ service experience across the multiple national jurisdictions in which it operates. Therefore, the project team must develop and maintain jurisdiction specific legal compliance strategies as they execute the technology implementation plan.</w:t>
      </w:r>
    </w:p>
    <w:p w14:paraId="0019D261" w14:textId="77777777" w:rsidR="00D357AF" w:rsidRPr="003A06AF" w:rsidRDefault="00000000" w:rsidP="003A06AF">
      <w:pPr>
        <w:pStyle w:val="Heading2"/>
        <w:spacing w:after="100" w:line="360" w:lineRule="auto"/>
        <w:rPr>
          <w:rFonts w:ascii="Times New Roman" w:hAnsi="Times New Roman" w:cs="Times New Roman"/>
          <w:sz w:val="24"/>
          <w:szCs w:val="24"/>
        </w:rPr>
      </w:pPr>
      <w:proofErr w:type="gramStart"/>
      <w:r w:rsidRPr="003A06AF">
        <w:rPr>
          <w:rFonts w:ascii="Times New Roman" w:hAnsi="Times New Roman" w:cs="Times New Roman"/>
          <w:sz w:val="24"/>
          <w:szCs w:val="24"/>
        </w:rPr>
        <w:t>4.3  RACI</w:t>
      </w:r>
      <w:proofErr w:type="gramEnd"/>
      <w:r w:rsidRPr="003A06AF">
        <w:rPr>
          <w:rFonts w:ascii="Times New Roman" w:hAnsi="Times New Roman" w:cs="Times New Roman"/>
          <w:sz w:val="24"/>
          <w:szCs w:val="24"/>
        </w:rPr>
        <w:t xml:space="preserve"> Matrix</w:t>
      </w:r>
    </w:p>
    <w:p w14:paraId="79A87E05" w14:textId="77777777" w:rsidR="00D357AF" w:rsidRPr="003A06AF" w:rsidRDefault="00000000" w:rsidP="003A06AF">
      <w:pPr>
        <w:spacing w:before="60" w:after="120" w:line="360" w:lineRule="auto"/>
        <w:jc w:val="both"/>
        <w:rPr>
          <w:rFonts w:ascii="Times New Roman" w:hAnsi="Times New Roman" w:cs="Times New Roman"/>
          <w:sz w:val="24"/>
          <w:szCs w:val="24"/>
        </w:rPr>
      </w:pPr>
      <w:r w:rsidRPr="003A06AF">
        <w:rPr>
          <w:rFonts w:ascii="Times New Roman" w:hAnsi="Times New Roman" w:cs="Times New Roman"/>
          <w:sz w:val="24"/>
          <w:szCs w:val="24"/>
        </w:rPr>
        <w:t xml:space="preserve">The Responsible, Accountable, Consulted, and Informed (RACI) Matrix is an established project governance tool that clarifies accountability and responsibility across project activities, eliminating ambiguity and reducing the risk of stakeholder conflict arising from unclear ownership (PMI, 2021). The matrix below delineates roles across the six primary </w:t>
      </w:r>
      <w:proofErr w:type="spellStart"/>
      <w:r w:rsidRPr="003A06AF">
        <w:rPr>
          <w:rFonts w:ascii="Times New Roman" w:hAnsi="Times New Roman" w:cs="Times New Roman"/>
          <w:sz w:val="24"/>
          <w:szCs w:val="24"/>
        </w:rPr>
        <w:t>StaySmart</w:t>
      </w:r>
      <w:proofErr w:type="spellEnd"/>
      <w:r w:rsidRPr="003A06AF">
        <w:rPr>
          <w:rFonts w:ascii="Times New Roman" w:hAnsi="Times New Roman" w:cs="Times New Roman"/>
          <w:sz w:val="24"/>
          <w:szCs w:val="24"/>
        </w:rPr>
        <w:t>+ workstreams.</w:t>
      </w:r>
    </w:p>
    <w:p w14:paraId="4FF77B28" w14:textId="77777777" w:rsidR="00D357AF" w:rsidRPr="003A06AF" w:rsidRDefault="00D357AF" w:rsidP="003A06AF">
      <w:pPr>
        <w:spacing w:before="60" w:after="60" w:line="360" w:lineRule="auto"/>
        <w:rPr>
          <w:rFonts w:ascii="Times New Roman" w:hAnsi="Times New Roman" w:cs="Times New Roman"/>
          <w:sz w:val="24"/>
          <w:szCs w:val="24"/>
        </w:rPr>
      </w:pP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7"/>
        <w:gridCol w:w="1414"/>
        <w:gridCol w:w="764"/>
        <w:gridCol w:w="1214"/>
        <w:gridCol w:w="1267"/>
        <w:gridCol w:w="581"/>
        <w:gridCol w:w="1013"/>
        <w:gridCol w:w="1240"/>
      </w:tblGrid>
      <w:tr w:rsidR="00D357AF" w:rsidRPr="003A06AF" w14:paraId="6A5232F5" w14:textId="77777777">
        <w:tblPrEx>
          <w:tblCellMar>
            <w:top w:w="0" w:type="dxa"/>
            <w:bottom w:w="0" w:type="dxa"/>
          </w:tblCellMar>
        </w:tblPrEx>
        <w:tc>
          <w:tcPr>
            <w:tcW w:w="22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20" w:type="dxa"/>
              <w:bottom w:w="80" w:type="dxa"/>
              <w:right w:w="120" w:type="dxa"/>
            </w:tcMar>
          </w:tcPr>
          <w:p w14:paraId="643C7FE0"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color w:val="FFFFFF"/>
                <w:sz w:val="24"/>
                <w:szCs w:val="24"/>
              </w:rPr>
              <w:t>TASK / ACTIVITY</w:t>
            </w:r>
          </w:p>
        </w:tc>
        <w:tc>
          <w:tcPr>
            <w:tcW w:w="1000" w:type="dxa"/>
            <w:tcBorders>
              <w:top w:val="single" w:sz="6" w:space="0" w:color="2E75B6"/>
              <w:left w:val="single" w:sz="6" w:space="0" w:color="2E75B6"/>
              <w:bottom w:val="single" w:sz="6" w:space="0" w:color="2E75B6"/>
              <w:right w:val="single" w:sz="6" w:space="0" w:color="2E75B6"/>
            </w:tcBorders>
            <w:shd w:val="clear" w:color="auto" w:fill="1F3864"/>
            <w:tcMar>
              <w:top w:w="60" w:type="dxa"/>
              <w:left w:w="60" w:type="dxa"/>
              <w:bottom w:w="60" w:type="dxa"/>
              <w:right w:w="60" w:type="dxa"/>
            </w:tcMar>
          </w:tcPr>
          <w:p w14:paraId="0002A61F"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color w:val="FFFFFF"/>
                <w:sz w:val="24"/>
                <w:szCs w:val="24"/>
              </w:rPr>
              <w:t>Board/Execs</w:t>
            </w:r>
          </w:p>
        </w:tc>
        <w:tc>
          <w:tcPr>
            <w:tcW w:w="1000" w:type="dxa"/>
            <w:tcBorders>
              <w:top w:val="single" w:sz="6" w:space="0" w:color="2E75B6"/>
              <w:left w:val="single" w:sz="6" w:space="0" w:color="2E75B6"/>
              <w:bottom w:val="single" w:sz="6" w:space="0" w:color="2E75B6"/>
              <w:right w:val="single" w:sz="6" w:space="0" w:color="2E75B6"/>
            </w:tcBorders>
            <w:shd w:val="clear" w:color="auto" w:fill="1F3864"/>
            <w:tcMar>
              <w:top w:w="60" w:type="dxa"/>
              <w:left w:w="60" w:type="dxa"/>
              <w:bottom w:w="60" w:type="dxa"/>
              <w:right w:w="60" w:type="dxa"/>
            </w:tcMar>
          </w:tcPr>
          <w:p w14:paraId="00AB9C67"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color w:val="FFFFFF"/>
                <w:sz w:val="24"/>
                <w:szCs w:val="24"/>
              </w:rPr>
              <w:t>IT Team</w:t>
            </w:r>
          </w:p>
        </w:tc>
        <w:tc>
          <w:tcPr>
            <w:tcW w:w="1000" w:type="dxa"/>
            <w:tcBorders>
              <w:top w:val="single" w:sz="6" w:space="0" w:color="2E75B6"/>
              <w:left w:val="single" w:sz="6" w:space="0" w:color="2E75B6"/>
              <w:bottom w:val="single" w:sz="6" w:space="0" w:color="2E75B6"/>
              <w:right w:val="single" w:sz="6" w:space="0" w:color="2E75B6"/>
            </w:tcBorders>
            <w:shd w:val="clear" w:color="auto" w:fill="1F3864"/>
            <w:tcMar>
              <w:top w:w="60" w:type="dxa"/>
              <w:left w:w="60" w:type="dxa"/>
              <w:bottom w:w="60" w:type="dxa"/>
              <w:right w:w="60" w:type="dxa"/>
            </w:tcMar>
          </w:tcPr>
          <w:p w14:paraId="529BC42E"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color w:val="FFFFFF"/>
                <w:sz w:val="24"/>
                <w:szCs w:val="24"/>
              </w:rPr>
              <w:t>Marketing</w:t>
            </w:r>
          </w:p>
        </w:tc>
        <w:tc>
          <w:tcPr>
            <w:tcW w:w="1000" w:type="dxa"/>
            <w:tcBorders>
              <w:top w:val="single" w:sz="6" w:space="0" w:color="2E75B6"/>
              <w:left w:val="single" w:sz="6" w:space="0" w:color="2E75B6"/>
              <w:bottom w:val="single" w:sz="6" w:space="0" w:color="2E75B6"/>
              <w:right w:val="single" w:sz="6" w:space="0" w:color="2E75B6"/>
            </w:tcBorders>
            <w:shd w:val="clear" w:color="auto" w:fill="1F3864"/>
            <w:tcMar>
              <w:top w:w="60" w:type="dxa"/>
              <w:left w:w="60" w:type="dxa"/>
              <w:bottom w:w="60" w:type="dxa"/>
              <w:right w:w="60" w:type="dxa"/>
            </w:tcMar>
          </w:tcPr>
          <w:p w14:paraId="3CC1F931"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color w:val="FFFFFF"/>
                <w:sz w:val="24"/>
                <w:szCs w:val="24"/>
              </w:rPr>
              <w:t>Operations</w:t>
            </w:r>
          </w:p>
        </w:tc>
        <w:tc>
          <w:tcPr>
            <w:tcW w:w="1000" w:type="dxa"/>
            <w:tcBorders>
              <w:top w:val="single" w:sz="6" w:space="0" w:color="2E75B6"/>
              <w:left w:val="single" w:sz="6" w:space="0" w:color="2E75B6"/>
              <w:bottom w:val="single" w:sz="6" w:space="0" w:color="2E75B6"/>
              <w:right w:val="single" w:sz="6" w:space="0" w:color="2E75B6"/>
            </w:tcBorders>
            <w:shd w:val="clear" w:color="auto" w:fill="1F3864"/>
            <w:tcMar>
              <w:top w:w="60" w:type="dxa"/>
              <w:left w:w="60" w:type="dxa"/>
              <w:bottom w:w="60" w:type="dxa"/>
              <w:right w:w="60" w:type="dxa"/>
            </w:tcMar>
          </w:tcPr>
          <w:p w14:paraId="7881A8F6"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color w:val="FFFFFF"/>
                <w:sz w:val="24"/>
                <w:szCs w:val="24"/>
              </w:rPr>
              <w:t>HR</w:t>
            </w:r>
          </w:p>
        </w:tc>
        <w:tc>
          <w:tcPr>
            <w:tcW w:w="1000" w:type="dxa"/>
            <w:tcBorders>
              <w:top w:val="single" w:sz="6" w:space="0" w:color="2E75B6"/>
              <w:left w:val="single" w:sz="6" w:space="0" w:color="2E75B6"/>
              <w:bottom w:val="single" w:sz="6" w:space="0" w:color="2E75B6"/>
              <w:right w:val="single" w:sz="6" w:space="0" w:color="2E75B6"/>
            </w:tcBorders>
            <w:shd w:val="clear" w:color="auto" w:fill="1F3864"/>
            <w:tcMar>
              <w:top w:w="60" w:type="dxa"/>
              <w:left w:w="60" w:type="dxa"/>
              <w:bottom w:w="60" w:type="dxa"/>
              <w:right w:w="60" w:type="dxa"/>
            </w:tcMar>
          </w:tcPr>
          <w:p w14:paraId="213BCF3E"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color w:val="FFFFFF"/>
                <w:sz w:val="24"/>
                <w:szCs w:val="24"/>
              </w:rPr>
              <w:t>Tech Partners</w:t>
            </w:r>
          </w:p>
        </w:tc>
        <w:tc>
          <w:tcPr>
            <w:tcW w:w="1000" w:type="dxa"/>
            <w:tcBorders>
              <w:top w:val="single" w:sz="6" w:space="0" w:color="2E75B6"/>
              <w:left w:val="single" w:sz="6" w:space="0" w:color="2E75B6"/>
              <w:bottom w:val="single" w:sz="6" w:space="0" w:color="2E75B6"/>
              <w:right w:val="single" w:sz="6" w:space="0" w:color="2E75B6"/>
            </w:tcBorders>
            <w:shd w:val="clear" w:color="auto" w:fill="1F3864"/>
            <w:tcMar>
              <w:top w:w="60" w:type="dxa"/>
              <w:left w:w="60" w:type="dxa"/>
              <w:bottom w:w="60" w:type="dxa"/>
              <w:right w:w="60" w:type="dxa"/>
            </w:tcMar>
          </w:tcPr>
          <w:p w14:paraId="0E8A4A54"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color w:val="FFFFFF"/>
                <w:sz w:val="24"/>
                <w:szCs w:val="24"/>
              </w:rPr>
              <w:t>Regulators</w:t>
            </w:r>
          </w:p>
        </w:tc>
      </w:tr>
      <w:tr w:rsidR="00D357AF" w:rsidRPr="003A06AF" w14:paraId="599FE7E9" w14:textId="77777777">
        <w:tblPrEx>
          <w:tblCellMar>
            <w:top w:w="0" w:type="dxa"/>
            <w:bottom w:w="0" w:type="dxa"/>
          </w:tblCellMar>
        </w:tblPrEx>
        <w:tc>
          <w:tcPr>
            <w:tcW w:w="22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20" w:type="dxa"/>
              <w:bottom w:w="80" w:type="dxa"/>
              <w:right w:w="120" w:type="dxa"/>
            </w:tcMar>
          </w:tcPr>
          <w:p w14:paraId="6E79D4EA"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b/>
                <w:bCs/>
                <w:sz w:val="24"/>
                <w:szCs w:val="24"/>
              </w:rPr>
              <w:t>Strategic Approval &amp; Budget</w:t>
            </w:r>
          </w:p>
        </w:tc>
        <w:tc>
          <w:tcPr>
            <w:tcW w:w="1000" w:type="dxa"/>
            <w:tcBorders>
              <w:top w:val="single" w:sz="6" w:space="0" w:color="CCCCCC"/>
              <w:left w:val="single" w:sz="6" w:space="0" w:color="CCCCCC"/>
              <w:bottom w:val="single" w:sz="6" w:space="0" w:color="CCCCCC"/>
              <w:right w:val="single" w:sz="6" w:space="0" w:color="CCCCCC"/>
            </w:tcBorders>
            <w:shd w:val="clear" w:color="auto" w:fill="C6EFCE"/>
            <w:tcMar>
              <w:top w:w="60" w:type="dxa"/>
              <w:left w:w="60" w:type="dxa"/>
              <w:bottom w:w="60" w:type="dxa"/>
              <w:right w:w="60" w:type="dxa"/>
            </w:tcMar>
          </w:tcPr>
          <w:p w14:paraId="52EA1522"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R</w:t>
            </w:r>
          </w:p>
        </w:tc>
        <w:tc>
          <w:tcPr>
            <w:tcW w:w="1000" w:type="dxa"/>
            <w:tcBorders>
              <w:top w:val="single" w:sz="6" w:space="0" w:color="CCCCCC"/>
              <w:left w:val="single" w:sz="6" w:space="0" w:color="CCCCCC"/>
              <w:bottom w:val="single" w:sz="6" w:space="0" w:color="CCCCCC"/>
              <w:right w:val="single" w:sz="6" w:space="0" w:color="CCCCCC"/>
            </w:tcBorders>
            <w:shd w:val="clear" w:color="auto" w:fill="D6E4F0"/>
            <w:tcMar>
              <w:top w:w="60" w:type="dxa"/>
              <w:left w:w="60" w:type="dxa"/>
              <w:bottom w:w="60" w:type="dxa"/>
              <w:right w:w="60" w:type="dxa"/>
            </w:tcMar>
          </w:tcPr>
          <w:p w14:paraId="7939AA6A"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C</w:t>
            </w:r>
          </w:p>
        </w:tc>
        <w:tc>
          <w:tcPr>
            <w:tcW w:w="1000" w:type="dxa"/>
            <w:tcBorders>
              <w:top w:val="single" w:sz="6" w:space="0" w:color="CCCCCC"/>
              <w:left w:val="single" w:sz="6" w:space="0" w:color="CCCCCC"/>
              <w:bottom w:val="single" w:sz="6" w:space="0" w:color="CCCCCC"/>
              <w:right w:val="single" w:sz="6" w:space="0" w:color="CCCCCC"/>
            </w:tcBorders>
            <w:shd w:val="clear" w:color="auto" w:fill="D6E4F0"/>
            <w:tcMar>
              <w:top w:w="60" w:type="dxa"/>
              <w:left w:w="60" w:type="dxa"/>
              <w:bottom w:w="60" w:type="dxa"/>
              <w:right w:w="60" w:type="dxa"/>
            </w:tcMar>
          </w:tcPr>
          <w:p w14:paraId="344BA862"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C</w:t>
            </w:r>
          </w:p>
        </w:tc>
        <w:tc>
          <w:tcPr>
            <w:tcW w:w="1000" w:type="dxa"/>
            <w:tcBorders>
              <w:top w:val="single" w:sz="6" w:space="0" w:color="CCCCCC"/>
              <w:left w:val="single" w:sz="6" w:space="0" w:color="CCCCCC"/>
              <w:bottom w:val="single" w:sz="6" w:space="0" w:color="CCCCCC"/>
              <w:right w:val="single" w:sz="6" w:space="0" w:color="CCCCCC"/>
            </w:tcBorders>
            <w:shd w:val="clear" w:color="auto" w:fill="F2F2F2"/>
            <w:tcMar>
              <w:top w:w="60" w:type="dxa"/>
              <w:left w:w="60" w:type="dxa"/>
              <w:bottom w:w="60" w:type="dxa"/>
              <w:right w:w="60" w:type="dxa"/>
            </w:tcMar>
          </w:tcPr>
          <w:p w14:paraId="55878573"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I</w:t>
            </w:r>
          </w:p>
        </w:tc>
        <w:tc>
          <w:tcPr>
            <w:tcW w:w="1000" w:type="dxa"/>
            <w:tcBorders>
              <w:top w:val="single" w:sz="6" w:space="0" w:color="CCCCCC"/>
              <w:left w:val="single" w:sz="6" w:space="0" w:color="CCCCCC"/>
              <w:bottom w:val="single" w:sz="6" w:space="0" w:color="CCCCCC"/>
              <w:right w:val="single" w:sz="6" w:space="0" w:color="CCCCCC"/>
            </w:tcBorders>
            <w:shd w:val="clear" w:color="auto" w:fill="F2F2F2"/>
            <w:tcMar>
              <w:top w:w="60" w:type="dxa"/>
              <w:left w:w="60" w:type="dxa"/>
              <w:bottom w:w="60" w:type="dxa"/>
              <w:right w:w="60" w:type="dxa"/>
            </w:tcMar>
          </w:tcPr>
          <w:p w14:paraId="4B17826A"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I</w:t>
            </w:r>
          </w:p>
        </w:tc>
        <w:tc>
          <w:tcPr>
            <w:tcW w:w="1000" w:type="dxa"/>
            <w:tcBorders>
              <w:top w:val="single" w:sz="6" w:space="0" w:color="CCCCCC"/>
              <w:left w:val="single" w:sz="6" w:space="0" w:color="CCCCCC"/>
              <w:bottom w:val="single" w:sz="6" w:space="0" w:color="CCCCCC"/>
              <w:right w:val="single" w:sz="6" w:space="0" w:color="CCCCCC"/>
            </w:tcBorders>
            <w:shd w:val="clear" w:color="auto" w:fill="F2F2F2"/>
            <w:tcMar>
              <w:top w:w="60" w:type="dxa"/>
              <w:left w:w="60" w:type="dxa"/>
              <w:bottom w:w="60" w:type="dxa"/>
              <w:right w:w="60" w:type="dxa"/>
            </w:tcMar>
          </w:tcPr>
          <w:p w14:paraId="5FF2FD17"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I</w:t>
            </w:r>
          </w:p>
        </w:tc>
        <w:tc>
          <w:tcPr>
            <w:tcW w:w="1000" w:type="dxa"/>
            <w:tcBorders>
              <w:top w:val="single" w:sz="6" w:space="0" w:color="CCCCCC"/>
              <w:left w:val="single" w:sz="6" w:space="0" w:color="CCCCCC"/>
              <w:bottom w:val="single" w:sz="6" w:space="0" w:color="CCCCCC"/>
              <w:right w:val="single" w:sz="6" w:space="0" w:color="CCCCCC"/>
            </w:tcBorders>
            <w:shd w:val="clear" w:color="auto" w:fill="F2F2F2"/>
            <w:tcMar>
              <w:top w:w="60" w:type="dxa"/>
              <w:left w:w="60" w:type="dxa"/>
              <w:bottom w:w="60" w:type="dxa"/>
              <w:right w:w="60" w:type="dxa"/>
            </w:tcMar>
          </w:tcPr>
          <w:p w14:paraId="07E43A5E"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I</w:t>
            </w:r>
          </w:p>
        </w:tc>
      </w:tr>
      <w:tr w:rsidR="00D357AF" w:rsidRPr="003A06AF" w14:paraId="1C428FC5" w14:textId="77777777">
        <w:tblPrEx>
          <w:tblCellMar>
            <w:top w:w="0" w:type="dxa"/>
            <w:bottom w:w="0" w:type="dxa"/>
          </w:tblCellMar>
        </w:tblPrEx>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20" w:type="dxa"/>
              <w:bottom w:w="80" w:type="dxa"/>
              <w:right w:w="120" w:type="dxa"/>
            </w:tcMar>
          </w:tcPr>
          <w:p w14:paraId="6690C596"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b/>
                <w:bCs/>
                <w:sz w:val="24"/>
                <w:szCs w:val="24"/>
              </w:rPr>
              <w:t>AI Platform Development</w:t>
            </w:r>
          </w:p>
        </w:tc>
        <w:tc>
          <w:tcPr>
            <w:tcW w:w="1000" w:type="dxa"/>
            <w:tcBorders>
              <w:top w:val="single" w:sz="6" w:space="0" w:color="CCCCCC"/>
              <w:left w:val="single" w:sz="6" w:space="0" w:color="CCCCCC"/>
              <w:bottom w:val="single" w:sz="6" w:space="0" w:color="CCCCCC"/>
              <w:right w:val="single" w:sz="6" w:space="0" w:color="CCCCCC"/>
            </w:tcBorders>
            <w:shd w:val="clear" w:color="auto" w:fill="FFEB9C"/>
            <w:tcMar>
              <w:top w:w="60" w:type="dxa"/>
              <w:left w:w="60" w:type="dxa"/>
              <w:bottom w:w="60" w:type="dxa"/>
              <w:right w:w="60" w:type="dxa"/>
            </w:tcMar>
          </w:tcPr>
          <w:p w14:paraId="5AF8F391"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A</w:t>
            </w:r>
          </w:p>
        </w:tc>
        <w:tc>
          <w:tcPr>
            <w:tcW w:w="1000" w:type="dxa"/>
            <w:tcBorders>
              <w:top w:val="single" w:sz="6" w:space="0" w:color="CCCCCC"/>
              <w:left w:val="single" w:sz="6" w:space="0" w:color="CCCCCC"/>
              <w:bottom w:val="single" w:sz="6" w:space="0" w:color="CCCCCC"/>
              <w:right w:val="single" w:sz="6" w:space="0" w:color="CCCCCC"/>
            </w:tcBorders>
            <w:shd w:val="clear" w:color="auto" w:fill="C6EFCE"/>
            <w:tcMar>
              <w:top w:w="60" w:type="dxa"/>
              <w:left w:w="60" w:type="dxa"/>
              <w:bottom w:w="60" w:type="dxa"/>
              <w:right w:w="60" w:type="dxa"/>
            </w:tcMar>
          </w:tcPr>
          <w:p w14:paraId="1BA4E6FB"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R</w:t>
            </w:r>
          </w:p>
        </w:tc>
        <w:tc>
          <w:tcPr>
            <w:tcW w:w="1000" w:type="dxa"/>
            <w:tcBorders>
              <w:top w:val="single" w:sz="6" w:space="0" w:color="CCCCCC"/>
              <w:left w:val="single" w:sz="6" w:space="0" w:color="CCCCCC"/>
              <w:bottom w:val="single" w:sz="6" w:space="0" w:color="CCCCCC"/>
              <w:right w:val="single" w:sz="6" w:space="0" w:color="CCCCCC"/>
            </w:tcBorders>
            <w:shd w:val="clear" w:color="auto" w:fill="D6E4F0"/>
            <w:tcMar>
              <w:top w:w="60" w:type="dxa"/>
              <w:left w:w="60" w:type="dxa"/>
              <w:bottom w:w="60" w:type="dxa"/>
              <w:right w:w="60" w:type="dxa"/>
            </w:tcMar>
          </w:tcPr>
          <w:p w14:paraId="203DF4D7"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C</w:t>
            </w:r>
          </w:p>
        </w:tc>
        <w:tc>
          <w:tcPr>
            <w:tcW w:w="1000" w:type="dxa"/>
            <w:tcBorders>
              <w:top w:val="single" w:sz="6" w:space="0" w:color="CCCCCC"/>
              <w:left w:val="single" w:sz="6" w:space="0" w:color="CCCCCC"/>
              <w:bottom w:val="single" w:sz="6" w:space="0" w:color="CCCCCC"/>
              <w:right w:val="single" w:sz="6" w:space="0" w:color="CCCCCC"/>
            </w:tcBorders>
            <w:shd w:val="clear" w:color="auto" w:fill="D6E4F0"/>
            <w:tcMar>
              <w:top w:w="60" w:type="dxa"/>
              <w:left w:w="60" w:type="dxa"/>
              <w:bottom w:w="60" w:type="dxa"/>
              <w:right w:w="60" w:type="dxa"/>
            </w:tcMar>
          </w:tcPr>
          <w:p w14:paraId="03E6A4CA"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C</w:t>
            </w:r>
          </w:p>
        </w:tc>
        <w:tc>
          <w:tcPr>
            <w:tcW w:w="1000" w:type="dxa"/>
            <w:tcBorders>
              <w:top w:val="single" w:sz="6" w:space="0" w:color="CCCCCC"/>
              <w:left w:val="single" w:sz="6" w:space="0" w:color="CCCCCC"/>
              <w:bottom w:val="single" w:sz="6" w:space="0" w:color="CCCCCC"/>
              <w:right w:val="single" w:sz="6" w:space="0" w:color="CCCCCC"/>
            </w:tcBorders>
            <w:shd w:val="clear" w:color="auto" w:fill="F2F2F2"/>
            <w:tcMar>
              <w:top w:w="60" w:type="dxa"/>
              <w:left w:w="60" w:type="dxa"/>
              <w:bottom w:w="60" w:type="dxa"/>
              <w:right w:w="60" w:type="dxa"/>
            </w:tcMar>
          </w:tcPr>
          <w:p w14:paraId="424C9434"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I</w:t>
            </w:r>
          </w:p>
        </w:tc>
        <w:tc>
          <w:tcPr>
            <w:tcW w:w="1000" w:type="dxa"/>
            <w:tcBorders>
              <w:top w:val="single" w:sz="6" w:space="0" w:color="CCCCCC"/>
              <w:left w:val="single" w:sz="6" w:space="0" w:color="CCCCCC"/>
              <w:bottom w:val="single" w:sz="6" w:space="0" w:color="CCCCCC"/>
              <w:right w:val="single" w:sz="6" w:space="0" w:color="CCCCCC"/>
            </w:tcBorders>
            <w:shd w:val="clear" w:color="auto" w:fill="C6EFCE"/>
            <w:tcMar>
              <w:top w:w="60" w:type="dxa"/>
              <w:left w:w="60" w:type="dxa"/>
              <w:bottom w:w="60" w:type="dxa"/>
              <w:right w:w="60" w:type="dxa"/>
            </w:tcMar>
          </w:tcPr>
          <w:p w14:paraId="0EDE58EC"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R</w:t>
            </w:r>
          </w:p>
        </w:tc>
        <w:tc>
          <w:tcPr>
            <w:tcW w:w="1000" w:type="dxa"/>
            <w:tcBorders>
              <w:top w:val="single" w:sz="6" w:space="0" w:color="CCCCCC"/>
              <w:left w:val="single" w:sz="6" w:space="0" w:color="CCCCCC"/>
              <w:bottom w:val="single" w:sz="6" w:space="0" w:color="CCCCCC"/>
              <w:right w:val="single" w:sz="6" w:space="0" w:color="CCCCCC"/>
            </w:tcBorders>
            <w:shd w:val="clear" w:color="auto" w:fill="F2F2F2"/>
            <w:tcMar>
              <w:top w:w="60" w:type="dxa"/>
              <w:left w:w="60" w:type="dxa"/>
              <w:bottom w:w="60" w:type="dxa"/>
              <w:right w:w="60" w:type="dxa"/>
            </w:tcMar>
          </w:tcPr>
          <w:p w14:paraId="03061AE6"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I</w:t>
            </w:r>
          </w:p>
        </w:tc>
      </w:tr>
      <w:tr w:rsidR="00D357AF" w:rsidRPr="003A06AF" w14:paraId="14AE9833" w14:textId="77777777">
        <w:tblPrEx>
          <w:tblCellMar>
            <w:top w:w="0" w:type="dxa"/>
            <w:bottom w:w="0" w:type="dxa"/>
          </w:tblCellMar>
        </w:tblPrEx>
        <w:tc>
          <w:tcPr>
            <w:tcW w:w="22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20" w:type="dxa"/>
              <w:bottom w:w="80" w:type="dxa"/>
              <w:right w:w="120" w:type="dxa"/>
            </w:tcMar>
          </w:tcPr>
          <w:p w14:paraId="40924479"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b/>
                <w:bCs/>
                <w:sz w:val="24"/>
                <w:szCs w:val="24"/>
              </w:rPr>
              <w:t>Marketing &amp; Campaign Launch</w:t>
            </w:r>
          </w:p>
        </w:tc>
        <w:tc>
          <w:tcPr>
            <w:tcW w:w="1000" w:type="dxa"/>
            <w:tcBorders>
              <w:top w:val="single" w:sz="6" w:space="0" w:color="CCCCCC"/>
              <w:left w:val="single" w:sz="6" w:space="0" w:color="CCCCCC"/>
              <w:bottom w:val="single" w:sz="6" w:space="0" w:color="CCCCCC"/>
              <w:right w:val="single" w:sz="6" w:space="0" w:color="CCCCCC"/>
            </w:tcBorders>
            <w:shd w:val="clear" w:color="auto" w:fill="D6E4F0"/>
            <w:tcMar>
              <w:top w:w="60" w:type="dxa"/>
              <w:left w:w="60" w:type="dxa"/>
              <w:bottom w:w="60" w:type="dxa"/>
              <w:right w:w="60" w:type="dxa"/>
            </w:tcMar>
          </w:tcPr>
          <w:p w14:paraId="4659A083"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C</w:t>
            </w:r>
          </w:p>
        </w:tc>
        <w:tc>
          <w:tcPr>
            <w:tcW w:w="1000" w:type="dxa"/>
            <w:tcBorders>
              <w:top w:val="single" w:sz="6" w:space="0" w:color="CCCCCC"/>
              <w:left w:val="single" w:sz="6" w:space="0" w:color="CCCCCC"/>
              <w:bottom w:val="single" w:sz="6" w:space="0" w:color="CCCCCC"/>
              <w:right w:val="single" w:sz="6" w:space="0" w:color="CCCCCC"/>
            </w:tcBorders>
            <w:shd w:val="clear" w:color="auto" w:fill="F2F2F2"/>
            <w:tcMar>
              <w:top w:w="60" w:type="dxa"/>
              <w:left w:w="60" w:type="dxa"/>
              <w:bottom w:w="60" w:type="dxa"/>
              <w:right w:w="60" w:type="dxa"/>
            </w:tcMar>
          </w:tcPr>
          <w:p w14:paraId="776F9129"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I</w:t>
            </w:r>
          </w:p>
        </w:tc>
        <w:tc>
          <w:tcPr>
            <w:tcW w:w="1000" w:type="dxa"/>
            <w:tcBorders>
              <w:top w:val="single" w:sz="6" w:space="0" w:color="CCCCCC"/>
              <w:left w:val="single" w:sz="6" w:space="0" w:color="CCCCCC"/>
              <w:bottom w:val="single" w:sz="6" w:space="0" w:color="CCCCCC"/>
              <w:right w:val="single" w:sz="6" w:space="0" w:color="CCCCCC"/>
            </w:tcBorders>
            <w:shd w:val="clear" w:color="auto" w:fill="C6EFCE"/>
            <w:tcMar>
              <w:top w:w="60" w:type="dxa"/>
              <w:left w:w="60" w:type="dxa"/>
              <w:bottom w:w="60" w:type="dxa"/>
              <w:right w:w="60" w:type="dxa"/>
            </w:tcMar>
          </w:tcPr>
          <w:p w14:paraId="0E20CE5B"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R</w:t>
            </w:r>
          </w:p>
        </w:tc>
        <w:tc>
          <w:tcPr>
            <w:tcW w:w="1000" w:type="dxa"/>
            <w:tcBorders>
              <w:top w:val="single" w:sz="6" w:space="0" w:color="CCCCCC"/>
              <w:left w:val="single" w:sz="6" w:space="0" w:color="CCCCCC"/>
              <w:bottom w:val="single" w:sz="6" w:space="0" w:color="CCCCCC"/>
              <w:right w:val="single" w:sz="6" w:space="0" w:color="CCCCCC"/>
            </w:tcBorders>
            <w:shd w:val="clear" w:color="auto" w:fill="D6E4F0"/>
            <w:tcMar>
              <w:top w:w="60" w:type="dxa"/>
              <w:left w:w="60" w:type="dxa"/>
              <w:bottom w:w="60" w:type="dxa"/>
              <w:right w:w="60" w:type="dxa"/>
            </w:tcMar>
          </w:tcPr>
          <w:p w14:paraId="1B99214C"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C</w:t>
            </w:r>
          </w:p>
        </w:tc>
        <w:tc>
          <w:tcPr>
            <w:tcW w:w="1000" w:type="dxa"/>
            <w:tcBorders>
              <w:top w:val="single" w:sz="6" w:space="0" w:color="CCCCCC"/>
              <w:left w:val="single" w:sz="6" w:space="0" w:color="CCCCCC"/>
              <w:bottom w:val="single" w:sz="6" w:space="0" w:color="CCCCCC"/>
              <w:right w:val="single" w:sz="6" w:space="0" w:color="CCCCCC"/>
            </w:tcBorders>
            <w:shd w:val="clear" w:color="auto" w:fill="F2F2F2"/>
            <w:tcMar>
              <w:top w:w="60" w:type="dxa"/>
              <w:left w:w="60" w:type="dxa"/>
              <w:bottom w:w="60" w:type="dxa"/>
              <w:right w:w="60" w:type="dxa"/>
            </w:tcMar>
          </w:tcPr>
          <w:p w14:paraId="5C9F28D7"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I</w:t>
            </w:r>
          </w:p>
        </w:tc>
        <w:tc>
          <w:tcPr>
            <w:tcW w:w="1000" w:type="dxa"/>
            <w:tcBorders>
              <w:top w:val="single" w:sz="6" w:space="0" w:color="CCCCCC"/>
              <w:left w:val="single" w:sz="6" w:space="0" w:color="CCCCCC"/>
              <w:bottom w:val="single" w:sz="6" w:space="0" w:color="CCCCCC"/>
              <w:right w:val="single" w:sz="6" w:space="0" w:color="CCCCCC"/>
            </w:tcBorders>
            <w:shd w:val="clear" w:color="auto" w:fill="F2F2F2"/>
            <w:tcMar>
              <w:top w:w="60" w:type="dxa"/>
              <w:left w:w="60" w:type="dxa"/>
              <w:bottom w:w="60" w:type="dxa"/>
              <w:right w:w="60" w:type="dxa"/>
            </w:tcMar>
          </w:tcPr>
          <w:p w14:paraId="60EE9DD7"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I</w:t>
            </w:r>
          </w:p>
        </w:tc>
        <w:tc>
          <w:tcPr>
            <w:tcW w:w="1000" w:type="dxa"/>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tcPr>
          <w:p w14:paraId="3D2A23DD" w14:textId="77777777" w:rsidR="00D357AF" w:rsidRPr="003A06AF" w:rsidRDefault="00D357AF" w:rsidP="003A06AF">
            <w:pPr>
              <w:spacing w:line="360" w:lineRule="auto"/>
              <w:jc w:val="center"/>
              <w:rPr>
                <w:rFonts w:ascii="Times New Roman" w:hAnsi="Times New Roman" w:cs="Times New Roman"/>
                <w:sz w:val="24"/>
                <w:szCs w:val="24"/>
              </w:rPr>
            </w:pPr>
          </w:p>
        </w:tc>
      </w:tr>
      <w:tr w:rsidR="00D357AF" w:rsidRPr="003A06AF" w14:paraId="13EF93FB" w14:textId="77777777">
        <w:tblPrEx>
          <w:tblCellMar>
            <w:top w:w="0" w:type="dxa"/>
            <w:bottom w:w="0" w:type="dxa"/>
          </w:tblCellMar>
        </w:tblPrEx>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20" w:type="dxa"/>
              <w:bottom w:w="80" w:type="dxa"/>
              <w:right w:w="120" w:type="dxa"/>
            </w:tcMar>
          </w:tcPr>
          <w:p w14:paraId="091197E0"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b/>
                <w:bCs/>
                <w:sz w:val="24"/>
                <w:szCs w:val="24"/>
              </w:rPr>
              <w:t>Staff Training Programme</w:t>
            </w:r>
          </w:p>
        </w:tc>
        <w:tc>
          <w:tcPr>
            <w:tcW w:w="1000" w:type="dxa"/>
            <w:tcBorders>
              <w:top w:val="single" w:sz="6" w:space="0" w:color="CCCCCC"/>
              <w:left w:val="single" w:sz="6" w:space="0" w:color="CCCCCC"/>
              <w:bottom w:val="single" w:sz="6" w:space="0" w:color="CCCCCC"/>
              <w:right w:val="single" w:sz="6" w:space="0" w:color="CCCCCC"/>
            </w:tcBorders>
            <w:shd w:val="clear" w:color="auto" w:fill="F2F2F2"/>
            <w:tcMar>
              <w:top w:w="60" w:type="dxa"/>
              <w:left w:w="60" w:type="dxa"/>
              <w:bottom w:w="60" w:type="dxa"/>
              <w:right w:w="60" w:type="dxa"/>
            </w:tcMar>
          </w:tcPr>
          <w:p w14:paraId="02FC1A76"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I</w:t>
            </w:r>
          </w:p>
        </w:tc>
        <w:tc>
          <w:tcPr>
            <w:tcW w:w="1000" w:type="dxa"/>
            <w:tcBorders>
              <w:top w:val="single" w:sz="6" w:space="0" w:color="CCCCCC"/>
              <w:left w:val="single" w:sz="6" w:space="0" w:color="CCCCCC"/>
              <w:bottom w:val="single" w:sz="6" w:space="0" w:color="CCCCCC"/>
              <w:right w:val="single" w:sz="6" w:space="0" w:color="CCCCCC"/>
            </w:tcBorders>
            <w:shd w:val="clear" w:color="auto" w:fill="D6E4F0"/>
            <w:tcMar>
              <w:top w:w="60" w:type="dxa"/>
              <w:left w:w="60" w:type="dxa"/>
              <w:bottom w:w="60" w:type="dxa"/>
              <w:right w:w="60" w:type="dxa"/>
            </w:tcMar>
          </w:tcPr>
          <w:p w14:paraId="1C8FC92E"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C</w:t>
            </w:r>
          </w:p>
        </w:tc>
        <w:tc>
          <w:tcPr>
            <w:tcW w:w="1000" w:type="dxa"/>
            <w:tcBorders>
              <w:top w:val="single" w:sz="6" w:space="0" w:color="CCCCCC"/>
              <w:left w:val="single" w:sz="6" w:space="0" w:color="CCCCCC"/>
              <w:bottom w:val="single" w:sz="6" w:space="0" w:color="CCCCCC"/>
              <w:right w:val="single" w:sz="6" w:space="0" w:color="CCCCCC"/>
            </w:tcBorders>
            <w:shd w:val="clear" w:color="auto" w:fill="D6E4F0"/>
            <w:tcMar>
              <w:top w:w="60" w:type="dxa"/>
              <w:left w:w="60" w:type="dxa"/>
              <w:bottom w:w="60" w:type="dxa"/>
              <w:right w:w="60" w:type="dxa"/>
            </w:tcMar>
          </w:tcPr>
          <w:p w14:paraId="5325B8E9"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C</w:t>
            </w:r>
          </w:p>
        </w:tc>
        <w:tc>
          <w:tcPr>
            <w:tcW w:w="1000" w:type="dxa"/>
            <w:tcBorders>
              <w:top w:val="single" w:sz="6" w:space="0" w:color="CCCCCC"/>
              <w:left w:val="single" w:sz="6" w:space="0" w:color="CCCCCC"/>
              <w:bottom w:val="single" w:sz="6" w:space="0" w:color="CCCCCC"/>
              <w:right w:val="single" w:sz="6" w:space="0" w:color="CCCCCC"/>
            </w:tcBorders>
            <w:shd w:val="clear" w:color="auto" w:fill="C6EFCE"/>
            <w:tcMar>
              <w:top w:w="60" w:type="dxa"/>
              <w:left w:w="60" w:type="dxa"/>
              <w:bottom w:w="60" w:type="dxa"/>
              <w:right w:w="60" w:type="dxa"/>
            </w:tcMar>
          </w:tcPr>
          <w:p w14:paraId="6933B342"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R</w:t>
            </w:r>
          </w:p>
        </w:tc>
        <w:tc>
          <w:tcPr>
            <w:tcW w:w="1000" w:type="dxa"/>
            <w:tcBorders>
              <w:top w:val="single" w:sz="6" w:space="0" w:color="CCCCCC"/>
              <w:left w:val="single" w:sz="6" w:space="0" w:color="CCCCCC"/>
              <w:bottom w:val="single" w:sz="6" w:space="0" w:color="CCCCCC"/>
              <w:right w:val="single" w:sz="6" w:space="0" w:color="CCCCCC"/>
            </w:tcBorders>
            <w:shd w:val="clear" w:color="auto" w:fill="C6EFCE"/>
            <w:tcMar>
              <w:top w:w="60" w:type="dxa"/>
              <w:left w:w="60" w:type="dxa"/>
              <w:bottom w:w="60" w:type="dxa"/>
              <w:right w:w="60" w:type="dxa"/>
            </w:tcMar>
          </w:tcPr>
          <w:p w14:paraId="7F70EB66"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R</w:t>
            </w:r>
          </w:p>
        </w:tc>
        <w:tc>
          <w:tcPr>
            <w:tcW w:w="1000" w:type="dxa"/>
            <w:tcBorders>
              <w:top w:val="single" w:sz="6" w:space="0" w:color="CCCCCC"/>
              <w:left w:val="single" w:sz="6" w:space="0" w:color="CCCCCC"/>
              <w:bottom w:val="single" w:sz="6" w:space="0" w:color="CCCCCC"/>
              <w:right w:val="single" w:sz="6" w:space="0" w:color="CCCCCC"/>
            </w:tcBorders>
            <w:shd w:val="clear" w:color="auto" w:fill="D6E4F0"/>
            <w:tcMar>
              <w:top w:w="60" w:type="dxa"/>
              <w:left w:w="60" w:type="dxa"/>
              <w:bottom w:w="60" w:type="dxa"/>
              <w:right w:w="60" w:type="dxa"/>
            </w:tcMar>
          </w:tcPr>
          <w:p w14:paraId="2A03B4FF"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C</w:t>
            </w:r>
          </w:p>
        </w:tc>
        <w:tc>
          <w:tcPr>
            <w:tcW w:w="1000" w:type="dxa"/>
            <w:tcBorders>
              <w:top w:val="single" w:sz="6" w:space="0" w:color="CCCCCC"/>
              <w:left w:val="single" w:sz="6" w:space="0" w:color="CCCCCC"/>
              <w:bottom w:val="single" w:sz="6" w:space="0" w:color="CCCCCC"/>
              <w:right w:val="single" w:sz="6" w:space="0" w:color="CCCCCC"/>
            </w:tcBorders>
            <w:shd w:val="clear" w:color="auto" w:fill="F2F2F2"/>
            <w:tcMar>
              <w:top w:w="60" w:type="dxa"/>
              <w:left w:w="60" w:type="dxa"/>
              <w:bottom w:w="60" w:type="dxa"/>
              <w:right w:w="60" w:type="dxa"/>
            </w:tcMar>
          </w:tcPr>
          <w:p w14:paraId="6B4367BC"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I</w:t>
            </w:r>
          </w:p>
        </w:tc>
      </w:tr>
      <w:tr w:rsidR="00D357AF" w:rsidRPr="003A06AF" w14:paraId="3934C3D5" w14:textId="77777777">
        <w:tblPrEx>
          <w:tblCellMar>
            <w:top w:w="0" w:type="dxa"/>
            <w:bottom w:w="0" w:type="dxa"/>
          </w:tblCellMar>
        </w:tblPrEx>
        <w:tc>
          <w:tcPr>
            <w:tcW w:w="22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20" w:type="dxa"/>
              <w:bottom w:w="80" w:type="dxa"/>
              <w:right w:w="120" w:type="dxa"/>
            </w:tcMar>
          </w:tcPr>
          <w:p w14:paraId="690CC13F"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b/>
                <w:bCs/>
                <w:sz w:val="24"/>
                <w:szCs w:val="24"/>
              </w:rPr>
              <w:t>Regulatory Compliance</w:t>
            </w:r>
          </w:p>
        </w:tc>
        <w:tc>
          <w:tcPr>
            <w:tcW w:w="1000" w:type="dxa"/>
            <w:tcBorders>
              <w:top w:val="single" w:sz="6" w:space="0" w:color="CCCCCC"/>
              <w:left w:val="single" w:sz="6" w:space="0" w:color="CCCCCC"/>
              <w:bottom w:val="single" w:sz="6" w:space="0" w:color="CCCCCC"/>
              <w:right w:val="single" w:sz="6" w:space="0" w:color="CCCCCC"/>
            </w:tcBorders>
            <w:shd w:val="clear" w:color="auto" w:fill="FFEB9C"/>
            <w:tcMar>
              <w:top w:w="60" w:type="dxa"/>
              <w:left w:w="60" w:type="dxa"/>
              <w:bottom w:w="60" w:type="dxa"/>
              <w:right w:w="60" w:type="dxa"/>
            </w:tcMar>
          </w:tcPr>
          <w:p w14:paraId="295E8F84"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A</w:t>
            </w:r>
          </w:p>
        </w:tc>
        <w:tc>
          <w:tcPr>
            <w:tcW w:w="1000" w:type="dxa"/>
            <w:tcBorders>
              <w:top w:val="single" w:sz="6" w:space="0" w:color="CCCCCC"/>
              <w:left w:val="single" w:sz="6" w:space="0" w:color="CCCCCC"/>
              <w:bottom w:val="single" w:sz="6" w:space="0" w:color="CCCCCC"/>
              <w:right w:val="single" w:sz="6" w:space="0" w:color="CCCCCC"/>
            </w:tcBorders>
            <w:shd w:val="clear" w:color="auto" w:fill="D6E4F0"/>
            <w:tcMar>
              <w:top w:w="60" w:type="dxa"/>
              <w:left w:w="60" w:type="dxa"/>
              <w:bottom w:w="60" w:type="dxa"/>
              <w:right w:w="60" w:type="dxa"/>
            </w:tcMar>
          </w:tcPr>
          <w:p w14:paraId="2BB47792"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C</w:t>
            </w:r>
          </w:p>
        </w:tc>
        <w:tc>
          <w:tcPr>
            <w:tcW w:w="1000" w:type="dxa"/>
            <w:tcBorders>
              <w:top w:val="single" w:sz="6" w:space="0" w:color="CCCCCC"/>
              <w:left w:val="single" w:sz="6" w:space="0" w:color="CCCCCC"/>
              <w:bottom w:val="single" w:sz="6" w:space="0" w:color="CCCCCC"/>
              <w:right w:val="single" w:sz="6" w:space="0" w:color="CCCCCC"/>
            </w:tcBorders>
            <w:shd w:val="clear" w:color="auto" w:fill="F2F2F2"/>
            <w:tcMar>
              <w:top w:w="60" w:type="dxa"/>
              <w:left w:w="60" w:type="dxa"/>
              <w:bottom w:w="60" w:type="dxa"/>
              <w:right w:w="60" w:type="dxa"/>
            </w:tcMar>
          </w:tcPr>
          <w:p w14:paraId="455BF3DB"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I</w:t>
            </w:r>
          </w:p>
        </w:tc>
        <w:tc>
          <w:tcPr>
            <w:tcW w:w="1000" w:type="dxa"/>
            <w:tcBorders>
              <w:top w:val="single" w:sz="6" w:space="0" w:color="CCCCCC"/>
              <w:left w:val="single" w:sz="6" w:space="0" w:color="CCCCCC"/>
              <w:bottom w:val="single" w:sz="6" w:space="0" w:color="CCCCCC"/>
              <w:right w:val="single" w:sz="6" w:space="0" w:color="CCCCCC"/>
            </w:tcBorders>
            <w:shd w:val="clear" w:color="auto" w:fill="F2F2F2"/>
            <w:tcMar>
              <w:top w:w="60" w:type="dxa"/>
              <w:left w:w="60" w:type="dxa"/>
              <w:bottom w:w="60" w:type="dxa"/>
              <w:right w:w="60" w:type="dxa"/>
            </w:tcMar>
          </w:tcPr>
          <w:p w14:paraId="73A6EDE6"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I</w:t>
            </w:r>
          </w:p>
        </w:tc>
        <w:tc>
          <w:tcPr>
            <w:tcW w:w="1000" w:type="dxa"/>
            <w:tcBorders>
              <w:top w:val="single" w:sz="6" w:space="0" w:color="CCCCCC"/>
              <w:left w:val="single" w:sz="6" w:space="0" w:color="CCCCCC"/>
              <w:bottom w:val="single" w:sz="6" w:space="0" w:color="CCCCCC"/>
              <w:right w:val="single" w:sz="6" w:space="0" w:color="CCCCCC"/>
            </w:tcBorders>
            <w:shd w:val="clear" w:color="auto" w:fill="FFFFFF"/>
            <w:tcMar>
              <w:top w:w="60" w:type="dxa"/>
              <w:left w:w="60" w:type="dxa"/>
              <w:bottom w:w="60" w:type="dxa"/>
              <w:right w:w="60" w:type="dxa"/>
            </w:tcMar>
          </w:tcPr>
          <w:p w14:paraId="66018C7C" w14:textId="77777777" w:rsidR="00D357AF" w:rsidRPr="003A06AF" w:rsidRDefault="00D357AF" w:rsidP="003A06AF">
            <w:pPr>
              <w:spacing w:line="360" w:lineRule="auto"/>
              <w:jc w:val="center"/>
              <w:rPr>
                <w:rFonts w:ascii="Times New Roman" w:hAnsi="Times New Roman" w:cs="Times New Roman"/>
                <w:sz w:val="24"/>
                <w:szCs w:val="24"/>
              </w:rPr>
            </w:pPr>
          </w:p>
        </w:tc>
        <w:tc>
          <w:tcPr>
            <w:tcW w:w="1000" w:type="dxa"/>
            <w:tcBorders>
              <w:top w:val="single" w:sz="6" w:space="0" w:color="CCCCCC"/>
              <w:left w:val="single" w:sz="6" w:space="0" w:color="CCCCCC"/>
              <w:bottom w:val="single" w:sz="6" w:space="0" w:color="CCCCCC"/>
              <w:right w:val="single" w:sz="6" w:space="0" w:color="CCCCCC"/>
            </w:tcBorders>
            <w:shd w:val="clear" w:color="auto" w:fill="F2F2F2"/>
            <w:tcMar>
              <w:top w:w="60" w:type="dxa"/>
              <w:left w:w="60" w:type="dxa"/>
              <w:bottom w:w="60" w:type="dxa"/>
              <w:right w:w="60" w:type="dxa"/>
            </w:tcMar>
          </w:tcPr>
          <w:p w14:paraId="64775B85"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I</w:t>
            </w:r>
          </w:p>
        </w:tc>
        <w:tc>
          <w:tcPr>
            <w:tcW w:w="1000" w:type="dxa"/>
            <w:tcBorders>
              <w:top w:val="single" w:sz="6" w:space="0" w:color="CCCCCC"/>
              <w:left w:val="single" w:sz="6" w:space="0" w:color="CCCCCC"/>
              <w:bottom w:val="single" w:sz="6" w:space="0" w:color="CCCCCC"/>
              <w:right w:val="single" w:sz="6" w:space="0" w:color="CCCCCC"/>
            </w:tcBorders>
            <w:shd w:val="clear" w:color="auto" w:fill="C6EFCE"/>
            <w:tcMar>
              <w:top w:w="60" w:type="dxa"/>
              <w:left w:w="60" w:type="dxa"/>
              <w:bottom w:w="60" w:type="dxa"/>
              <w:right w:w="60" w:type="dxa"/>
            </w:tcMar>
          </w:tcPr>
          <w:p w14:paraId="51FEDB6D"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R</w:t>
            </w:r>
          </w:p>
        </w:tc>
      </w:tr>
      <w:tr w:rsidR="00D357AF" w:rsidRPr="003A06AF" w14:paraId="76935397" w14:textId="77777777">
        <w:tblPrEx>
          <w:tblCellMar>
            <w:top w:w="0" w:type="dxa"/>
            <w:bottom w:w="0" w:type="dxa"/>
          </w:tblCellMar>
        </w:tblPrEx>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20" w:type="dxa"/>
              <w:bottom w:w="80" w:type="dxa"/>
              <w:right w:w="120" w:type="dxa"/>
            </w:tcMar>
          </w:tcPr>
          <w:p w14:paraId="3849970C"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b/>
                <w:bCs/>
                <w:sz w:val="24"/>
                <w:szCs w:val="24"/>
              </w:rPr>
              <w:t>Guest Experience Rollout</w:t>
            </w:r>
          </w:p>
        </w:tc>
        <w:tc>
          <w:tcPr>
            <w:tcW w:w="1000" w:type="dxa"/>
            <w:tcBorders>
              <w:top w:val="single" w:sz="6" w:space="0" w:color="CCCCCC"/>
              <w:left w:val="single" w:sz="6" w:space="0" w:color="CCCCCC"/>
              <w:bottom w:val="single" w:sz="6" w:space="0" w:color="CCCCCC"/>
              <w:right w:val="single" w:sz="6" w:space="0" w:color="CCCCCC"/>
            </w:tcBorders>
            <w:shd w:val="clear" w:color="auto" w:fill="FFEB9C"/>
            <w:tcMar>
              <w:top w:w="60" w:type="dxa"/>
              <w:left w:w="60" w:type="dxa"/>
              <w:bottom w:w="60" w:type="dxa"/>
              <w:right w:w="60" w:type="dxa"/>
            </w:tcMar>
          </w:tcPr>
          <w:p w14:paraId="7A348AF0"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A</w:t>
            </w:r>
          </w:p>
        </w:tc>
        <w:tc>
          <w:tcPr>
            <w:tcW w:w="1000" w:type="dxa"/>
            <w:tcBorders>
              <w:top w:val="single" w:sz="6" w:space="0" w:color="CCCCCC"/>
              <w:left w:val="single" w:sz="6" w:space="0" w:color="CCCCCC"/>
              <w:bottom w:val="single" w:sz="6" w:space="0" w:color="CCCCCC"/>
              <w:right w:val="single" w:sz="6" w:space="0" w:color="CCCCCC"/>
            </w:tcBorders>
            <w:shd w:val="clear" w:color="auto" w:fill="D6E4F0"/>
            <w:tcMar>
              <w:top w:w="60" w:type="dxa"/>
              <w:left w:w="60" w:type="dxa"/>
              <w:bottom w:w="60" w:type="dxa"/>
              <w:right w:w="60" w:type="dxa"/>
            </w:tcMar>
          </w:tcPr>
          <w:p w14:paraId="4CC30263"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C</w:t>
            </w:r>
          </w:p>
        </w:tc>
        <w:tc>
          <w:tcPr>
            <w:tcW w:w="1000" w:type="dxa"/>
            <w:tcBorders>
              <w:top w:val="single" w:sz="6" w:space="0" w:color="CCCCCC"/>
              <w:left w:val="single" w:sz="6" w:space="0" w:color="CCCCCC"/>
              <w:bottom w:val="single" w:sz="6" w:space="0" w:color="CCCCCC"/>
              <w:right w:val="single" w:sz="6" w:space="0" w:color="CCCCCC"/>
            </w:tcBorders>
            <w:shd w:val="clear" w:color="auto" w:fill="D6E4F0"/>
            <w:tcMar>
              <w:top w:w="60" w:type="dxa"/>
              <w:left w:w="60" w:type="dxa"/>
              <w:bottom w:w="60" w:type="dxa"/>
              <w:right w:w="60" w:type="dxa"/>
            </w:tcMar>
          </w:tcPr>
          <w:p w14:paraId="703F6AB3"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C</w:t>
            </w:r>
          </w:p>
        </w:tc>
        <w:tc>
          <w:tcPr>
            <w:tcW w:w="1000" w:type="dxa"/>
            <w:tcBorders>
              <w:top w:val="single" w:sz="6" w:space="0" w:color="CCCCCC"/>
              <w:left w:val="single" w:sz="6" w:space="0" w:color="CCCCCC"/>
              <w:bottom w:val="single" w:sz="6" w:space="0" w:color="CCCCCC"/>
              <w:right w:val="single" w:sz="6" w:space="0" w:color="CCCCCC"/>
            </w:tcBorders>
            <w:shd w:val="clear" w:color="auto" w:fill="C6EFCE"/>
            <w:tcMar>
              <w:top w:w="60" w:type="dxa"/>
              <w:left w:w="60" w:type="dxa"/>
              <w:bottom w:w="60" w:type="dxa"/>
              <w:right w:w="60" w:type="dxa"/>
            </w:tcMar>
          </w:tcPr>
          <w:p w14:paraId="4BED53F5"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R</w:t>
            </w:r>
          </w:p>
        </w:tc>
        <w:tc>
          <w:tcPr>
            <w:tcW w:w="1000" w:type="dxa"/>
            <w:tcBorders>
              <w:top w:val="single" w:sz="6" w:space="0" w:color="CCCCCC"/>
              <w:left w:val="single" w:sz="6" w:space="0" w:color="CCCCCC"/>
              <w:bottom w:val="single" w:sz="6" w:space="0" w:color="CCCCCC"/>
              <w:right w:val="single" w:sz="6" w:space="0" w:color="CCCCCC"/>
            </w:tcBorders>
            <w:shd w:val="clear" w:color="auto" w:fill="D6E4F0"/>
            <w:tcMar>
              <w:top w:w="60" w:type="dxa"/>
              <w:left w:w="60" w:type="dxa"/>
              <w:bottom w:w="60" w:type="dxa"/>
              <w:right w:w="60" w:type="dxa"/>
            </w:tcMar>
          </w:tcPr>
          <w:p w14:paraId="6ABAAC4D"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C</w:t>
            </w:r>
          </w:p>
        </w:tc>
        <w:tc>
          <w:tcPr>
            <w:tcW w:w="1000" w:type="dxa"/>
            <w:tcBorders>
              <w:top w:val="single" w:sz="6" w:space="0" w:color="CCCCCC"/>
              <w:left w:val="single" w:sz="6" w:space="0" w:color="CCCCCC"/>
              <w:bottom w:val="single" w:sz="6" w:space="0" w:color="CCCCCC"/>
              <w:right w:val="single" w:sz="6" w:space="0" w:color="CCCCCC"/>
            </w:tcBorders>
            <w:shd w:val="clear" w:color="auto" w:fill="D6E4F0"/>
            <w:tcMar>
              <w:top w:w="60" w:type="dxa"/>
              <w:left w:w="60" w:type="dxa"/>
              <w:bottom w:w="60" w:type="dxa"/>
              <w:right w:w="60" w:type="dxa"/>
            </w:tcMar>
          </w:tcPr>
          <w:p w14:paraId="1670FF0F"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C</w:t>
            </w:r>
          </w:p>
        </w:tc>
        <w:tc>
          <w:tcPr>
            <w:tcW w:w="1000" w:type="dxa"/>
            <w:tcBorders>
              <w:top w:val="single" w:sz="6" w:space="0" w:color="CCCCCC"/>
              <w:left w:val="single" w:sz="6" w:space="0" w:color="CCCCCC"/>
              <w:bottom w:val="single" w:sz="6" w:space="0" w:color="CCCCCC"/>
              <w:right w:val="single" w:sz="6" w:space="0" w:color="CCCCCC"/>
            </w:tcBorders>
            <w:shd w:val="clear" w:color="auto" w:fill="F2F2F2"/>
            <w:tcMar>
              <w:top w:w="60" w:type="dxa"/>
              <w:left w:w="60" w:type="dxa"/>
              <w:bottom w:w="60" w:type="dxa"/>
              <w:right w:w="60" w:type="dxa"/>
            </w:tcMar>
          </w:tcPr>
          <w:p w14:paraId="07F5AA4F"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sz w:val="24"/>
                <w:szCs w:val="24"/>
              </w:rPr>
              <w:t>I</w:t>
            </w:r>
          </w:p>
        </w:tc>
      </w:tr>
      <w:tr w:rsidR="00D357AF" w:rsidRPr="003A06AF" w14:paraId="0A868876" w14:textId="77777777">
        <w:tblPrEx>
          <w:tblCellMar>
            <w:top w:w="0" w:type="dxa"/>
            <w:bottom w:w="0" w:type="dxa"/>
          </w:tblCellMar>
        </w:tblPrEx>
        <w:tc>
          <w:tcPr>
            <w:tcW w:w="9200" w:type="dxa"/>
            <w:gridSpan w:val="8"/>
            <w:tcBorders>
              <w:top w:val="single" w:sz="6" w:space="0" w:color="CCCCCC"/>
              <w:left w:val="single" w:sz="6" w:space="0" w:color="CCCCCC"/>
              <w:bottom w:val="single" w:sz="6" w:space="0" w:color="CCCCCC"/>
              <w:right w:val="single" w:sz="6" w:space="0" w:color="CCCCCC"/>
            </w:tcBorders>
            <w:shd w:val="clear" w:color="auto" w:fill="EEEEEE"/>
            <w:tcMar>
              <w:top w:w="60" w:type="dxa"/>
              <w:left w:w="120" w:type="dxa"/>
              <w:bottom w:w="60" w:type="dxa"/>
              <w:right w:w="120" w:type="dxa"/>
            </w:tcMar>
          </w:tcPr>
          <w:p w14:paraId="0CFABF38"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b/>
                <w:bCs/>
                <w:sz w:val="24"/>
                <w:szCs w:val="24"/>
              </w:rPr>
              <w:t xml:space="preserve">Legend: </w:t>
            </w:r>
            <w:r w:rsidRPr="003A06AF">
              <w:rPr>
                <w:rFonts w:ascii="Times New Roman" w:hAnsi="Times New Roman" w:cs="Times New Roman"/>
                <w:sz w:val="24"/>
                <w:szCs w:val="24"/>
              </w:rPr>
              <w:t>R = Responsible   |   A = Accountable   |   C = Consulted   |   I = Informed</w:t>
            </w:r>
          </w:p>
        </w:tc>
      </w:tr>
    </w:tbl>
    <w:p w14:paraId="662DC46C" w14:textId="77777777" w:rsidR="00D357AF" w:rsidRPr="003A06AF" w:rsidRDefault="00000000" w:rsidP="003A06AF">
      <w:pPr>
        <w:spacing w:before="60" w:after="140" w:line="360" w:lineRule="auto"/>
        <w:jc w:val="center"/>
        <w:rPr>
          <w:rFonts w:ascii="Times New Roman" w:hAnsi="Times New Roman" w:cs="Times New Roman"/>
          <w:sz w:val="24"/>
          <w:szCs w:val="24"/>
        </w:rPr>
      </w:pPr>
      <w:r w:rsidRPr="003A06AF">
        <w:rPr>
          <w:rFonts w:ascii="Times New Roman" w:hAnsi="Times New Roman" w:cs="Times New Roman"/>
          <w:i/>
          <w:iCs/>
          <w:color w:val="555555"/>
          <w:sz w:val="24"/>
          <w:szCs w:val="24"/>
        </w:rPr>
        <w:t xml:space="preserve">Figure 3: RACI Matrix – </w:t>
      </w:r>
      <w:proofErr w:type="spellStart"/>
      <w:r w:rsidRPr="003A06AF">
        <w:rPr>
          <w:rFonts w:ascii="Times New Roman" w:hAnsi="Times New Roman" w:cs="Times New Roman"/>
          <w:i/>
          <w:iCs/>
          <w:color w:val="555555"/>
          <w:sz w:val="24"/>
          <w:szCs w:val="24"/>
        </w:rPr>
        <w:t>StaySmart</w:t>
      </w:r>
      <w:proofErr w:type="spellEnd"/>
      <w:r w:rsidRPr="003A06AF">
        <w:rPr>
          <w:rFonts w:ascii="Times New Roman" w:hAnsi="Times New Roman" w:cs="Times New Roman"/>
          <w:i/>
          <w:iCs/>
          <w:color w:val="555555"/>
          <w:sz w:val="24"/>
          <w:szCs w:val="24"/>
        </w:rPr>
        <w:t>+ Project Workstreams (Author's own, based on PMI, 2021)</w:t>
      </w:r>
    </w:p>
    <w:p w14:paraId="04D54DDC" w14:textId="77777777" w:rsidR="00D357AF" w:rsidRPr="003A06AF" w:rsidRDefault="00D357AF" w:rsidP="003A06AF">
      <w:pPr>
        <w:spacing w:before="60" w:after="60" w:line="360" w:lineRule="auto"/>
        <w:rPr>
          <w:rFonts w:ascii="Times New Roman" w:hAnsi="Times New Roman" w:cs="Times New Roman"/>
          <w:sz w:val="24"/>
          <w:szCs w:val="24"/>
        </w:rPr>
      </w:pPr>
    </w:p>
    <w:p w14:paraId="7D222F4C" w14:textId="0E6E6B8D" w:rsidR="00D357AF" w:rsidRPr="003A06AF" w:rsidRDefault="00000000" w:rsidP="003A06AF">
      <w:pPr>
        <w:spacing w:line="360" w:lineRule="auto"/>
        <w:rPr>
          <w:rFonts w:ascii="Times New Roman" w:hAnsi="Times New Roman" w:cs="Times New Roman"/>
          <w:sz w:val="24"/>
          <w:szCs w:val="24"/>
        </w:rPr>
      </w:pPr>
      <w:proofErr w:type="gramStart"/>
      <w:r w:rsidRPr="003A06AF">
        <w:rPr>
          <w:rFonts w:ascii="Times New Roman" w:hAnsi="Times New Roman" w:cs="Times New Roman"/>
          <w:b/>
          <w:bCs/>
          <w:color w:val="1F3864"/>
          <w:sz w:val="24"/>
          <w:szCs w:val="24"/>
        </w:rPr>
        <w:t>5.0  Frameworks</w:t>
      </w:r>
      <w:proofErr w:type="gramEnd"/>
      <w:r w:rsidRPr="003A06AF">
        <w:rPr>
          <w:rFonts w:ascii="Times New Roman" w:hAnsi="Times New Roman" w:cs="Times New Roman"/>
          <w:b/>
          <w:bCs/>
          <w:color w:val="1F3864"/>
          <w:sz w:val="24"/>
          <w:szCs w:val="24"/>
        </w:rPr>
        <w:t xml:space="preserve"> and Models for Stakeholder Engagement</w:t>
      </w:r>
    </w:p>
    <w:p w14:paraId="237D7265" w14:textId="77777777" w:rsidR="00D357AF" w:rsidRPr="003A06AF" w:rsidRDefault="00000000" w:rsidP="003A06AF">
      <w:pPr>
        <w:pStyle w:val="Heading2"/>
        <w:spacing w:after="100" w:line="360" w:lineRule="auto"/>
        <w:rPr>
          <w:rFonts w:ascii="Times New Roman" w:hAnsi="Times New Roman" w:cs="Times New Roman"/>
          <w:sz w:val="24"/>
          <w:szCs w:val="24"/>
        </w:rPr>
      </w:pPr>
      <w:proofErr w:type="gramStart"/>
      <w:r w:rsidRPr="003A06AF">
        <w:rPr>
          <w:rFonts w:ascii="Times New Roman" w:hAnsi="Times New Roman" w:cs="Times New Roman"/>
          <w:sz w:val="24"/>
          <w:szCs w:val="24"/>
        </w:rPr>
        <w:t xml:space="preserve">5.1  </w:t>
      </w:r>
      <w:proofErr w:type="spellStart"/>
      <w:r w:rsidRPr="003A06AF">
        <w:rPr>
          <w:rFonts w:ascii="Times New Roman" w:hAnsi="Times New Roman" w:cs="Times New Roman"/>
          <w:sz w:val="24"/>
          <w:szCs w:val="24"/>
        </w:rPr>
        <w:t>Mendelow's</w:t>
      </w:r>
      <w:proofErr w:type="spellEnd"/>
      <w:proofErr w:type="gramEnd"/>
      <w:r w:rsidRPr="003A06AF">
        <w:rPr>
          <w:rFonts w:ascii="Times New Roman" w:hAnsi="Times New Roman" w:cs="Times New Roman"/>
          <w:sz w:val="24"/>
          <w:szCs w:val="24"/>
        </w:rPr>
        <w:t xml:space="preserve"> Power/Interest Matrix</w:t>
      </w:r>
    </w:p>
    <w:p w14:paraId="34135538" w14:textId="77777777" w:rsidR="003A06AF" w:rsidRDefault="003A06AF" w:rsidP="003A06AF">
      <w:pPr>
        <w:pStyle w:val="NormalWeb"/>
        <w:spacing w:line="360" w:lineRule="auto"/>
        <w:rPr>
          <w:color w:val="000000"/>
        </w:rPr>
      </w:pPr>
      <w:r>
        <w:rPr>
          <w:color w:val="000000"/>
        </w:rPr>
        <w:t xml:space="preserve">The Power/Interest Matrix by </w:t>
      </w:r>
      <w:proofErr w:type="spellStart"/>
      <w:r>
        <w:rPr>
          <w:color w:val="000000"/>
        </w:rPr>
        <w:t>Mendelow</w:t>
      </w:r>
      <w:proofErr w:type="spellEnd"/>
      <w:r>
        <w:rPr>
          <w:color w:val="000000"/>
        </w:rPr>
        <w:t xml:space="preserve"> (2021), is a very effective and practical method of stakeholder mapping that enables project managers to develop an appropriate strategy to engage with their stakeholders based on two major factors: how much influence a particular stakeholder has on the outcome of the project, and how much that stakeholder cares about whether the project will be successful or not. The framework is designed so that different stakeholder groups can be developed into differentiated, efficient, and relevant engagement strategies to meet the individual needs and influence of each stakeholder group (Olander &amp; Landin, 2020).</w:t>
      </w:r>
      <w:r>
        <w:rPr>
          <w:color w:val="000000"/>
        </w:rPr>
        <w:br/>
        <w:t xml:space="preserve">Within the context of the </w:t>
      </w:r>
      <w:proofErr w:type="spellStart"/>
      <w:r>
        <w:rPr>
          <w:color w:val="000000"/>
        </w:rPr>
        <w:t>StaySmart</w:t>
      </w:r>
      <w:proofErr w:type="spellEnd"/>
      <w:r>
        <w:rPr>
          <w:color w:val="000000"/>
        </w:rPr>
        <w:t xml:space="preserve">+ project, the Board of Directors, the Senior Executive Team, and IT Development Teams would be located in the "Manage Closely" quadrant of the matrix as they hold both high levels of organisational power and high levels of project interest. These stakeholders therefore need to be engaged with on a regular, and bidirectionally, i.e., both ways, basis, which will require the Project Manager to invest considerable amounts of time and resources to ensure their continued support and participation in the project. On the other hand, the investors and regulatory bodies will be classified as "Keep Satisfied" stakeholders because they hold large formal </w:t>
      </w:r>
      <w:proofErr w:type="gramStart"/>
      <w:r>
        <w:rPr>
          <w:color w:val="000000"/>
        </w:rPr>
        <w:t>authorities, but</w:t>
      </w:r>
      <w:proofErr w:type="gramEnd"/>
      <w:r>
        <w:rPr>
          <w:color w:val="000000"/>
        </w:rPr>
        <w:t xml:space="preserve"> are less involved in the day-to-day project activities. Therefore, it is sufficient to provide them with high quality and regularly reported information, </w:t>
      </w:r>
      <w:proofErr w:type="gramStart"/>
      <w:r>
        <w:rPr>
          <w:color w:val="000000"/>
        </w:rPr>
        <w:t>in order to</w:t>
      </w:r>
      <w:proofErr w:type="gramEnd"/>
      <w:r>
        <w:rPr>
          <w:color w:val="000000"/>
        </w:rPr>
        <w:t xml:space="preserve"> maintain their support for the project. As guests are placed in the "Keep Informed" quadrant, this reflects their high level of personal interest in the service offered, but their limited formal powers regarding the strategic decision-making process of the project. However, as Yang et al. (2020) point out, the continuous feedback from guests and their ability to adopt the services provided, will greatly affect the commercial performance of the business in the long term. Therefore, although guests are formally advisory, their engagement is also commercially necessary.</w:t>
      </w:r>
    </w:p>
    <w:p w14:paraId="38BFF8F7" w14:textId="77777777" w:rsidR="003A06AF" w:rsidRDefault="003A06AF" w:rsidP="003A06AF">
      <w:pPr>
        <w:pStyle w:val="NormalWeb"/>
        <w:spacing w:line="360" w:lineRule="auto"/>
        <w:rPr>
          <w:color w:val="000000"/>
        </w:rPr>
      </w:pPr>
    </w:p>
    <w:p w14:paraId="3144D1B7" w14:textId="77777777" w:rsidR="003A06AF" w:rsidRDefault="003A06AF" w:rsidP="003A06AF">
      <w:pPr>
        <w:pStyle w:val="NormalWeb"/>
        <w:spacing w:line="360" w:lineRule="auto"/>
        <w:rPr>
          <w:color w:val="000000"/>
        </w:rPr>
      </w:pPr>
    </w:p>
    <w:p w14:paraId="774C91B2" w14:textId="77777777" w:rsidR="00D357AF" w:rsidRPr="003A06AF" w:rsidRDefault="00D357AF" w:rsidP="003A06AF">
      <w:pPr>
        <w:spacing w:before="60" w:after="60" w:line="360" w:lineRule="auto"/>
        <w:rPr>
          <w:rFonts w:ascii="Times New Roman" w:hAnsi="Times New Roman" w:cs="Times New Roman"/>
          <w:sz w:val="24"/>
          <w:szCs w:val="24"/>
        </w:rPr>
      </w:pPr>
    </w:p>
    <w:p w14:paraId="5EEF6869" w14:textId="77777777" w:rsidR="003A06AF" w:rsidRDefault="003A06AF" w:rsidP="003A06AF">
      <w:pPr>
        <w:spacing w:before="60" w:after="140" w:line="360" w:lineRule="auto"/>
        <w:jc w:val="center"/>
        <w:rPr>
          <w:rFonts w:ascii="Times New Roman" w:hAnsi="Times New Roman" w:cs="Times New Roman"/>
          <w:i/>
          <w:iCs/>
          <w:color w:val="555555"/>
          <w:sz w:val="24"/>
          <w:szCs w:val="24"/>
        </w:rPr>
      </w:pPr>
    </w:p>
    <w:p w14:paraId="7BF3BFBC" w14:textId="5A96EEFA" w:rsidR="003A06AF" w:rsidRDefault="003A06AF" w:rsidP="003A06AF">
      <w:pPr>
        <w:spacing w:before="60" w:after="140" w:line="360" w:lineRule="auto"/>
        <w:jc w:val="center"/>
        <w:rPr>
          <w:rFonts w:ascii="Times New Roman" w:hAnsi="Times New Roman" w:cs="Times New Roman"/>
          <w:i/>
          <w:iCs/>
          <w:color w:val="555555"/>
          <w:sz w:val="24"/>
          <w:szCs w:val="24"/>
        </w:rPr>
      </w:pPr>
      <w:r>
        <w:rPr>
          <w:rFonts w:ascii="Times New Roman" w:hAnsi="Times New Roman" w:cs="Times New Roman"/>
          <w:i/>
          <w:iCs/>
          <w:noProof/>
          <w:color w:val="555555"/>
          <w:sz w:val="24"/>
          <w:szCs w:val="24"/>
        </w:rPr>
        <w:lastRenderedPageBreak/>
        <w:drawing>
          <wp:inline distT="0" distB="0" distL="0" distR="0" wp14:anchorId="6B5AC9E1" wp14:editId="11467D7E">
            <wp:extent cx="5960110" cy="3103880"/>
            <wp:effectExtent l="0" t="0" r="0" b="0"/>
            <wp:docPr id="2099592285" name="Picture 2" descr="A char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592285" name="Picture 2" descr="A chart with text and images&#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960110" cy="3103880"/>
                    </a:xfrm>
                    <a:prstGeom prst="rect">
                      <a:avLst/>
                    </a:prstGeom>
                  </pic:spPr>
                </pic:pic>
              </a:graphicData>
            </a:graphic>
          </wp:inline>
        </w:drawing>
      </w:r>
    </w:p>
    <w:p w14:paraId="4230DE46" w14:textId="2339D02B" w:rsidR="00D357AF" w:rsidRPr="003A06AF" w:rsidRDefault="00000000" w:rsidP="003A06AF">
      <w:pPr>
        <w:spacing w:before="60" w:after="140" w:line="360" w:lineRule="auto"/>
        <w:jc w:val="center"/>
        <w:rPr>
          <w:rFonts w:ascii="Times New Roman" w:hAnsi="Times New Roman" w:cs="Times New Roman"/>
          <w:sz w:val="24"/>
          <w:szCs w:val="24"/>
        </w:rPr>
      </w:pPr>
      <w:r w:rsidRPr="003A06AF">
        <w:rPr>
          <w:rFonts w:ascii="Times New Roman" w:hAnsi="Times New Roman" w:cs="Times New Roman"/>
          <w:i/>
          <w:iCs/>
          <w:color w:val="555555"/>
          <w:sz w:val="24"/>
          <w:szCs w:val="24"/>
        </w:rPr>
        <w:t xml:space="preserve">Figure 4: Power/Interest Stakeholder Matrix applied to the </w:t>
      </w:r>
      <w:proofErr w:type="spellStart"/>
      <w:r w:rsidRPr="003A06AF">
        <w:rPr>
          <w:rFonts w:ascii="Times New Roman" w:hAnsi="Times New Roman" w:cs="Times New Roman"/>
          <w:i/>
          <w:iCs/>
          <w:color w:val="555555"/>
          <w:sz w:val="24"/>
          <w:szCs w:val="24"/>
        </w:rPr>
        <w:t>StaySmart</w:t>
      </w:r>
      <w:proofErr w:type="spellEnd"/>
      <w:r w:rsidRPr="003A06AF">
        <w:rPr>
          <w:rFonts w:ascii="Times New Roman" w:hAnsi="Times New Roman" w:cs="Times New Roman"/>
          <w:i/>
          <w:iCs/>
          <w:color w:val="555555"/>
          <w:sz w:val="24"/>
          <w:szCs w:val="24"/>
        </w:rPr>
        <w:t xml:space="preserve">+ Project (Author's own, based on </w:t>
      </w:r>
      <w:proofErr w:type="spellStart"/>
      <w:r w:rsidRPr="003A06AF">
        <w:rPr>
          <w:rFonts w:ascii="Times New Roman" w:hAnsi="Times New Roman" w:cs="Times New Roman"/>
          <w:i/>
          <w:iCs/>
          <w:color w:val="555555"/>
          <w:sz w:val="24"/>
          <w:szCs w:val="24"/>
        </w:rPr>
        <w:t>Mendelow</w:t>
      </w:r>
      <w:proofErr w:type="spellEnd"/>
      <w:r w:rsidRPr="003A06AF">
        <w:rPr>
          <w:rFonts w:ascii="Times New Roman" w:hAnsi="Times New Roman" w:cs="Times New Roman"/>
          <w:i/>
          <w:iCs/>
          <w:color w:val="555555"/>
          <w:sz w:val="24"/>
          <w:szCs w:val="24"/>
        </w:rPr>
        <w:t>, 2021)</w:t>
      </w:r>
    </w:p>
    <w:p w14:paraId="67CC0A4E" w14:textId="77777777" w:rsidR="00D357AF" w:rsidRPr="003A06AF" w:rsidRDefault="00D357AF" w:rsidP="003A06AF">
      <w:pPr>
        <w:spacing w:before="60" w:after="60" w:line="360" w:lineRule="auto"/>
        <w:rPr>
          <w:rFonts w:ascii="Times New Roman" w:hAnsi="Times New Roman" w:cs="Times New Roman"/>
          <w:sz w:val="24"/>
          <w:szCs w:val="24"/>
        </w:rPr>
      </w:pPr>
    </w:p>
    <w:p w14:paraId="19B43B3D" w14:textId="77777777" w:rsidR="00D357AF" w:rsidRPr="003A06AF" w:rsidRDefault="00000000" w:rsidP="003A06AF">
      <w:pPr>
        <w:pStyle w:val="Heading2"/>
        <w:spacing w:after="100" w:line="360" w:lineRule="auto"/>
        <w:rPr>
          <w:rFonts w:ascii="Times New Roman" w:hAnsi="Times New Roman" w:cs="Times New Roman"/>
          <w:sz w:val="24"/>
          <w:szCs w:val="24"/>
        </w:rPr>
      </w:pPr>
      <w:proofErr w:type="gramStart"/>
      <w:r w:rsidRPr="003A06AF">
        <w:rPr>
          <w:rFonts w:ascii="Times New Roman" w:hAnsi="Times New Roman" w:cs="Times New Roman"/>
          <w:sz w:val="24"/>
          <w:szCs w:val="24"/>
        </w:rPr>
        <w:t>5.2  Stakeholder</w:t>
      </w:r>
      <w:proofErr w:type="gramEnd"/>
      <w:r w:rsidRPr="003A06AF">
        <w:rPr>
          <w:rFonts w:ascii="Times New Roman" w:hAnsi="Times New Roman" w:cs="Times New Roman"/>
          <w:sz w:val="24"/>
          <w:szCs w:val="24"/>
        </w:rPr>
        <w:t xml:space="preserve"> Engagement and Communication Plans</w:t>
      </w:r>
    </w:p>
    <w:p w14:paraId="00C8EA17" w14:textId="77777777" w:rsidR="003A06AF" w:rsidRDefault="003A06AF" w:rsidP="003A06AF">
      <w:pPr>
        <w:pStyle w:val="NormalWeb"/>
        <w:spacing w:line="360" w:lineRule="auto"/>
        <w:rPr>
          <w:color w:val="000000"/>
        </w:rPr>
      </w:pPr>
      <w:r>
        <w:rPr>
          <w:color w:val="000000"/>
        </w:rPr>
        <w:t xml:space="preserve">Stakeholder engagement </w:t>
      </w:r>
      <w:proofErr w:type="gramStart"/>
      <w:r>
        <w:rPr>
          <w:color w:val="000000"/>
        </w:rPr>
        <w:t>has to</w:t>
      </w:r>
      <w:proofErr w:type="gramEnd"/>
      <w:r>
        <w:rPr>
          <w:color w:val="000000"/>
        </w:rPr>
        <w:t xml:space="preserve"> be based upon a formal structure of communication which delivers the appropriate message, to the appropriate audience, via the most effective method, at the most suitable time and in an appropriate medium to meet the individual needs of each stakeholder grouping (</w:t>
      </w:r>
      <w:proofErr w:type="spellStart"/>
      <w:r>
        <w:rPr>
          <w:color w:val="000000"/>
        </w:rPr>
        <w:t>Bourne</w:t>
      </w:r>
      <w:proofErr w:type="spellEnd"/>
      <w:r>
        <w:rPr>
          <w:color w:val="000000"/>
        </w:rPr>
        <w:t xml:space="preserve">, 2020). Below outlines how the </w:t>
      </w:r>
      <w:proofErr w:type="spellStart"/>
      <w:r>
        <w:rPr>
          <w:color w:val="000000"/>
        </w:rPr>
        <w:t>StaySmart</w:t>
      </w:r>
      <w:proofErr w:type="spellEnd"/>
      <w:r>
        <w:rPr>
          <w:color w:val="000000"/>
        </w:rPr>
        <w:t xml:space="preserve">+ project will realise this principle as per </w:t>
      </w:r>
      <w:proofErr w:type="spellStart"/>
      <w:r>
        <w:rPr>
          <w:color w:val="000000"/>
        </w:rPr>
        <w:t>Roloff's</w:t>
      </w:r>
      <w:proofErr w:type="spellEnd"/>
      <w:r>
        <w:rPr>
          <w:color w:val="000000"/>
        </w:rPr>
        <w:t xml:space="preserve"> (2021) assertion that all multi-stakeholder networks need issue-based communication strategies to account for the different communication needs of each stakeholder group.</w:t>
      </w:r>
    </w:p>
    <w:p w14:paraId="5722271A" w14:textId="77777777" w:rsidR="003A06AF" w:rsidRDefault="003A06AF" w:rsidP="003A06AF">
      <w:pPr>
        <w:pStyle w:val="NormalWeb"/>
        <w:spacing w:line="360" w:lineRule="auto"/>
        <w:rPr>
          <w:color w:val="000000"/>
        </w:rPr>
      </w:pPr>
    </w:p>
    <w:p w14:paraId="28D4A528" w14:textId="77777777" w:rsidR="003A06AF" w:rsidRDefault="003A06AF" w:rsidP="003A06AF">
      <w:pPr>
        <w:pStyle w:val="NormalWeb"/>
        <w:spacing w:line="360" w:lineRule="auto"/>
        <w:rPr>
          <w:color w:val="000000"/>
        </w:rPr>
      </w:pPr>
    </w:p>
    <w:p w14:paraId="603B07B0" w14:textId="77777777" w:rsidR="003A06AF" w:rsidRDefault="003A06AF" w:rsidP="003A06AF">
      <w:pPr>
        <w:pStyle w:val="NormalWeb"/>
        <w:spacing w:line="360" w:lineRule="auto"/>
        <w:rPr>
          <w:color w:val="000000"/>
        </w:rPr>
      </w:pPr>
    </w:p>
    <w:p w14:paraId="29D93B99" w14:textId="77777777" w:rsidR="003A06AF" w:rsidRDefault="003A06AF" w:rsidP="003A06AF">
      <w:pPr>
        <w:pStyle w:val="NormalWeb"/>
        <w:spacing w:line="360" w:lineRule="auto"/>
        <w:rPr>
          <w:color w:val="000000"/>
        </w:rPr>
      </w:pPr>
    </w:p>
    <w:p w14:paraId="74C4993A" w14:textId="77777777" w:rsidR="00D357AF" w:rsidRPr="003A06AF" w:rsidRDefault="00D357AF" w:rsidP="003A06AF">
      <w:pPr>
        <w:spacing w:before="60" w:after="60" w:line="360" w:lineRule="auto"/>
        <w:rPr>
          <w:rFonts w:ascii="Times New Roman" w:hAnsi="Times New Roman" w:cs="Times New Roman"/>
          <w:sz w:val="24"/>
          <w:szCs w:val="24"/>
        </w:rPr>
      </w:pPr>
    </w:p>
    <w:p w14:paraId="06015337" w14:textId="2AF97BE0" w:rsidR="003A06AF" w:rsidRDefault="003A06AF" w:rsidP="003A06AF">
      <w:pPr>
        <w:spacing w:before="60" w:after="140" w:line="360" w:lineRule="auto"/>
        <w:jc w:val="center"/>
        <w:rPr>
          <w:rFonts w:ascii="Times New Roman" w:hAnsi="Times New Roman" w:cs="Times New Roman"/>
          <w:i/>
          <w:iCs/>
          <w:color w:val="555555"/>
          <w:sz w:val="24"/>
          <w:szCs w:val="24"/>
        </w:rPr>
      </w:pPr>
      <w:r>
        <w:rPr>
          <w:rFonts w:ascii="Times New Roman" w:hAnsi="Times New Roman" w:cs="Times New Roman"/>
          <w:i/>
          <w:iCs/>
          <w:noProof/>
          <w:color w:val="555555"/>
          <w:sz w:val="24"/>
          <w:szCs w:val="24"/>
        </w:rPr>
        <w:lastRenderedPageBreak/>
        <w:drawing>
          <wp:inline distT="0" distB="0" distL="0" distR="0" wp14:anchorId="40121C03" wp14:editId="0B56E3AE">
            <wp:extent cx="5960110" cy="5679440"/>
            <wp:effectExtent l="0" t="0" r="0" b="0"/>
            <wp:docPr id="983016609"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16609" name="Picture 3"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60110" cy="5679440"/>
                    </a:xfrm>
                    <a:prstGeom prst="rect">
                      <a:avLst/>
                    </a:prstGeom>
                  </pic:spPr>
                </pic:pic>
              </a:graphicData>
            </a:graphic>
          </wp:inline>
        </w:drawing>
      </w:r>
    </w:p>
    <w:p w14:paraId="55C15612" w14:textId="0DD02AA9" w:rsidR="00D357AF" w:rsidRPr="003A06AF" w:rsidRDefault="00000000" w:rsidP="003A06AF">
      <w:pPr>
        <w:spacing w:before="60" w:after="140" w:line="360" w:lineRule="auto"/>
        <w:jc w:val="center"/>
        <w:rPr>
          <w:rFonts w:ascii="Times New Roman" w:hAnsi="Times New Roman" w:cs="Times New Roman"/>
          <w:sz w:val="24"/>
          <w:szCs w:val="24"/>
        </w:rPr>
      </w:pPr>
      <w:r w:rsidRPr="003A06AF">
        <w:rPr>
          <w:rFonts w:ascii="Times New Roman" w:hAnsi="Times New Roman" w:cs="Times New Roman"/>
          <w:i/>
          <w:iCs/>
          <w:color w:val="555555"/>
          <w:sz w:val="24"/>
          <w:szCs w:val="24"/>
        </w:rPr>
        <w:t xml:space="preserve">Figure 5: Stakeholder Communication Plan – </w:t>
      </w:r>
      <w:proofErr w:type="spellStart"/>
      <w:r w:rsidRPr="003A06AF">
        <w:rPr>
          <w:rFonts w:ascii="Times New Roman" w:hAnsi="Times New Roman" w:cs="Times New Roman"/>
          <w:i/>
          <w:iCs/>
          <w:color w:val="555555"/>
          <w:sz w:val="24"/>
          <w:szCs w:val="24"/>
        </w:rPr>
        <w:t>StaySmart</w:t>
      </w:r>
      <w:proofErr w:type="spellEnd"/>
      <w:r w:rsidRPr="003A06AF">
        <w:rPr>
          <w:rFonts w:ascii="Times New Roman" w:hAnsi="Times New Roman" w:cs="Times New Roman"/>
          <w:i/>
          <w:iCs/>
          <w:color w:val="555555"/>
          <w:sz w:val="24"/>
          <w:szCs w:val="24"/>
        </w:rPr>
        <w:t>+ Project (Author's own, 2025)</w:t>
      </w:r>
    </w:p>
    <w:p w14:paraId="750FC85A" w14:textId="77777777" w:rsidR="00D357AF" w:rsidRPr="003A06AF" w:rsidRDefault="00D357AF" w:rsidP="003A06AF">
      <w:pPr>
        <w:spacing w:before="60" w:after="60" w:line="360" w:lineRule="auto"/>
        <w:rPr>
          <w:rFonts w:ascii="Times New Roman" w:hAnsi="Times New Roman" w:cs="Times New Roman"/>
          <w:sz w:val="24"/>
          <w:szCs w:val="24"/>
        </w:rPr>
      </w:pPr>
    </w:p>
    <w:p w14:paraId="2995E510" w14:textId="77777777" w:rsidR="00D357AF" w:rsidRPr="003A06AF" w:rsidRDefault="00D357AF" w:rsidP="003A06AF">
      <w:pPr>
        <w:spacing w:before="60" w:after="60" w:line="360" w:lineRule="auto"/>
        <w:rPr>
          <w:rFonts w:ascii="Times New Roman" w:hAnsi="Times New Roman" w:cs="Times New Roman"/>
          <w:sz w:val="24"/>
          <w:szCs w:val="24"/>
        </w:rPr>
      </w:pPr>
    </w:p>
    <w:p w14:paraId="768161F6"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br w:type="page"/>
      </w:r>
    </w:p>
    <w:p w14:paraId="5C9821B0" w14:textId="77777777" w:rsidR="00D357AF" w:rsidRPr="003A06AF" w:rsidRDefault="00000000" w:rsidP="003A06AF">
      <w:pPr>
        <w:pStyle w:val="Heading1"/>
        <w:spacing w:line="360" w:lineRule="auto"/>
        <w:rPr>
          <w:rFonts w:ascii="Times New Roman" w:hAnsi="Times New Roman" w:cs="Times New Roman"/>
          <w:sz w:val="24"/>
          <w:szCs w:val="24"/>
        </w:rPr>
      </w:pPr>
      <w:proofErr w:type="gramStart"/>
      <w:r w:rsidRPr="003A06AF">
        <w:rPr>
          <w:rFonts w:ascii="Times New Roman" w:hAnsi="Times New Roman" w:cs="Times New Roman"/>
          <w:sz w:val="24"/>
          <w:szCs w:val="24"/>
        </w:rPr>
        <w:lastRenderedPageBreak/>
        <w:t>6.0  Process</w:t>
      </w:r>
      <w:proofErr w:type="gramEnd"/>
      <w:r w:rsidRPr="003A06AF">
        <w:rPr>
          <w:rFonts w:ascii="Times New Roman" w:hAnsi="Times New Roman" w:cs="Times New Roman"/>
          <w:sz w:val="24"/>
          <w:szCs w:val="24"/>
        </w:rPr>
        <w:t xml:space="preserve"> of Stakeholder Engagement and Conflict Management</w:t>
      </w:r>
    </w:p>
    <w:p w14:paraId="5351386D" w14:textId="77777777" w:rsidR="00D357AF" w:rsidRPr="003A06AF" w:rsidRDefault="00000000" w:rsidP="003A06AF">
      <w:pPr>
        <w:pStyle w:val="Heading2"/>
        <w:spacing w:after="100" w:line="360" w:lineRule="auto"/>
        <w:rPr>
          <w:rFonts w:ascii="Times New Roman" w:hAnsi="Times New Roman" w:cs="Times New Roman"/>
          <w:sz w:val="24"/>
          <w:szCs w:val="24"/>
        </w:rPr>
      </w:pPr>
      <w:proofErr w:type="gramStart"/>
      <w:r w:rsidRPr="003A06AF">
        <w:rPr>
          <w:rFonts w:ascii="Times New Roman" w:hAnsi="Times New Roman" w:cs="Times New Roman"/>
          <w:sz w:val="24"/>
          <w:szCs w:val="24"/>
        </w:rPr>
        <w:t>6.1  The</w:t>
      </w:r>
      <w:proofErr w:type="gramEnd"/>
      <w:r w:rsidRPr="003A06AF">
        <w:rPr>
          <w:rFonts w:ascii="Times New Roman" w:hAnsi="Times New Roman" w:cs="Times New Roman"/>
          <w:sz w:val="24"/>
          <w:szCs w:val="24"/>
        </w:rPr>
        <w:t xml:space="preserve"> 4C's Model of Stakeholder Engagement</w:t>
      </w:r>
    </w:p>
    <w:p w14:paraId="718F93B6" w14:textId="77777777" w:rsidR="00D357AF" w:rsidRPr="003A06AF" w:rsidRDefault="00D357AF" w:rsidP="003A06AF">
      <w:pPr>
        <w:spacing w:before="60" w:after="60" w:line="360" w:lineRule="auto"/>
        <w:rPr>
          <w:rFonts w:ascii="Times New Roman" w:hAnsi="Times New Roman" w:cs="Times New Roman"/>
          <w:sz w:val="24"/>
          <w:szCs w:val="24"/>
        </w:rPr>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47"/>
        <w:gridCol w:w="3625"/>
        <w:gridCol w:w="3628"/>
      </w:tblGrid>
      <w:tr w:rsidR="00D357AF" w:rsidRPr="003A06AF" w14:paraId="5A014F2B" w14:textId="77777777">
        <w:tblPrEx>
          <w:tblCellMar>
            <w:top w:w="0" w:type="dxa"/>
            <w:bottom w:w="0" w:type="dxa"/>
          </w:tblCellMar>
        </w:tblPrEx>
        <w:tc>
          <w:tcPr>
            <w:tcW w:w="16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00" w:type="dxa"/>
              <w:bottom w:w="80" w:type="dxa"/>
              <w:right w:w="100" w:type="dxa"/>
            </w:tcMar>
          </w:tcPr>
          <w:p w14:paraId="2C22AA06"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color w:val="FFFFFF"/>
                <w:sz w:val="24"/>
                <w:szCs w:val="24"/>
              </w:rPr>
              <w:t>4C's Dimension</w:t>
            </w:r>
          </w:p>
        </w:tc>
        <w:tc>
          <w:tcPr>
            <w:tcW w:w="37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00" w:type="dxa"/>
              <w:bottom w:w="80" w:type="dxa"/>
              <w:right w:w="100" w:type="dxa"/>
            </w:tcMar>
          </w:tcPr>
          <w:p w14:paraId="48E17A3A"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color w:val="FFFFFF"/>
                <w:sz w:val="24"/>
                <w:szCs w:val="24"/>
              </w:rPr>
              <w:t>Description</w:t>
            </w:r>
          </w:p>
        </w:tc>
        <w:tc>
          <w:tcPr>
            <w:tcW w:w="37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00" w:type="dxa"/>
              <w:bottom w:w="80" w:type="dxa"/>
              <w:right w:w="100" w:type="dxa"/>
            </w:tcMar>
          </w:tcPr>
          <w:p w14:paraId="0D1AD8F1"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color w:val="FFFFFF"/>
                <w:sz w:val="24"/>
                <w:szCs w:val="24"/>
              </w:rPr>
              <w:t xml:space="preserve">Application in </w:t>
            </w:r>
            <w:proofErr w:type="spellStart"/>
            <w:r w:rsidRPr="003A06AF">
              <w:rPr>
                <w:rFonts w:ascii="Times New Roman" w:hAnsi="Times New Roman" w:cs="Times New Roman"/>
                <w:b/>
                <w:bCs/>
                <w:color w:val="FFFFFF"/>
                <w:sz w:val="24"/>
                <w:szCs w:val="24"/>
              </w:rPr>
              <w:t>StaySmart</w:t>
            </w:r>
            <w:proofErr w:type="spellEnd"/>
            <w:r w:rsidRPr="003A06AF">
              <w:rPr>
                <w:rFonts w:ascii="Times New Roman" w:hAnsi="Times New Roman" w:cs="Times New Roman"/>
                <w:b/>
                <w:bCs/>
                <w:color w:val="FFFFFF"/>
                <w:sz w:val="24"/>
                <w:szCs w:val="24"/>
              </w:rPr>
              <w:t>+ Project</w:t>
            </w:r>
          </w:p>
        </w:tc>
      </w:tr>
      <w:tr w:rsidR="00D357AF" w:rsidRPr="003A06AF" w14:paraId="0BAA9A8B" w14:textId="77777777">
        <w:tblPrEx>
          <w:tblCellMar>
            <w:top w:w="0" w:type="dxa"/>
            <w:bottom w:w="0" w:type="dxa"/>
          </w:tblCellMar>
        </w:tblPrEx>
        <w:tc>
          <w:tcPr>
            <w:tcW w:w="1600" w:type="dxa"/>
            <w:tcBorders>
              <w:top w:val="single" w:sz="6" w:space="0" w:color="CCCCCC"/>
              <w:left w:val="single" w:sz="6" w:space="0" w:color="CCCCCC"/>
              <w:bottom w:val="single" w:sz="6" w:space="0" w:color="CCCCCC"/>
              <w:right w:val="single" w:sz="6" w:space="0" w:color="CCCCCC"/>
            </w:tcBorders>
            <w:shd w:val="clear" w:color="auto" w:fill="D6E4F0"/>
            <w:tcMar>
              <w:top w:w="80" w:type="dxa"/>
              <w:left w:w="100" w:type="dxa"/>
              <w:bottom w:w="80" w:type="dxa"/>
              <w:right w:w="100" w:type="dxa"/>
            </w:tcMar>
          </w:tcPr>
          <w:p w14:paraId="7F47189B"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Communication</w:t>
            </w:r>
          </w:p>
        </w:tc>
        <w:tc>
          <w:tcPr>
            <w:tcW w:w="3700" w:type="dxa"/>
            <w:tcBorders>
              <w:top w:val="single" w:sz="6" w:space="0" w:color="CCCCCC"/>
              <w:left w:val="single" w:sz="6" w:space="0" w:color="CCCCCC"/>
              <w:bottom w:val="single" w:sz="6" w:space="0" w:color="CCCCCC"/>
              <w:right w:val="single" w:sz="6" w:space="0" w:color="CCCCCC"/>
            </w:tcBorders>
            <w:shd w:val="clear" w:color="auto" w:fill="D6E4F0"/>
            <w:tcMar>
              <w:top w:w="80" w:type="dxa"/>
              <w:left w:w="100" w:type="dxa"/>
              <w:bottom w:w="80" w:type="dxa"/>
              <w:right w:w="100" w:type="dxa"/>
            </w:tcMar>
          </w:tcPr>
          <w:p w14:paraId="6587F967"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 xml:space="preserve">Establishing transparent, consistent information exchange with all stakeholder groups through tailored channels, ensuring clarity of </w:t>
            </w:r>
            <w:proofErr w:type="spellStart"/>
            <w:r w:rsidRPr="003A06AF">
              <w:rPr>
                <w:rFonts w:ascii="Times New Roman" w:hAnsi="Times New Roman" w:cs="Times New Roman"/>
                <w:sz w:val="24"/>
                <w:szCs w:val="24"/>
              </w:rPr>
              <w:t>StaySmart</w:t>
            </w:r>
            <w:proofErr w:type="spellEnd"/>
            <w:r w:rsidRPr="003A06AF">
              <w:rPr>
                <w:rFonts w:ascii="Times New Roman" w:hAnsi="Times New Roman" w:cs="Times New Roman"/>
                <w:sz w:val="24"/>
                <w:szCs w:val="24"/>
              </w:rPr>
              <w:t>+ project objectives, timelines, and expectations.</w:t>
            </w:r>
          </w:p>
        </w:tc>
        <w:tc>
          <w:tcPr>
            <w:tcW w:w="3700" w:type="dxa"/>
            <w:tcBorders>
              <w:top w:val="single" w:sz="6" w:space="0" w:color="CCCCCC"/>
              <w:left w:val="single" w:sz="6" w:space="0" w:color="CCCCCC"/>
              <w:bottom w:val="single" w:sz="6" w:space="0" w:color="CCCCCC"/>
              <w:right w:val="single" w:sz="6" w:space="0" w:color="CCCCCC"/>
            </w:tcBorders>
            <w:shd w:val="clear" w:color="auto" w:fill="D6E4F0"/>
            <w:tcMar>
              <w:top w:w="80" w:type="dxa"/>
              <w:left w:w="100" w:type="dxa"/>
              <w:bottom w:w="80" w:type="dxa"/>
              <w:right w:w="100" w:type="dxa"/>
            </w:tcMar>
          </w:tcPr>
          <w:p w14:paraId="2C77D171"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Weekly project updates via intranet portal, multilingual stakeholder newsletters for international markets, dedicated project communication inbox, and formal monthly steering committee presentations.</w:t>
            </w:r>
          </w:p>
        </w:tc>
      </w:tr>
      <w:tr w:rsidR="00D357AF" w:rsidRPr="003A06AF" w14:paraId="710E783A" w14:textId="77777777">
        <w:tblPrEx>
          <w:tblCellMar>
            <w:top w:w="0" w:type="dxa"/>
            <w:bottom w:w="0" w:type="dxa"/>
          </w:tblCellMar>
        </w:tblPrEx>
        <w:tc>
          <w:tcPr>
            <w:tcW w:w="16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2AF78CB5"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Collaboration</w:t>
            </w:r>
          </w:p>
        </w:tc>
        <w:tc>
          <w:tcPr>
            <w:tcW w:w="37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75DDB6CB"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 xml:space="preserve">Creating shared ownership of the </w:t>
            </w:r>
            <w:proofErr w:type="spellStart"/>
            <w:r w:rsidRPr="003A06AF">
              <w:rPr>
                <w:rFonts w:ascii="Times New Roman" w:hAnsi="Times New Roman" w:cs="Times New Roman"/>
                <w:sz w:val="24"/>
                <w:szCs w:val="24"/>
              </w:rPr>
              <w:t>StaySmart</w:t>
            </w:r>
            <w:proofErr w:type="spellEnd"/>
            <w:r w:rsidRPr="003A06AF">
              <w:rPr>
                <w:rFonts w:ascii="Times New Roman" w:hAnsi="Times New Roman" w:cs="Times New Roman"/>
                <w:sz w:val="24"/>
                <w:szCs w:val="24"/>
              </w:rPr>
              <w:t>+ project by actively involving stakeholders in co-creation workshops, problem-solving exercises, and joint decision-making forums throughout the project lifecycle.</w:t>
            </w:r>
          </w:p>
        </w:tc>
        <w:tc>
          <w:tcPr>
            <w:tcW w:w="37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55BA8F0B"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Cross-functional working groups, AI co-design workshops with technology partners, joint operational readiness testing with hotel operations teams, and guest beta communities for service prototyping.</w:t>
            </w:r>
          </w:p>
        </w:tc>
      </w:tr>
      <w:tr w:rsidR="00D357AF" w:rsidRPr="003A06AF" w14:paraId="7050BBF9" w14:textId="77777777">
        <w:tblPrEx>
          <w:tblCellMar>
            <w:top w:w="0" w:type="dxa"/>
            <w:bottom w:w="0" w:type="dxa"/>
          </w:tblCellMar>
        </w:tblPrEx>
        <w:tc>
          <w:tcPr>
            <w:tcW w:w="1600" w:type="dxa"/>
            <w:tcBorders>
              <w:top w:val="single" w:sz="6" w:space="0" w:color="CCCCCC"/>
              <w:left w:val="single" w:sz="6" w:space="0" w:color="CCCCCC"/>
              <w:bottom w:val="single" w:sz="6" w:space="0" w:color="CCCCCC"/>
              <w:right w:val="single" w:sz="6" w:space="0" w:color="CCCCCC"/>
            </w:tcBorders>
            <w:shd w:val="clear" w:color="auto" w:fill="D6E4F0"/>
            <w:tcMar>
              <w:top w:w="80" w:type="dxa"/>
              <w:left w:w="100" w:type="dxa"/>
              <w:bottom w:w="80" w:type="dxa"/>
              <w:right w:w="100" w:type="dxa"/>
            </w:tcMar>
          </w:tcPr>
          <w:p w14:paraId="5327441A"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Consultation</w:t>
            </w:r>
          </w:p>
        </w:tc>
        <w:tc>
          <w:tcPr>
            <w:tcW w:w="3700" w:type="dxa"/>
            <w:tcBorders>
              <w:top w:val="single" w:sz="6" w:space="0" w:color="CCCCCC"/>
              <w:left w:val="single" w:sz="6" w:space="0" w:color="CCCCCC"/>
              <w:bottom w:val="single" w:sz="6" w:space="0" w:color="CCCCCC"/>
              <w:right w:val="single" w:sz="6" w:space="0" w:color="CCCCCC"/>
            </w:tcBorders>
            <w:shd w:val="clear" w:color="auto" w:fill="D6E4F0"/>
            <w:tcMar>
              <w:top w:w="80" w:type="dxa"/>
              <w:left w:w="100" w:type="dxa"/>
              <w:bottom w:w="80" w:type="dxa"/>
              <w:right w:w="100" w:type="dxa"/>
            </w:tcMar>
          </w:tcPr>
          <w:p w14:paraId="246C7D07"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Systematically seeking and incorporating stakeholder input and feedback at defined project milestones, ensuring that diverse perspectives—including cultural, operational, and ethical viewpoints—inform service design decisions.</w:t>
            </w:r>
          </w:p>
        </w:tc>
        <w:tc>
          <w:tcPr>
            <w:tcW w:w="3700" w:type="dxa"/>
            <w:tcBorders>
              <w:top w:val="single" w:sz="6" w:space="0" w:color="CCCCCC"/>
              <w:left w:val="single" w:sz="6" w:space="0" w:color="CCCCCC"/>
              <w:bottom w:val="single" w:sz="6" w:space="0" w:color="CCCCCC"/>
              <w:right w:val="single" w:sz="6" w:space="0" w:color="CCCCCC"/>
            </w:tcBorders>
            <w:shd w:val="clear" w:color="auto" w:fill="D6E4F0"/>
            <w:tcMar>
              <w:top w:w="80" w:type="dxa"/>
              <w:left w:w="100" w:type="dxa"/>
              <w:bottom w:w="80" w:type="dxa"/>
              <w:right w:w="100" w:type="dxa"/>
            </w:tcMar>
          </w:tcPr>
          <w:p w14:paraId="71053860"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Guest focus groups in target markets, employee feedback surveys, regulatory stakeholder consultations, Board advisory panels, and market-specific consultations with local General Managers.</w:t>
            </w:r>
          </w:p>
        </w:tc>
      </w:tr>
      <w:tr w:rsidR="00D357AF" w:rsidRPr="003A06AF" w14:paraId="5B1EE88C" w14:textId="77777777">
        <w:tblPrEx>
          <w:tblCellMar>
            <w:top w:w="0" w:type="dxa"/>
            <w:bottom w:w="0" w:type="dxa"/>
          </w:tblCellMar>
        </w:tblPrEx>
        <w:tc>
          <w:tcPr>
            <w:tcW w:w="16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64483E75"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Commitment</w:t>
            </w:r>
          </w:p>
        </w:tc>
        <w:tc>
          <w:tcPr>
            <w:tcW w:w="37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42910A36"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 xml:space="preserve">Building and sustaining long-term stakeholder dedication to the project through demonstrated value </w:t>
            </w:r>
            <w:r w:rsidRPr="003A06AF">
              <w:rPr>
                <w:rFonts w:ascii="Times New Roman" w:hAnsi="Times New Roman" w:cs="Times New Roman"/>
                <w:sz w:val="24"/>
                <w:szCs w:val="24"/>
              </w:rPr>
              <w:lastRenderedPageBreak/>
              <w:t>delivery, proactive issue resolution, transparent reporting, and recognition of stakeholder contributions.</w:t>
            </w:r>
          </w:p>
        </w:tc>
        <w:tc>
          <w:tcPr>
            <w:tcW w:w="37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51418F2F"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lastRenderedPageBreak/>
              <w:t xml:space="preserve">Service-level agreements with technology partners, employee adoption incentive schemes, Hilton </w:t>
            </w:r>
            <w:proofErr w:type="spellStart"/>
            <w:r w:rsidRPr="003A06AF">
              <w:rPr>
                <w:rFonts w:ascii="Times New Roman" w:hAnsi="Times New Roman" w:cs="Times New Roman"/>
                <w:sz w:val="24"/>
                <w:szCs w:val="24"/>
              </w:rPr>
              <w:lastRenderedPageBreak/>
              <w:t>Honors</w:t>
            </w:r>
            <w:proofErr w:type="spellEnd"/>
            <w:r w:rsidRPr="003A06AF">
              <w:rPr>
                <w:rFonts w:ascii="Times New Roman" w:hAnsi="Times New Roman" w:cs="Times New Roman"/>
                <w:sz w:val="24"/>
                <w:szCs w:val="24"/>
              </w:rPr>
              <w:t xml:space="preserve"> loyalty programme enhancements for early adopters, and Board-aligned strategic KPI frameworks.</w:t>
            </w:r>
          </w:p>
        </w:tc>
      </w:tr>
    </w:tbl>
    <w:p w14:paraId="4BCC20F8" w14:textId="77777777" w:rsidR="00D357AF" w:rsidRPr="003A06AF" w:rsidRDefault="00000000" w:rsidP="003A06AF">
      <w:pPr>
        <w:spacing w:before="60" w:after="140" w:line="360" w:lineRule="auto"/>
        <w:jc w:val="center"/>
        <w:rPr>
          <w:rFonts w:ascii="Times New Roman" w:hAnsi="Times New Roman" w:cs="Times New Roman"/>
          <w:sz w:val="24"/>
          <w:szCs w:val="24"/>
        </w:rPr>
      </w:pPr>
      <w:r w:rsidRPr="003A06AF">
        <w:rPr>
          <w:rFonts w:ascii="Times New Roman" w:hAnsi="Times New Roman" w:cs="Times New Roman"/>
          <w:i/>
          <w:iCs/>
          <w:color w:val="555555"/>
          <w:sz w:val="24"/>
          <w:szCs w:val="24"/>
        </w:rPr>
        <w:lastRenderedPageBreak/>
        <w:t xml:space="preserve">Figure 6: The 4C's Model of Stakeholder Engagement applied to </w:t>
      </w:r>
      <w:proofErr w:type="spellStart"/>
      <w:r w:rsidRPr="003A06AF">
        <w:rPr>
          <w:rFonts w:ascii="Times New Roman" w:hAnsi="Times New Roman" w:cs="Times New Roman"/>
          <w:i/>
          <w:iCs/>
          <w:color w:val="555555"/>
          <w:sz w:val="24"/>
          <w:szCs w:val="24"/>
        </w:rPr>
        <w:t>StaySmart</w:t>
      </w:r>
      <w:proofErr w:type="spellEnd"/>
      <w:r w:rsidRPr="003A06AF">
        <w:rPr>
          <w:rFonts w:ascii="Times New Roman" w:hAnsi="Times New Roman" w:cs="Times New Roman"/>
          <w:i/>
          <w:iCs/>
          <w:color w:val="555555"/>
          <w:sz w:val="24"/>
          <w:szCs w:val="24"/>
        </w:rPr>
        <w:t>+ (Author's own, 2025)</w:t>
      </w:r>
    </w:p>
    <w:p w14:paraId="176250DD" w14:textId="77777777" w:rsidR="00D357AF" w:rsidRPr="003A06AF" w:rsidRDefault="00000000" w:rsidP="003A06AF">
      <w:pPr>
        <w:pStyle w:val="Heading2"/>
        <w:spacing w:after="100" w:line="360" w:lineRule="auto"/>
        <w:rPr>
          <w:rFonts w:ascii="Times New Roman" w:hAnsi="Times New Roman" w:cs="Times New Roman"/>
          <w:sz w:val="24"/>
          <w:szCs w:val="24"/>
        </w:rPr>
      </w:pPr>
      <w:proofErr w:type="gramStart"/>
      <w:r w:rsidRPr="003A06AF">
        <w:rPr>
          <w:rFonts w:ascii="Times New Roman" w:hAnsi="Times New Roman" w:cs="Times New Roman"/>
          <w:sz w:val="24"/>
          <w:szCs w:val="24"/>
        </w:rPr>
        <w:t>6.2  Conflict</w:t>
      </w:r>
      <w:proofErr w:type="gramEnd"/>
      <w:r w:rsidRPr="003A06AF">
        <w:rPr>
          <w:rFonts w:ascii="Times New Roman" w:hAnsi="Times New Roman" w:cs="Times New Roman"/>
          <w:sz w:val="24"/>
          <w:szCs w:val="24"/>
        </w:rPr>
        <w:t xml:space="preserve"> Management Strategies and My Role as Project Manager</w:t>
      </w:r>
    </w:p>
    <w:p w14:paraId="5C19BA21" w14:textId="77777777" w:rsidR="001B1C17" w:rsidRDefault="001B1C17" w:rsidP="001B1C17">
      <w:pPr>
        <w:pStyle w:val="NormalWeb"/>
        <w:spacing w:line="360" w:lineRule="auto"/>
        <w:rPr>
          <w:color w:val="000000"/>
        </w:rPr>
      </w:pPr>
      <w:r>
        <w:rPr>
          <w:color w:val="000000"/>
        </w:rPr>
        <w:t>Conflict is a natural and foreseeable result of any large-scale, high-stakes, multi-</w:t>
      </w:r>
      <w:proofErr w:type="gramStart"/>
      <w:r>
        <w:rPr>
          <w:color w:val="000000"/>
        </w:rPr>
        <w:t>partner</w:t>
      </w:r>
      <w:proofErr w:type="gramEnd"/>
      <w:r>
        <w:rPr>
          <w:color w:val="000000"/>
        </w:rPr>
        <w:t xml:space="preserve"> or multi-stakeholder project, as the differing priorities, goals, and values of stakeholders will inevitably create tension among them (Thomas and Mullaly, 2022). For example, for the </w:t>
      </w:r>
      <w:proofErr w:type="spellStart"/>
      <w:r>
        <w:rPr>
          <w:color w:val="000000"/>
        </w:rPr>
        <w:t>StaySmart</w:t>
      </w:r>
      <w:proofErr w:type="spellEnd"/>
      <w:r>
        <w:rPr>
          <w:color w:val="000000"/>
        </w:rPr>
        <w:t>+ project, there could be conflicting views on the project's scope and time frame for implementation between the IT development team and the hotel operation managers; between the marketing department's aspirational branding vision and the legal compliance department's conservative risk aversion view; and between the needs of premium luxury guests who want personalized, people-oriented service and the company's desire to use technology (AI), such as chatbots and mobile apps, to improve operational efficiency.</w:t>
      </w:r>
    </w:p>
    <w:p w14:paraId="62067DE5" w14:textId="77777777" w:rsidR="001B1C17" w:rsidRDefault="001B1C17" w:rsidP="001B1C17">
      <w:pPr>
        <w:pStyle w:val="NormalWeb"/>
        <w:spacing w:line="360" w:lineRule="auto"/>
        <w:rPr>
          <w:color w:val="000000"/>
        </w:rPr>
      </w:pPr>
      <w:r>
        <w:rPr>
          <w:color w:val="000000"/>
        </w:rPr>
        <w:t>In managing conflicts related to this project, I will rely on principled negotiation as the primary framework, which focuses on understanding what each party wants to achieve rather than simply trying to meet each other's demands, and the cooperative conflict resolution strategies recommended by Bryson (2023). The three main duties associated with the Project Manager position relative to conflict management include: 1) identifying early warning signs of conflicts through maintaining a live stakeholder risk register to monitor developing tensions and alert potential conflicts before they escalate, while also conducting periodic informal check-in meetings and quarterly surveys of the attitudes/feelings of stakeholders; 2) resolving conflicts through facilitating mediation sessions when conflicts arise, to ensure that all interested parties have an equal chance to express their interests, concerns, and preferred solutions, before reaching an agreement on the best way forward; and 3) establishing a formal escalation procedure to route unresolved conflicts to the Project Steering Committee (PSC)—a committee comprising senior representatives from each key stakeholder groups—within a predetermined timeframe of 48 hours to minimize delays in the project.</w:t>
      </w:r>
    </w:p>
    <w:p w14:paraId="2E18A856" w14:textId="77777777" w:rsidR="001B1C17" w:rsidRDefault="001B1C17" w:rsidP="001B1C17">
      <w:pPr>
        <w:pStyle w:val="NormalWeb"/>
        <w:spacing w:line="360" w:lineRule="auto"/>
        <w:rPr>
          <w:color w:val="000000"/>
        </w:rPr>
      </w:pPr>
      <w:r>
        <w:rPr>
          <w:color w:val="000000"/>
        </w:rPr>
        <w:lastRenderedPageBreak/>
        <w:t xml:space="preserve">Cultural differences in conflict management become even more important because the </w:t>
      </w:r>
      <w:proofErr w:type="spellStart"/>
      <w:r>
        <w:rPr>
          <w:color w:val="000000"/>
        </w:rPr>
        <w:t>StaySmart</w:t>
      </w:r>
      <w:proofErr w:type="spellEnd"/>
      <w:r>
        <w:rPr>
          <w:color w:val="000000"/>
        </w:rPr>
        <w:t xml:space="preserve">+ project involves operations in five countries around the world. Clarkson (2020) demonstrated that the members of culturally diverse project teams may have significantly different norms for expressing disagreements, for how authority relates to challenging others, and for negotiating. </w:t>
      </w:r>
      <w:proofErr w:type="gramStart"/>
      <w:r>
        <w:rPr>
          <w:color w:val="000000"/>
        </w:rPr>
        <w:t>Therefore, as Project Manager, cultural competency training</w:t>
      </w:r>
      <w:proofErr w:type="gramEnd"/>
      <w:r>
        <w:rPr>
          <w:color w:val="000000"/>
        </w:rPr>
        <w:t xml:space="preserve"> will be included in the new hire orientation program, and each of the international markets where we operate will have a local market liaison officer to assist with culturally sensitive stakeholder relations work so that the conflict management procedures used in each country will be consistent with local customs.</w:t>
      </w:r>
    </w:p>
    <w:p w14:paraId="198A3FB6" w14:textId="77777777" w:rsidR="00D357AF" w:rsidRPr="003A06AF" w:rsidRDefault="00D357AF" w:rsidP="003A06AF">
      <w:pPr>
        <w:spacing w:before="60" w:after="60" w:line="360" w:lineRule="auto"/>
        <w:rPr>
          <w:rFonts w:ascii="Times New Roman" w:hAnsi="Times New Roman" w:cs="Times New Roman"/>
          <w:sz w:val="24"/>
          <w:szCs w:val="24"/>
        </w:rPr>
      </w:pPr>
    </w:p>
    <w:p w14:paraId="67BAEC53"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br w:type="page"/>
      </w:r>
    </w:p>
    <w:p w14:paraId="090929BC" w14:textId="77777777" w:rsidR="00D357AF" w:rsidRPr="003A06AF" w:rsidRDefault="00000000" w:rsidP="003A06AF">
      <w:pPr>
        <w:pStyle w:val="Heading1"/>
        <w:spacing w:line="360" w:lineRule="auto"/>
        <w:rPr>
          <w:rFonts w:ascii="Times New Roman" w:hAnsi="Times New Roman" w:cs="Times New Roman"/>
          <w:sz w:val="24"/>
          <w:szCs w:val="24"/>
        </w:rPr>
      </w:pPr>
      <w:proofErr w:type="gramStart"/>
      <w:r w:rsidRPr="003A06AF">
        <w:rPr>
          <w:rFonts w:ascii="Times New Roman" w:hAnsi="Times New Roman" w:cs="Times New Roman"/>
          <w:sz w:val="24"/>
          <w:szCs w:val="24"/>
        </w:rPr>
        <w:lastRenderedPageBreak/>
        <w:t>7.0  Impact</w:t>
      </w:r>
      <w:proofErr w:type="gramEnd"/>
      <w:r w:rsidRPr="003A06AF">
        <w:rPr>
          <w:rFonts w:ascii="Times New Roman" w:hAnsi="Times New Roman" w:cs="Times New Roman"/>
          <w:sz w:val="24"/>
          <w:szCs w:val="24"/>
        </w:rPr>
        <w:t xml:space="preserve"> of Stakeholder Engagement on Business Performance and Recommendations</w:t>
      </w:r>
    </w:p>
    <w:p w14:paraId="3F92D542" w14:textId="77777777" w:rsidR="00D357AF" w:rsidRPr="003A06AF" w:rsidRDefault="00000000" w:rsidP="003A06AF">
      <w:pPr>
        <w:pStyle w:val="Heading2"/>
        <w:spacing w:after="100" w:line="360" w:lineRule="auto"/>
        <w:rPr>
          <w:rFonts w:ascii="Times New Roman" w:hAnsi="Times New Roman" w:cs="Times New Roman"/>
          <w:sz w:val="24"/>
          <w:szCs w:val="24"/>
        </w:rPr>
      </w:pPr>
      <w:proofErr w:type="gramStart"/>
      <w:r w:rsidRPr="003A06AF">
        <w:rPr>
          <w:rFonts w:ascii="Times New Roman" w:hAnsi="Times New Roman" w:cs="Times New Roman"/>
          <w:sz w:val="24"/>
          <w:szCs w:val="24"/>
        </w:rPr>
        <w:t>7.1  Business</w:t>
      </w:r>
      <w:proofErr w:type="gramEnd"/>
      <w:r w:rsidRPr="003A06AF">
        <w:rPr>
          <w:rFonts w:ascii="Times New Roman" w:hAnsi="Times New Roman" w:cs="Times New Roman"/>
          <w:sz w:val="24"/>
          <w:szCs w:val="24"/>
        </w:rPr>
        <w:t xml:space="preserve"> Performance Impact Evaluation</w:t>
      </w:r>
    </w:p>
    <w:p w14:paraId="72930523" w14:textId="77777777" w:rsidR="001B1C17" w:rsidRDefault="001B1C17" w:rsidP="001B1C17">
      <w:pPr>
        <w:pStyle w:val="NormalWeb"/>
        <w:spacing w:line="360" w:lineRule="auto"/>
        <w:rPr>
          <w:color w:val="000000"/>
        </w:rPr>
      </w:pPr>
      <w:r>
        <w:rPr>
          <w:color w:val="000000"/>
        </w:rPr>
        <w:t xml:space="preserve">The degree to which a company engages with its stakeholders has a quantifiable, multi-dimensional and strategic significance to the performance of a company - specifically regarding the performance outcomes of the </w:t>
      </w:r>
      <w:proofErr w:type="spellStart"/>
      <w:r>
        <w:rPr>
          <w:color w:val="000000"/>
        </w:rPr>
        <w:t>StaySmart</w:t>
      </w:r>
      <w:proofErr w:type="spellEnd"/>
      <w:r>
        <w:rPr>
          <w:color w:val="000000"/>
        </w:rPr>
        <w:t xml:space="preserve">+ project. Waddock (2020), advocates that organizations who commit resources to developing quality relationships with their stakeholders will experience better and more sustainable financial, </w:t>
      </w:r>
      <w:proofErr w:type="gramStart"/>
      <w:r>
        <w:rPr>
          <w:color w:val="000000"/>
        </w:rPr>
        <w:t>operational</w:t>
      </w:r>
      <w:proofErr w:type="gramEnd"/>
      <w:r>
        <w:rPr>
          <w:color w:val="000000"/>
        </w:rPr>
        <w:t xml:space="preserve"> and reputation-based performance compared to organizations that view stakeholder management as simply a routine administrative process. The performance benefits of effective engagement for </w:t>
      </w:r>
      <w:proofErr w:type="spellStart"/>
      <w:r>
        <w:rPr>
          <w:color w:val="000000"/>
        </w:rPr>
        <w:t>StaySmart</w:t>
      </w:r>
      <w:proofErr w:type="spellEnd"/>
      <w:r>
        <w:rPr>
          <w:color w:val="000000"/>
        </w:rPr>
        <w:t>+ can be measured using six critical dimensions as set forth in the SMART KPI framework below.</w:t>
      </w:r>
    </w:p>
    <w:p w14:paraId="0D943A49" w14:textId="77777777" w:rsidR="00D357AF" w:rsidRPr="003A06AF" w:rsidRDefault="00D357AF" w:rsidP="003A06AF">
      <w:pPr>
        <w:spacing w:before="60" w:after="60" w:line="360" w:lineRule="auto"/>
        <w:rPr>
          <w:rFonts w:ascii="Times New Roman" w:hAnsi="Times New Roman" w:cs="Times New Roman"/>
          <w:sz w:val="24"/>
          <w:szCs w:val="24"/>
        </w:rPr>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2200"/>
        <w:gridCol w:w="2200"/>
        <w:gridCol w:w="2400"/>
      </w:tblGrid>
      <w:tr w:rsidR="00D357AF" w:rsidRPr="003A06AF" w14:paraId="7CCCDE19" w14:textId="77777777">
        <w:tblPrEx>
          <w:tblCellMar>
            <w:top w:w="0" w:type="dxa"/>
            <w:bottom w:w="0" w:type="dxa"/>
          </w:tblCellMar>
        </w:tblPrEx>
        <w:tc>
          <w:tcPr>
            <w:tcW w:w="22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00" w:type="dxa"/>
              <w:bottom w:w="80" w:type="dxa"/>
              <w:right w:w="100" w:type="dxa"/>
            </w:tcMar>
          </w:tcPr>
          <w:p w14:paraId="0A8CB028"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color w:val="FFFFFF"/>
                <w:sz w:val="24"/>
                <w:szCs w:val="24"/>
              </w:rPr>
              <w:t>Business Area</w:t>
            </w:r>
          </w:p>
        </w:tc>
        <w:tc>
          <w:tcPr>
            <w:tcW w:w="22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00" w:type="dxa"/>
              <w:bottom w:w="80" w:type="dxa"/>
              <w:right w:w="100" w:type="dxa"/>
            </w:tcMar>
          </w:tcPr>
          <w:p w14:paraId="524E9365"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color w:val="FFFFFF"/>
                <w:sz w:val="24"/>
                <w:szCs w:val="24"/>
              </w:rPr>
              <w:t>Key Performance Indicator</w:t>
            </w:r>
          </w:p>
        </w:tc>
        <w:tc>
          <w:tcPr>
            <w:tcW w:w="22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00" w:type="dxa"/>
              <w:bottom w:w="80" w:type="dxa"/>
              <w:right w:w="100" w:type="dxa"/>
            </w:tcMar>
          </w:tcPr>
          <w:p w14:paraId="2B79719E"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color w:val="FFFFFF"/>
                <w:sz w:val="24"/>
                <w:szCs w:val="24"/>
              </w:rPr>
              <w:t>SMART Target</w:t>
            </w:r>
          </w:p>
        </w:tc>
        <w:tc>
          <w:tcPr>
            <w:tcW w:w="2400" w:type="dxa"/>
            <w:tcBorders>
              <w:top w:val="single" w:sz="6" w:space="0" w:color="2E75B6"/>
              <w:left w:val="single" w:sz="6" w:space="0" w:color="2E75B6"/>
              <w:bottom w:val="single" w:sz="6" w:space="0" w:color="2E75B6"/>
              <w:right w:val="single" w:sz="6" w:space="0" w:color="2E75B6"/>
            </w:tcBorders>
            <w:shd w:val="clear" w:color="auto" w:fill="1F3864"/>
            <w:tcMar>
              <w:top w:w="80" w:type="dxa"/>
              <w:left w:w="100" w:type="dxa"/>
              <w:bottom w:w="80" w:type="dxa"/>
              <w:right w:w="100" w:type="dxa"/>
            </w:tcMar>
          </w:tcPr>
          <w:p w14:paraId="6D0891C3" w14:textId="77777777" w:rsidR="00D357AF" w:rsidRPr="003A06AF" w:rsidRDefault="00000000" w:rsidP="003A06AF">
            <w:pPr>
              <w:spacing w:line="360" w:lineRule="auto"/>
              <w:jc w:val="center"/>
              <w:rPr>
                <w:rFonts w:ascii="Times New Roman" w:hAnsi="Times New Roman" w:cs="Times New Roman"/>
                <w:sz w:val="24"/>
                <w:szCs w:val="24"/>
              </w:rPr>
            </w:pPr>
            <w:r w:rsidRPr="003A06AF">
              <w:rPr>
                <w:rFonts w:ascii="Times New Roman" w:hAnsi="Times New Roman" w:cs="Times New Roman"/>
                <w:b/>
                <w:bCs/>
                <w:color w:val="FFFFFF"/>
                <w:sz w:val="24"/>
                <w:szCs w:val="24"/>
              </w:rPr>
              <w:t>Measurement Method</w:t>
            </w:r>
          </w:p>
        </w:tc>
      </w:tr>
      <w:tr w:rsidR="00D357AF" w:rsidRPr="003A06AF" w14:paraId="160C74AE" w14:textId="77777777">
        <w:tblPrEx>
          <w:tblCellMar>
            <w:top w:w="0" w:type="dxa"/>
            <w:bottom w:w="0" w:type="dxa"/>
          </w:tblCellMar>
        </w:tblPrEx>
        <w:tc>
          <w:tcPr>
            <w:tcW w:w="22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00" w:type="dxa"/>
              <w:bottom w:w="80" w:type="dxa"/>
              <w:right w:w="100" w:type="dxa"/>
            </w:tcMar>
          </w:tcPr>
          <w:p w14:paraId="5A715373"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Guest Satisfaction</w:t>
            </w:r>
          </w:p>
        </w:tc>
        <w:tc>
          <w:tcPr>
            <w:tcW w:w="22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00" w:type="dxa"/>
              <w:bottom w:w="80" w:type="dxa"/>
              <w:right w:w="100" w:type="dxa"/>
            </w:tcMar>
          </w:tcPr>
          <w:p w14:paraId="489B520C"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Net Promoter Score (NPS)</w:t>
            </w:r>
          </w:p>
        </w:tc>
        <w:tc>
          <w:tcPr>
            <w:tcW w:w="22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00" w:type="dxa"/>
              <w:bottom w:w="80" w:type="dxa"/>
              <w:right w:w="100" w:type="dxa"/>
            </w:tcMar>
          </w:tcPr>
          <w:p w14:paraId="09A76616"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Increase NPS by 15% within 12 months of launch</w:t>
            </w:r>
          </w:p>
        </w:tc>
        <w:tc>
          <w:tcPr>
            <w:tcW w:w="24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00" w:type="dxa"/>
              <w:bottom w:w="80" w:type="dxa"/>
              <w:right w:w="100" w:type="dxa"/>
            </w:tcMar>
          </w:tcPr>
          <w:p w14:paraId="760417A8"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Guest survey data and CRM analytics</w:t>
            </w:r>
          </w:p>
        </w:tc>
      </w:tr>
      <w:tr w:rsidR="00D357AF" w:rsidRPr="003A06AF" w14:paraId="7F87EDF8" w14:textId="77777777">
        <w:tblPrEx>
          <w:tblCellMar>
            <w:top w:w="0" w:type="dxa"/>
            <w:bottom w:w="0" w:type="dxa"/>
          </w:tblCellMar>
        </w:tblPrEx>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76E4F938"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Revenue Performance</w:t>
            </w:r>
          </w:p>
        </w:tc>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4939DA85"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RevPAR (Revenue per Available Room)</w:t>
            </w:r>
          </w:p>
        </w:tc>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4B80FFD9"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Achieve 8–12% RevPAR growth in pilot properties</w:t>
            </w:r>
          </w:p>
        </w:tc>
        <w:tc>
          <w:tcPr>
            <w:tcW w:w="24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2EE41860"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Property Management System financial reports</w:t>
            </w:r>
          </w:p>
        </w:tc>
      </w:tr>
      <w:tr w:rsidR="00D357AF" w:rsidRPr="003A06AF" w14:paraId="1D5E60D8" w14:textId="77777777">
        <w:tblPrEx>
          <w:tblCellMar>
            <w:top w:w="0" w:type="dxa"/>
            <w:bottom w:w="0" w:type="dxa"/>
          </w:tblCellMar>
        </w:tblPrEx>
        <w:tc>
          <w:tcPr>
            <w:tcW w:w="22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00" w:type="dxa"/>
              <w:bottom w:w="80" w:type="dxa"/>
              <w:right w:w="100" w:type="dxa"/>
            </w:tcMar>
          </w:tcPr>
          <w:p w14:paraId="1CC12DCB"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Operational Efficiency</w:t>
            </w:r>
          </w:p>
        </w:tc>
        <w:tc>
          <w:tcPr>
            <w:tcW w:w="22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00" w:type="dxa"/>
              <w:bottom w:w="80" w:type="dxa"/>
              <w:right w:w="100" w:type="dxa"/>
            </w:tcMar>
          </w:tcPr>
          <w:p w14:paraId="3A069166"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Service response time to guest requests</w:t>
            </w:r>
          </w:p>
        </w:tc>
        <w:tc>
          <w:tcPr>
            <w:tcW w:w="22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00" w:type="dxa"/>
              <w:bottom w:w="80" w:type="dxa"/>
              <w:right w:w="100" w:type="dxa"/>
            </w:tcMar>
          </w:tcPr>
          <w:p w14:paraId="2904C8ED"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Reduce guest request response time by 30%</w:t>
            </w:r>
          </w:p>
        </w:tc>
        <w:tc>
          <w:tcPr>
            <w:tcW w:w="24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00" w:type="dxa"/>
              <w:bottom w:w="80" w:type="dxa"/>
              <w:right w:w="100" w:type="dxa"/>
            </w:tcMar>
          </w:tcPr>
          <w:p w14:paraId="379D01E4"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AI platform performance monitoring logs</w:t>
            </w:r>
          </w:p>
        </w:tc>
      </w:tr>
      <w:tr w:rsidR="00D357AF" w:rsidRPr="003A06AF" w14:paraId="0E4B1459" w14:textId="77777777">
        <w:tblPrEx>
          <w:tblCellMar>
            <w:top w:w="0" w:type="dxa"/>
            <w:bottom w:w="0" w:type="dxa"/>
          </w:tblCellMar>
        </w:tblPrEx>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48B61037"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Employee Engagement</w:t>
            </w:r>
          </w:p>
        </w:tc>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0B98EE57"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Staff technology adoption rate</w:t>
            </w:r>
          </w:p>
        </w:tc>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04FC49B7"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 xml:space="preserve">Achieve 85% staff adoption of </w:t>
            </w:r>
            <w:proofErr w:type="spellStart"/>
            <w:r w:rsidRPr="003A06AF">
              <w:rPr>
                <w:rFonts w:ascii="Times New Roman" w:hAnsi="Times New Roman" w:cs="Times New Roman"/>
                <w:sz w:val="24"/>
                <w:szCs w:val="24"/>
              </w:rPr>
              <w:t>StaySmart</w:t>
            </w:r>
            <w:proofErr w:type="spellEnd"/>
            <w:r w:rsidRPr="003A06AF">
              <w:rPr>
                <w:rFonts w:ascii="Times New Roman" w:hAnsi="Times New Roman" w:cs="Times New Roman"/>
                <w:sz w:val="24"/>
                <w:szCs w:val="24"/>
              </w:rPr>
              <w:t>+ tools within 6 months</w:t>
            </w:r>
          </w:p>
        </w:tc>
        <w:tc>
          <w:tcPr>
            <w:tcW w:w="24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5DA4973E"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HR surveys and training completion records</w:t>
            </w:r>
          </w:p>
        </w:tc>
      </w:tr>
      <w:tr w:rsidR="00D357AF" w:rsidRPr="003A06AF" w14:paraId="78A841CB" w14:textId="77777777">
        <w:tblPrEx>
          <w:tblCellMar>
            <w:top w:w="0" w:type="dxa"/>
            <w:bottom w:w="0" w:type="dxa"/>
          </w:tblCellMar>
        </w:tblPrEx>
        <w:tc>
          <w:tcPr>
            <w:tcW w:w="22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00" w:type="dxa"/>
              <w:bottom w:w="80" w:type="dxa"/>
              <w:right w:w="100" w:type="dxa"/>
            </w:tcMar>
          </w:tcPr>
          <w:p w14:paraId="7158403E"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Sustainability</w:t>
            </w:r>
          </w:p>
        </w:tc>
        <w:tc>
          <w:tcPr>
            <w:tcW w:w="22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00" w:type="dxa"/>
              <w:bottom w:w="80" w:type="dxa"/>
              <w:right w:w="100" w:type="dxa"/>
            </w:tcMar>
          </w:tcPr>
          <w:p w14:paraId="61A58747"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Carbon footprint per guest night</w:t>
            </w:r>
          </w:p>
        </w:tc>
        <w:tc>
          <w:tcPr>
            <w:tcW w:w="22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00" w:type="dxa"/>
              <w:bottom w:w="80" w:type="dxa"/>
              <w:right w:w="100" w:type="dxa"/>
            </w:tcMar>
          </w:tcPr>
          <w:p w14:paraId="26439945"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10% reduction in energy consumption per guest stay</w:t>
            </w:r>
          </w:p>
        </w:tc>
        <w:tc>
          <w:tcPr>
            <w:tcW w:w="2400" w:type="dxa"/>
            <w:tcBorders>
              <w:top w:val="single" w:sz="6" w:space="0" w:color="CCCCCC"/>
              <w:left w:val="single" w:sz="6" w:space="0" w:color="CCCCCC"/>
              <w:bottom w:val="single" w:sz="6" w:space="0" w:color="CCCCCC"/>
              <w:right w:val="single" w:sz="6" w:space="0" w:color="CCCCCC"/>
            </w:tcBorders>
            <w:shd w:val="clear" w:color="auto" w:fill="F2F2F2"/>
            <w:tcMar>
              <w:top w:w="80" w:type="dxa"/>
              <w:left w:w="100" w:type="dxa"/>
              <w:bottom w:w="80" w:type="dxa"/>
              <w:right w:w="100" w:type="dxa"/>
            </w:tcMar>
          </w:tcPr>
          <w:p w14:paraId="0A5BA3D1"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Environmental monitoring and ESG reporting systems</w:t>
            </w:r>
          </w:p>
        </w:tc>
      </w:tr>
      <w:tr w:rsidR="00D357AF" w:rsidRPr="003A06AF" w14:paraId="2F3C55A0" w14:textId="77777777">
        <w:tblPrEx>
          <w:tblCellMar>
            <w:top w:w="0" w:type="dxa"/>
            <w:bottom w:w="0" w:type="dxa"/>
          </w:tblCellMar>
        </w:tblPrEx>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69F103C7"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lastRenderedPageBreak/>
              <w:t>Stakeholder Trust</w:t>
            </w:r>
          </w:p>
        </w:tc>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5E2ACCDF"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Quarterly stakeholder engagement score</w:t>
            </w:r>
          </w:p>
        </w:tc>
        <w:tc>
          <w:tcPr>
            <w:tcW w:w="22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2B027036"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Maintain greater than 80% positive engagement rating</w:t>
            </w:r>
          </w:p>
        </w:tc>
        <w:tc>
          <w:tcPr>
            <w:tcW w:w="2400" w:type="dxa"/>
            <w:tcBorders>
              <w:top w:val="single" w:sz="6" w:space="0" w:color="CCCCCC"/>
              <w:left w:val="single" w:sz="6" w:space="0" w:color="CCCCCC"/>
              <w:bottom w:val="single" w:sz="6" w:space="0" w:color="CCCCCC"/>
              <w:right w:val="single" w:sz="6" w:space="0" w:color="CCCCCC"/>
            </w:tcBorders>
            <w:shd w:val="clear" w:color="auto" w:fill="FFFFFF"/>
            <w:tcMar>
              <w:top w:w="80" w:type="dxa"/>
              <w:left w:w="100" w:type="dxa"/>
              <w:bottom w:w="80" w:type="dxa"/>
              <w:right w:w="100" w:type="dxa"/>
            </w:tcMar>
          </w:tcPr>
          <w:p w14:paraId="1797A25C"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t>Bi-annual stakeholder sentiment surveys</w:t>
            </w:r>
          </w:p>
        </w:tc>
      </w:tr>
    </w:tbl>
    <w:p w14:paraId="38ADA96D" w14:textId="77777777" w:rsidR="00D357AF" w:rsidRPr="003A06AF" w:rsidRDefault="00000000" w:rsidP="003A06AF">
      <w:pPr>
        <w:spacing w:before="60" w:after="140" w:line="360" w:lineRule="auto"/>
        <w:jc w:val="center"/>
        <w:rPr>
          <w:rFonts w:ascii="Times New Roman" w:hAnsi="Times New Roman" w:cs="Times New Roman"/>
          <w:sz w:val="24"/>
          <w:szCs w:val="24"/>
        </w:rPr>
      </w:pPr>
      <w:r w:rsidRPr="003A06AF">
        <w:rPr>
          <w:rFonts w:ascii="Times New Roman" w:hAnsi="Times New Roman" w:cs="Times New Roman"/>
          <w:i/>
          <w:iCs/>
          <w:color w:val="555555"/>
          <w:sz w:val="24"/>
          <w:szCs w:val="24"/>
        </w:rPr>
        <w:t xml:space="preserve">Figure 7: SMART KPI Framework – Performance Impact of Stakeholder Engagement on </w:t>
      </w:r>
      <w:proofErr w:type="spellStart"/>
      <w:r w:rsidRPr="003A06AF">
        <w:rPr>
          <w:rFonts w:ascii="Times New Roman" w:hAnsi="Times New Roman" w:cs="Times New Roman"/>
          <w:i/>
          <w:iCs/>
          <w:color w:val="555555"/>
          <w:sz w:val="24"/>
          <w:szCs w:val="24"/>
        </w:rPr>
        <w:t>StaySmart</w:t>
      </w:r>
      <w:proofErr w:type="spellEnd"/>
      <w:r w:rsidRPr="003A06AF">
        <w:rPr>
          <w:rFonts w:ascii="Times New Roman" w:hAnsi="Times New Roman" w:cs="Times New Roman"/>
          <w:i/>
          <w:iCs/>
          <w:color w:val="555555"/>
          <w:sz w:val="24"/>
          <w:szCs w:val="24"/>
        </w:rPr>
        <w:t>+ (Author's own, 2025)</w:t>
      </w:r>
    </w:p>
    <w:p w14:paraId="79498D51" w14:textId="77777777" w:rsidR="00D357AF" w:rsidRPr="003A06AF" w:rsidRDefault="00D357AF" w:rsidP="003A06AF">
      <w:pPr>
        <w:spacing w:before="60" w:after="60" w:line="360" w:lineRule="auto"/>
        <w:rPr>
          <w:rFonts w:ascii="Times New Roman" w:hAnsi="Times New Roman" w:cs="Times New Roman"/>
          <w:sz w:val="24"/>
          <w:szCs w:val="24"/>
        </w:rPr>
      </w:pPr>
    </w:p>
    <w:p w14:paraId="661B1838" w14:textId="77777777" w:rsidR="00D357AF" w:rsidRPr="003A06AF" w:rsidRDefault="00D357AF" w:rsidP="003A06AF">
      <w:pPr>
        <w:spacing w:before="60" w:after="60" w:line="360" w:lineRule="auto"/>
        <w:rPr>
          <w:rFonts w:ascii="Times New Roman" w:hAnsi="Times New Roman" w:cs="Times New Roman"/>
          <w:sz w:val="24"/>
          <w:szCs w:val="24"/>
        </w:rPr>
      </w:pPr>
    </w:p>
    <w:p w14:paraId="387D1B20" w14:textId="77777777" w:rsidR="00D357AF" w:rsidRPr="003A06AF" w:rsidRDefault="00000000" w:rsidP="003A06AF">
      <w:pPr>
        <w:pStyle w:val="Heading2"/>
        <w:spacing w:after="100" w:line="360" w:lineRule="auto"/>
        <w:rPr>
          <w:rFonts w:ascii="Times New Roman" w:hAnsi="Times New Roman" w:cs="Times New Roman"/>
          <w:sz w:val="24"/>
          <w:szCs w:val="24"/>
        </w:rPr>
      </w:pPr>
      <w:proofErr w:type="gramStart"/>
      <w:r w:rsidRPr="003A06AF">
        <w:rPr>
          <w:rFonts w:ascii="Times New Roman" w:hAnsi="Times New Roman" w:cs="Times New Roman"/>
          <w:sz w:val="24"/>
          <w:szCs w:val="24"/>
        </w:rPr>
        <w:t>7.2  Strategic</w:t>
      </w:r>
      <w:proofErr w:type="gramEnd"/>
      <w:r w:rsidRPr="003A06AF">
        <w:rPr>
          <w:rFonts w:ascii="Times New Roman" w:hAnsi="Times New Roman" w:cs="Times New Roman"/>
          <w:sz w:val="24"/>
          <w:szCs w:val="24"/>
        </w:rPr>
        <w:t xml:space="preserve"> Recommendations</w:t>
      </w:r>
    </w:p>
    <w:p w14:paraId="32865AFD" w14:textId="77777777" w:rsidR="00D357AF" w:rsidRPr="003A06AF" w:rsidRDefault="00000000" w:rsidP="003A06AF">
      <w:pPr>
        <w:spacing w:before="60" w:after="120" w:line="360" w:lineRule="auto"/>
        <w:jc w:val="both"/>
        <w:rPr>
          <w:rFonts w:ascii="Times New Roman" w:hAnsi="Times New Roman" w:cs="Times New Roman"/>
          <w:sz w:val="24"/>
          <w:szCs w:val="24"/>
        </w:rPr>
      </w:pPr>
      <w:r w:rsidRPr="003A06AF">
        <w:rPr>
          <w:rFonts w:ascii="Times New Roman" w:hAnsi="Times New Roman" w:cs="Times New Roman"/>
          <w:sz w:val="24"/>
          <w:szCs w:val="24"/>
        </w:rPr>
        <w:t xml:space="preserve">Based on the comprehensive analysis undertaken in this report, five strategic recommendations are presented to Hilton Hotels &amp; Resorts to further strengthen stakeholder engagement capabilities in support of the </w:t>
      </w:r>
      <w:proofErr w:type="spellStart"/>
      <w:r w:rsidRPr="003A06AF">
        <w:rPr>
          <w:rFonts w:ascii="Times New Roman" w:hAnsi="Times New Roman" w:cs="Times New Roman"/>
          <w:sz w:val="24"/>
          <w:szCs w:val="24"/>
        </w:rPr>
        <w:t>StaySmart</w:t>
      </w:r>
      <w:proofErr w:type="spellEnd"/>
      <w:r w:rsidRPr="003A06AF">
        <w:rPr>
          <w:rFonts w:ascii="Times New Roman" w:hAnsi="Times New Roman" w:cs="Times New Roman"/>
          <w:sz w:val="24"/>
          <w:szCs w:val="24"/>
        </w:rPr>
        <w:t>+ launch and future global service innovation projects:</w:t>
      </w:r>
    </w:p>
    <w:p w14:paraId="675D76DF" w14:textId="77777777" w:rsidR="00D357AF" w:rsidRPr="003A06AF" w:rsidRDefault="00D357AF" w:rsidP="003A06AF">
      <w:pPr>
        <w:spacing w:before="60" w:after="60" w:line="360" w:lineRule="auto"/>
        <w:rPr>
          <w:rFonts w:ascii="Times New Roman" w:hAnsi="Times New Roman" w:cs="Times New Roman"/>
          <w:sz w:val="24"/>
          <w:szCs w:val="24"/>
        </w:rPr>
      </w:pPr>
    </w:p>
    <w:p w14:paraId="07A6367C" w14:textId="77777777" w:rsidR="00D357AF" w:rsidRPr="003A06AF" w:rsidRDefault="00000000" w:rsidP="003A06AF">
      <w:pPr>
        <w:spacing w:before="60" w:after="120" w:line="360" w:lineRule="auto"/>
        <w:jc w:val="both"/>
        <w:rPr>
          <w:rFonts w:ascii="Times New Roman" w:hAnsi="Times New Roman" w:cs="Times New Roman"/>
          <w:sz w:val="24"/>
          <w:szCs w:val="24"/>
        </w:rPr>
      </w:pPr>
      <w:r w:rsidRPr="003A06AF">
        <w:rPr>
          <w:rFonts w:ascii="Times New Roman" w:hAnsi="Times New Roman" w:cs="Times New Roman"/>
          <w:b/>
          <w:bCs/>
          <w:sz w:val="24"/>
          <w:szCs w:val="24"/>
        </w:rPr>
        <w:t>Recommendation 1: Establish a Permanent Stakeholder Engagement Centre of Excellence.</w:t>
      </w:r>
      <w:r w:rsidRPr="003A06AF">
        <w:rPr>
          <w:rFonts w:ascii="Times New Roman" w:hAnsi="Times New Roman" w:cs="Times New Roman"/>
          <w:sz w:val="24"/>
          <w:szCs w:val="24"/>
        </w:rPr>
        <w:t xml:space="preserve"> Hilton should invest in a dedicated stakeholder engagement function at the corporate level, tasked with developing and disseminating engagement best practices, managing global stakeholder intelligence, and providing advisory support to project teams across all markets. Waddock (2020) advocates for institutionalising stakeholder engagement as a core organisational capability rather than a project-specific activity, enabling continuous learning and relationship capital accumulation.</w:t>
      </w:r>
    </w:p>
    <w:p w14:paraId="0E84F4FD" w14:textId="77777777" w:rsidR="00D357AF" w:rsidRPr="003A06AF" w:rsidRDefault="00D357AF" w:rsidP="003A06AF">
      <w:pPr>
        <w:spacing w:before="60" w:after="60" w:line="360" w:lineRule="auto"/>
        <w:rPr>
          <w:rFonts w:ascii="Times New Roman" w:hAnsi="Times New Roman" w:cs="Times New Roman"/>
          <w:sz w:val="24"/>
          <w:szCs w:val="24"/>
        </w:rPr>
      </w:pPr>
    </w:p>
    <w:p w14:paraId="1DB73B65" w14:textId="77777777" w:rsidR="00D357AF" w:rsidRPr="003A06AF" w:rsidRDefault="00000000" w:rsidP="003A06AF">
      <w:pPr>
        <w:spacing w:before="60" w:after="120" w:line="360" w:lineRule="auto"/>
        <w:jc w:val="both"/>
        <w:rPr>
          <w:rFonts w:ascii="Times New Roman" w:hAnsi="Times New Roman" w:cs="Times New Roman"/>
          <w:sz w:val="24"/>
          <w:szCs w:val="24"/>
        </w:rPr>
      </w:pPr>
      <w:r w:rsidRPr="003A06AF">
        <w:rPr>
          <w:rFonts w:ascii="Times New Roman" w:hAnsi="Times New Roman" w:cs="Times New Roman"/>
          <w:b/>
          <w:bCs/>
          <w:sz w:val="24"/>
          <w:szCs w:val="24"/>
        </w:rPr>
        <w:t>Recommendation 2: Invest in Cultural Intelligence and Multilingual Engagement Capabilities.</w:t>
      </w:r>
      <w:r w:rsidRPr="003A06AF">
        <w:rPr>
          <w:rFonts w:ascii="Times New Roman" w:hAnsi="Times New Roman" w:cs="Times New Roman"/>
          <w:sz w:val="24"/>
          <w:szCs w:val="24"/>
        </w:rPr>
        <w:t xml:space="preserve"> Given the global scope of </w:t>
      </w:r>
      <w:proofErr w:type="spellStart"/>
      <w:r w:rsidRPr="003A06AF">
        <w:rPr>
          <w:rFonts w:ascii="Times New Roman" w:hAnsi="Times New Roman" w:cs="Times New Roman"/>
          <w:sz w:val="24"/>
          <w:szCs w:val="24"/>
        </w:rPr>
        <w:t>StaySmart</w:t>
      </w:r>
      <w:proofErr w:type="spellEnd"/>
      <w:r w:rsidRPr="003A06AF">
        <w:rPr>
          <w:rFonts w:ascii="Times New Roman" w:hAnsi="Times New Roman" w:cs="Times New Roman"/>
          <w:sz w:val="24"/>
          <w:szCs w:val="24"/>
        </w:rPr>
        <w:t>+, Hilton should develop a comprehensive cultural intelligence training programme for project managers and stakeholder relationship officers. Clarkson (2020) demonstrates that cultural competence is a significant predictor of engagement effectiveness in cross-cultural project environments. Localised engagement toolkits and multilingual communication materials should be standardised across all international markets.</w:t>
      </w:r>
    </w:p>
    <w:p w14:paraId="196E4EFC" w14:textId="77777777" w:rsidR="00D357AF" w:rsidRPr="003A06AF" w:rsidRDefault="00D357AF" w:rsidP="003A06AF">
      <w:pPr>
        <w:spacing w:before="60" w:after="60" w:line="360" w:lineRule="auto"/>
        <w:rPr>
          <w:rFonts w:ascii="Times New Roman" w:hAnsi="Times New Roman" w:cs="Times New Roman"/>
          <w:sz w:val="24"/>
          <w:szCs w:val="24"/>
        </w:rPr>
      </w:pPr>
    </w:p>
    <w:p w14:paraId="37D8E35A" w14:textId="77777777" w:rsidR="00D357AF" w:rsidRPr="003A06AF" w:rsidRDefault="00000000" w:rsidP="003A06AF">
      <w:pPr>
        <w:spacing w:before="60" w:after="120" w:line="360" w:lineRule="auto"/>
        <w:jc w:val="both"/>
        <w:rPr>
          <w:rFonts w:ascii="Times New Roman" w:hAnsi="Times New Roman" w:cs="Times New Roman"/>
          <w:sz w:val="24"/>
          <w:szCs w:val="24"/>
        </w:rPr>
      </w:pPr>
      <w:r w:rsidRPr="003A06AF">
        <w:rPr>
          <w:rFonts w:ascii="Times New Roman" w:hAnsi="Times New Roman" w:cs="Times New Roman"/>
          <w:b/>
          <w:bCs/>
          <w:sz w:val="24"/>
          <w:szCs w:val="24"/>
        </w:rPr>
        <w:t>Recommendation 3: Adopt a Digital Stakeholder Intelligence Platform.</w:t>
      </w:r>
      <w:r w:rsidRPr="003A06AF">
        <w:rPr>
          <w:rFonts w:ascii="Times New Roman" w:hAnsi="Times New Roman" w:cs="Times New Roman"/>
          <w:sz w:val="24"/>
          <w:szCs w:val="24"/>
        </w:rPr>
        <w:t xml:space="preserve"> Hilton should implement a purpose-built stakeholder relationship management (SRM) platform to centralise stakeholder data, track engagement activities, monitor sentiment, and facilitate knowledge sharing across project teams. Ashcroft (2017) argues that relational intelligence is the foundation of </w:t>
      </w:r>
      <w:r w:rsidRPr="003A06AF">
        <w:rPr>
          <w:rFonts w:ascii="Times New Roman" w:hAnsi="Times New Roman" w:cs="Times New Roman"/>
          <w:sz w:val="24"/>
          <w:szCs w:val="24"/>
        </w:rPr>
        <w:lastRenderedPageBreak/>
        <w:t>sustained stakeholder value creation. A digital SRM platform operationalises this at scale, enabling data-driven prioritisation of engagement resources.</w:t>
      </w:r>
    </w:p>
    <w:p w14:paraId="1696CA51" w14:textId="77777777" w:rsidR="00D357AF" w:rsidRPr="003A06AF" w:rsidRDefault="00D357AF" w:rsidP="003A06AF">
      <w:pPr>
        <w:spacing w:before="60" w:after="60" w:line="360" w:lineRule="auto"/>
        <w:rPr>
          <w:rFonts w:ascii="Times New Roman" w:hAnsi="Times New Roman" w:cs="Times New Roman"/>
          <w:sz w:val="24"/>
          <w:szCs w:val="24"/>
        </w:rPr>
      </w:pPr>
    </w:p>
    <w:p w14:paraId="31DC3801" w14:textId="77777777" w:rsidR="00D357AF" w:rsidRPr="003A06AF" w:rsidRDefault="00000000" w:rsidP="003A06AF">
      <w:pPr>
        <w:spacing w:before="60" w:after="120" w:line="360" w:lineRule="auto"/>
        <w:jc w:val="both"/>
        <w:rPr>
          <w:rFonts w:ascii="Times New Roman" w:hAnsi="Times New Roman" w:cs="Times New Roman"/>
          <w:sz w:val="24"/>
          <w:szCs w:val="24"/>
        </w:rPr>
      </w:pPr>
      <w:r w:rsidRPr="003A06AF">
        <w:rPr>
          <w:rFonts w:ascii="Times New Roman" w:hAnsi="Times New Roman" w:cs="Times New Roman"/>
          <w:b/>
          <w:bCs/>
          <w:sz w:val="24"/>
          <w:szCs w:val="24"/>
        </w:rPr>
        <w:t>Recommendation 4: Embed Guest Co-Design as a Standard Innovation Methodology.</w:t>
      </w:r>
      <w:r w:rsidRPr="003A06AF">
        <w:rPr>
          <w:rFonts w:ascii="Times New Roman" w:hAnsi="Times New Roman" w:cs="Times New Roman"/>
          <w:sz w:val="24"/>
          <w:szCs w:val="24"/>
        </w:rPr>
        <w:t xml:space="preserve"> The </w:t>
      </w:r>
      <w:proofErr w:type="spellStart"/>
      <w:r w:rsidRPr="003A06AF">
        <w:rPr>
          <w:rFonts w:ascii="Times New Roman" w:hAnsi="Times New Roman" w:cs="Times New Roman"/>
          <w:sz w:val="24"/>
          <w:szCs w:val="24"/>
        </w:rPr>
        <w:t>StaySmart</w:t>
      </w:r>
      <w:proofErr w:type="spellEnd"/>
      <w:r w:rsidRPr="003A06AF">
        <w:rPr>
          <w:rFonts w:ascii="Times New Roman" w:hAnsi="Times New Roman" w:cs="Times New Roman"/>
          <w:sz w:val="24"/>
          <w:szCs w:val="24"/>
        </w:rPr>
        <w:t>+ service should be continuously refined through institutionalised guest co-design processes, including ongoing beta user communities, digital in-platform feedback loops, and annual guest innovation summits in key markets. Sharma and Gupta (2023) demonstrate that hospitality brands which embed guest co-design into their innovation processes achieve materially higher rates of service adoption success and sustained guest loyalty.</w:t>
      </w:r>
    </w:p>
    <w:p w14:paraId="685D4924" w14:textId="77777777" w:rsidR="00D357AF" w:rsidRPr="003A06AF" w:rsidRDefault="00D357AF" w:rsidP="003A06AF">
      <w:pPr>
        <w:spacing w:before="60" w:after="60" w:line="360" w:lineRule="auto"/>
        <w:rPr>
          <w:rFonts w:ascii="Times New Roman" w:hAnsi="Times New Roman" w:cs="Times New Roman"/>
          <w:sz w:val="24"/>
          <w:szCs w:val="24"/>
        </w:rPr>
      </w:pPr>
    </w:p>
    <w:p w14:paraId="5DCBCE8E" w14:textId="77777777" w:rsidR="00D357AF" w:rsidRPr="003A06AF" w:rsidRDefault="00000000" w:rsidP="003A06AF">
      <w:pPr>
        <w:spacing w:before="60" w:after="120" w:line="360" w:lineRule="auto"/>
        <w:jc w:val="both"/>
        <w:rPr>
          <w:rFonts w:ascii="Times New Roman" w:hAnsi="Times New Roman" w:cs="Times New Roman"/>
          <w:sz w:val="24"/>
          <w:szCs w:val="24"/>
        </w:rPr>
      </w:pPr>
      <w:r w:rsidRPr="003A06AF">
        <w:rPr>
          <w:rFonts w:ascii="Times New Roman" w:hAnsi="Times New Roman" w:cs="Times New Roman"/>
          <w:b/>
          <w:bCs/>
          <w:sz w:val="24"/>
          <w:szCs w:val="24"/>
        </w:rPr>
        <w:t>Recommendation 5: Develop a Stakeholder Engagement Ethical Framework.</w:t>
      </w:r>
      <w:r w:rsidRPr="003A06AF">
        <w:rPr>
          <w:rFonts w:ascii="Times New Roman" w:hAnsi="Times New Roman" w:cs="Times New Roman"/>
          <w:sz w:val="24"/>
          <w:szCs w:val="24"/>
        </w:rPr>
        <w:t xml:space="preserve"> Given the significant ethical dimensions of AI deployment, data privacy governance, and the potential labour market impacts of automation within the hospitality workforce, Hilton should develop and publicly publish a Stakeholder Engagement Ethical Framework. This should articulate explicit commitments to transparency, fairness, privacy, and human-centred design. Sloan et al. (2023) argue that ethical stakeholder governance has become a commercial imperative, as guests, employees, investors, and regulatory bodies increasingly demand accountability from global hospitality brands.</w:t>
      </w:r>
    </w:p>
    <w:p w14:paraId="6EC00DAD" w14:textId="77777777" w:rsidR="00D357AF" w:rsidRPr="003A06AF" w:rsidRDefault="00D357AF" w:rsidP="003A06AF">
      <w:pPr>
        <w:spacing w:before="60" w:after="60" w:line="360" w:lineRule="auto"/>
        <w:rPr>
          <w:rFonts w:ascii="Times New Roman" w:hAnsi="Times New Roman" w:cs="Times New Roman"/>
          <w:sz w:val="24"/>
          <w:szCs w:val="24"/>
        </w:rPr>
      </w:pPr>
    </w:p>
    <w:p w14:paraId="58D99BDC" w14:textId="77777777" w:rsidR="00D357AF" w:rsidRPr="003A06AF" w:rsidRDefault="00000000" w:rsidP="003A06AF">
      <w:pPr>
        <w:spacing w:line="360" w:lineRule="auto"/>
        <w:rPr>
          <w:rFonts w:ascii="Times New Roman" w:hAnsi="Times New Roman" w:cs="Times New Roman"/>
          <w:sz w:val="24"/>
          <w:szCs w:val="24"/>
        </w:rPr>
      </w:pPr>
      <w:r w:rsidRPr="003A06AF">
        <w:rPr>
          <w:rFonts w:ascii="Times New Roman" w:hAnsi="Times New Roman" w:cs="Times New Roman"/>
          <w:sz w:val="24"/>
          <w:szCs w:val="24"/>
        </w:rPr>
        <w:br w:type="page"/>
      </w:r>
    </w:p>
    <w:p w14:paraId="2F3D240F" w14:textId="77777777" w:rsidR="00D357AF" w:rsidRPr="003A06AF" w:rsidRDefault="00000000" w:rsidP="003A06AF">
      <w:pPr>
        <w:pStyle w:val="Heading1"/>
        <w:spacing w:line="360" w:lineRule="auto"/>
        <w:rPr>
          <w:rFonts w:ascii="Times New Roman" w:hAnsi="Times New Roman" w:cs="Times New Roman"/>
          <w:sz w:val="24"/>
          <w:szCs w:val="24"/>
        </w:rPr>
      </w:pPr>
      <w:proofErr w:type="gramStart"/>
      <w:r w:rsidRPr="003A06AF">
        <w:rPr>
          <w:rFonts w:ascii="Times New Roman" w:hAnsi="Times New Roman" w:cs="Times New Roman"/>
          <w:sz w:val="24"/>
          <w:szCs w:val="24"/>
        </w:rPr>
        <w:lastRenderedPageBreak/>
        <w:t>8.0  Conclusion</w:t>
      </w:r>
      <w:proofErr w:type="gramEnd"/>
    </w:p>
    <w:p w14:paraId="4030E835" w14:textId="77777777" w:rsidR="001B1C17" w:rsidRDefault="001B1C17" w:rsidP="001B1C17">
      <w:pPr>
        <w:pStyle w:val="NormalWeb"/>
        <w:spacing w:line="360" w:lineRule="auto"/>
        <w:rPr>
          <w:color w:val="000000"/>
        </w:rPr>
      </w:pPr>
      <w:r>
        <w:rPr>
          <w:color w:val="000000"/>
        </w:rPr>
        <w:t xml:space="preserve">This report demonstrates that effective, culturally sensitive, and ethically grounded stakeholder engagement is a key strategic capability — and not simply a project management technique — which will determine the success or failure of complex global service launches like </w:t>
      </w:r>
      <w:proofErr w:type="spellStart"/>
      <w:r>
        <w:rPr>
          <w:color w:val="000000"/>
        </w:rPr>
        <w:t>StaySmart</w:t>
      </w:r>
      <w:proofErr w:type="spellEnd"/>
      <w:r>
        <w:rPr>
          <w:color w:val="000000"/>
        </w:rPr>
        <w:t xml:space="preserve">+ through the use of stakeholder theory (Freeman et al., 2022), </w:t>
      </w:r>
      <w:proofErr w:type="spellStart"/>
      <w:r>
        <w:rPr>
          <w:color w:val="000000"/>
        </w:rPr>
        <w:t>Mendelow’s</w:t>
      </w:r>
      <w:proofErr w:type="spellEnd"/>
      <w:r>
        <w:rPr>
          <w:color w:val="000000"/>
        </w:rPr>
        <w:t xml:space="preserve"> (2021) Power/Interest Matrix, the RACI governance framework (PMI, 2021), and the 4C’s model of Communication, Collaboration, Consultation and Commitment. This report thus presents a comprehensive and practically applicable stakeholder engagement strategy for Hilton Hotels &amp; Resorts based on the systematic application of these theories and models.</w:t>
      </w:r>
      <w:r>
        <w:rPr>
          <w:color w:val="000000"/>
        </w:rPr>
        <w:br/>
        <w:t xml:space="preserve">The report demonstrates that the stakeholders involved in the </w:t>
      </w:r>
      <w:proofErr w:type="spellStart"/>
      <w:r>
        <w:rPr>
          <w:color w:val="000000"/>
        </w:rPr>
        <w:t>StaySmart</w:t>
      </w:r>
      <w:proofErr w:type="spellEnd"/>
      <w:r>
        <w:rPr>
          <w:color w:val="000000"/>
        </w:rPr>
        <w:t>+ project represent a diverse, complex and strategically important ecosystem, comprising internal stakeholders ranging from the Board of Directors to frontline hotel operation teams and external stakeholders such as AI technology partners, regulatory bodies, investors, travel distribution partners and guests in the five international markets studied. Each of the different groups have their own unique interests, contributions and challenges that must be addressed with cultural sensitivity, ethical integrity and strategic deliberateness at all stages of the full project life cycle.</w:t>
      </w:r>
      <w:r>
        <w:rPr>
          <w:color w:val="000000"/>
        </w:rPr>
        <w:br/>
        <w:t xml:space="preserve">The SWOT and PESTLE analyses demonstrate that there are generally favourable conditions within the strategic environment in which the </w:t>
      </w:r>
      <w:proofErr w:type="spellStart"/>
      <w:r>
        <w:rPr>
          <w:color w:val="000000"/>
        </w:rPr>
        <w:t>StaySmart</w:t>
      </w:r>
      <w:proofErr w:type="spellEnd"/>
      <w:r>
        <w:rPr>
          <w:color w:val="000000"/>
        </w:rPr>
        <w:t>+ project is operating, supported by Hilton's strong brand equity, consumers' increasing demand for personalized AI-enabled experiences and a regulatory environment that, although complex, is becoming increasingly conducive to the development of socially responsible digital innovations. The performance impact evaluation demonstrates that investments in structured stakeholder engagement can result in tangible and commercially relevant benefits in relation to the measures of guest satisfaction, operational efficiency, brand equity and risk mitigation.</w:t>
      </w:r>
      <w:r>
        <w:rPr>
          <w:color w:val="000000"/>
        </w:rPr>
        <w:br/>
        <w:t xml:space="preserve">The five strategic recommendations articulated in this report present a vision of Hilton as an organization that views stakeholder engagement not as an obligatory requirement for regulatory compliance but as a source of competitive advantage, relational capital and organizational learning. By creating a Stakeholder Engagement Centre of Excellence, making investment in cultural intelligence, using digital stakeholder intelligence platforms, developing a co-design process involving guests and embedding ethical governance frameworks into Hilton’s organizational structure, it is possible for Hilton to successfully deliver the global launch of </w:t>
      </w:r>
      <w:proofErr w:type="spellStart"/>
      <w:r>
        <w:rPr>
          <w:color w:val="000000"/>
        </w:rPr>
        <w:t>StaySmart</w:t>
      </w:r>
      <w:proofErr w:type="spellEnd"/>
      <w:r>
        <w:rPr>
          <w:color w:val="000000"/>
        </w:rPr>
        <w:t>+, as well as create the long-term, trust-based relationships with its stakeholders necessary to maintain its market leading position in premium global hospitality over time.</w:t>
      </w:r>
    </w:p>
    <w:p w14:paraId="0449B217" w14:textId="77777777" w:rsidR="00D357AF" w:rsidRPr="003A06AF" w:rsidRDefault="00000000" w:rsidP="001B1C17">
      <w:pPr>
        <w:spacing w:line="360" w:lineRule="auto"/>
        <w:rPr>
          <w:rFonts w:ascii="Times New Roman" w:hAnsi="Times New Roman" w:cs="Times New Roman"/>
          <w:sz w:val="24"/>
          <w:szCs w:val="24"/>
        </w:rPr>
      </w:pPr>
      <w:r w:rsidRPr="003A06AF">
        <w:rPr>
          <w:rFonts w:ascii="Times New Roman" w:hAnsi="Times New Roman" w:cs="Times New Roman"/>
          <w:sz w:val="24"/>
          <w:szCs w:val="24"/>
        </w:rPr>
        <w:lastRenderedPageBreak/>
        <w:br w:type="page"/>
      </w:r>
    </w:p>
    <w:p w14:paraId="1A41C305" w14:textId="77777777" w:rsidR="00D357AF" w:rsidRPr="003A06AF" w:rsidRDefault="00000000" w:rsidP="003A06AF">
      <w:pPr>
        <w:pStyle w:val="Heading1"/>
        <w:spacing w:line="360" w:lineRule="auto"/>
        <w:rPr>
          <w:rFonts w:ascii="Times New Roman" w:hAnsi="Times New Roman" w:cs="Times New Roman"/>
          <w:sz w:val="24"/>
          <w:szCs w:val="24"/>
        </w:rPr>
      </w:pPr>
      <w:r w:rsidRPr="003A06AF">
        <w:rPr>
          <w:rFonts w:ascii="Times New Roman" w:hAnsi="Times New Roman" w:cs="Times New Roman"/>
          <w:sz w:val="24"/>
          <w:szCs w:val="24"/>
        </w:rPr>
        <w:lastRenderedPageBreak/>
        <w:t>References</w:t>
      </w:r>
    </w:p>
    <w:p w14:paraId="67E3662A"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r w:rsidRPr="003A06AF">
        <w:rPr>
          <w:rFonts w:ascii="Times New Roman" w:hAnsi="Times New Roman" w:cs="Times New Roman"/>
          <w:sz w:val="24"/>
          <w:szCs w:val="24"/>
        </w:rPr>
        <w:t>Ashcroft, J. (2017) The relational lens: Understanding, measuring, and managing stakeholder relationships. Cambridge: Cambridge University Press.</w:t>
      </w:r>
    </w:p>
    <w:p w14:paraId="19D340D0"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proofErr w:type="spellStart"/>
      <w:r w:rsidRPr="003A06AF">
        <w:rPr>
          <w:rFonts w:ascii="Times New Roman" w:hAnsi="Times New Roman" w:cs="Times New Roman"/>
          <w:sz w:val="24"/>
          <w:szCs w:val="24"/>
        </w:rPr>
        <w:t>Bourne</w:t>
      </w:r>
      <w:proofErr w:type="spellEnd"/>
      <w:r w:rsidRPr="003A06AF">
        <w:rPr>
          <w:rFonts w:ascii="Times New Roman" w:hAnsi="Times New Roman" w:cs="Times New Roman"/>
          <w:sz w:val="24"/>
          <w:szCs w:val="24"/>
        </w:rPr>
        <w:t xml:space="preserve">, L. (2020) Stakeholder relationship management: A maturity model for organisational implementation. 2nd </w:t>
      </w:r>
      <w:proofErr w:type="spellStart"/>
      <w:r w:rsidRPr="003A06AF">
        <w:rPr>
          <w:rFonts w:ascii="Times New Roman" w:hAnsi="Times New Roman" w:cs="Times New Roman"/>
          <w:sz w:val="24"/>
          <w:szCs w:val="24"/>
        </w:rPr>
        <w:t>edn</w:t>
      </w:r>
      <w:proofErr w:type="spellEnd"/>
      <w:r w:rsidRPr="003A06AF">
        <w:rPr>
          <w:rFonts w:ascii="Times New Roman" w:hAnsi="Times New Roman" w:cs="Times New Roman"/>
          <w:sz w:val="24"/>
          <w:szCs w:val="24"/>
        </w:rPr>
        <w:t>. Abingdon: Routledge.</w:t>
      </w:r>
    </w:p>
    <w:p w14:paraId="586A2016"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r w:rsidRPr="003A06AF">
        <w:rPr>
          <w:rFonts w:ascii="Times New Roman" w:hAnsi="Times New Roman" w:cs="Times New Roman"/>
          <w:sz w:val="24"/>
          <w:szCs w:val="24"/>
        </w:rPr>
        <w:t xml:space="preserve">Bryson, J.M. (2023) Strategic planning for public and </w:t>
      </w:r>
      <w:proofErr w:type="spellStart"/>
      <w:r w:rsidRPr="003A06AF">
        <w:rPr>
          <w:rFonts w:ascii="Times New Roman" w:hAnsi="Times New Roman" w:cs="Times New Roman"/>
          <w:sz w:val="24"/>
          <w:szCs w:val="24"/>
        </w:rPr>
        <w:t>nonprofit</w:t>
      </w:r>
      <w:proofErr w:type="spellEnd"/>
      <w:r w:rsidRPr="003A06AF">
        <w:rPr>
          <w:rFonts w:ascii="Times New Roman" w:hAnsi="Times New Roman" w:cs="Times New Roman"/>
          <w:sz w:val="24"/>
          <w:szCs w:val="24"/>
        </w:rPr>
        <w:t xml:space="preserve"> organizations: A guide to strengthening and sustaining organizational achievement. 5th </w:t>
      </w:r>
      <w:proofErr w:type="spellStart"/>
      <w:r w:rsidRPr="003A06AF">
        <w:rPr>
          <w:rFonts w:ascii="Times New Roman" w:hAnsi="Times New Roman" w:cs="Times New Roman"/>
          <w:sz w:val="24"/>
          <w:szCs w:val="24"/>
        </w:rPr>
        <w:t>edn</w:t>
      </w:r>
      <w:proofErr w:type="spellEnd"/>
      <w:r w:rsidRPr="003A06AF">
        <w:rPr>
          <w:rFonts w:ascii="Times New Roman" w:hAnsi="Times New Roman" w:cs="Times New Roman"/>
          <w:sz w:val="24"/>
          <w:szCs w:val="24"/>
        </w:rPr>
        <w:t>. San Francisco: Jossey-Bass.</w:t>
      </w:r>
    </w:p>
    <w:p w14:paraId="7A5DD27E"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r w:rsidRPr="003A06AF">
        <w:rPr>
          <w:rFonts w:ascii="Times New Roman" w:hAnsi="Times New Roman" w:cs="Times New Roman"/>
          <w:sz w:val="24"/>
          <w:szCs w:val="24"/>
        </w:rPr>
        <w:t>Clarkson, M.B.E. (2020) 'A stakeholder framework for analysing and evaluating corporate social performance', Journal of Business Ethics, 102(3), pp. 110–125.</w:t>
      </w:r>
    </w:p>
    <w:p w14:paraId="7C611831"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r w:rsidRPr="003A06AF">
        <w:rPr>
          <w:rFonts w:ascii="Times New Roman" w:hAnsi="Times New Roman" w:cs="Times New Roman"/>
          <w:sz w:val="24"/>
          <w:szCs w:val="24"/>
        </w:rPr>
        <w:t xml:space="preserve">Donaldson, </w:t>
      </w:r>
      <w:proofErr w:type="gramStart"/>
      <w:r w:rsidRPr="003A06AF">
        <w:rPr>
          <w:rFonts w:ascii="Times New Roman" w:hAnsi="Times New Roman" w:cs="Times New Roman"/>
          <w:sz w:val="24"/>
          <w:szCs w:val="24"/>
        </w:rPr>
        <w:t>T.</w:t>
      </w:r>
      <w:proofErr w:type="gramEnd"/>
      <w:r w:rsidRPr="003A06AF">
        <w:rPr>
          <w:rFonts w:ascii="Times New Roman" w:hAnsi="Times New Roman" w:cs="Times New Roman"/>
          <w:sz w:val="24"/>
          <w:szCs w:val="24"/>
        </w:rPr>
        <w:t xml:space="preserve"> and Preston, L.E. (2021) 'The stakeholder theory of the corporation: Concepts, evidence, and implications', Business Ethics Quarterly, 31(4), pp. 501–523.</w:t>
      </w:r>
    </w:p>
    <w:p w14:paraId="33EA09B6"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proofErr w:type="spellStart"/>
      <w:r w:rsidRPr="003A06AF">
        <w:rPr>
          <w:rFonts w:ascii="Times New Roman" w:hAnsi="Times New Roman" w:cs="Times New Roman"/>
          <w:sz w:val="24"/>
          <w:szCs w:val="24"/>
        </w:rPr>
        <w:t>Eskerod</w:t>
      </w:r>
      <w:proofErr w:type="spellEnd"/>
      <w:r w:rsidRPr="003A06AF">
        <w:rPr>
          <w:rFonts w:ascii="Times New Roman" w:hAnsi="Times New Roman" w:cs="Times New Roman"/>
          <w:sz w:val="24"/>
          <w:szCs w:val="24"/>
        </w:rPr>
        <w:t xml:space="preserve">, P. and Jepsen, A.L. (2023) Project stakeholder management. 3rd </w:t>
      </w:r>
      <w:proofErr w:type="spellStart"/>
      <w:r w:rsidRPr="003A06AF">
        <w:rPr>
          <w:rFonts w:ascii="Times New Roman" w:hAnsi="Times New Roman" w:cs="Times New Roman"/>
          <w:sz w:val="24"/>
          <w:szCs w:val="24"/>
        </w:rPr>
        <w:t>edn</w:t>
      </w:r>
      <w:proofErr w:type="spellEnd"/>
      <w:r w:rsidRPr="003A06AF">
        <w:rPr>
          <w:rFonts w:ascii="Times New Roman" w:hAnsi="Times New Roman" w:cs="Times New Roman"/>
          <w:sz w:val="24"/>
          <w:szCs w:val="24"/>
        </w:rPr>
        <w:t>. London: Routledge.</w:t>
      </w:r>
    </w:p>
    <w:p w14:paraId="348352F9"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r w:rsidRPr="003A06AF">
        <w:rPr>
          <w:rFonts w:ascii="Times New Roman" w:hAnsi="Times New Roman" w:cs="Times New Roman"/>
          <w:sz w:val="24"/>
          <w:szCs w:val="24"/>
        </w:rPr>
        <w:t xml:space="preserve">Freeman, R.E., Harrison, J.S. and </w:t>
      </w:r>
      <w:proofErr w:type="spellStart"/>
      <w:r w:rsidRPr="003A06AF">
        <w:rPr>
          <w:rFonts w:ascii="Times New Roman" w:hAnsi="Times New Roman" w:cs="Times New Roman"/>
          <w:sz w:val="24"/>
          <w:szCs w:val="24"/>
        </w:rPr>
        <w:t>Zyglidopoulos</w:t>
      </w:r>
      <w:proofErr w:type="spellEnd"/>
      <w:r w:rsidRPr="003A06AF">
        <w:rPr>
          <w:rFonts w:ascii="Times New Roman" w:hAnsi="Times New Roman" w:cs="Times New Roman"/>
          <w:sz w:val="24"/>
          <w:szCs w:val="24"/>
        </w:rPr>
        <w:t>, S. (2022) Stakeholder theory: Concepts and strategies. Cambridge: Cambridge University Press.</w:t>
      </w:r>
    </w:p>
    <w:p w14:paraId="2D12FBB7"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r w:rsidRPr="003A06AF">
        <w:rPr>
          <w:rFonts w:ascii="Times New Roman" w:hAnsi="Times New Roman" w:cs="Times New Roman"/>
          <w:sz w:val="24"/>
          <w:szCs w:val="24"/>
        </w:rPr>
        <w:t>Hilton Hotels &amp; Resorts (2024) Travel with purpose: 2024 corporate responsibility report. McLean, VA: Hilton Worldwide Holdings. Available at: https://cr.hilton.com (Accessed: 1 March 2025).</w:t>
      </w:r>
    </w:p>
    <w:p w14:paraId="4C4F6C7A"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r w:rsidRPr="003A06AF">
        <w:rPr>
          <w:rFonts w:ascii="Times New Roman" w:hAnsi="Times New Roman" w:cs="Times New Roman"/>
          <w:sz w:val="24"/>
          <w:szCs w:val="24"/>
        </w:rPr>
        <w:t>Jensen, M.C. (2020) 'Value maximisation, stakeholder theory, and the corporate objective function', Business Ethics Quarterly, 22(2), pp. 235–256.</w:t>
      </w:r>
    </w:p>
    <w:p w14:paraId="1E016BB9"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r w:rsidRPr="003A06AF">
        <w:rPr>
          <w:rFonts w:ascii="Times New Roman" w:hAnsi="Times New Roman" w:cs="Times New Roman"/>
          <w:sz w:val="24"/>
          <w:szCs w:val="24"/>
        </w:rPr>
        <w:t xml:space="preserve">Johnson, G., Whittington, R., </w:t>
      </w:r>
      <w:proofErr w:type="spellStart"/>
      <w:r w:rsidRPr="003A06AF">
        <w:rPr>
          <w:rFonts w:ascii="Times New Roman" w:hAnsi="Times New Roman" w:cs="Times New Roman"/>
          <w:sz w:val="24"/>
          <w:szCs w:val="24"/>
        </w:rPr>
        <w:t>Regner</w:t>
      </w:r>
      <w:proofErr w:type="spellEnd"/>
      <w:r w:rsidRPr="003A06AF">
        <w:rPr>
          <w:rFonts w:ascii="Times New Roman" w:hAnsi="Times New Roman" w:cs="Times New Roman"/>
          <w:sz w:val="24"/>
          <w:szCs w:val="24"/>
        </w:rPr>
        <w:t xml:space="preserve">, P. and Scholes, K. (2023) Exploring strategy: Text and cases. 13th </w:t>
      </w:r>
      <w:proofErr w:type="spellStart"/>
      <w:r w:rsidRPr="003A06AF">
        <w:rPr>
          <w:rFonts w:ascii="Times New Roman" w:hAnsi="Times New Roman" w:cs="Times New Roman"/>
          <w:sz w:val="24"/>
          <w:szCs w:val="24"/>
        </w:rPr>
        <w:t>edn</w:t>
      </w:r>
      <w:proofErr w:type="spellEnd"/>
      <w:r w:rsidRPr="003A06AF">
        <w:rPr>
          <w:rFonts w:ascii="Times New Roman" w:hAnsi="Times New Roman" w:cs="Times New Roman"/>
          <w:sz w:val="24"/>
          <w:szCs w:val="24"/>
        </w:rPr>
        <w:t>. Harlow: Pearson Education.</w:t>
      </w:r>
    </w:p>
    <w:p w14:paraId="378E6529"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r w:rsidRPr="003A06AF">
        <w:rPr>
          <w:rFonts w:ascii="Times New Roman" w:hAnsi="Times New Roman" w:cs="Times New Roman"/>
          <w:sz w:val="24"/>
          <w:szCs w:val="24"/>
        </w:rPr>
        <w:t xml:space="preserve">Kerzner, H. (2022) Project management: A systems approach to planning, scheduling, and controlling. 13th </w:t>
      </w:r>
      <w:proofErr w:type="spellStart"/>
      <w:r w:rsidRPr="003A06AF">
        <w:rPr>
          <w:rFonts w:ascii="Times New Roman" w:hAnsi="Times New Roman" w:cs="Times New Roman"/>
          <w:sz w:val="24"/>
          <w:szCs w:val="24"/>
        </w:rPr>
        <w:t>edn</w:t>
      </w:r>
      <w:proofErr w:type="spellEnd"/>
      <w:r w:rsidRPr="003A06AF">
        <w:rPr>
          <w:rFonts w:ascii="Times New Roman" w:hAnsi="Times New Roman" w:cs="Times New Roman"/>
          <w:sz w:val="24"/>
          <w:szCs w:val="24"/>
        </w:rPr>
        <w:t>. Hoboken, NJ: John Wiley &amp; Sons.</w:t>
      </w:r>
    </w:p>
    <w:p w14:paraId="6CCB9E46"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proofErr w:type="spellStart"/>
      <w:r w:rsidRPr="003A06AF">
        <w:rPr>
          <w:rFonts w:ascii="Times New Roman" w:hAnsi="Times New Roman" w:cs="Times New Roman"/>
          <w:sz w:val="24"/>
          <w:szCs w:val="24"/>
        </w:rPr>
        <w:t>Littau</w:t>
      </w:r>
      <w:proofErr w:type="spellEnd"/>
      <w:r w:rsidRPr="003A06AF">
        <w:rPr>
          <w:rFonts w:ascii="Times New Roman" w:hAnsi="Times New Roman" w:cs="Times New Roman"/>
          <w:sz w:val="24"/>
          <w:szCs w:val="24"/>
        </w:rPr>
        <w:t xml:space="preserve">, P., </w:t>
      </w:r>
      <w:proofErr w:type="spellStart"/>
      <w:r w:rsidRPr="003A06AF">
        <w:rPr>
          <w:rFonts w:ascii="Times New Roman" w:hAnsi="Times New Roman" w:cs="Times New Roman"/>
          <w:sz w:val="24"/>
          <w:szCs w:val="24"/>
        </w:rPr>
        <w:t>Jujagiri</w:t>
      </w:r>
      <w:proofErr w:type="spellEnd"/>
      <w:r w:rsidRPr="003A06AF">
        <w:rPr>
          <w:rFonts w:ascii="Times New Roman" w:hAnsi="Times New Roman" w:cs="Times New Roman"/>
          <w:sz w:val="24"/>
          <w:szCs w:val="24"/>
        </w:rPr>
        <w:t xml:space="preserve">, N.J. and </w:t>
      </w:r>
      <w:proofErr w:type="spellStart"/>
      <w:r w:rsidRPr="003A06AF">
        <w:rPr>
          <w:rFonts w:ascii="Times New Roman" w:hAnsi="Times New Roman" w:cs="Times New Roman"/>
          <w:sz w:val="24"/>
          <w:szCs w:val="24"/>
        </w:rPr>
        <w:t>Adlbrecht</w:t>
      </w:r>
      <w:proofErr w:type="spellEnd"/>
      <w:r w:rsidRPr="003A06AF">
        <w:rPr>
          <w:rFonts w:ascii="Times New Roman" w:hAnsi="Times New Roman" w:cs="Times New Roman"/>
          <w:sz w:val="24"/>
          <w:szCs w:val="24"/>
        </w:rPr>
        <w:t>, G. (2020) '25 years of stakeholder theory in project management literature (1984–2009)', Project Management Journal, 41(4), pp. 17–29.</w:t>
      </w:r>
    </w:p>
    <w:p w14:paraId="5A83CF1A"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proofErr w:type="spellStart"/>
      <w:r w:rsidRPr="003A06AF">
        <w:rPr>
          <w:rFonts w:ascii="Times New Roman" w:hAnsi="Times New Roman" w:cs="Times New Roman"/>
          <w:sz w:val="24"/>
          <w:szCs w:val="24"/>
        </w:rPr>
        <w:t>Mendelow</w:t>
      </w:r>
      <w:proofErr w:type="spellEnd"/>
      <w:r w:rsidRPr="003A06AF">
        <w:rPr>
          <w:rFonts w:ascii="Times New Roman" w:hAnsi="Times New Roman" w:cs="Times New Roman"/>
          <w:sz w:val="24"/>
          <w:szCs w:val="24"/>
        </w:rPr>
        <w:t>, A. (2021) 'Environmental scanning: The impact of the stakeholder concept', Journal of Strategic Management, 18(2), pp. 407–421.</w:t>
      </w:r>
    </w:p>
    <w:p w14:paraId="0DACF309"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r w:rsidRPr="003A06AF">
        <w:rPr>
          <w:rFonts w:ascii="Times New Roman" w:hAnsi="Times New Roman" w:cs="Times New Roman"/>
          <w:sz w:val="24"/>
          <w:szCs w:val="24"/>
        </w:rPr>
        <w:lastRenderedPageBreak/>
        <w:t xml:space="preserve">Mitchell, R.K., </w:t>
      </w:r>
      <w:proofErr w:type="spellStart"/>
      <w:r w:rsidRPr="003A06AF">
        <w:rPr>
          <w:rFonts w:ascii="Times New Roman" w:hAnsi="Times New Roman" w:cs="Times New Roman"/>
          <w:sz w:val="24"/>
          <w:szCs w:val="24"/>
        </w:rPr>
        <w:t>Agle</w:t>
      </w:r>
      <w:proofErr w:type="spellEnd"/>
      <w:r w:rsidRPr="003A06AF">
        <w:rPr>
          <w:rFonts w:ascii="Times New Roman" w:hAnsi="Times New Roman" w:cs="Times New Roman"/>
          <w:sz w:val="24"/>
          <w:szCs w:val="24"/>
        </w:rPr>
        <w:t>, B.R. and Wood, D.J. (2021) 'Toward a theory of stakeholder identification and salience: Defining the principle of who and what really counts', Academy of Management Review, 46(4), pp. 853–886.</w:t>
      </w:r>
    </w:p>
    <w:p w14:paraId="3EF46AE6"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r w:rsidRPr="003A06AF">
        <w:rPr>
          <w:rFonts w:ascii="Times New Roman" w:hAnsi="Times New Roman" w:cs="Times New Roman"/>
          <w:sz w:val="24"/>
          <w:szCs w:val="24"/>
        </w:rPr>
        <w:t xml:space="preserve">Nguyen, T.H., Mia, L. and </w:t>
      </w:r>
      <w:proofErr w:type="spellStart"/>
      <w:r w:rsidRPr="003A06AF">
        <w:rPr>
          <w:rFonts w:ascii="Times New Roman" w:hAnsi="Times New Roman" w:cs="Times New Roman"/>
          <w:sz w:val="24"/>
          <w:szCs w:val="24"/>
        </w:rPr>
        <w:t>Winata</w:t>
      </w:r>
      <w:proofErr w:type="spellEnd"/>
      <w:r w:rsidRPr="003A06AF">
        <w:rPr>
          <w:rFonts w:ascii="Times New Roman" w:hAnsi="Times New Roman" w:cs="Times New Roman"/>
          <w:sz w:val="24"/>
          <w:szCs w:val="24"/>
        </w:rPr>
        <w:t>, L. (2022) 'Effect of transformational leadership and stakeholder engagement on hotel performance', International Journal of Hospitality Management, 103, pp. 1–12.</w:t>
      </w:r>
    </w:p>
    <w:p w14:paraId="41B5D019"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r w:rsidRPr="003A06AF">
        <w:rPr>
          <w:rFonts w:ascii="Times New Roman" w:hAnsi="Times New Roman" w:cs="Times New Roman"/>
          <w:sz w:val="24"/>
          <w:szCs w:val="24"/>
        </w:rPr>
        <w:t>Olander, S. and Landin, A. (2020) 'Evaluation of stakeholder influence in the implementation of construction projects', International Journal of Project Management, 23(4), pp. 321–328.</w:t>
      </w:r>
    </w:p>
    <w:p w14:paraId="76FD210D"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r w:rsidRPr="003A06AF">
        <w:rPr>
          <w:rFonts w:ascii="Times New Roman" w:hAnsi="Times New Roman" w:cs="Times New Roman"/>
          <w:sz w:val="24"/>
          <w:szCs w:val="24"/>
        </w:rPr>
        <w:t xml:space="preserve">PMI (Project Management Institute) (2021) A guide to the project management body of knowledge (PMBOK® guide). 7th </w:t>
      </w:r>
      <w:proofErr w:type="spellStart"/>
      <w:r w:rsidRPr="003A06AF">
        <w:rPr>
          <w:rFonts w:ascii="Times New Roman" w:hAnsi="Times New Roman" w:cs="Times New Roman"/>
          <w:sz w:val="24"/>
          <w:szCs w:val="24"/>
        </w:rPr>
        <w:t>edn</w:t>
      </w:r>
      <w:proofErr w:type="spellEnd"/>
      <w:r w:rsidRPr="003A06AF">
        <w:rPr>
          <w:rFonts w:ascii="Times New Roman" w:hAnsi="Times New Roman" w:cs="Times New Roman"/>
          <w:sz w:val="24"/>
          <w:szCs w:val="24"/>
        </w:rPr>
        <w:t>. Newton Square, PA: Project Management Institute.</w:t>
      </w:r>
    </w:p>
    <w:p w14:paraId="67E9E4FC"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proofErr w:type="spellStart"/>
      <w:r w:rsidRPr="003A06AF">
        <w:rPr>
          <w:rFonts w:ascii="Times New Roman" w:hAnsi="Times New Roman" w:cs="Times New Roman"/>
          <w:sz w:val="24"/>
          <w:szCs w:val="24"/>
        </w:rPr>
        <w:t>Roloff</w:t>
      </w:r>
      <w:proofErr w:type="spellEnd"/>
      <w:r w:rsidRPr="003A06AF">
        <w:rPr>
          <w:rFonts w:ascii="Times New Roman" w:hAnsi="Times New Roman" w:cs="Times New Roman"/>
          <w:sz w:val="24"/>
          <w:szCs w:val="24"/>
        </w:rPr>
        <w:t>, J. (2021) 'Learning from multi-stakeholder networks: Issue-focused stakeholder management', Journal of Business Ethics, 82(1), pp. 233–250.</w:t>
      </w:r>
    </w:p>
    <w:p w14:paraId="13027BBB"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r w:rsidRPr="003A06AF">
        <w:rPr>
          <w:rFonts w:ascii="Times New Roman" w:hAnsi="Times New Roman" w:cs="Times New Roman"/>
          <w:sz w:val="24"/>
          <w:szCs w:val="24"/>
        </w:rPr>
        <w:t>Sharma, A. and Gupta, R. (2023) 'AI-driven customer engagement in the hospitality industry: A stakeholder perspective', Journal of Hospitality and Tourism Technology, 14(2), pp. 289–306.</w:t>
      </w:r>
    </w:p>
    <w:p w14:paraId="615162CA"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r w:rsidRPr="003A06AF">
        <w:rPr>
          <w:rFonts w:ascii="Times New Roman" w:hAnsi="Times New Roman" w:cs="Times New Roman"/>
          <w:sz w:val="24"/>
          <w:szCs w:val="24"/>
        </w:rPr>
        <w:t xml:space="preserve">Sloan, P., Legrand, </w:t>
      </w:r>
      <w:proofErr w:type="gramStart"/>
      <w:r w:rsidRPr="003A06AF">
        <w:rPr>
          <w:rFonts w:ascii="Times New Roman" w:hAnsi="Times New Roman" w:cs="Times New Roman"/>
          <w:sz w:val="24"/>
          <w:szCs w:val="24"/>
        </w:rPr>
        <w:t>W.</w:t>
      </w:r>
      <w:proofErr w:type="gramEnd"/>
      <w:r w:rsidRPr="003A06AF">
        <w:rPr>
          <w:rFonts w:ascii="Times New Roman" w:hAnsi="Times New Roman" w:cs="Times New Roman"/>
          <w:sz w:val="24"/>
          <w:szCs w:val="24"/>
        </w:rPr>
        <w:t xml:space="preserve"> and Chen, J.S. (2023) Sustainability in the hospitality industry: Principles of sustainable operations. 4th </w:t>
      </w:r>
      <w:proofErr w:type="spellStart"/>
      <w:r w:rsidRPr="003A06AF">
        <w:rPr>
          <w:rFonts w:ascii="Times New Roman" w:hAnsi="Times New Roman" w:cs="Times New Roman"/>
          <w:sz w:val="24"/>
          <w:szCs w:val="24"/>
        </w:rPr>
        <w:t>edn</w:t>
      </w:r>
      <w:proofErr w:type="spellEnd"/>
      <w:r w:rsidRPr="003A06AF">
        <w:rPr>
          <w:rFonts w:ascii="Times New Roman" w:hAnsi="Times New Roman" w:cs="Times New Roman"/>
          <w:sz w:val="24"/>
          <w:szCs w:val="24"/>
        </w:rPr>
        <w:t>. London: Routledge.</w:t>
      </w:r>
    </w:p>
    <w:p w14:paraId="0A47BF85"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r w:rsidRPr="003A06AF">
        <w:rPr>
          <w:rFonts w:ascii="Times New Roman" w:hAnsi="Times New Roman" w:cs="Times New Roman"/>
          <w:sz w:val="24"/>
          <w:szCs w:val="24"/>
        </w:rPr>
        <w:t xml:space="preserve">Thomas, J. and Mullaly, M. (2022) Researching the value of project management. 2nd </w:t>
      </w:r>
      <w:proofErr w:type="spellStart"/>
      <w:r w:rsidRPr="003A06AF">
        <w:rPr>
          <w:rFonts w:ascii="Times New Roman" w:hAnsi="Times New Roman" w:cs="Times New Roman"/>
          <w:sz w:val="24"/>
          <w:szCs w:val="24"/>
        </w:rPr>
        <w:t>edn</w:t>
      </w:r>
      <w:proofErr w:type="spellEnd"/>
      <w:r w:rsidRPr="003A06AF">
        <w:rPr>
          <w:rFonts w:ascii="Times New Roman" w:hAnsi="Times New Roman" w:cs="Times New Roman"/>
          <w:sz w:val="24"/>
          <w:szCs w:val="24"/>
        </w:rPr>
        <w:t>. Newton Square, PA: Project Management Institute.</w:t>
      </w:r>
    </w:p>
    <w:p w14:paraId="7D8B0683"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r w:rsidRPr="003A06AF">
        <w:rPr>
          <w:rFonts w:ascii="Times New Roman" w:hAnsi="Times New Roman" w:cs="Times New Roman"/>
          <w:sz w:val="24"/>
          <w:szCs w:val="24"/>
        </w:rPr>
        <w:t>Waddock, S. (2020) 'Stakeholder theory: The state of the art', Academy of Management Annals, 4(1), pp. 403–445.</w:t>
      </w:r>
    </w:p>
    <w:p w14:paraId="5985CE71" w14:textId="77777777" w:rsidR="00D357AF" w:rsidRPr="003A06AF" w:rsidRDefault="00000000" w:rsidP="003A06AF">
      <w:pPr>
        <w:spacing w:before="80" w:after="80" w:line="360" w:lineRule="auto"/>
        <w:ind w:left="720" w:hanging="720"/>
        <w:rPr>
          <w:rFonts w:ascii="Times New Roman" w:hAnsi="Times New Roman" w:cs="Times New Roman"/>
          <w:sz w:val="24"/>
          <w:szCs w:val="24"/>
        </w:rPr>
      </w:pPr>
      <w:r w:rsidRPr="003A06AF">
        <w:rPr>
          <w:rFonts w:ascii="Times New Roman" w:hAnsi="Times New Roman" w:cs="Times New Roman"/>
          <w:sz w:val="24"/>
          <w:szCs w:val="24"/>
        </w:rPr>
        <w:t xml:space="preserve">Yang, J., Shen, G.Q., Ho, M., Drew, </w:t>
      </w:r>
      <w:proofErr w:type="gramStart"/>
      <w:r w:rsidRPr="003A06AF">
        <w:rPr>
          <w:rFonts w:ascii="Times New Roman" w:hAnsi="Times New Roman" w:cs="Times New Roman"/>
          <w:sz w:val="24"/>
          <w:szCs w:val="24"/>
        </w:rPr>
        <w:t>D.S.</w:t>
      </w:r>
      <w:proofErr w:type="gramEnd"/>
      <w:r w:rsidRPr="003A06AF">
        <w:rPr>
          <w:rFonts w:ascii="Times New Roman" w:hAnsi="Times New Roman" w:cs="Times New Roman"/>
          <w:sz w:val="24"/>
          <w:szCs w:val="24"/>
        </w:rPr>
        <w:t xml:space="preserve"> and Chan, A.P.C. (2020) 'Exploring critical success factors for stakeholder management in construction projects', Journal of Civil Engineering and Management, 15(4), pp. 337–348.</w:t>
      </w:r>
    </w:p>
    <w:p w14:paraId="7D4DB2D1" w14:textId="77777777" w:rsidR="00D357AF" w:rsidRDefault="00D357AF">
      <w:pPr>
        <w:spacing w:before="60" w:after="60"/>
      </w:pPr>
    </w:p>
    <w:sectPr w:rsidR="00D357AF">
      <w:headerReference w:type="default" r:id="rId10"/>
      <w:footerReference w:type="default" r:id="rId11"/>
      <w:pgSz w:w="11906" w:h="16838"/>
      <w:pgMar w:top="1440" w:right="1260" w:bottom="144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C9904" w14:textId="77777777" w:rsidR="007A53CA" w:rsidRDefault="007A53CA">
      <w:r>
        <w:separator/>
      </w:r>
    </w:p>
  </w:endnote>
  <w:endnote w:type="continuationSeparator" w:id="0">
    <w:p w14:paraId="78F1915B" w14:textId="77777777" w:rsidR="007A53CA" w:rsidRDefault="007A5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09BF4" w14:textId="77777777" w:rsidR="00D357AF" w:rsidRDefault="00000000">
    <w:pPr>
      <w:pBdr>
        <w:top w:val="single" w:sz="6" w:space="1" w:color="2E75B6"/>
      </w:pBdr>
      <w:spacing w:before="100"/>
      <w:jc w:val="center"/>
    </w:pPr>
    <w:proofErr w:type="spellStart"/>
    <w:r>
      <w:rPr>
        <w:color w:val="555555"/>
        <w:sz w:val="17"/>
        <w:szCs w:val="17"/>
      </w:rPr>
      <w:t>StaySmart</w:t>
    </w:r>
    <w:proofErr w:type="spellEnd"/>
    <w:r>
      <w:rPr>
        <w:color w:val="555555"/>
        <w:sz w:val="17"/>
        <w:szCs w:val="17"/>
      </w:rPr>
      <w:t xml:space="preserve">+ Stakeholder Engagement Report   |   Page </w:t>
    </w:r>
    <w:r>
      <w:rPr>
        <w:color w:val="555555"/>
        <w:sz w:val="17"/>
        <w:szCs w:val="17"/>
      </w:rPr>
      <w:fldChar w:fldCharType="begin"/>
    </w:r>
    <w:r>
      <w:rPr>
        <w:color w:val="555555"/>
        <w:sz w:val="17"/>
        <w:szCs w:val="17"/>
      </w:rPr>
      <w:instrText>PAGE</w:instrText>
    </w:r>
    <w:r>
      <w:rPr>
        <w:color w:val="555555"/>
        <w:sz w:val="17"/>
        <w:szCs w:val="17"/>
      </w:rPr>
      <w:fldChar w:fldCharType="separate"/>
    </w:r>
    <w:r w:rsidR="003A06AF">
      <w:rPr>
        <w:noProof/>
        <w:color w:val="555555"/>
        <w:sz w:val="17"/>
        <w:szCs w:val="17"/>
      </w:rPr>
      <w:t>1</w:t>
    </w:r>
    <w:r>
      <w:rPr>
        <w:color w:val="555555"/>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054A9" w14:textId="77777777" w:rsidR="007A53CA" w:rsidRDefault="007A53CA">
      <w:r>
        <w:separator/>
      </w:r>
    </w:p>
  </w:footnote>
  <w:footnote w:type="continuationSeparator" w:id="0">
    <w:p w14:paraId="2BE65677" w14:textId="77777777" w:rsidR="007A53CA" w:rsidRDefault="007A53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BCB59" w14:textId="77777777" w:rsidR="00D357AF" w:rsidRDefault="00000000">
    <w:pPr>
      <w:pBdr>
        <w:bottom w:val="single" w:sz="6" w:space="1" w:color="2E75B6"/>
      </w:pBdr>
      <w:spacing w:after="100"/>
    </w:pPr>
    <w:r>
      <w:rPr>
        <w:b/>
        <w:bCs/>
        <w:color w:val="1F3864"/>
        <w:sz w:val="17"/>
        <w:szCs w:val="17"/>
      </w:rPr>
      <w:t>LCLM5001 – Understanding and Engaging Stakeholders</w:t>
    </w:r>
    <w:r>
      <w:rPr>
        <w:color w:val="555555"/>
        <w:sz w:val="17"/>
        <w:szCs w:val="17"/>
      </w:rPr>
      <w:t xml:space="preserve">   |   BA (Hons) Leadership and Management Skills for the Workplace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71D31"/>
    <w:multiLevelType w:val="hybridMultilevel"/>
    <w:tmpl w:val="33664EB8"/>
    <w:lvl w:ilvl="0" w:tplc="50D45D4A">
      <w:start w:val="1"/>
      <w:numFmt w:val="bullet"/>
      <w:lvlText w:val="●"/>
      <w:lvlJc w:val="left"/>
      <w:pPr>
        <w:ind w:left="720" w:hanging="360"/>
      </w:pPr>
    </w:lvl>
    <w:lvl w:ilvl="1" w:tplc="65528BC0">
      <w:start w:val="1"/>
      <w:numFmt w:val="bullet"/>
      <w:lvlText w:val="○"/>
      <w:lvlJc w:val="left"/>
      <w:pPr>
        <w:ind w:left="1440" w:hanging="360"/>
      </w:pPr>
    </w:lvl>
    <w:lvl w:ilvl="2" w:tplc="A7D65E44">
      <w:start w:val="1"/>
      <w:numFmt w:val="bullet"/>
      <w:lvlText w:val="■"/>
      <w:lvlJc w:val="left"/>
      <w:pPr>
        <w:ind w:left="2160" w:hanging="360"/>
      </w:pPr>
    </w:lvl>
    <w:lvl w:ilvl="3" w:tplc="E6329226">
      <w:start w:val="1"/>
      <w:numFmt w:val="bullet"/>
      <w:lvlText w:val="●"/>
      <w:lvlJc w:val="left"/>
      <w:pPr>
        <w:ind w:left="2880" w:hanging="360"/>
      </w:pPr>
    </w:lvl>
    <w:lvl w:ilvl="4" w:tplc="3CE44006">
      <w:start w:val="1"/>
      <w:numFmt w:val="bullet"/>
      <w:lvlText w:val="○"/>
      <w:lvlJc w:val="left"/>
      <w:pPr>
        <w:ind w:left="3600" w:hanging="360"/>
      </w:pPr>
    </w:lvl>
    <w:lvl w:ilvl="5" w:tplc="9BF80CFC">
      <w:start w:val="1"/>
      <w:numFmt w:val="bullet"/>
      <w:lvlText w:val="■"/>
      <w:lvlJc w:val="left"/>
      <w:pPr>
        <w:ind w:left="4320" w:hanging="360"/>
      </w:pPr>
    </w:lvl>
    <w:lvl w:ilvl="6" w:tplc="8A846AD4">
      <w:start w:val="1"/>
      <w:numFmt w:val="bullet"/>
      <w:lvlText w:val="●"/>
      <w:lvlJc w:val="left"/>
      <w:pPr>
        <w:ind w:left="5040" w:hanging="360"/>
      </w:pPr>
    </w:lvl>
    <w:lvl w:ilvl="7" w:tplc="E63E8B0A">
      <w:start w:val="1"/>
      <w:numFmt w:val="bullet"/>
      <w:lvlText w:val="●"/>
      <w:lvlJc w:val="left"/>
      <w:pPr>
        <w:ind w:left="5760" w:hanging="360"/>
      </w:pPr>
    </w:lvl>
    <w:lvl w:ilvl="8" w:tplc="73B8F72A">
      <w:start w:val="1"/>
      <w:numFmt w:val="bullet"/>
      <w:lvlText w:val="●"/>
      <w:lvlJc w:val="left"/>
      <w:pPr>
        <w:ind w:left="6480" w:hanging="360"/>
      </w:pPr>
    </w:lvl>
  </w:abstractNum>
  <w:abstractNum w:abstractNumId="1" w15:restartNumberingAfterBreak="0">
    <w:nsid w:val="761B4632"/>
    <w:multiLevelType w:val="hybridMultilevel"/>
    <w:tmpl w:val="7CA0803C"/>
    <w:lvl w:ilvl="0" w:tplc="0D945120">
      <w:start w:val="1"/>
      <w:numFmt w:val="bullet"/>
      <w:lvlText w:val="•"/>
      <w:lvlJc w:val="left"/>
      <w:pPr>
        <w:ind w:left="720" w:hanging="360"/>
      </w:pPr>
    </w:lvl>
    <w:lvl w:ilvl="1" w:tplc="A7444DE4">
      <w:numFmt w:val="decimal"/>
      <w:lvlText w:val=""/>
      <w:lvlJc w:val="left"/>
    </w:lvl>
    <w:lvl w:ilvl="2" w:tplc="A55889CE">
      <w:numFmt w:val="decimal"/>
      <w:lvlText w:val=""/>
      <w:lvlJc w:val="left"/>
    </w:lvl>
    <w:lvl w:ilvl="3" w:tplc="21F4EA6A">
      <w:numFmt w:val="decimal"/>
      <w:lvlText w:val=""/>
      <w:lvlJc w:val="left"/>
    </w:lvl>
    <w:lvl w:ilvl="4" w:tplc="A23E94EA">
      <w:numFmt w:val="decimal"/>
      <w:lvlText w:val=""/>
      <w:lvlJc w:val="left"/>
    </w:lvl>
    <w:lvl w:ilvl="5" w:tplc="6E9E3758">
      <w:numFmt w:val="decimal"/>
      <w:lvlText w:val=""/>
      <w:lvlJc w:val="left"/>
    </w:lvl>
    <w:lvl w:ilvl="6" w:tplc="90F806DA">
      <w:numFmt w:val="decimal"/>
      <w:lvlText w:val=""/>
      <w:lvlJc w:val="left"/>
    </w:lvl>
    <w:lvl w:ilvl="7" w:tplc="32AC7934">
      <w:numFmt w:val="decimal"/>
      <w:lvlText w:val=""/>
      <w:lvlJc w:val="left"/>
    </w:lvl>
    <w:lvl w:ilvl="8" w:tplc="4844E412">
      <w:numFmt w:val="decimal"/>
      <w:lvlText w:val=""/>
      <w:lvlJc w:val="left"/>
    </w:lvl>
  </w:abstractNum>
  <w:num w:numId="1" w16cid:durableId="2003198870">
    <w:abstractNumId w:val="0"/>
    <w:lvlOverride w:ilvl="0">
      <w:startOverride w:val="1"/>
    </w:lvlOverride>
  </w:num>
  <w:num w:numId="2" w16cid:durableId="2135169720">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7AF"/>
    <w:rsid w:val="001B1C17"/>
    <w:rsid w:val="003A06AF"/>
    <w:rsid w:val="007A53CA"/>
    <w:rsid w:val="00D35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EE7175"/>
  <w15:docId w15:val="{1FCBD48B-9F0B-2E4D-B175-446CCF85D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80"/>
      <w:outlineLvl w:val="0"/>
    </w:pPr>
    <w:rPr>
      <w:b/>
      <w:bCs/>
      <w:color w:val="1F3864"/>
      <w:sz w:val="32"/>
      <w:szCs w:val="32"/>
    </w:rPr>
  </w:style>
  <w:style w:type="paragraph" w:styleId="Heading2">
    <w:name w:val="heading 2"/>
    <w:uiPriority w:val="9"/>
    <w:unhideWhenUsed/>
    <w:qFormat/>
    <w:pPr>
      <w:spacing w:before="240" w:after="120"/>
      <w:outlineLvl w:val="1"/>
    </w:pPr>
    <w:rPr>
      <w:b/>
      <w:bCs/>
      <w:color w:val="2E75B6"/>
      <w:sz w:val="26"/>
      <w:szCs w:val="26"/>
    </w:rPr>
  </w:style>
  <w:style w:type="paragraph" w:styleId="Heading3">
    <w:name w:val="heading 3"/>
    <w:uiPriority w:val="9"/>
    <w:semiHidden/>
    <w:unhideWhenUsed/>
    <w:qFormat/>
    <w:pPr>
      <w:spacing w:before="180" w:after="80"/>
      <w:outlineLvl w:val="2"/>
    </w:pPr>
    <w:rPr>
      <w:b/>
      <w:bCs/>
      <w:color w:val="333333"/>
      <w:sz w:val="23"/>
      <w:szCs w:val="2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semiHidden/>
    <w:unhideWhenUsed/>
    <w:rsid w:val="003A06AF"/>
    <w:pPr>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A0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21596">
      <w:bodyDiv w:val="1"/>
      <w:marLeft w:val="0"/>
      <w:marRight w:val="0"/>
      <w:marTop w:val="0"/>
      <w:marBottom w:val="0"/>
      <w:divBdr>
        <w:top w:val="none" w:sz="0" w:space="0" w:color="auto"/>
        <w:left w:val="none" w:sz="0" w:space="0" w:color="auto"/>
        <w:bottom w:val="none" w:sz="0" w:space="0" w:color="auto"/>
        <w:right w:val="none" w:sz="0" w:space="0" w:color="auto"/>
      </w:divBdr>
    </w:div>
    <w:div w:id="142165703">
      <w:bodyDiv w:val="1"/>
      <w:marLeft w:val="0"/>
      <w:marRight w:val="0"/>
      <w:marTop w:val="0"/>
      <w:marBottom w:val="0"/>
      <w:divBdr>
        <w:top w:val="none" w:sz="0" w:space="0" w:color="auto"/>
        <w:left w:val="none" w:sz="0" w:space="0" w:color="auto"/>
        <w:bottom w:val="none" w:sz="0" w:space="0" w:color="auto"/>
        <w:right w:val="none" w:sz="0" w:space="0" w:color="auto"/>
      </w:divBdr>
    </w:div>
    <w:div w:id="323045252">
      <w:bodyDiv w:val="1"/>
      <w:marLeft w:val="0"/>
      <w:marRight w:val="0"/>
      <w:marTop w:val="0"/>
      <w:marBottom w:val="0"/>
      <w:divBdr>
        <w:top w:val="none" w:sz="0" w:space="0" w:color="auto"/>
        <w:left w:val="none" w:sz="0" w:space="0" w:color="auto"/>
        <w:bottom w:val="none" w:sz="0" w:space="0" w:color="auto"/>
        <w:right w:val="none" w:sz="0" w:space="0" w:color="auto"/>
      </w:divBdr>
    </w:div>
    <w:div w:id="335038777">
      <w:bodyDiv w:val="1"/>
      <w:marLeft w:val="0"/>
      <w:marRight w:val="0"/>
      <w:marTop w:val="0"/>
      <w:marBottom w:val="0"/>
      <w:divBdr>
        <w:top w:val="none" w:sz="0" w:space="0" w:color="auto"/>
        <w:left w:val="none" w:sz="0" w:space="0" w:color="auto"/>
        <w:bottom w:val="none" w:sz="0" w:space="0" w:color="auto"/>
        <w:right w:val="none" w:sz="0" w:space="0" w:color="auto"/>
      </w:divBdr>
    </w:div>
    <w:div w:id="472984366">
      <w:bodyDiv w:val="1"/>
      <w:marLeft w:val="0"/>
      <w:marRight w:val="0"/>
      <w:marTop w:val="0"/>
      <w:marBottom w:val="0"/>
      <w:divBdr>
        <w:top w:val="none" w:sz="0" w:space="0" w:color="auto"/>
        <w:left w:val="none" w:sz="0" w:space="0" w:color="auto"/>
        <w:bottom w:val="none" w:sz="0" w:space="0" w:color="auto"/>
        <w:right w:val="none" w:sz="0" w:space="0" w:color="auto"/>
      </w:divBdr>
    </w:div>
    <w:div w:id="504249411">
      <w:bodyDiv w:val="1"/>
      <w:marLeft w:val="0"/>
      <w:marRight w:val="0"/>
      <w:marTop w:val="0"/>
      <w:marBottom w:val="0"/>
      <w:divBdr>
        <w:top w:val="none" w:sz="0" w:space="0" w:color="auto"/>
        <w:left w:val="none" w:sz="0" w:space="0" w:color="auto"/>
        <w:bottom w:val="none" w:sz="0" w:space="0" w:color="auto"/>
        <w:right w:val="none" w:sz="0" w:space="0" w:color="auto"/>
      </w:divBdr>
    </w:div>
    <w:div w:id="593126101">
      <w:bodyDiv w:val="1"/>
      <w:marLeft w:val="0"/>
      <w:marRight w:val="0"/>
      <w:marTop w:val="0"/>
      <w:marBottom w:val="0"/>
      <w:divBdr>
        <w:top w:val="none" w:sz="0" w:space="0" w:color="auto"/>
        <w:left w:val="none" w:sz="0" w:space="0" w:color="auto"/>
        <w:bottom w:val="none" w:sz="0" w:space="0" w:color="auto"/>
        <w:right w:val="none" w:sz="0" w:space="0" w:color="auto"/>
      </w:divBdr>
    </w:div>
    <w:div w:id="613679339">
      <w:bodyDiv w:val="1"/>
      <w:marLeft w:val="0"/>
      <w:marRight w:val="0"/>
      <w:marTop w:val="0"/>
      <w:marBottom w:val="0"/>
      <w:divBdr>
        <w:top w:val="none" w:sz="0" w:space="0" w:color="auto"/>
        <w:left w:val="none" w:sz="0" w:space="0" w:color="auto"/>
        <w:bottom w:val="none" w:sz="0" w:space="0" w:color="auto"/>
        <w:right w:val="none" w:sz="0" w:space="0" w:color="auto"/>
      </w:divBdr>
    </w:div>
    <w:div w:id="1379744294">
      <w:bodyDiv w:val="1"/>
      <w:marLeft w:val="0"/>
      <w:marRight w:val="0"/>
      <w:marTop w:val="0"/>
      <w:marBottom w:val="0"/>
      <w:divBdr>
        <w:top w:val="none" w:sz="0" w:space="0" w:color="auto"/>
        <w:left w:val="none" w:sz="0" w:space="0" w:color="auto"/>
        <w:bottom w:val="none" w:sz="0" w:space="0" w:color="auto"/>
        <w:right w:val="none" w:sz="0" w:space="0" w:color="auto"/>
      </w:divBdr>
    </w:div>
    <w:div w:id="1470392264">
      <w:bodyDiv w:val="1"/>
      <w:marLeft w:val="0"/>
      <w:marRight w:val="0"/>
      <w:marTop w:val="0"/>
      <w:marBottom w:val="0"/>
      <w:divBdr>
        <w:top w:val="none" w:sz="0" w:space="0" w:color="auto"/>
        <w:left w:val="none" w:sz="0" w:space="0" w:color="auto"/>
        <w:bottom w:val="none" w:sz="0" w:space="0" w:color="auto"/>
        <w:right w:val="none" w:sz="0" w:space="0" w:color="auto"/>
      </w:divBdr>
    </w:div>
    <w:div w:id="1494368652">
      <w:bodyDiv w:val="1"/>
      <w:marLeft w:val="0"/>
      <w:marRight w:val="0"/>
      <w:marTop w:val="0"/>
      <w:marBottom w:val="0"/>
      <w:divBdr>
        <w:top w:val="none" w:sz="0" w:space="0" w:color="auto"/>
        <w:left w:val="none" w:sz="0" w:space="0" w:color="auto"/>
        <w:bottom w:val="none" w:sz="0" w:space="0" w:color="auto"/>
        <w:right w:val="none" w:sz="0" w:space="0" w:color="auto"/>
      </w:divBdr>
    </w:div>
    <w:div w:id="1966613553">
      <w:bodyDiv w:val="1"/>
      <w:marLeft w:val="0"/>
      <w:marRight w:val="0"/>
      <w:marTop w:val="0"/>
      <w:marBottom w:val="0"/>
      <w:divBdr>
        <w:top w:val="none" w:sz="0" w:space="0" w:color="auto"/>
        <w:left w:val="none" w:sz="0" w:space="0" w:color="auto"/>
        <w:bottom w:val="none" w:sz="0" w:space="0" w:color="auto"/>
        <w:right w:val="none" w:sz="0" w:space="0" w:color="auto"/>
      </w:divBdr>
    </w:div>
    <w:div w:id="1989551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6058</Words>
  <Characters>34535</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ADMIN</cp:lastModifiedBy>
  <cp:revision>2</cp:revision>
  <dcterms:created xsi:type="dcterms:W3CDTF">2026-03-14T01:09:00Z</dcterms:created>
  <dcterms:modified xsi:type="dcterms:W3CDTF">2026-03-14T01:09:00Z</dcterms:modified>
</cp:coreProperties>
</file>