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79FF9" w14:textId="47B5F0FF" w:rsidR="004A7DA0" w:rsidRPr="004A7DA0" w:rsidRDefault="004A7DA0" w:rsidP="004A7DA0">
      <w:pPr>
        <w:spacing w:before="200" w:after="200"/>
        <w:jc w:val="center"/>
        <w:rPr>
          <w:rFonts w:ascii="Arial" w:eastAsia="Arial" w:hAnsi="Arial" w:cs="Arial"/>
          <w:b/>
          <w:bCs/>
          <w:sz w:val="32"/>
          <w:szCs w:val="32"/>
          <w:lang w:val="en-US"/>
        </w:rPr>
      </w:pPr>
      <w:r w:rsidRPr="004A7DA0">
        <w:rPr>
          <w:rFonts w:ascii="Arial" w:eastAsia="Arial" w:hAnsi="Arial" w:cs="Arial"/>
          <w:b/>
          <w:bCs/>
          <w:noProof/>
          <w:sz w:val="32"/>
          <w:szCs w:val="32"/>
          <w:lang w:val="en-US"/>
        </w:rPr>
        <w:drawing>
          <wp:inline distT="0" distB="0" distL="0" distR="0" wp14:anchorId="193C2517" wp14:editId="31A5FBB4">
            <wp:extent cx="3383280" cy="1356360"/>
            <wp:effectExtent l="0" t="0" r="7620" b="0"/>
            <wp:docPr id="3469913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2970EB46" w14:textId="77777777" w:rsidR="004A7DA0" w:rsidRPr="004A7DA0" w:rsidRDefault="004A7DA0" w:rsidP="004A7DA0">
      <w:pPr>
        <w:spacing w:before="200" w:after="200"/>
        <w:jc w:val="center"/>
        <w:rPr>
          <w:rFonts w:ascii="Arial" w:eastAsia="Arial" w:hAnsi="Arial" w:cs="Arial"/>
          <w:b/>
          <w:bCs/>
          <w:sz w:val="32"/>
          <w:szCs w:val="32"/>
          <w:lang w:val="en-US"/>
        </w:rPr>
      </w:pPr>
    </w:p>
    <w:p w14:paraId="6BFEB1C5" w14:textId="203BA5AA" w:rsidR="004A7DA0" w:rsidRPr="004A7DA0" w:rsidRDefault="004A7DA0" w:rsidP="004A7DA0">
      <w:pPr>
        <w:spacing w:before="200" w:after="200"/>
        <w:jc w:val="center"/>
        <w:rPr>
          <w:rFonts w:ascii="Arial" w:eastAsia="Arial" w:hAnsi="Arial" w:cs="Arial"/>
          <w:b/>
          <w:bCs/>
          <w:sz w:val="32"/>
          <w:szCs w:val="32"/>
          <w:lang w:val="en-US"/>
        </w:rPr>
      </w:pPr>
      <w:r w:rsidRPr="004A7DA0">
        <w:rPr>
          <w:rFonts w:ascii="Arial" w:eastAsia="Arial" w:hAnsi="Arial" w:cs="Arial"/>
          <w:b/>
          <w:bCs/>
          <w:sz w:val="32"/>
          <w:szCs w:val="32"/>
          <w:lang w:val="en-US"/>
        </w:rPr>
        <w:t xml:space="preserve">Student Name : Ronak </w:t>
      </w:r>
      <w:r>
        <w:rPr>
          <w:rFonts w:ascii="Arial" w:eastAsia="Arial" w:hAnsi="Arial" w:cs="Arial"/>
          <w:b/>
          <w:bCs/>
          <w:sz w:val="32"/>
          <w:szCs w:val="32"/>
          <w:lang w:val="en-US"/>
        </w:rPr>
        <w:t>Jerambhai</w:t>
      </w:r>
      <w:r w:rsidRPr="004A7DA0">
        <w:rPr>
          <w:rFonts w:ascii="Arial" w:eastAsia="Arial" w:hAnsi="Arial" w:cs="Arial"/>
          <w:b/>
          <w:bCs/>
          <w:sz w:val="32"/>
          <w:szCs w:val="32"/>
          <w:lang w:val="en-US"/>
        </w:rPr>
        <w:t xml:space="preserve"> </w:t>
      </w:r>
      <w:r>
        <w:rPr>
          <w:rFonts w:ascii="Arial" w:eastAsia="Arial" w:hAnsi="Arial" w:cs="Arial"/>
          <w:b/>
          <w:bCs/>
          <w:sz w:val="32"/>
          <w:szCs w:val="32"/>
          <w:lang w:val="en-US"/>
        </w:rPr>
        <w:t>Devani</w:t>
      </w:r>
    </w:p>
    <w:p w14:paraId="24F6CE80" w14:textId="69B21396" w:rsidR="004A7DA0" w:rsidRPr="004A7DA0" w:rsidRDefault="004A7DA0" w:rsidP="004A7DA0">
      <w:pPr>
        <w:spacing w:before="200" w:after="200"/>
        <w:jc w:val="center"/>
        <w:rPr>
          <w:rFonts w:ascii="Arial" w:eastAsia="Arial" w:hAnsi="Arial" w:cs="Arial"/>
          <w:b/>
          <w:bCs/>
          <w:sz w:val="32"/>
          <w:szCs w:val="32"/>
          <w:lang w:val="en-US"/>
        </w:rPr>
      </w:pPr>
      <w:r w:rsidRPr="004A7DA0">
        <w:rPr>
          <w:rFonts w:ascii="Arial" w:eastAsia="Arial" w:hAnsi="Arial" w:cs="Arial"/>
          <w:b/>
          <w:bCs/>
          <w:sz w:val="32"/>
          <w:szCs w:val="32"/>
          <w:lang w:val="en-US"/>
        </w:rPr>
        <w:t>Student ID : 25</w:t>
      </w:r>
      <w:r>
        <w:rPr>
          <w:rFonts w:ascii="Arial" w:eastAsia="Arial" w:hAnsi="Arial" w:cs="Arial"/>
          <w:b/>
          <w:bCs/>
          <w:sz w:val="32"/>
          <w:szCs w:val="32"/>
          <w:lang w:val="en-US"/>
        </w:rPr>
        <w:t>31597</w:t>
      </w:r>
    </w:p>
    <w:p w14:paraId="2B5CC8C3" w14:textId="77777777" w:rsidR="004A7DA0" w:rsidRPr="004A7DA0" w:rsidRDefault="004A7DA0" w:rsidP="004A7DA0">
      <w:pPr>
        <w:spacing w:before="200" w:after="200"/>
        <w:jc w:val="center"/>
        <w:rPr>
          <w:rFonts w:ascii="Arial" w:eastAsia="Arial" w:hAnsi="Arial" w:cs="Arial"/>
          <w:b/>
          <w:bCs/>
          <w:sz w:val="32"/>
          <w:szCs w:val="32"/>
          <w:lang w:val="en-US"/>
        </w:rPr>
      </w:pPr>
    </w:p>
    <w:p w14:paraId="218EA686" w14:textId="77777777" w:rsidR="004A7DA0" w:rsidRPr="004A7DA0" w:rsidRDefault="004A7DA0" w:rsidP="004A7DA0">
      <w:pPr>
        <w:spacing w:before="200" w:after="200"/>
        <w:jc w:val="center"/>
        <w:rPr>
          <w:rFonts w:ascii="Arial" w:eastAsia="Arial" w:hAnsi="Arial" w:cs="Arial"/>
          <w:b/>
          <w:bCs/>
          <w:sz w:val="32"/>
          <w:szCs w:val="32"/>
          <w:lang w:val="en-US"/>
        </w:rPr>
      </w:pPr>
      <w:r w:rsidRPr="004A7DA0">
        <w:rPr>
          <w:rFonts w:ascii="Arial" w:eastAsia="Arial" w:hAnsi="Arial" w:cs="Arial"/>
          <w:b/>
          <w:bCs/>
          <w:sz w:val="32"/>
          <w:szCs w:val="32"/>
          <w:lang w:val="en-US"/>
        </w:rPr>
        <w:t>Module Name : Financial Management</w:t>
      </w:r>
    </w:p>
    <w:p w14:paraId="789739AB" w14:textId="77777777" w:rsidR="004A7DA0" w:rsidRDefault="004A7DA0" w:rsidP="004A7DA0">
      <w:pPr>
        <w:spacing w:before="200" w:after="200"/>
        <w:jc w:val="center"/>
        <w:rPr>
          <w:rFonts w:ascii="Arial" w:eastAsia="Arial" w:hAnsi="Arial" w:cs="Arial"/>
          <w:b/>
          <w:bCs/>
          <w:sz w:val="32"/>
          <w:szCs w:val="32"/>
          <w:lang w:val="en-US"/>
        </w:rPr>
      </w:pPr>
      <w:r w:rsidRPr="004A7DA0">
        <w:rPr>
          <w:rFonts w:ascii="Arial" w:eastAsia="Arial" w:hAnsi="Arial" w:cs="Arial"/>
          <w:b/>
          <w:bCs/>
          <w:sz w:val="32"/>
          <w:szCs w:val="32"/>
          <w:lang w:val="en-US"/>
        </w:rPr>
        <w:t>Module Code : LCMB7002</w:t>
      </w:r>
    </w:p>
    <w:p w14:paraId="19B6B026" w14:textId="77777777" w:rsidR="004A7DA0" w:rsidRPr="004A7DA0" w:rsidRDefault="004A7DA0" w:rsidP="004A7DA0">
      <w:pPr>
        <w:spacing w:before="200" w:after="200"/>
        <w:jc w:val="center"/>
        <w:rPr>
          <w:rFonts w:ascii="Arial" w:eastAsia="Arial" w:hAnsi="Arial" w:cs="Arial"/>
          <w:b/>
          <w:bCs/>
          <w:sz w:val="32"/>
          <w:szCs w:val="32"/>
          <w:lang w:val="en-US"/>
        </w:rPr>
      </w:pPr>
    </w:p>
    <w:p w14:paraId="5C8C50E7" w14:textId="77777777" w:rsidR="004A7DA0" w:rsidRPr="004A7DA0" w:rsidRDefault="004A7DA0" w:rsidP="004A7DA0">
      <w:pPr>
        <w:spacing w:before="200" w:after="200"/>
        <w:jc w:val="center"/>
        <w:rPr>
          <w:rFonts w:ascii="Arial" w:eastAsia="Arial" w:hAnsi="Arial" w:cs="Arial"/>
          <w:b/>
          <w:bCs/>
          <w:sz w:val="32"/>
          <w:szCs w:val="32"/>
          <w:lang w:val="en-US"/>
        </w:rPr>
      </w:pPr>
      <w:r w:rsidRPr="004A7DA0">
        <w:rPr>
          <w:rFonts w:ascii="Arial" w:eastAsia="Arial" w:hAnsi="Arial" w:cs="Arial"/>
          <w:b/>
          <w:bCs/>
          <w:sz w:val="32"/>
          <w:szCs w:val="32"/>
          <w:lang w:val="en-US"/>
        </w:rPr>
        <w:t>Lecturer’s Name : Dr Shengfeng Mei</w:t>
      </w:r>
    </w:p>
    <w:p w14:paraId="0E088A75" w14:textId="77777777" w:rsidR="004A7DA0" w:rsidRPr="004A7DA0" w:rsidRDefault="004A7DA0" w:rsidP="004A7DA0">
      <w:pPr>
        <w:spacing w:before="200" w:after="200"/>
        <w:jc w:val="center"/>
        <w:rPr>
          <w:rFonts w:ascii="Arial" w:eastAsia="Arial" w:hAnsi="Arial" w:cs="Arial"/>
          <w:b/>
          <w:bCs/>
          <w:sz w:val="32"/>
          <w:szCs w:val="32"/>
          <w:lang w:val="en-US"/>
        </w:rPr>
      </w:pPr>
    </w:p>
    <w:p w14:paraId="78B46A7D" w14:textId="56F05988" w:rsidR="004A7DA0" w:rsidRDefault="004A7DA0" w:rsidP="004A7DA0">
      <w:pPr>
        <w:spacing w:before="200" w:after="200"/>
        <w:jc w:val="center"/>
        <w:rPr>
          <w:rFonts w:ascii="Arial" w:eastAsia="Arial" w:hAnsi="Arial" w:cs="Arial"/>
          <w:b/>
          <w:bCs/>
          <w:sz w:val="32"/>
          <w:szCs w:val="32"/>
          <w:lang w:val="en-US"/>
        </w:rPr>
      </w:pPr>
      <w:r w:rsidRPr="004A7DA0">
        <w:rPr>
          <w:rFonts w:ascii="Arial" w:eastAsia="Arial" w:hAnsi="Arial" w:cs="Arial"/>
          <w:b/>
          <w:bCs/>
          <w:sz w:val="32"/>
          <w:szCs w:val="32"/>
          <w:lang w:val="en-US"/>
        </w:rPr>
        <w:t xml:space="preserve">Work Count : </w:t>
      </w:r>
      <w:r w:rsidR="00DB39CD">
        <w:rPr>
          <w:rFonts w:ascii="Arial" w:eastAsia="Arial" w:hAnsi="Arial" w:cs="Arial"/>
          <w:b/>
          <w:bCs/>
          <w:sz w:val="32"/>
          <w:szCs w:val="32"/>
          <w:lang w:val="en-US"/>
        </w:rPr>
        <w:t>4</w:t>
      </w:r>
      <w:r w:rsidR="00876367">
        <w:rPr>
          <w:rFonts w:ascii="Arial" w:eastAsia="Arial" w:hAnsi="Arial" w:cs="Arial"/>
          <w:b/>
          <w:bCs/>
          <w:sz w:val="32"/>
          <w:szCs w:val="32"/>
          <w:lang w:val="en-US"/>
        </w:rPr>
        <w:t>758</w:t>
      </w:r>
    </w:p>
    <w:p w14:paraId="703910DD" w14:textId="58A5BA5D" w:rsidR="004A7DA0" w:rsidRPr="004A7DA0" w:rsidRDefault="004A7DA0" w:rsidP="004A7DA0">
      <w:pPr>
        <w:spacing w:before="200" w:after="200"/>
        <w:jc w:val="center"/>
        <w:rPr>
          <w:rFonts w:ascii="Arial" w:eastAsia="Arial" w:hAnsi="Arial" w:cs="Arial"/>
          <w:b/>
          <w:bCs/>
          <w:sz w:val="32"/>
          <w:szCs w:val="32"/>
        </w:rPr>
      </w:pPr>
      <w:r w:rsidRPr="004A7DA0">
        <w:rPr>
          <w:rFonts w:ascii="Arial" w:eastAsia="Arial" w:hAnsi="Arial" w:cs="Arial"/>
          <w:b/>
          <w:bCs/>
          <w:sz w:val="32"/>
          <w:szCs w:val="32"/>
        </w:rPr>
        <w:t>Submission Date: 24</w:t>
      </w:r>
      <w:r w:rsidRPr="004A7DA0">
        <w:rPr>
          <w:rFonts w:ascii="Arial" w:eastAsia="Arial" w:hAnsi="Arial" w:cs="Arial"/>
          <w:b/>
          <w:bCs/>
          <w:sz w:val="32"/>
          <w:szCs w:val="32"/>
          <w:vertAlign w:val="superscript"/>
        </w:rPr>
        <w:t>th</w:t>
      </w:r>
      <w:r w:rsidRPr="004A7DA0">
        <w:rPr>
          <w:rFonts w:ascii="Arial" w:eastAsia="Arial" w:hAnsi="Arial" w:cs="Arial"/>
          <w:b/>
          <w:bCs/>
          <w:sz w:val="32"/>
          <w:szCs w:val="32"/>
        </w:rPr>
        <w:t xml:space="preserve"> April 2026</w:t>
      </w:r>
    </w:p>
    <w:p w14:paraId="4735A649" w14:textId="77777777" w:rsidR="004A7DA0" w:rsidRPr="004A7DA0" w:rsidRDefault="004A7DA0" w:rsidP="004A7DA0">
      <w:pPr>
        <w:spacing w:before="200" w:after="200"/>
        <w:jc w:val="center"/>
        <w:rPr>
          <w:rFonts w:ascii="Arial" w:eastAsia="Arial" w:hAnsi="Arial" w:cs="Arial"/>
          <w:b/>
          <w:bCs/>
          <w:sz w:val="32"/>
          <w:szCs w:val="32"/>
          <w:lang w:val="en-US"/>
        </w:rPr>
      </w:pPr>
    </w:p>
    <w:p w14:paraId="3C664242" w14:textId="0E85E16A" w:rsidR="004A7DA0" w:rsidRDefault="004A7DA0" w:rsidP="004A7DA0">
      <w:pPr>
        <w:tabs>
          <w:tab w:val="center" w:pos="4514"/>
          <w:tab w:val="left" w:pos="6000"/>
        </w:tabs>
        <w:spacing w:before="200" w:after="200"/>
        <w:jc w:val="left"/>
        <w:rPr>
          <w:rFonts w:ascii="Arial" w:eastAsia="Arial" w:hAnsi="Arial" w:cs="Arial"/>
          <w:b/>
          <w:bCs/>
          <w:sz w:val="32"/>
          <w:szCs w:val="32"/>
          <w:lang w:val="en-US"/>
        </w:rPr>
      </w:pPr>
      <w:r>
        <w:rPr>
          <w:rFonts w:ascii="Arial" w:eastAsia="Arial" w:hAnsi="Arial" w:cs="Arial"/>
          <w:b/>
          <w:bCs/>
          <w:sz w:val="32"/>
          <w:szCs w:val="32"/>
          <w:lang w:val="en-US"/>
        </w:rPr>
        <w:tab/>
      </w:r>
      <w:r w:rsidRPr="004A7DA0">
        <w:rPr>
          <w:rFonts w:ascii="Arial" w:eastAsia="Arial" w:hAnsi="Arial" w:cs="Arial"/>
          <w:b/>
          <w:bCs/>
          <w:sz w:val="32"/>
          <w:szCs w:val="32"/>
          <w:lang w:val="en-US"/>
        </w:rPr>
        <w:t>Term 1</w:t>
      </w:r>
      <w:r>
        <w:rPr>
          <w:rFonts w:ascii="Arial" w:eastAsia="Arial" w:hAnsi="Arial" w:cs="Arial"/>
          <w:b/>
          <w:bCs/>
          <w:sz w:val="32"/>
          <w:szCs w:val="32"/>
          <w:lang w:val="en-US"/>
        </w:rPr>
        <w:tab/>
      </w:r>
    </w:p>
    <w:p w14:paraId="653B30D3" w14:textId="77777777" w:rsidR="004A7DA0" w:rsidRPr="004A7DA0" w:rsidRDefault="004A7DA0" w:rsidP="004A7DA0">
      <w:pPr>
        <w:tabs>
          <w:tab w:val="center" w:pos="4514"/>
          <w:tab w:val="left" w:pos="6000"/>
        </w:tabs>
        <w:spacing w:before="200" w:after="200"/>
        <w:jc w:val="left"/>
        <w:rPr>
          <w:rFonts w:ascii="Arial" w:eastAsia="Arial" w:hAnsi="Arial" w:cs="Arial"/>
          <w:b/>
          <w:bCs/>
          <w:sz w:val="32"/>
          <w:szCs w:val="32"/>
          <w:lang w:val="en-US"/>
        </w:rPr>
      </w:pPr>
    </w:p>
    <w:p w14:paraId="40EE8FF6" w14:textId="77777777" w:rsidR="005D57A3" w:rsidRDefault="005D57A3">
      <w:pPr>
        <w:spacing w:before="200" w:after="200"/>
        <w:jc w:val="center"/>
        <w:rPr>
          <w:rFonts w:ascii="Arial" w:eastAsia="Arial" w:hAnsi="Arial" w:cs="Arial"/>
          <w:b/>
          <w:bCs/>
          <w:sz w:val="32"/>
          <w:szCs w:val="32"/>
        </w:rPr>
      </w:pPr>
    </w:p>
    <w:p w14:paraId="1B15B8E5" w14:textId="77777777" w:rsidR="005D57A3" w:rsidRDefault="005D57A3">
      <w:pPr>
        <w:spacing w:before="200" w:after="200"/>
        <w:jc w:val="center"/>
        <w:rPr>
          <w:rFonts w:ascii="Arial" w:eastAsia="Arial" w:hAnsi="Arial" w:cs="Arial"/>
          <w:b/>
          <w:bCs/>
          <w:sz w:val="32"/>
          <w:szCs w:val="32"/>
        </w:rPr>
      </w:pPr>
    </w:p>
    <w:p w14:paraId="29108358" w14:textId="77777777" w:rsidR="004A7DA0" w:rsidRDefault="004A7DA0">
      <w:pPr>
        <w:spacing w:before="200" w:after="200"/>
        <w:jc w:val="center"/>
        <w:rPr>
          <w:rFonts w:ascii="Arial" w:eastAsia="Arial" w:hAnsi="Arial" w:cs="Arial"/>
          <w:b/>
          <w:bCs/>
          <w:sz w:val="32"/>
          <w:szCs w:val="32"/>
        </w:rPr>
      </w:pPr>
    </w:p>
    <w:p w14:paraId="7A82CF71" w14:textId="77777777" w:rsidR="004A7DA0" w:rsidRDefault="004A7DA0">
      <w:pPr>
        <w:spacing w:before="200" w:after="200"/>
        <w:jc w:val="center"/>
        <w:rPr>
          <w:rFonts w:ascii="Arial" w:eastAsia="Arial" w:hAnsi="Arial" w:cs="Arial"/>
          <w:b/>
          <w:bCs/>
          <w:sz w:val="32"/>
          <w:szCs w:val="32"/>
        </w:rPr>
      </w:pPr>
    </w:p>
    <w:p w14:paraId="17829132" w14:textId="77777777" w:rsidR="004A7DA0" w:rsidRDefault="004A7DA0">
      <w:pPr>
        <w:spacing w:before="200" w:after="200"/>
        <w:jc w:val="center"/>
        <w:rPr>
          <w:rFonts w:ascii="Arial" w:eastAsia="Arial" w:hAnsi="Arial" w:cs="Arial"/>
          <w:b/>
          <w:bCs/>
          <w:sz w:val="32"/>
          <w:szCs w:val="32"/>
        </w:rPr>
      </w:pPr>
    </w:p>
    <w:p w14:paraId="7BCA9A4E" w14:textId="77777777" w:rsidR="004A7DA0" w:rsidRDefault="004A7DA0">
      <w:pPr>
        <w:spacing w:before="200" w:after="200"/>
        <w:jc w:val="center"/>
        <w:rPr>
          <w:rFonts w:ascii="Arial" w:eastAsia="Arial" w:hAnsi="Arial" w:cs="Arial"/>
          <w:b/>
          <w:bCs/>
          <w:sz w:val="32"/>
          <w:szCs w:val="32"/>
        </w:rPr>
      </w:pPr>
    </w:p>
    <w:p w14:paraId="49C8499E" w14:textId="77777777" w:rsidR="004A7DA0" w:rsidRDefault="004A7DA0" w:rsidP="004A7DA0">
      <w:pPr>
        <w:spacing w:before="200" w:after="200"/>
        <w:rPr>
          <w:rFonts w:ascii="Arial" w:eastAsia="Arial" w:hAnsi="Arial" w:cs="Arial"/>
          <w:b/>
          <w:bCs/>
          <w:sz w:val="32"/>
          <w:szCs w:val="32"/>
        </w:rPr>
      </w:pPr>
    </w:p>
    <w:p w14:paraId="24BC86A8" w14:textId="77777777" w:rsidR="004A7DA0" w:rsidRDefault="004A7DA0">
      <w:pPr>
        <w:spacing w:before="200" w:after="200"/>
        <w:jc w:val="center"/>
        <w:rPr>
          <w:rFonts w:ascii="Arial" w:eastAsia="Arial" w:hAnsi="Arial" w:cs="Arial"/>
          <w:b/>
          <w:bCs/>
          <w:sz w:val="32"/>
          <w:szCs w:val="32"/>
        </w:rPr>
      </w:pPr>
    </w:p>
    <w:p w14:paraId="52B09C4D" w14:textId="77777777" w:rsidR="004A7DA0" w:rsidRDefault="004A7DA0">
      <w:pPr>
        <w:spacing w:before="200" w:after="200"/>
        <w:jc w:val="center"/>
        <w:rPr>
          <w:rFonts w:ascii="Arial" w:eastAsia="Arial" w:hAnsi="Arial" w:cs="Arial"/>
          <w:b/>
          <w:bCs/>
          <w:sz w:val="32"/>
          <w:szCs w:val="32"/>
        </w:rPr>
      </w:pPr>
    </w:p>
    <w:p w14:paraId="60C47B4A" w14:textId="5AF443ED" w:rsidR="005D57A3" w:rsidRDefault="00000000">
      <w:pPr>
        <w:spacing w:before="200" w:after="200"/>
        <w:jc w:val="center"/>
        <w:rPr>
          <w:rFonts w:ascii="Arial" w:eastAsia="Arial" w:hAnsi="Arial" w:cs="Arial"/>
          <w:b/>
          <w:bCs/>
          <w:sz w:val="32"/>
          <w:szCs w:val="32"/>
        </w:rPr>
      </w:pPr>
      <w:r>
        <w:rPr>
          <w:rFonts w:ascii="Arial" w:eastAsia="Arial" w:hAnsi="Arial" w:cs="Arial"/>
          <w:b/>
          <w:bCs/>
          <w:sz w:val="32"/>
          <w:szCs w:val="32"/>
        </w:rPr>
        <w:t>Selected Company</w:t>
      </w:r>
      <w:r w:rsidR="004A7DA0">
        <w:rPr>
          <w:rFonts w:ascii="Arial" w:eastAsia="Arial" w:hAnsi="Arial" w:cs="Arial"/>
          <w:b/>
          <w:bCs/>
          <w:sz w:val="32"/>
          <w:szCs w:val="32"/>
        </w:rPr>
        <w:t xml:space="preserve"> </w:t>
      </w:r>
      <w:r>
        <w:rPr>
          <w:rFonts w:ascii="Arial" w:eastAsia="Arial" w:hAnsi="Arial" w:cs="Arial"/>
          <w:b/>
          <w:bCs/>
          <w:sz w:val="32"/>
          <w:szCs w:val="32"/>
        </w:rPr>
        <w:t>: Toyota Motor Corporation</w:t>
      </w:r>
    </w:p>
    <w:p w14:paraId="5BA00B1D" w14:textId="77777777" w:rsidR="004A7DA0" w:rsidRDefault="00000000">
      <w:pPr>
        <w:spacing w:before="200" w:after="200"/>
        <w:jc w:val="center"/>
        <w:rPr>
          <w:rFonts w:ascii="Arial" w:eastAsia="Arial" w:hAnsi="Arial" w:cs="Arial"/>
          <w:b/>
          <w:bCs/>
          <w:sz w:val="32"/>
          <w:szCs w:val="32"/>
        </w:rPr>
      </w:pPr>
      <w:r>
        <w:rPr>
          <w:rFonts w:ascii="Arial" w:eastAsia="Arial" w:hAnsi="Arial" w:cs="Arial"/>
          <w:b/>
          <w:bCs/>
          <w:sz w:val="32"/>
          <w:szCs w:val="32"/>
        </w:rPr>
        <w:t>Topic: Strategic CFO Challenge</w:t>
      </w:r>
    </w:p>
    <w:p w14:paraId="6CBAADBB" w14:textId="1921C78E" w:rsidR="005D57A3" w:rsidRDefault="004A7DA0">
      <w:pPr>
        <w:spacing w:before="200" w:after="200"/>
        <w:jc w:val="center"/>
        <w:rPr>
          <w:rFonts w:ascii="Arial" w:eastAsia="Arial" w:hAnsi="Arial" w:cs="Arial"/>
          <w:b/>
          <w:bCs/>
          <w:sz w:val="32"/>
          <w:szCs w:val="32"/>
        </w:rPr>
      </w:pPr>
      <w:r>
        <w:rPr>
          <w:rFonts w:ascii="Arial" w:eastAsia="Arial" w:hAnsi="Arial" w:cs="Arial"/>
          <w:b/>
          <w:bCs/>
          <w:sz w:val="32"/>
          <w:szCs w:val="32"/>
        </w:rPr>
        <w:t>→  A Financial Performance Analysis and Strategic Financial Management Plan for Toyota Motor Corporation</w:t>
      </w:r>
    </w:p>
    <w:p w14:paraId="7CD757FF" w14:textId="77777777" w:rsidR="005D57A3" w:rsidRDefault="00000000">
      <w:pPr>
        <w:spacing w:before="200" w:after="200"/>
        <w:rPr>
          <w:rFonts w:ascii="Arial" w:eastAsia="Arial" w:hAnsi="Arial" w:cs="Arial"/>
        </w:rPr>
      </w:pPr>
      <w:r>
        <w:br w:type="page"/>
      </w:r>
    </w:p>
    <w:p w14:paraId="41BC0583" w14:textId="77777777" w:rsidR="005D57A3" w:rsidRDefault="00000000">
      <w:pPr>
        <w:spacing w:before="200" w:after="200"/>
        <w:jc w:val="center"/>
        <w:rPr>
          <w:rFonts w:ascii="Arial" w:eastAsia="Arial" w:hAnsi="Arial" w:cs="Arial"/>
          <w:b/>
          <w:bCs/>
          <w:sz w:val="28"/>
          <w:szCs w:val="28"/>
        </w:rPr>
      </w:pPr>
      <w:r>
        <w:rPr>
          <w:rFonts w:ascii="Arial" w:eastAsia="Arial" w:hAnsi="Arial" w:cs="Arial"/>
          <w:b/>
          <w:bCs/>
          <w:sz w:val="28"/>
          <w:szCs w:val="28"/>
        </w:rPr>
        <w:lastRenderedPageBreak/>
        <w:t>Table of Contents</w:t>
      </w:r>
    </w:p>
    <w:sdt>
      <w:sdtPr>
        <w:id w:val="-821087612"/>
        <w:docPartObj>
          <w:docPartGallery w:val="Table of Contents"/>
          <w:docPartUnique/>
        </w:docPartObj>
      </w:sdtPr>
      <w:sdtContent>
        <w:p w14:paraId="00826330" w14:textId="082D764A" w:rsidR="004D6BE5" w:rsidRPr="004D6BE5" w:rsidRDefault="00000000">
          <w:pPr>
            <w:pStyle w:val="TOC1"/>
            <w:tabs>
              <w:tab w:val="right" w:leader="dot" w:pos="9019"/>
            </w:tabs>
            <w:rPr>
              <w:rFonts w:ascii="Arial" w:eastAsiaTheme="minorEastAsia" w:hAnsi="Arial" w:cs="Arial"/>
              <w:noProof/>
              <w:kern w:val="2"/>
              <w:lang w:val="en-IN"/>
              <w14:ligatures w14:val="standardContextual"/>
            </w:rPr>
          </w:pPr>
          <w:r w:rsidRPr="004D6BE5">
            <w:rPr>
              <w:rFonts w:ascii="Arial" w:hAnsi="Arial" w:cs="Arial"/>
            </w:rPr>
            <w:fldChar w:fldCharType="begin"/>
          </w:r>
          <w:r w:rsidRPr="004D6BE5">
            <w:rPr>
              <w:rFonts w:ascii="Arial" w:hAnsi="Arial" w:cs="Arial"/>
            </w:rPr>
            <w:instrText xml:space="preserve"> TOC \h \u \z \t "Heading 1,1,Heading 2,2,Heading 3,3,Heading 4,4,Heading 5,5,Heading 6,6,"</w:instrText>
          </w:r>
          <w:r w:rsidRPr="004D6BE5">
            <w:rPr>
              <w:rFonts w:ascii="Arial" w:hAnsi="Arial" w:cs="Arial"/>
            </w:rPr>
            <w:fldChar w:fldCharType="separate"/>
          </w:r>
          <w:hyperlink w:anchor="_Toc227878946" w:history="1">
            <w:r w:rsidR="004D6BE5" w:rsidRPr="004D6BE5">
              <w:rPr>
                <w:rStyle w:val="Hyperlink"/>
                <w:rFonts w:ascii="Arial" w:hAnsi="Arial" w:cs="Arial"/>
                <w:noProof/>
              </w:rPr>
              <w:t>1. Introduction</w:t>
            </w:r>
            <w:r w:rsidR="004D6BE5" w:rsidRPr="004D6BE5">
              <w:rPr>
                <w:rFonts w:ascii="Arial" w:hAnsi="Arial" w:cs="Arial"/>
                <w:noProof/>
                <w:webHidden/>
              </w:rPr>
              <w:tab/>
            </w:r>
            <w:r w:rsidR="004D6BE5" w:rsidRPr="004D6BE5">
              <w:rPr>
                <w:rFonts w:ascii="Arial" w:hAnsi="Arial" w:cs="Arial"/>
                <w:noProof/>
                <w:webHidden/>
              </w:rPr>
              <w:fldChar w:fldCharType="begin"/>
            </w:r>
            <w:r w:rsidR="004D6BE5" w:rsidRPr="004D6BE5">
              <w:rPr>
                <w:rFonts w:ascii="Arial" w:hAnsi="Arial" w:cs="Arial"/>
                <w:noProof/>
                <w:webHidden/>
              </w:rPr>
              <w:instrText xml:space="preserve"> PAGEREF _Toc227878946 \h </w:instrText>
            </w:r>
            <w:r w:rsidR="004D6BE5" w:rsidRPr="004D6BE5">
              <w:rPr>
                <w:rFonts w:ascii="Arial" w:hAnsi="Arial" w:cs="Arial"/>
                <w:noProof/>
                <w:webHidden/>
              </w:rPr>
            </w:r>
            <w:r w:rsidR="004D6BE5" w:rsidRPr="004D6BE5">
              <w:rPr>
                <w:rFonts w:ascii="Arial" w:hAnsi="Arial" w:cs="Arial"/>
                <w:noProof/>
                <w:webHidden/>
              </w:rPr>
              <w:fldChar w:fldCharType="separate"/>
            </w:r>
            <w:r w:rsidR="004D6BE5" w:rsidRPr="004D6BE5">
              <w:rPr>
                <w:rFonts w:ascii="Arial" w:hAnsi="Arial" w:cs="Arial"/>
                <w:noProof/>
                <w:webHidden/>
              </w:rPr>
              <w:t>4</w:t>
            </w:r>
            <w:r w:rsidR="004D6BE5" w:rsidRPr="004D6BE5">
              <w:rPr>
                <w:rFonts w:ascii="Arial" w:hAnsi="Arial" w:cs="Arial"/>
                <w:noProof/>
                <w:webHidden/>
              </w:rPr>
              <w:fldChar w:fldCharType="end"/>
            </w:r>
          </w:hyperlink>
        </w:p>
        <w:p w14:paraId="2523E5A8" w14:textId="7FFAE98E" w:rsidR="004D6BE5" w:rsidRPr="004D6BE5" w:rsidRDefault="004D6BE5">
          <w:pPr>
            <w:pStyle w:val="TOC1"/>
            <w:tabs>
              <w:tab w:val="right" w:leader="dot" w:pos="9019"/>
            </w:tabs>
            <w:rPr>
              <w:rFonts w:ascii="Arial" w:eastAsiaTheme="minorEastAsia" w:hAnsi="Arial" w:cs="Arial"/>
              <w:noProof/>
              <w:kern w:val="2"/>
              <w:lang w:val="en-IN"/>
              <w14:ligatures w14:val="standardContextual"/>
            </w:rPr>
          </w:pPr>
          <w:hyperlink w:anchor="_Toc227878947" w:history="1">
            <w:r w:rsidRPr="004D6BE5">
              <w:rPr>
                <w:rStyle w:val="Hyperlink"/>
                <w:rFonts w:ascii="Arial" w:hAnsi="Arial" w:cs="Arial"/>
                <w:noProof/>
              </w:rPr>
              <w:t>2. Financial Health Check</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_Toc227878947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4</w:t>
            </w:r>
            <w:r w:rsidRPr="004D6BE5">
              <w:rPr>
                <w:rFonts w:ascii="Arial" w:hAnsi="Arial" w:cs="Arial"/>
                <w:noProof/>
                <w:webHidden/>
              </w:rPr>
              <w:fldChar w:fldCharType="end"/>
            </w:r>
          </w:hyperlink>
        </w:p>
        <w:p w14:paraId="6D2E20DE" w14:textId="203FBB56" w:rsidR="004D6BE5" w:rsidRPr="004D6BE5" w:rsidRDefault="004D6BE5">
          <w:pPr>
            <w:pStyle w:val="TOC2"/>
            <w:tabs>
              <w:tab w:val="right" w:leader="dot" w:pos="9019"/>
            </w:tabs>
            <w:rPr>
              <w:rFonts w:ascii="Arial" w:eastAsiaTheme="minorEastAsia" w:hAnsi="Arial" w:cs="Arial"/>
              <w:noProof/>
              <w:kern w:val="2"/>
              <w:lang w:val="en-IN"/>
              <w14:ligatures w14:val="standardContextual"/>
            </w:rPr>
          </w:pPr>
          <w:hyperlink w:anchor="_Toc227878948" w:history="1">
            <w:r w:rsidRPr="004D6BE5">
              <w:rPr>
                <w:rStyle w:val="Hyperlink"/>
                <w:rFonts w:ascii="Arial" w:hAnsi="Arial" w:cs="Arial"/>
                <w:noProof/>
              </w:rPr>
              <w:t>2.1 Analyse the Firm’s Past Five-Year Financial Statements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_Toc227878948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4</w:t>
            </w:r>
            <w:r w:rsidRPr="004D6BE5">
              <w:rPr>
                <w:rFonts w:ascii="Arial" w:hAnsi="Arial" w:cs="Arial"/>
                <w:noProof/>
                <w:webHidden/>
              </w:rPr>
              <w:fldChar w:fldCharType="end"/>
            </w:r>
          </w:hyperlink>
        </w:p>
        <w:p w14:paraId="1DAFCAE4" w14:textId="2623BABF"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49" w:history="1">
            <w:r w:rsidRPr="004D6BE5">
              <w:rPr>
                <w:rStyle w:val="Hyperlink"/>
                <w:rFonts w:ascii="Arial" w:hAnsi="Arial" w:cs="Arial"/>
                <w:noProof/>
              </w:rPr>
              <w:t>Analysis of Statement of Financial Position from 2020 to 2024</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_Toc227878949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4</w:t>
            </w:r>
            <w:r w:rsidRPr="004D6BE5">
              <w:rPr>
                <w:rFonts w:ascii="Arial" w:hAnsi="Arial" w:cs="Arial"/>
                <w:noProof/>
                <w:webHidden/>
              </w:rPr>
              <w:fldChar w:fldCharType="end"/>
            </w:r>
          </w:hyperlink>
        </w:p>
        <w:p w14:paraId="7C074DCA" w14:textId="380E722B"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50" w:history="1">
            <w:r w:rsidRPr="004D6BE5">
              <w:rPr>
                <w:rStyle w:val="Hyperlink"/>
                <w:rFonts w:ascii="Arial" w:hAnsi="Arial" w:cs="Arial"/>
                <w:noProof/>
              </w:rPr>
              <w:t>Analysis of Statement of Income from 2020 to 2024</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_Toc227878950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4</w:t>
            </w:r>
            <w:r w:rsidRPr="004D6BE5">
              <w:rPr>
                <w:rFonts w:ascii="Arial" w:hAnsi="Arial" w:cs="Arial"/>
                <w:noProof/>
                <w:webHidden/>
              </w:rPr>
              <w:fldChar w:fldCharType="end"/>
            </w:r>
          </w:hyperlink>
        </w:p>
        <w:p w14:paraId="3F402ABB" w14:textId="07A4F9FC"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51" w:history="1">
            <w:r w:rsidRPr="004D6BE5">
              <w:rPr>
                <w:rStyle w:val="Hyperlink"/>
                <w:rFonts w:ascii="Arial" w:hAnsi="Arial" w:cs="Arial"/>
                <w:noProof/>
              </w:rPr>
              <w:t>Analysis of Statement of Cash Flows from 2020 to 2024</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_Toc227878951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5</w:t>
            </w:r>
            <w:r w:rsidRPr="004D6BE5">
              <w:rPr>
                <w:rFonts w:ascii="Arial" w:hAnsi="Arial" w:cs="Arial"/>
                <w:noProof/>
                <w:webHidden/>
              </w:rPr>
              <w:fldChar w:fldCharType="end"/>
            </w:r>
          </w:hyperlink>
        </w:p>
        <w:p w14:paraId="1BB41496" w14:textId="0F15C096" w:rsidR="004D6BE5" w:rsidRPr="004D6BE5" w:rsidRDefault="004D6BE5">
          <w:pPr>
            <w:pStyle w:val="TOC2"/>
            <w:tabs>
              <w:tab w:val="right" w:leader="dot" w:pos="9019"/>
            </w:tabs>
            <w:rPr>
              <w:rFonts w:ascii="Arial" w:eastAsiaTheme="minorEastAsia" w:hAnsi="Arial" w:cs="Arial"/>
              <w:noProof/>
              <w:kern w:val="2"/>
              <w:lang w:val="en-IN"/>
              <w14:ligatures w14:val="standardContextual"/>
            </w:rPr>
          </w:pPr>
          <w:hyperlink w:anchor="_Toc227878952" w:history="1">
            <w:r w:rsidRPr="004D6BE5">
              <w:rPr>
                <w:rStyle w:val="Hyperlink"/>
                <w:rFonts w:ascii="Arial" w:hAnsi="Arial" w:cs="Arial"/>
                <w:noProof/>
              </w:rPr>
              <w:t>2.2 Perform a Full Ratio Analysis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_Toc227878952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6</w:t>
            </w:r>
            <w:r w:rsidRPr="004D6BE5">
              <w:rPr>
                <w:rFonts w:ascii="Arial" w:hAnsi="Arial" w:cs="Arial"/>
                <w:noProof/>
                <w:webHidden/>
              </w:rPr>
              <w:fldChar w:fldCharType="end"/>
            </w:r>
          </w:hyperlink>
        </w:p>
        <w:p w14:paraId="6686915C" w14:textId="566135EE"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53" w:history="1">
            <w:r w:rsidRPr="004D6BE5">
              <w:rPr>
                <w:rStyle w:val="Hyperlink"/>
                <w:rFonts w:ascii="Arial" w:hAnsi="Arial" w:cs="Arial"/>
                <w:noProof/>
              </w:rPr>
              <w:t>Profitability Ratios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_Toc227878953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6</w:t>
            </w:r>
            <w:r w:rsidRPr="004D6BE5">
              <w:rPr>
                <w:rFonts w:ascii="Arial" w:hAnsi="Arial" w:cs="Arial"/>
                <w:noProof/>
                <w:webHidden/>
              </w:rPr>
              <w:fldChar w:fldCharType="end"/>
            </w:r>
          </w:hyperlink>
        </w:p>
        <w:p w14:paraId="53837294" w14:textId="5081CF9E"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54" w:history="1">
            <w:r w:rsidRPr="004D6BE5">
              <w:rPr>
                <w:rStyle w:val="Hyperlink"/>
                <w:rFonts w:ascii="Arial" w:hAnsi="Arial" w:cs="Arial"/>
                <w:noProof/>
              </w:rPr>
              <w:t>Liquidity Ratios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_Toc227878954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6</w:t>
            </w:r>
            <w:r w:rsidRPr="004D6BE5">
              <w:rPr>
                <w:rFonts w:ascii="Arial" w:hAnsi="Arial" w:cs="Arial"/>
                <w:noProof/>
                <w:webHidden/>
              </w:rPr>
              <w:fldChar w:fldCharType="end"/>
            </w:r>
          </w:hyperlink>
        </w:p>
        <w:p w14:paraId="74CF70C7" w14:textId="62C70970"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55" w:history="1">
            <w:r w:rsidRPr="004D6BE5">
              <w:rPr>
                <w:rStyle w:val="Hyperlink"/>
                <w:rFonts w:ascii="Arial" w:hAnsi="Arial" w:cs="Arial"/>
                <w:noProof/>
              </w:rPr>
              <w:t>Efficiency Ratios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_Toc227878955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7</w:t>
            </w:r>
            <w:r w:rsidRPr="004D6BE5">
              <w:rPr>
                <w:rFonts w:ascii="Arial" w:hAnsi="Arial" w:cs="Arial"/>
                <w:noProof/>
                <w:webHidden/>
              </w:rPr>
              <w:fldChar w:fldCharType="end"/>
            </w:r>
          </w:hyperlink>
        </w:p>
        <w:p w14:paraId="55267A67" w14:textId="16232672"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56" w:history="1">
            <w:r w:rsidRPr="004D6BE5">
              <w:rPr>
                <w:rStyle w:val="Hyperlink"/>
                <w:rFonts w:ascii="Arial" w:hAnsi="Arial" w:cs="Arial"/>
                <w:noProof/>
              </w:rPr>
              <w:t>Gearing Ratios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_Toc227878956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7</w:t>
            </w:r>
            <w:r w:rsidRPr="004D6BE5">
              <w:rPr>
                <w:rFonts w:ascii="Arial" w:hAnsi="Arial" w:cs="Arial"/>
                <w:noProof/>
                <w:webHidden/>
              </w:rPr>
              <w:fldChar w:fldCharType="end"/>
            </w:r>
          </w:hyperlink>
        </w:p>
        <w:p w14:paraId="4032A1DA" w14:textId="0FB0967E"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57" w:history="1">
            <w:r w:rsidRPr="004D6BE5">
              <w:rPr>
                <w:rStyle w:val="Hyperlink"/>
                <w:rFonts w:ascii="Arial" w:hAnsi="Arial" w:cs="Arial"/>
                <w:noProof/>
              </w:rPr>
              <w:t>Investment Ratios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_Toc227878957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8</w:t>
            </w:r>
            <w:r w:rsidRPr="004D6BE5">
              <w:rPr>
                <w:rFonts w:ascii="Arial" w:hAnsi="Arial" w:cs="Arial"/>
                <w:noProof/>
                <w:webHidden/>
              </w:rPr>
              <w:fldChar w:fldCharType="end"/>
            </w:r>
          </w:hyperlink>
        </w:p>
        <w:p w14:paraId="7177F944" w14:textId="43DA0457"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58" w:history="1">
            <w:r w:rsidRPr="004D6BE5">
              <w:rPr>
                <w:rStyle w:val="Hyperlink"/>
                <w:rFonts w:ascii="Arial" w:hAnsi="Arial" w:cs="Arial"/>
                <w:noProof/>
              </w:rPr>
              <w:t>Cash Flow Ratios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_Toc227878958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8</w:t>
            </w:r>
            <w:r w:rsidRPr="004D6BE5">
              <w:rPr>
                <w:rFonts w:ascii="Arial" w:hAnsi="Arial" w:cs="Arial"/>
                <w:noProof/>
                <w:webHidden/>
              </w:rPr>
              <w:fldChar w:fldCharType="end"/>
            </w:r>
          </w:hyperlink>
        </w:p>
        <w:p w14:paraId="22A29413" w14:textId="011F3030" w:rsidR="004D6BE5" w:rsidRPr="004D6BE5" w:rsidRDefault="004D6BE5">
          <w:pPr>
            <w:pStyle w:val="TOC2"/>
            <w:tabs>
              <w:tab w:val="right" w:leader="dot" w:pos="9019"/>
            </w:tabs>
            <w:rPr>
              <w:rFonts w:ascii="Arial" w:eastAsiaTheme="minorEastAsia" w:hAnsi="Arial" w:cs="Arial"/>
              <w:noProof/>
              <w:kern w:val="2"/>
              <w:lang w:val="en-IN"/>
              <w14:ligatures w14:val="standardContextual"/>
            </w:rPr>
          </w:pPr>
          <w:hyperlink w:anchor="_Toc227878959" w:history="1">
            <w:r w:rsidRPr="004D6BE5">
              <w:rPr>
                <w:rStyle w:val="Hyperlink"/>
                <w:rFonts w:ascii="Arial" w:hAnsi="Arial" w:cs="Arial"/>
                <w:noProof/>
              </w:rPr>
              <w:t>2.3 Identify Trends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_Toc227878959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8</w:t>
            </w:r>
            <w:r w:rsidRPr="004D6BE5">
              <w:rPr>
                <w:rFonts w:ascii="Arial" w:hAnsi="Arial" w:cs="Arial"/>
                <w:noProof/>
                <w:webHidden/>
              </w:rPr>
              <w:fldChar w:fldCharType="end"/>
            </w:r>
          </w:hyperlink>
        </w:p>
        <w:p w14:paraId="521765CF" w14:textId="1B70DABB" w:rsidR="004D6BE5" w:rsidRPr="004D6BE5" w:rsidRDefault="004D6BE5">
          <w:pPr>
            <w:pStyle w:val="TOC2"/>
            <w:tabs>
              <w:tab w:val="right" w:leader="dot" w:pos="9019"/>
            </w:tabs>
            <w:rPr>
              <w:rFonts w:ascii="Arial" w:eastAsiaTheme="minorEastAsia" w:hAnsi="Arial" w:cs="Arial"/>
              <w:noProof/>
              <w:kern w:val="2"/>
              <w:lang w:val="en-IN"/>
              <w14:ligatures w14:val="standardContextual"/>
            </w:rPr>
          </w:pPr>
          <w:hyperlink w:anchor="_Toc227878960" w:history="1">
            <w:r w:rsidRPr="004D6BE5">
              <w:rPr>
                <w:rStyle w:val="Hyperlink"/>
                <w:rFonts w:ascii="Arial" w:hAnsi="Arial" w:cs="Arial"/>
                <w:noProof/>
              </w:rPr>
              <w:t>2.4 Identify Strengths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_Toc227878960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9</w:t>
            </w:r>
            <w:r w:rsidRPr="004D6BE5">
              <w:rPr>
                <w:rFonts w:ascii="Arial" w:hAnsi="Arial" w:cs="Arial"/>
                <w:noProof/>
                <w:webHidden/>
              </w:rPr>
              <w:fldChar w:fldCharType="end"/>
            </w:r>
          </w:hyperlink>
        </w:p>
        <w:p w14:paraId="66A985EC" w14:textId="069060E5" w:rsidR="004D6BE5" w:rsidRPr="004D6BE5" w:rsidRDefault="004D6BE5">
          <w:pPr>
            <w:pStyle w:val="TOC2"/>
            <w:tabs>
              <w:tab w:val="right" w:leader="dot" w:pos="9019"/>
            </w:tabs>
            <w:rPr>
              <w:rFonts w:ascii="Arial" w:eastAsiaTheme="minorEastAsia" w:hAnsi="Arial" w:cs="Arial"/>
              <w:noProof/>
              <w:kern w:val="2"/>
              <w:lang w:val="en-IN"/>
              <w14:ligatures w14:val="standardContextual"/>
            </w:rPr>
          </w:pPr>
          <w:hyperlink w:anchor="_Toc227878961" w:history="1">
            <w:r w:rsidRPr="004D6BE5">
              <w:rPr>
                <w:rStyle w:val="Hyperlink"/>
                <w:rFonts w:ascii="Arial" w:hAnsi="Arial" w:cs="Arial"/>
                <w:noProof/>
              </w:rPr>
              <w:t>2.5 Identify Threats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_Toc227878961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9</w:t>
            </w:r>
            <w:r w:rsidRPr="004D6BE5">
              <w:rPr>
                <w:rFonts w:ascii="Arial" w:hAnsi="Arial" w:cs="Arial"/>
                <w:noProof/>
                <w:webHidden/>
              </w:rPr>
              <w:fldChar w:fldCharType="end"/>
            </w:r>
          </w:hyperlink>
        </w:p>
        <w:p w14:paraId="108392C4" w14:textId="53536E33" w:rsidR="004D6BE5" w:rsidRPr="004D6BE5" w:rsidRDefault="004D6BE5">
          <w:pPr>
            <w:pStyle w:val="TOC1"/>
            <w:tabs>
              <w:tab w:val="right" w:leader="dot" w:pos="9019"/>
            </w:tabs>
            <w:rPr>
              <w:rFonts w:ascii="Arial" w:eastAsiaTheme="minorEastAsia" w:hAnsi="Arial" w:cs="Arial"/>
              <w:noProof/>
              <w:kern w:val="2"/>
              <w:lang w:val="en-IN"/>
              <w14:ligatures w14:val="standardContextual"/>
            </w:rPr>
          </w:pPr>
          <w:hyperlink w:anchor="_Toc227878962" w:history="1">
            <w:r w:rsidRPr="004D6BE5">
              <w:rPr>
                <w:rStyle w:val="Hyperlink"/>
                <w:rFonts w:ascii="Arial" w:hAnsi="Arial" w:cs="Arial"/>
                <w:noProof/>
              </w:rPr>
              <w:t>3. Working Capital Management Analysis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_Toc227878962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9</w:t>
            </w:r>
            <w:r w:rsidRPr="004D6BE5">
              <w:rPr>
                <w:rFonts w:ascii="Arial" w:hAnsi="Arial" w:cs="Arial"/>
                <w:noProof/>
                <w:webHidden/>
              </w:rPr>
              <w:fldChar w:fldCharType="end"/>
            </w:r>
          </w:hyperlink>
        </w:p>
        <w:p w14:paraId="22A22F7D" w14:textId="12CFCDA2" w:rsidR="004D6BE5" w:rsidRPr="004D6BE5" w:rsidRDefault="004D6BE5">
          <w:pPr>
            <w:pStyle w:val="TOC2"/>
            <w:tabs>
              <w:tab w:val="right" w:leader="dot" w:pos="9019"/>
            </w:tabs>
            <w:rPr>
              <w:rFonts w:ascii="Arial" w:eastAsiaTheme="minorEastAsia" w:hAnsi="Arial" w:cs="Arial"/>
              <w:noProof/>
              <w:kern w:val="2"/>
              <w:lang w:val="en-IN"/>
              <w14:ligatures w14:val="standardContextual"/>
            </w:rPr>
          </w:pPr>
          <w:hyperlink w:anchor="_Toc227878963" w:history="1">
            <w:r w:rsidRPr="004D6BE5">
              <w:rPr>
                <w:rStyle w:val="Hyperlink"/>
                <w:rFonts w:ascii="Arial" w:hAnsi="Arial" w:cs="Arial"/>
                <w:noProof/>
              </w:rPr>
              <w:t>3.1 Assess the Cash Operating Cycle</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_Toc227878963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9</w:t>
            </w:r>
            <w:r w:rsidRPr="004D6BE5">
              <w:rPr>
                <w:rFonts w:ascii="Arial" w:hAnsi="Arial" w:cs="Arial"/>
                <w:noProof/>
                <w:webHidden/>
              </w:rPr>
              <w:fldChar w:fldCharType="end"/>
            </w:r>
          </w:hyperlink>
        </w:p>
        <w:p w14:paraId="4304906C" w14:textId="19F98E9A" w:rsidR="004D6BE5" w:rsidRPr="004D6BE5" w:rsidRDefault="004D6BE5">
          <w:pPr>
            <w:pStyle w:val="TOC2"/>
            <w:tabs>
              <w:tab w:val="right" w:leader="dot" w:pos="9019"/>
            </w:tabs>
            <w:rPr>
              <w:rFonts w:ascii="Arial" w:eastAsiaTheme="minorEastAsia" w:hAnsi="Arial" w:cs="Arial"/>
              <w:noProof/>
              <w:kern w:val="2"/>
              <w:lang w:val="en-IN"/>
              <w14:ligatures w14:val="standardContextual"/>
            </w:rPr>
          </w:pPr>
          <w:hyperlink w:anchor="_Toc227878964" w:history="1">
            <w:r w:rsidRPr="004D6BE5">
              <w:rPr>
                <w:rStyle w:val="Hyperlink"/>
                <w:rFonts w:ascii="Arial" w:hAnsi="Arial" w:cs="Arial"/>
                <w:noProof/>
              </w:rPr>
              <w:t>3.2 Strategies to Improve Liquidity By Working Capital Reforms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_Toc227878964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10</w:t>
            </w:r>
            <w:r w:rsidRPr="004D6BE5">
              <w:rPr>
                <w:rFonts w:ascii="Arial" w:hAnsi="Arial" w:cs="Arial"/>
                <w:noProof/>
                <w:webHidden/>
              </w:rPr>
              <w:fldChar w:fldCharType="end"/>
            </w:r>
          </w:hyperlink>
        </w:p>
        <w:p w14:paraId="21255A0D" w14:textId="5AF40F56"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65" w:history="1">
            <w:r w:rsidRPr="004D6BE5">
              <w:rPr>
                <w:rStyle w:val="Hyperlink"/>
                <w:rFonts w:ascii="Arial" w:hAnsi="Arial" w:cs="Arial"/>
                <w:noProof/>
              </w:rPr>
              <w:t>Optimisation of Receivables and Inventory Management</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_Toc227878965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10</w:t>
            </w:r>
            <w:r w:rsidRPr="004D6BE5">
              <w:rPr>
                <w:rFonts w:ascii="Arial" w:hAnsi="Arial" w:cs="Arial"/>
                <w:noProof/>
                <w:webHidden/>
              </w:rPr>
              <w:fldChar w:fldCharType="end"/>
            </w:r>
          </w:hyperlink>
        </w:p>
        <w:p w14:paraId="30FC5DE5" w14:textId="120A4632"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66" w:history="1">
            <w:r w:rsidRPr="004D6BE5">
              <w:rPr>
                <w:rStyle w:val="Hyperlink"/>
                <w:rFonts w:ascii="Arial" w:hAnsi="Arial" w:cs="Arial"/>
                <w:noProof/>
              </w:rPr>
              <w:t>Extension of Payables and Cash Flow Management</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_Toc227878966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11</w:t>
            </w:r>
            <w:r w:rsidRPr="004D6BE5">
              <w:rPr>
                <w:rFonts w:ascii="Arial" w:hAnsi="Arial" w:cs="Arial"/>
                <w:noProof/>
                <w:webHidden/>
              </w:rPr>
              <w:fldChar w:fldCharType="end"/>
            </w:r>
          </w:hyperlink>
        </w:p>
        <w:p w14:paraId="5CAAE45E" w14:textId="6D4EC7EB" w:rsidR="004D6BE5" w:rsidRPr="004D6BE5" w:rsidRDefault="004D6BE5">
          <w:pPr>
            <w:pStyle w:val="TOC2"/>
            <w:tabs>
              <w:tab w:val="right" w:leader="dot" w:pos="9019"/>
            </w:tabs>
            <w:rPr>
              <w:rFonts w:ascii="Arial" w:eastAsiaTheme="minorEastAsia" w:hAnsi="Arial" w:cs="Arial"/>
              <w:noProof/>
              <w:kern w:val="2"/>
              <w:lang w:val="en-IN"/>
              <w14:ligatures w14:val="standardContextual"/>
            </w:rPr>
          </w:pPr>
          <w:hyperlink w:anchor="_Toc227878967" w:history="1">
            <w:r w:rsidRPr="004D6BE5">
              <w:rPr>
                <w:rStyle w:val="Hyperlink"/>
                <w:rFonts w:ascii="Arial" w:hAnsi="Arial" w:cs="Arial"/>
                <w:noProof/>
              </w:rPr>
              <w:t>3.3 Compare Short-term vs Long-term Financing Options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_Toc227878967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11</w:t>
            </w:r>
            <w:r w:rsidRPr="004D6BE5">
              <w:rPr>
                <w:rFonts w:ascii="Arial" w:hAnsi="Arial" w:cs="Arial"/>
                <w:noProof/>
                <w:webHidden/>
              </w:rPr>
              <w:fldChar w:fldCharType="end"/>
            </w:r>
          </w:hyperlink>
        </w:p>
        <w:p w14:paraId="2307E39C" w14:textId="1399CC93"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68" w:history="1">
            <w:r w:rsidRPr="004D6BE5">
              <w:rPr>
                <w:rStyle w:val="Hyperlink"/>
                <w:rFonts w:ascii="Arial" w:hAnsi="Arial" w:cs="Arial"/>
                <w:noProof/>
              </w:rPr>
              <w:t>Short-term Financing</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_Toc227878968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11</w:t>
            </w:r>
            <w:r w:rsidRPr="004D6BE5">
              <w:rPr>
                <w:rFonts w:ascii="Arial" w:hAnsi="Arial" w:cs="Arial"/>
                <w:noProof/>
                <w:webHidden/>
              </w:rPr>
              <w:fldChar w:fldCharType="end"/>
            </w:r>
          </w:hyperlink>
        </w:p>
        <w:p w14:paraId="00B39C03" w14:textId="40FF0756"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69" w:history="1">
            <w:r w:rsidRPr="004D6BE5">
              <w:rPr>
                <w:rStyle w:val="Hyperlink"/>
                <w:rFonts w:ascii="Arial" w:hAnsi="Arial" w:cs="Arial"/>
                <w:noProof/>
              </w:rPr>
              <w:t>Long-term Financing</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_Toc227878969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11</w:t>
            </w:r>
            <w:r w:rsidRPr="004D6BE5">
              <w:rPr>
                <w:rFonts w:ascii="Arial" w:hAnsi="Arial" w:cs="Arial"/>
                <w:noProof/>
                <w:webHidden/>
              </w:rPr>
              <w:fldChar w:fldCharType="end"/>
            </w:r>
          </w:hyperlink>
        </w:p>
        <w:p w14:paraId="0574C562" w14:textId="4FD09470" w:rsidR="004D6BE5" w:rsidRPr="004D6BE5" w:rsidRDefault="004D6BE5">
          <w:pPr>
            <w:pStyle w:val="TOC1"/>
            <w:tabs>
              <w:tab w:val="right" w:leader="dot" w:pos="9019"/>
            </w:tabs>
            <w:rPr>
              <w:rFonts w:ascii="Arial" w:eastAsiaTheme="minorEastAsia" w:hAnsi="Arial" w:cs="Arial"/>
              <w:noProof/>
              <w:kern w:val="2"/>
              <w:lang w:val="en-IN"/>
              <w14:ligatures w14:val="standardContextual"/>
            </w:rPr>
          </w:pPr>
          <w:hyperlink w:anchor="_Toc227878970" w:history="1">
            <w:r w:rsidRPr="004D6BE5">
              <w:rPr>
                <w:rStyle w:val="Hyperlink"/>
                <w:rFonts w:ascii="Arial" w:hAnsi="Arial" w:cs="Arial"/>
                <w:noProof/>
              </w:rPr>
              <w:t>4. Strategic Financial Restructuring Plan</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_Toc227878970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12</w:t>
            </w:r>
            <w:r w:rsidRPr="004D6BE5">
              <w:rPr>
                <w:rFonts w:ascii="Arial" w:hAnsi="Arial" w:cs="Arial"/>
                <w:noProof/>
                <w:webHidden/>
              </w:rPr>
              <w:fldChar w:fldCharType="end"/>
            </w:r>
          </w:hyperlink>
        </w:p>
        <w:p w14:paraId="6BC4ED1C" w14:textId="6EC55D0A" w:rsidR="004D6BE5" w:rsidRPr="004D6BE5" w:rsidRDefault="004D6BE5">
          <w:pPr>
            <w:pStyle w:val="TOC2"/>
            <w:tabs>
              <w:tab w:val="right" w:leader="dot" w:pos="9019"/>
            </w:tabs>
            <w:rPr>
              <w:rFonts w:ascii="Arial" w:eastAsiaTheme="minorEastAsia" w:hAnsi="Arial" w:cs="Arial"/>
              <w:noProof/>
              <w:kern w:val="2"/>
              <w:lang w:val="en-IN"/>
              <w14:ligatures w14:val="standardContextual"/>
            </w:rPr>
          </w:pPr>
          <w:hyperlink w:anchor="_Toc227878971" w:history="1">
            <w:r w:rsidRPr="004D6BE5">
              <w:rPr>
                <w:rStyle w:val="Hyperlink"/>
                <w:rFonts w:ascii="Arial" w:hAnsi="Arial" w:cs="Arial"/>
                <w:noProof/>
              </w:rPr>
              <w:t>4.1 Financial Restructuring Options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_Toc227878971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12</w:t>
            </w:r>
            <w:r w:rsidRPr="004D6BE5">
              <w:rPr>
                <w:rFonts w:ascii="Arial" w:hAnsi="Arial" w:cs="Arial"/>
                <w:noProof/>
                <w:webHidden/>
              </w:rPr>
              <w:fldChar w:fldCharType="end"/>
            </w:r>
          </w:hyperlink>
        </w:p>
        <w:p w14:paraId="7CC92C75" w14:textId="277710AA"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72" w:history="1">
            <w:r w:rsidRPr="004D6BE5">
              <w:rPr>
                <w:rStyle w:val="Hyperlink"/>
                <w:rFonts w:ascii="Arial" w:hAnsi="Arial" w:cs="Arial"/>
                <w:noProof/>
              </w:rPr>
              <w:t>Divestiture of Non-core Assets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_Toc227878972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12</w:t>
            </w:r>
            <w:r w:rsidRPr="004D6BE5">
              <w:rPr>
                <w:rFonts w:ascii="Arial" w:hAnsi="Arial" w:cs="Arial"/>
                <w:noProof/>
                <w:webHidden/>
              </w:rPr>
              <w:fldChar w:fldCharType="end"/>
            </w:r>
          </w:hyperlink>
        </w:p>
        <w:p w14:paraId="4CBB8B00" w14:textId="789CB98F"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73" w:history="1">
            <w:r w:rsidRPr="004D6BE5">
              <w:rPr>
                <w:rStyle w:val="Hyperlink"/>
                <w:rFonts w:ascii="Arial" w:hAnsi="Arial" w:cs="Arial"/>
                <w:noProof/>
              </w:rPr>
              <w:t>Strategic Mergers and Partnerships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_Toc227878973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12</w:t>
            </w:r>
            <w:r w:rsidRPr="004D6BE5">
              <w:rPr>
                <w:rFonts w:ascii="Arial" w:hAnsi="Arial" w:cs="Arial"/>
                <w:noProof/>
                <w:webHidden/>
              </w:rPr>
              <w:fldChar w:fldCharType="end"/>
            </w:r>
          </w:hyperlink>
        </w:p>
        <w:p w14:paraId="51D05AA3" w14:textId="7D99EE3B"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74" w:history="1">
            <w:r w:rsidRPr="004D6BE5">
              <w:rPr>
                <w:rStyle w:val="Hyperlink"/>
                <w:rFonts w:ascii="Arial" w:hAnsi="Arial" w:cs="Arial"/>
                <w:noProof/>
              </w:rPr>
              <w:t>Equity Injection and Capital Restructuring</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_Toc227878974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12</w:t>
            </w:r>
            <w:r w:rsidRPr="004D6BE5">
              <w:rPr>
                <w:rFonts w:ascii="Arial" w:hAnsi="Arial" w:cs="Arial"/>
                <w:noProof/>
                <w:webHidden/>
              </w:rPr>
              <w:fldChar w:fldCharType="end"/>
            </w:r>
          </w:hyperlink>
        </w:p>
        <w:p w14:paraId="4131FEAC" w14:textId="02CCEC58" w:rsidR="004D6BE5" w:rsidRPr="004D6BE5" w:rsidRDefault="004D6BE5">
          <w:pPr>
            <w:pStyle w:val="TOC2"/>
            <w:tabs>
              <w:tab w:val="right" w:leader="dot" w:pos="9019"/>
            </w:tabs>
            <w:rPr>
              <w:rFonts w:ascii="Arial" w:eastAsiaTheme="minorEastAsia" w:hAnsi="Arial" w:cs="Arial"/>
              <w:noProof/>
              <w:kern w:val="2"/>
              <w:lang w:val="en-IN"/>
              <w14:ligatures w14:val="standardContextual"/>
            </w:rPr>
          </w:pPr>
          <w:hyperlink w:anchor="_Toc227878975" w:history="1">
            <w:r w:rsidRPr="004D6BE5">
              <w:rPr>
                <w:rStyle w:val="Hyperlink"/>
                <w:rFonts w:ascii="Arial" w:hAnsi="Arial" w:cs="Arial"/>
                <w:noProof/>
              </w:rPr>
              <w:t>4.2 Impact on Financial Performance</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_Toc227878975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13</w:t>
            </w:r>
            <w:r w:rsidRPr="004D6BE5">
              <w:rPr>
                <w:rFonts w:ascii="Arial" w:hAnsi="Arial" w:cs="Arial"/>
                <w:noProof/>
                <w:webHidden/>
              </w:rPr>
              <w:fldChar w:fldCharType="end"/>
            </w:r>
          </w:hyperlink>
        </w:p>
        <w:p w14:paraId="3603F60F" w14:textId="5D97BBBB"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76" w:history="1">
            <w:r w:rsidRPr="004D6BE5">
              <w:rPr>
                <w:rStyle w:val="Hyperlink"/>
                <w:rFonts w:ascii="Arial" w:hAnsi="Arial" w:cs="Arial"/>
                <w:noProof/>
              </w:rPr>
              <w:t>Impact on Shareholder Value</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_Toc227878976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13</w:t>
            </w:r>
            <w:r w:rsidRPr="004D6BE5">
              <w:rPr>
                <w:rFonts w:ascii="Arial" w:hAnsi="Arial" w:cs="Arial"/>
                <w:noProof/>
                <w:webHidden/>
              </w:rPr>
              <w:fldChar w:fldCharType="end"/>
            </w:r>
          </w:hyperlink>
        </w:p>
        <w:p w14:paraId="510374AA" w14:textId="141F4B9F"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77" w:history="1">
            <w:r w:rsidRPr="004D6BE5">
              <w:rPr>
                <w:rStyle w:val="Hyperlink"/>
                <w:rFonts w:ascii="Arial" w:hAnsi="Arial" w:cs="Arial"/>
                <w:noProof/>
              </w:rPr>
              <w:t>Impact on Debt Structure</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_Toc227878977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13</w:t>
            </w:r>
            <w:r w:rsidRPr="004D6BE5">
              <w:rPr>
                <w:rFonts w:ascii="Arial" w:hAnsi="Arial" w:cs="Arial"/>
                <w:noProof/>
                <w:webHidden/>
              </w:rPr>
              <w:fldChar w:fldCharType="end"/>
            </w:r>
          </w:hyperlink>
        </w:p>
        <w:p w14:paraId="0C9F8816" w14:textId="41B188AC"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78" w:history="1">
            <w:r w:rsidRPr="004D6BE5">
              <w:rPr>
                <w:rStyle w:val="Hyperlink"/>
                <w:rFonts w:ascii="Arial" w:hAnsi="Arial" w:cs="Arial"/>
                <w:noProof/>
              </w:rPr>
              <w:t>Impact on Operational Flexibility</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_Toc227878978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13</w:t>
            </w:r>
            <w:r w:rsidRPr="004D6BE5">
              <w:rPr>
                <w:rFonts w:ascii="Arial" w:hAnsi="Arial" w:cs="Arial"/>
                <w:noProof/>
                <w:webHidden/>
              </w:rPr>
              <w:fldChar w:fldCharType="end"/>
            </w:r>
          </w:hyperlink>
        </w:p>
        <w:p w14:paraId="5F345DCD" w14:textId="54258D5F" w:rsidR="004D6BE5" w:rsidRPr="004D6BE5" w:rsidRDefault="004D6BE5">
          <w:pPr>
            <w:pStyle w:val="TOC2"/>
            <w:tabs>
              <w:tab w:val="right" w:leader="dot" w:pos="9019"/>
            </w:tabs>
            <w:rPr>
              <w:rFonts w:ascii="Arial" w:eastAsiaTheme="minorEastAsia" w:hAnsi="Arial" w:cs="Arial"/>
              <w:noProof/>
              <w:kern w:val="2"/>
              <w:lang w:val="en-IN"/>
              <w14:ligatures w14:val="standardContextual"/>
            </w:rPr>
          </w:pPr>
          <w:hyperlink w:anchor="_Toc227878979" w:history="1">
            <w:r w:rsidRPr="004D6BE5">
              <w:rPr>
                <w:rStyle w:val="Hyperlink"/>
                <w:rFonts w:ascii="Arial" w:hAnsi="Arial" w:cs="Arial"/>
                <w:noProof/>
              </w:rPr>
              <w:t>4.3 International and Ethical Considerations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_Toc227878979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13</w:t>
            </w:r>
            <w:r w:rsidRPr="004D6BE5">
              <w:rPr>
                <w:rFonts w:ascii="Arial" w:hAnsi="Arial" w:cs="Arial"/>
                <w:noProof/>
                <w:webHidden/>
              </w:rPr>
              <w:fldChar w:fldCharType="end"/>
            </w:r>
          </w:hyperlink>
        </w:p>
        <w:p w14:paraId="76FF68F2" w14:textId="78D529D4"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80" w:history="1">
            <w:r w:rsidRPr="004D6BE5">
              <w:rPr>
                <w:rStyle w:val="Hyperlink"/>
                <w:rFonts w:ascii="Arial" w:hAnsi="Arial" w:cs="Arial"/>
                <w:noProof/>
              </w:rPr>
              <w:t>International Factors (Taxation and Currency Risk)</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_Toc227878980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13</w:t>
            </w:r>
            <w:r w:rsidRPr="004D6BE5">
              <w:rPr>
                <w:rFonts w:ascii="Arial" w:hAnsi="Arial" w:cs="Arial"/>
                <w:noProof/>
                <w:webHidden/>
              </w:rPr>
              <w:fldChar w:fldCharType="end"/>
            </w:r>
          </w:hyperlink>
        </w:p>
        <w:p w14:paraId="3F6A0633" w14:textId="71FD1D55"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81" w:history="1">
            <w:r w:rsidRPr="004D6BE5">
              <w:rPr>
                <w:rStyle w:val="Hyperlink"/>
                <w:rFonts w:ascii="Arial" w:hAnsi="Arial" w:cs="Arial"/>
                <w:noProof/>
              </w:rPr>
              <w:t>Inflation and Economic Conditions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_Toc227878981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14</w:t>
            </w:r>
            <w:r w:rsidRPr="004D6BE5">
              <w:rPr>
                <w:rFonts w:ascii="Arial" w:hAnsi="Arial" w:cs="Arial"/>
                <w:noProof/>
                <w:webHidden/>
              </w:rPr>
              <w:fldChar w:fldCharType="end"/>
            </w:r>
          </w:hyperlink>
        </w:p>
        <w:p w14:paraId="617C96C9" w14:textId="473A7E56"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82" w:history="1">
            <w:r w:rsidRPr="004D6BE5">
              <w:rPr>
                <w:rStyle w:val="Hyperlink"/>
                <w:rFonts w:ascii="Arial" w:hAnsi="Arial" w:cs="Arial"/>
                <w:noProof/>
              </w:rPr>
              <w:t>Corporate Social Responsibility (CSR) and Ethics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_Toc227878982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14</w:t>
            </w:r>
            <w:r w:rsidRPr="004D6BE5">
              <w:rPr>
                <w:rFonts w:ascii="Arial" w:hAnsi="Arial" w:cs="Arial"/>
                <w:noProof/>
                <w:webHidden/>
              </w:rPr>
              <w:fldChar w:fldCharType="end"/>
            </w:r>
          </w:hyperlink>
        </w:p>
        <w:p w14:paraId="03B18912" w14:textId="65F710F1" w:rsidR="004D6BE5" w:rsidRPr="004D6BE5" w:rsidRDefault="004D6BE5">
          <w:pPr>
            <w:pStyle w:val="TOC1"/>
            <w:tabs>
              <w:tab w:val="right" w:leader="dot" w:pos="9019"/>
            </w:tabs>
            <w:rPr>
              <w:rFonts w:ascii="Arial" w:eastAsiaTheme="minorEastAsia" w:hAnsi="Arial" w:cs="Arial"/>
              <w:noProof/>
              <w:kern w:val="2"/>
              <w:lang w:val="en-IN"/>
              <w14:ligatures w14:val="standardContextual"/>
            </w:rPr>
          </w:pPr>
          <w:hyperlink w:anchor="_Toc227878983" w:history="1">
            <w:r w:rsidRPr="004D6BE5">
              <w:rPr>
                <w:rStyle w:val="Hyperlink"/>
                <w:rFonts w:ascii="Arial" w:hAnsi="Arial" w:cs="Arial"/>
                <w:noProof/>
              </w:rPr>
              <w:t>5. Investment Appraisal and Capital Budgeting</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_Toc227878983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15</w:t>
            </w:r>
            <w:r w:rsidRPr="004D6BE5">
              <w:rPr>
                <w:rFonts w:ascii="Arial" w:hAnsi="Arial" w:cs="Arial"/>
                <w:noProof/>
                <w:webHidden/>
              </w:rPr>
              <w:fldChar w:fldCharType="end"/>
            </w:r>
          </w:hyperlink>
        </w:p>
        <w:p w14:paraId="4CE4282B" w14:textId="29D3510A" w:rsidR="004D6BE5" w:rsidRPr="004D6BE5" w:rsidRDefault="004D6BE5">
          <w:pPr>
            <w:pStyle w:val="TOC2"/>
            <w:tabs>
              <w:tab w:val="right" w:leader="dot" w:pos="9019"/>
            </w:tabs>
            <w:rPr>
              <w:rFonts w:ascii="Arial" w:eastAsiaTheme="minorEastAsia" w:hAnsi="Arial" w:cs="Arial"/>
              <w:noProof/>
              <w:kern w:val="2"/>
              <w:lang w:val="en-IN"/>
              <w14:ligatures w14:val="standardContextual"/>
            </w:rPr>
          </w:pPr>
          <w:hyperlink w:anchor="_Toc227878984" w:history="1">
            <w:r w:rsidRPr="004D6BE5">
              <w:rPr>
                <w:rStyle w:val="Hyperlink"/>
                <w:rFonts w:ascii="Arial" w:hAnsi="Arial" w:cs="Arial"/>
                <w:noProof/>
              </w:rPr>
              <w:t>5.1 Project A Analysis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_Toc227878984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15</w:t>
            </w:r>
            <w:r w:rsidRPr="004D6BE5">
              <w:rPr>
                <w:rFonts w:ascii="Arial" w:hAnsi="Arial" w:cs="Arial"/>
                <w:noProof/>
                <w:webHidden/>
              </w:rPr>
              <w:fldChar w:fldCharType="end"/>
            </w:r>
          </w:hyperlink>
        </w:p>
        <w:p w14:paraId="67E5CF0A" w14:textId="58150F35" w:rsidR="004D6BE5" w:rsidRPr="004D6BE5" w:rsidRDefault="004D6BE5">
          <w:pPr>
            <w:pStyle w:val="TOC2"/>
            <w:tabs>
              <w:tab w:val="right" w:leader="dot" w:pos="9019"/>
            </w:tabs>
            <w:rPr>
              <w:rFonts w:ascii="Arial" w:eastAsiaTheme="minorEastAsia" w:hAnsi="Arial" w:cs="Arial"/>
              <w:noProof/>
              <w:kern w:val="2"/>
              <w:lang w:val="en-IN"/>
              <w14:ligatures w14:val="standardContextual"/>
            </w:rPr>
          </w:pPr>
          <w:hyperlink w:anchor="_Toc227878985" w:history="1">
            <w:r w:rsidRPr="004D6BE5">
              <w:rPr>
                <w:rStyle w:val="Hyperlink"/>
                <w:rFonts w:ascii="Arial" w:hAnsi="Arial" w:cs="Arial"/>
                <w:noProof/>
              </w:rPr>
              <w:t>5.2 Project B Analysis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_Toc227878985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16</w:t>
            </w:r>
            <w:r w:rsidRPr="004D6BE5">
              <w:rPr>
                <w:rFonts w:ascii="Arial" w:hAnsi="Arial" w:cs="Arial"/>
                <w:noProof/>
                <w:webHidden/>
              </w:rPr>
              <w:fldChar w:fldCharType="end"/>
            </w:r>
          </w:hyperlink>
        </w:p>
        <w:p w14:paraId="76448F2B" w14:textId="6EE5BEAC" w:rsidR="004D6BE5" w:rsidRPr="004D6BE5" w:rsidRDefault="004D6BE5">
          <w:pPr>
            <w:pStyle w:val="TOC2"/>
            <w:tabs>
              <w:tab w:val="right" w:leader="dot" w:pos="9019"/>
            </w:tabs>
            <w:rPr>
              <w:rFonts w:ascii="Arial" w:eastAsiaTheme="minorEastAsia" w:hAnsi="Arial" w:cs="Arial"/>
              <w:noProof/>
              <w:kern w:val="2"/>
              <w:lang w:val="en-IN"/>
              <w14:ligatures w14:val="standardContextual"/>
            </w:rPr>
          </w:pPr>
          <w:hyperlink w:anchor="_Toc227878986" w:history="1">
            <w:r w:rsidRPr="004D6BE5">
              <w:rPr>
                <w:rStyle w:val="Hyperlink"/>
                <w:rFonts w:ascii="Arial" w:hAnsi="Arial" w:cs="Arial"/>
                <w:noProof/>
              </w:rPr>
              <w:t>5.3 Project C Analysis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_Toc227878986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17</w:t>
            </w:r>
            <w:r w:rsidRPr="004D6BE5">
              <w:rPr>
                <w:rFonts w:ascii="Arial" w:hAnsi="Arial" w:cs="Arial"/>
                <w:noProof/>
                <w:webHidden/>
              </w:rPr>
              <w:fldChar w:fldCharType="end"/>
            </w:r>
          </w:hyperlink>
        </w:p>
        <w:p w14:paraId="3F354AF9" w14:textId="27191E00" w:rsidR="004D6BE5" w:rsidRPr="004D6BE5" w:rsidRDefault="004D6BE5">
          <w:pPr>
            <w:pStyle w:val="TOC2"/>
            <w:tabs>
              <w:tab w:val="right" w:leader="dot" w:pos="9019"/>
            </w:tabs>
            <w:rPr>
              <w:rFonts w:ascii="Arial" w:eastAsiaTheme="minorEastAsia" w:hAnsi="Arial" w:cs="Arial"/>
              <w:noProof/>
              <w:kern w:val="2"/>
              <w:lang w:val="en-IN"/>
              <w14:ligatures w14:val="standardContextual"/>
            </w:rPr>
          </w:pPr>
          <w:hyperlink w:anchor="_Toc227878987" w:history="1">
            <w:r w:rsidRPr="004D6BE5">
              <w:rPr>
                <w:rStyle w:val="Hyperlink"/>
                <w:rFonts w:ascii="Arial" w:hAnsi="Arial" w:cs="Arial"/>
                <w:noProof/>
              </w:rPr>
              <w:t>5.4 Recommended Project</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_Toc227878987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18</w:t>
            </w:r>
            <w:r w:rsidRPr="004D6BE5">
              <w:rPr>
                <w:rFonts w:ascii="Arial" w:hAnsi="Arial" w:cs="Arial"/>
                <w:noProof/>
                <w:webHidden/>
              </w:rPr>
              <w:fldChar w:fldCharType="end"/>
            </w:r>
          </w:hyperlink>
        </w:p>
        <w:p w14:paraId="7A8A1117" w14:textId="7399930E"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88" w:history="1">
            <w:r w:rsidRPr="004D6BE5">
              <w:rPr>
                <w:rStyle w:val="Hyperlink"/>
                <w:rFonts w:ascii="Arial" w:hAnsi="Arial" w:cs="Arial"/>
                <w:noProof/>
              </w:rPr>
              <w:t>Financial Justification</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_Toc227878988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18</w:t>
            </w:r>
            <w:r w:rsidRPr="004D6BE5">
              <w:rPr>
                <w:rFonts w:ascii="Arial" w:hAnsi="Arial" w:cs="Arial"/>
                <w:noProof/>
                <w:webHidden/>
              </w:rPr>
              <w:fldChar w:fldCharType="end"/>
            </w:r>
          </w:hyperlink>
        </w:p>
        <w:p w14:paraId="1DBE8902" w14:textId="7E2936DA"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89" w:history="1">
            <w:r w:rsidRPr="004D6BE5">
              <w:rPr>
                <w:rStyle w:val="Hyperlink"/>
                <w:rFonts w:ascii="Arial" w:hAnsi="Arial" w:cs="Arial"/>
                <w:noProof/>
              </w:rPr>
              <w:t>Non-financial Considerations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_Toc227878989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18</w:t>
            </w:r>
            <w:r w:rsidRPr="004D6BE5">
              <w:rPr>
                <w:rFonts w:ascii="Arial" w:hAnsi="Arial" w:cs="Arial"/>
                <w:noProof/>
                <w:webHidden/>
              </w:rPr>
              <w:fldChar w:fldCharType="end"/>
            </w:r>
          </w:hyperlink>
        </w:p>
        <w:p w14:paraId="319AC9B3" w14:textId="073A80A3" w:rsidR="004D6BE5" w:rsidRPr="004D6BE5" w:rsidRDefault="004D6BE5">
          <w:pPr>
            <w:pStyle w:val="TOC2"/>
            <w:tabs>
              <w:tab w:val="right" w:leader="dot" w:pos="9019"/>
            </w:tabs>
            <w:rPr>
              <w:rFonts w:ascii="Arial" w:eastAsiaTheme="minorEastAsia" w:hAnsi="Arial" w:cs="Arial"/>
              <w:noProof/>
              <w:kern w:val="2"/>
              <w:lang w:val="en-IN"/>
              <w14:ligatures w14:val="standardContextual"/>
            </w:rPr>
          </w:pPr>
          <w:hyperlink w:anchor="_Toc227878990" w:history="1">
            <w:r w:rsidRPr="004D6BE5">
              <w:rPr>
                <w:rStyle w:val="Hyperlink"/>
                <w:rFonts w:ascii="Arial" w:hAnsi="Arial" w:cs="Arial"/>
                <w:noProof/>
              </w:rPr>
              <w:t>5.5 Capital Rationing Decision</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_Toc227878990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19</w:t>
            </w:r>
            <w:r w:rsidRPr="004D6BE5">
              <w:rPr>
                <w:rFonts w:ascii="Arial" w:hAnsi="Arial" w:cs="Arial"/>
                <w:noProof/>
                <w:webHidden/>
              </w:rPr>
              <w:fldChar w:fldCharType="end"/>
            </w:r>
          </w:hyperlink>
        </w:p>
        <w:p w14:paraId="1A38A5CE" w14:textId="5654292C"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91" w:history="1">
            <w:r w:rsidRPr="004D6BE5">
              <w:rPr>
                <w:rStyle w:val="Hyperlink"/>
                <w:rFonts w:ascii="Arial" w:hAnsi="Arial" w:cs="Arial"/>
                <w:noProof/>
              </w:rPr>
              <w:t>Optimal Project Combination</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_Toc227878991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19</w:t>
            </w:r>
            <w:r w:rsidRPr="004D6BE5">
              <w:rPr>
                <w:rFonts w:ascii="Arial" w:hAnsi="Arial" w:cs="Arial"/>
                <w:noProof/>
                <w:webHidden/>
              </w:rPr>
              <w:fldChar w:fldCharType="end"/>
            </w:r>
          </w:hyperlink>
        </w:p>
        <w:p w14:paraId="0A3D9825" w14:textId="56F0FC17"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8992" w:history="1">
            <w:r w:rsidRPr="004D6BE5">
              <w:rPr>
                <w:rStyle w:val="Hyperlink"/>
                <w:rFonts w:ascii="Arial" w:hAnsi="Arial" w:cs="Arial"/>
                <w:noProof/>
              </w:rPr>
              <w:t>Justification of Selection</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_Toc227878992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19</w:t>
            </w:r>
            <w:r w:rsidRPr="004D6BE5">
              <w:rPr>
                <w:rFonts w:ascii="Arial" w:hAnsi="Arial" w:cs="Arial"/>
                <w:noProof/>
                <w:webHidden/>
              </w:rPr>
              <w:fldChar w:fldCharType="end"/>
            </w:r>
          </w:hyperlink>
        </w:p>
        <w:p w14:paraId="780281C7" w14:textId="0BA3D22F" w:rsidR="004D6BE5" w:rsidRPr="004D6BE5" w:rsidRDefault="004D6BE5">
          <w:pPr>
            <w:pStyle w:val="TOC1"/>
            <w:tabs>
              <w:tab w:val="right" w:leader="dot" w:pos="9019"/>
            </w:tabs>
            <w:rPr>
              <w:rFonts w:ascii="Arial" w:eastAsiaTheme="minorEastAsia" w:hAnsi="Arial" w:cs="Arial"/>
              <w:noProof/>
              <w:kern w:val="2"/>
              <w:lang w:val="en-IN"/>
              <w14:ligatures w14:val="standardContextual"/>
            </w:rPr>
          </w:pPr>
          <w:hyperlink w:anchor="_Toc227878993" w:history="1">
            <w:r w:rsidRPr="004D6BE5">
              <w:rPr>
                <w:rStyle w:val="Hyperlink"/>
                <w:rFonts w:ascii="Arial" w:hAnsi="Arial" w:cs="Arial"/>
                <w:noProof/>
              </w:rPr>
              <w:t>6. Conclusion</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_Toc227878993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20</w:t>
            </w:r>
            <w:r w:rsidRPr="004D6BE5">
              <w:rPr>
                <w:rFonts w:ascii="Arial" w:hAnsi="Arial" w:cs="Arial"/>
                <w:noProof/>
                <w:webHidden/>
              </w:rPr>
              <w:fldChar w:fldCharType="end"/>
            </w:r>
          </w:hyperlink>
        </w:p>
        <w:p w14:paraId="1339B44B" w14:textId="268A3419" w:rsidR="004D6BE5" w:rsidRPr="004D6BE5" w:rsidRDefault="004D6BE5">
          <w:pPr>
            <w:pStyle w:val="TOC2"/>
            <w:tabs>
              <w:tab w:val="right" w:leader="dot" w:pos="9019"/>
            </w:tabs>
            <w:rPr>
              <w:rFonts w:ascii="Arial" w:eastAsiaTheme="minorEastAsia" w:hAnsi="Arial" w:cs="Arial"/>
              <w:noProof/>
              <w:kern w:val="2"/>
              <w:lang w:val="en-IN"/>
              <w14:ligatures w14:val="standardContextual"/>
            </w:rPr>
          </w:pPr>
          <w:hyperlink w:anchor="_Toc227878994" w:history="1">
            <w:r w:rsidRPr="004D6BE5">
              <w:rPr>
                <w:rStyle w:val="Hyperlink"/>
                <w:rFonts w:ascii="Arial" w:hAnsi="Arial" w:cs="Arial"/>
                <w:noProof/>
              </w:rPr>
              <w:t>6.1 Summary</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_Toc227878994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20</w:t>
            </w:r>
            <w:r w:rsidRPr="004D6BE5">
              <w:rPr>
                <w:rFonts w:ascii="Arial" w:hAnsi="Arial" w:cs="Arial"/>
                <w:noProof/>
                <w:webHidden/>
              </w:rPr>
              <w:fldChar w:fldCharType="end"/>
            </w:r>
          </w:hyperlink>
        </w:p>
        <w:p w14:paraId="27C6649C" w14:textId="7C4F8B2E" w:rsidR="004D6BE5" w:rsidRPr="004D6BE5" w:rsidRDefault="004D6BE5">
          <w:pPr>
            <w:pStyle w:val="TOC2"/>
            <w:tabs>
              <w:tab w:val="right" w:leader="dot" w:pos="9019"/>
            </w:tabs>
            <w:rPr>
              <w:rFonts w:ascii="Arial" w:eastAsiaTheme="minorEastAsia" w:hAnsi="Arial" w:cs="Arial"/>
              <w:noProof/>
              <w:kern w:val="2"/>
              <w:lang w:val="en-IN"/>
              <w14:ligatures w14:val="standardContextual"/>
            </w:rPr>
          </w:pPr>
          <w:hyperlink w:anchor="_Toc227878995" w:history="1">
            <w:r w:rsidRPr="004D6BE5">
              <w:rPr>
                <w:rStyle w:val="Hyperlink"/>
                <w:rFonts w:ascii="Arial" w:hAnsi="Arial" w:cs="Arial"/>
                <w:noProof/>
              </w:rPr>
              <w:t>6.2 Final Evaluation</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_Toc227878995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20</w:t>
            </w:r>
            <w:r w:rsidRPr="004D6BE5">
              <w:rPr>
                <w:rFonts w:ascii="Arial" w:hAnsi="Arial" w:cs="Arial"/>
                <w:noProof/>
                <w:webHidden/>
              </w:rPr>
              <w:fldChar w:fldCharType="end"/>
            </w:r>
          </w:hyperlink>
        </w:p>
        <w:p w14:paraId="010E7377" w14:textId="6EDED38B" w:rsidR="004D6BE5" w:rsidRPr="004D6BE5" w:rsidRDefault="004D6BE5">
          <w:pPr>
            <w:pStyle w:val="TOC2"/>
            <w:tabs>
              <w:tab w:val="right" w:leader="dot" w:pos="9019"/>
            </w:tabs>
            <w:rPr>
              <w:rFonts w:ascii="Arial" w:eastAsiaTheme="minorEastAsia" w:hAnsi="Arial" w:cs="Arial"/>
              <w:noProof/>
              <w:kern w:val="2"/>
              <w:lang w:val="en-IN"/>
              <w14:ligatures w14:val="standardContextual"/>
            </w:rPr>
          </w:pPr>
          <w:hyperlink w:anchor="_Toc227878996" w:history="1">
            <w:r w:rsidRPr="004D6BE5">
              <w:rPr>
                <w:rStyle w:val="Hyperlink"/>
                <w:rFonts w:ascii="Arial" w:hAnsi="Arial" w:cs="Arial"/>
                <w:noProof/>
              </w:rPr>
              <w:t>6.3 Future Outlook</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_Toc227878996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21</w:t>
            </w:r>
            <w:r w:rsidRPr="004D6BE5">
              <w:rPr>
                <w:rFonts w:ascii="Arial" w:hAnsi="Arial" w:cs="Arial"/>
                <w:noProof/>
                <w:webHidden/>
              </w:rPr>
              <w:fldChar w:fldCharType="end"/>
            </w:r>
          </w:hyperlink>
        </w:p>
        <w:p w14:paraId="227057F3" w14:textId="77B872F1" w:rsidR="004D6BE5" w:rsidRPr="004D6BE5" w:rsidRDefault="004D6BE5">
          <w:pPr>
            <w:pStyle w:val="TOC1"/>
            <w:tabs>
              <w:tab w:val="right" w:leader="dot" w:pos="9019"/>
            </w:tabs>
            <w:rPr>
              <w:rFonts w:ascii="Arial" w:eastAsiaTheme="minorEastAsia" w:hAnsi="Arial" w:cs="Arial"/>
              <w:noProof/>
              <w:kern w:val="2"/>
              <w:lang w:val="en-IN"/>
              <w14:ligatures w14:val="standardContextual"/>
            </w:rPr>
          </w:pPr>
          <w:hyperlink w:anchor="_Toc227878997" w:history="1">
            <w:r w:rsidRPr="004D6BE5">
              <w:rPr>
                <w:rStyle w:val="Hyperlink"/>
                <w:rFonts w:ascii="Arial" w:hAnsi="Arial" w:cs="Arial"/>
                <w:noProof/>
              </w:rPr>
              <w:t>References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_Toc227878997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22</w:t>
            </w:r>
            <w:r w:rsidRPr="004D6BE5">
              <w:rPr>
                <w:rFonts w:ascii="Arial" w:hAnsi="Arial" w:cs="Arial"/>
                <w:noProof/>
                <w:webHidden/>
              </w:rPr>
              <w:fldChar w:fldCharType="end"/>
            </w:r>
          </w:hyperlink>
        </w:p>
        <w:p w14:paraId="4AEAD633" w14:textId="7E00633D" w:rsidR="004D6BE5" w:rsidRPr="004D6BE5" w:rsidRDefault="004D6BE5">
          <w:pPr>
            <w:pStyle w:val="TOC1"/>
            <w:tabs>
              <w:tab w:val="right" w:leader="dot" w:pos="9019"/>
            </w:tabs>
            <w:rPr>
              <w:rFonts w:ascii="Arial" w:eastAsiaTheme="minorEastAsia" w:hAnsi="Arial" w:cs="Arial"/>
              <w:noProof/>
              <w:kern w:val="2"/>
              <w:lang w:val="en-IN"/>
              <w14:ligatures w14:val="standardContextual"/>
            </w:rPr>
          </w:pPr>
          <w:hyperlink w:anchor="_Toc227878998" w:history="1">
            <w:r w:rsidRPr="004D6BE5">
              <w:rPr>
                <w:rStyle w:val="Hyperlink"/>
                <w:rFonts w:ascii="Arial" w:hAnsi="Arial" w:cs="Arial"/>
                <w:noProof/>
              </w:rPr>
              <w:t>Appendices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_Toc227878998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27</w:t>
            </w:r>
            <w:r w:rsidRPr="004D6BE5">
              <w:rPr>
                <w:rFonts w:ascii="Arial" w:hAnsi="Arial" w:cs="Arial"/>
                <w:noProof/>
                <w:webHidden/>
              </w:rPr>
              <w:fldChar w:fldCharType="end"/>
            </w:r>
          </w:hyperlink>
        </w:p>
        <w:p w14:paraId="2E284E77" w14:textId="50610AD7" w:rsidR="004D6BE5" w:rsidRPr="004D6BE5" w:rsidRDefault="004D6BE5">
          <w:pPr>
            <w:pStyle w:val="TOC2"/>
            <w:tabs>
              <w:tab w:val="right" w:leader="dot" w:pos="9019"/>
            </w:tabs>
            <w:rPr>
              <w:rFonts w:ascii="Arial" w:eastAsiaTheme="minorEastAsia" w:hAnsi="Arial" w:cs="Arial"/>
              <w:noProof/>
              <w:kern w:val="2"/>
              <w:lang w:val="en-IN"/>
              <w14:ligatures w14:val="standardContextual"/>
            </w:rPr>
          </w:pPr>
          <w:hyperlink w:anchor="_Toc227878999" w:history="1">
            <w:r w:rsidRPr="004D6BE5">
              <w:rPr>
                <w:rStyle w:val="Hyperlink"/>
                <w:rFonts w:ascii="Arial" w:hAnsi="Arial" w:cs="Arial"/>
                <w:noProof/>
              </w:rPr>
              <w:t>Appendix 1: Ratio Tables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_Toc227878999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27</w:t>
            </w:r>
            <w:r w:rsidRPr="004D6BE5">
              <w:rPr>
                <w:rFonts w:ascii="Arial" w:hAnsi="Arial" w:cs="Arial"/>
                <w:noProof/>
                <w:webHidden/>
              </w:rPr>
              <w:fldChar w:fldCharType="end"/>
            </w:r>
          </w:hyperlink>
        </w:p>
        <w:p w14:paraId="5B56E4A0" w14:textId="64387F19" w:rsidR="004D6BE5" w:rsidRPr="004D6BE5" w:rsidRDefault="004D6BE5">
          <w:pPr>
            <w:pStyle w:val="TOC2"/>
            <w:tabs>
              <w:tab w:val="right" w:leader="dot" w:pos="9019"/>
            </w:tabs>
            <w:rPr>
              <w:rFonts w:ascii="Arial" w:eastAsiaTheme="minorEastAsia" w:hAnsi="Arial" w:cs="Arial"/>
              <w:noProof/>
              <w:kern w:val="2"/>
              <w:lang w:val="en-IN"/>
              <w14:ligatures w14:val="standardContextual"/>
            </w:rPr>
          </w:pPr>
          <w:hyperlink w:anchor="_Toc227879000" w:history="1">
            <w:r w:rsidRPr="004D6BE5">
              <w:rPr>
                <w:rStyle w:val="Hyperlink"/>
                <w:rFonts w:ascii="Arial" w:hAnsi="Arial" w:cs="Arial"/>
                <w:noProof/>
              </w:rPr>
              <w:t>Appendix 2: Investment Appraisal Calculations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_Toc227879000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28</w:t>
            </w:r>
            <w:r w:rsidRPr="004D6BE5">
              <w:rPr>
                <w:rFonts w:ascii="Arial" w:hAnsi="Arial" w:cs="Arial"/>
                <w:noProof/>
                <w:webHidden/>
              </w:rPr>
              <w:fldChar w:fldCharType="end"/>
            </w:r>
          </w:hyperlink>
        </w:p>
        <w:p w14:paraId="2F8DAD36" w14:textId="10C03D90"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9001" w:history="1">
            <w:r w:rsidRPr="004D6BE5">
              <w:rPr>
                <w:rStyle w:val="Hyperlink"/>
                <w:rFonts w:ascii="Arial" w:hAnsi="Arial" w:cs="Arial"/>
                <w:noProof/>
              </w:rPr>
              <w:t>Project A</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_Toc227879001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28</w:t>
            </w:r>
            <w:r w:rsidRPr="004D6BE5">
              <w:rPr>
                <w:rFonts w:ascii="Arial" w:hAnsi="Arial" w:cs="Arial"/>
                <w:noProof/>
                <w:webHidden/>
              </w:rPr>
              <w:fldChar w:fldCharType="end"/>
            </w:r>
          </w:hyperlink>
        </w:p>
        <w:p w14:paraId="693AB759" w14:textId="226CDAB7"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9002" w:history="1">
            <w:r w:rsidRPr="004D6BE5">
              <w:rPr>
                <w:rStyle w:val="Hyperlink"/>
                <w:rFonts w:ascii="Arial" w:hAnsi="Arial" w:cs="Arial"/>
                <w:noProof/>
              </w:rPr>
              <w:t>Project B</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_Toc227879002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29</w:t>
            </w:r>
            <w:r w:rsidRPr="004D6BE5">
              <w:rPr>
                <w:rFonts w:ascii="Arial" w:hAnsi="Arial" w:cs="Arial"/>
                <w:noProof/>
                <w:webHidden/>
              </w:rPr>
              <w:fldChar w:fldCharType="end"/>
            </w:r>
          </w:hyperlink>
        </w:p>
        <w:p w14:paraId="0C98BD28" w14:textId="7999A0B9" w:rsidR="004D6BE5" w:rsidRPr="004D6BE5" w:rsidRDefault="004D6BE5">
          <w:pPr>
            <w:pStyle w:val="TOC3"/>
            <w:tabs>
              <w:tab w:val="right" w:leader="dot" w:pos="9019"/>
            </w:tabs>
            <w:rPr>
              <w:rFonts w:ascii="Arial" w:eastAsiaTheme="minorEastAsia" w:hAnsi="Arial" w:cs="Arial"/>
              <w:noProof/>
              <w:kern w:val="2"/>
              <w:lang w:val="en-IN"/>
              <w14:ligatures w14:val="standardContextual"/>
            </w:rPr>
          </w:pPr>
          <w:hyperlink w:anchor="_Toc227879003" w:history="1">
            <w:r w:rsidRPr="004D6BE5">
              <w:rPr>
                <w:rStyle w:val="Hyperlink"/>
                <w:rFonts w:ascii="Arial" w:hAnsi="Arial" w:cs="Arial"/>
                <w:noProof/>
              </w:rPr>
              <w:t>Project C</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_Toc227879003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30</w:t>
            </w:r>
            <w:r w:rsidRPr="004D6BE5">
              <w:rPr>
                <w:rFonts w:ascii="Arial" w:hAnsi="Arial" w:cs="Arial"/>
                <w:noProof/>
                <w:webHidden/>
              </w:rPr>
              <w:fldChar w:fldCharType="end"/>
            </w:r>
          </w:hyperlink>
        </w:p>
        <w:p w14:paraId="5A9D699E" w14:textId="46BAFE4F" w:rsidR="004D6BE5" w:rsidRPr="004D6BE5" w:rsidRDefault="004D6BE5">
          <w:pPr>
            <w:pStyle w:val="TOC2"/>
            <w:tabs>
              <w:tab w:val="right" w:leader="dot" w:pos="9019"/>
            </w:tabs>
            <w:rPr>
              <w:rFonts w:ascii="Arial" w:eastAsiaTheme="minorEastAsia" w:hAnsi="Arial" w:cs="Arial"/>
              <w:noProof/>
              <w:kern w:val="2"/>
              <w:lang w:val="en-IN"/>
              <w14:ligatures w14:val="standardContextual"/>
            </w:rPr>
          </w:pPr>
          <w:hyperlink w:anchor="_Toc227879004" w:history="1">
            <w:r w:rsidRPr="004D6BE5">
              <w:rPr>
                <w:rStyle w:val="Hyperlink"/>
                <w:rFonts w:ascii="Arial" w:hAnsi="Arial" w:cs="Arial"/>
                <w:noProof/>
              </w:rPr>
              <w:t>Appendix 3: Graphs</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_Toc227879004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33</w:t>
            </w:r>
            <w:r w:rsidRPr="004D6BE5">
              <w:rPr>
                <w:rFonts w:ascii="Arial" w:hAnsi="Arial" w:cs="Arial"/>
                <w:noProof/>
                <w:webHidden/>
              </w:rPr>
              <w:fldChar w:fldCharType="end"/>
            </w:r>
          </w:hyperlink>
        </w:p>
        <w:p w14:paraId="63E9B42E" w14:textId="353D818E" w:rsidR="004D6BE5" w:rsidRPr="004D6BE5" w:rsidRDefault="004D6BE5">
          <w:pPr>
            <w:pStyle w:val="TOC1"/>
            <w:tabs>
              <w:tab w:val="right" w:leader="dot" w:pos="9019"/>
            </w:tabs>
            <w:rPr>
              <w:rFonts w:ascii="Arial" w:eastAsiaTheme="minorEastAsia" w:hAnsi="Arial" w:cs="Arial"/>
              <w:noProof/>
              <w:kern w:val="2"/>
              <w:lang w:val="en-IN"/>
              <w14:ligatures w14:val="standardContextual"/>
            </w:rPr>
          </w:pPr>
          <w:hyperlink w:anchor="_Toc227879005" w:history="1">
            <w:r w:rsidRPr="004D6BE5">
              <w:rPr>
                <w:rStyle w:val="Hyperlink"/>
                <w:rFonts w:ascii="Arial" w:hAnsi="Arial" w:cs="Arial"/>
                <w:noProof/>
              </w:rPr>
              <w:t>AI Acknowledgement</w:t>
            </w:r>
            <w:r w:rsidRPr="004D6BE5">
              <w:rPr>
                <w:rFonts w:ascii="Arial" w:hAnsi="Arial" w:cs="Arial"/>
                <w:noProof/>
                <w:webHidden/>
              </w:rPr>
              <w:tab/>
            </w:r>
            <w:r w:rsidRPr="004D6BE5">
              <w:rPr>
                <w:rFonts w:ascii="Arial" w:hAnsi="Arial" w:cs="Arial"/>
                <w:noProof/>
                <w:webHidden/>
              </w:rPr>
              <w:fldChar w:fldCharType="begin"/>
            </w:r>
            <w:r w:rsidRPr="004D6BE5">
              <w:rPr>
                <w:rFonts w:ascii="Arial" w:hAnsi="Arial" w:cs="Arial"/>
                <w:noProof/>
                <w:webHidden/>
              </w:rPr>
              <w:instrText xml:space="preserve"> PAGEREF _Toc227879005 \h </w:instrText>
            </w:r>
            <w:r w:rsidRPr="004D6BE5">
              <w:rPr>
                <w:rFonts w:ascii="Arial" w:hAnsi="Arial" w:cs="Arial"/>
                <w:noProof/>
                <w:webHidden/>
              </w:rPr>
            </w:r>
            <w:r w:rsidRPr="004D6BE5">
              <w:rPr>
                <w:rFonts w:ascii="Arial" w:hAnsi="Arial" w:cs="Arial"/>
                <w:noProof/>
                <w:webHidden/>
              </w:rPr>
              <w:fldChar w:fldCharType="separate"/>
            </w:r>
            <w:r w:rsidRPr="004D6BE5">
              <w:rPr>
                <w:rFonts w:ascii="Arial" w:hAnsi="Arial" w:cs="Arial"/>
                <w:noProof/>
                <w:webHidden/>
              </w:rPr>
              <w:t>36</w:t>
            </w:r>
            <w:r w:rsidRPr="004D6BE5">
              <w:rPr>
                <w:rFonts w:ascii="Arial" w:hAnsi="Arial" w:cs="Arial"/>
                <w:noProof/>
                <w:webHidden/>
              </w:rPr>
              <w:fldChar w:fldCharType="end"/>
            </w:r>
          </w:hyperlink>
        </w:p>
        <w:p w14:paraId="07E73674" w14:textId="17B22420" w:rsidR="005D57A3" w:rsidRDefault="00000000">
          <w:pPr>
            <w:widowControl w:val="0"/>
            <w:tabs>
              <w:tab w:val="right" w:leader="dot" w:pos="12000"/>
            </w:tabs>
            <w:spacing w:before="60" w:after="0" w:line="240" w:lineRule="auto"/>
            <w:ind w:left="720"/>
            <w:jc w:val="left"/>
            <w:rPr>
              <w:color w:val="000000"/>
            </w:rPr>
          </w:pPr>
          <w:r w:rsidRPr="004D6BE5">
            <w:rPr>
              <w:rFonts w:ascii="Arial" w:hAnsi="Arial" w:cs="Arial"/>
            </w:rPr>
            <w:fldChar w:fldCharType="end"/>
          </w:r>
        </w:p>
      </w:sdtContent>
    </w:sdt>
    <w:p w14:paraId="4C20B171" w14:textId="77777777" w:rsidR="005D57A3" w:rsidRDefault="00000000">
      <w:pPr>
        <w:spacing w:before="200" w:after="200"/>
        <w:rPr>
          <w:rFonts w:ascii="Arial" w:eastAsia="Arial" w:hAnsi="Arial" w:cs="Arial"/>
        </w:rPr>
      </w:pPr>
      <w:r>
        <w:br w:type="page"/>
      </w:r>
    </w:p>
    <w:p w14:paraId="5B053B19" w14:textId="43D57238" w:rsidR="005D57A3" w:rsidRDefault="00000000" w:rsidP="003B629B">
      <w:pPr>
        <w:pStyle w:val="Heading1"/>
      </w:pPr>
      <w:bookmarkStart w:id="0" w:name="_Toc227878946"/>
      <w:r>
        <w:lastRenderedPageBreak/>
        <w:t>1. Introduction</w:t>
      </w:r>
      <w:bookmarkEnd w:id="0"/>
    </w:p>
    <w:p w14:paraId="72B917CE" w14:textId="77777777" w:rsidR="005D57A3" w:rsidRDefault="00000000">
      <w:pPr>
        <w:spacing w:before="200" w:after="200"/>
        <w:rPr>
          <w:rFonts w:ascii="Arial" w:eastAsia="Arial" w:hAnsi="Arial" w:cs="Arial"/>
        </w:rPr>
      </w:pPr>
      <w:r>
        <w:rPr>
          <w:rFonts w:ascii="Arial" w:eastAsia="Arial" w:hAnsi="Arial" w:cs="Arial"/>
        </w:rPr>
        <w:t>Toyota Motor Corporation is a leading manufacturer of automobiles in the world, with its headquarters in Japan, which has a reputation for manufacturing dependable and innovative automobiles. The company has business units in various regions, a wide variety of products, and some of them are hybrid and electric cars (Toyota, 2026a). This resulted in Toyota growing in financial terms to attain high growth in sales revenues of over ¥45 trillion in FY2024, which is indicative of a high demand in the world market and a high level of efficiency in its operations (Toyota, 2024). Its technological development and sustainable focus promote growth and competitiveness in both the short and long term.</w:t>
      </w:r>
    </w:p>
    <w:p w14:paraId="469DCB2B" w14:textId="77777777" w:rsidR="005D57A3" w:rsidRDefault="00000000">
      <w:pPr>
        <w:pStyle w:val="Heading1"/>
      </w:pPr>
      <w:bookmarkStart w:id="1" w:name="_Toc227878947"/>
      <w:r>
        <w:t>2. Financial Health Check</w:t>
      </w:r>
      <w:bookmarkEnd w:id="1"/>
      <w:r>
        <w:t xml:space="preserve"> </w:t>
      </w:r>
    </w:p>
    <w:p w14:paraId="2E87FD80" w14:textId="77777777" w:rsidR="005D57A3" w:rsidRDefault="00000000">
      <w:pPr>
        <w:pStyle w:val="Heading2"/>
      </w:pPr>
      <w:bookmarkStart w:id="2" w:name="_Toc227878948"/>
      <w:r>
        <w:t>2.1 Analyse the Firm’s Past Five-Year Financial Statements</w:t>
      </w:r>
      <w:bookmarkEnd w:id="2"/>
    </w:p>
    <w:p w14:paraId="3214D8EA" w14:textId="77777777" w:rsidR="005D57A3" w:rsidRDefault="00000000">
      <w:pPr>
        <w:pStyle w:val="Heading3"/>
      </w:pPr>
      <w:bookmarkStart w:id="3" w:name="_Toc227878949"/>
      <w:r>
        <w:t>Analysis of Statement of Financial Position from 2020 to 2024</w:t>
      </w:r>
      <w:bookmarkEnd w:id="3"/>
    </w:p>
    <w:p w14:paraId="64D25270" w14:textId="77777777" w:rsidR="005D57A3" w:rsidRDefault="00000000">
      <w:pPr>
        <w:spacing w:before="200" w:after="200"/>
        <w:rPr>
          <w:rFonts w:ascii="Arial" w:eastAsia="Arial" w:hAnsi="Arial" w:cs="Arial"/>
        </w:rPr>
      </w:pPr>
      <w:r>
        <w:rPr>
          <w:rFonts w:ascii="Arial" w:eastAsia="Arial" w:hAnsi="Arial" w:cs="Arial"/>
        </w:rPr>
        <w:t>Financial position: Toyota has experienced good growth in the period 2020-24. The total assets grew by 2024, compared to 2020, by ¥90,114,296 million to ¥52,680,436 million, which shows growth in operations and investments. There was a rapid increase in current assets, which were caused by an increase in cash balances (¥4,190,518 million in 2020 to ¥9,412,060 million in 2024) and receivables as an indication of enhanced liquidity and sales improvement. Also, non-current assets grew thanks to more property, plant, and equipment, which helped with production capacity (Toyota, 2024). Liquid assets increased to ¥54,874,958 million, up by ¥23,438,585 million and this was primarily because the long-term liabilities increased. But, the equity of shareholders rose ¥20,737,682 million to ¥35,239,338 million, which shows growth of retained earnings. All in all, Toyota is financially stable, its liquidity has been enhanced, and the capital investment level is high in order to achieve growth in the long term.</w:t>
      </w:r>
    </w:p>
    <w:p w14:paraId="73B16CD3" w14:textId="77777777" w:rsidR="005D57A3" w:rsidRDefault="00000000">
      <w:pPr>
        <w:pStyle w:val="Heading3"/>
      </w:pPr>
      <w:bookmarkStart w:id="4" w:name="_Toc227878950"/>
      <w:r>
        <w:t>Analysis of Statement of Income from 2020 to 2024</w:t>
      </w:r>
      <w:bookmarkEnd w:id="4"/>
    </w:p>
    <w:p w14:paraId="78A8C832" w14:textId="77777777" w:rsidR="005D57A3" w:rsidRDefault="00000000">
      <w:pPr>
        <w:spacing w:before="200" w:after="200"/>
        <w:rPr>
          <w:rFonts w:ascii="Arial" w:eastAsia="Arial" w:hAnsi="Arial" w:cs="Arial"/>
        </w:rPr>
      </w:pPr>
      <w:r>
        <w:rPr>
          <w:rFonts w:ascii="Arial" w:eastAsia="Arial" w:hAnsi="Arial" w:cs="Arial"/>
        </w:rPr>
        <w:t xml:space="preserve">The income statement of Toyota shows it to have outstanding recovery and growth between 2020 and 2024. Total revenues increased from ¥29,929,992 million in 2020 </w:t>
      </w:r>
      <w:r>
        <w:rPr>
          <w:rFonts w:ascii="Arial" w:eastAsia="Arial" w:hAnsi="Arial" w:cs="Arial"/>
        </w:rPr>
        <w:lastRenderedPageBreak/>
        <w:t>to ¥45,095,325 million in 2024, driven by higher vehicle sales and global demand. Operating income increased dramatically by ¥2,442,869 million to ¥5,352,934 million, showing increased cost effectiveness and pricing policy. Enhanced profitability is reflected in net income attributable to shareholders, which expanded to ¥4,944,933 million in 2024, as compared to 2020 at ¥2,076,183 million. This is encouraged through the growth of sales volumes, the favourable movements of the exchange rates, and the reduction of costs in the form of cost reduction endeavours (Toyota, 2024). Moreover, managed operating costs to growth of revenue better increased margins. Altogether, Toyota demonstrates good financial results, an increase in profitability and efficiency of operations, which preconditions the company to achieve sustainable development in the long-term perspective, irrespective of the uncertainty of the global economy.</w:t>
      </w:r>
    </w:p>
    <w:p w14:paraId="7F10EE6A" w14:textId="3948785D" w:rsidR="005F6C2F" w:rsidRDefault="005F6C2F" w:rsidP="00A41EB0">
      <w:pPr>
        <w:pStyle w:val="Heading3"/>
      </w:pPr>
      <w:bookmarkStart w:id="5" w:name="_Toc227878951"/>
      <w:r w:rsidRPr="005F6C2F">
        <w:t xml:space="preserve">Analysis of </w:t>
      </w:r>
      <w:r w:rsidR="00A41EB0" w:rsidRPr="00A41EB0">
        <w:t>Statement of Cash Flows</w:t>
      </w:r>
      <w:r w:rsidR="00A41EB0">
        <w:t xml:space="preserve"> </w:t>
      </w:r>
      <w:r w:rsidRPr="005F6C2F">
        <w:t>from 2020 to 2024</w:t>
      </w:r>
      <w:bookmarkEnd w:id="5"/>
    </w:p>
    <w:p w14:paraId="4E451D08" w14:textId="22903268" w:rsidR="00A41EB0" w:rsidRDefault="00A41EB0" w:rsidP="00A41EB0">
      <w:pPr>
        <w:spacing w:before="200" w:after="200"/>
        <w:rPr>
          <w:rFonts w:ascii="Arial" w:eastAsia="Arial" w:hAnsi="Arial" w:cs="Arial"/>
        </w:rPr>
      </w:pPr>
      <w:r w:rsidRPr="00A41EB0">
        <w:rPr>
          <w:rFonts w:ascii="Arial" w:eastAsia="Arial" w:hAnsi="Arial" w:cs="Arial"/>
        </w:rPr>
        <w:t>The 2020-2024 cash flow performance of the Toyota Motor Corporation indicates a rising strength in operations and a high level of investment and a wavering financing.</w:t>
      </w:r>
      <w:r>
        <w:rPr>
          <w:rFonts w:ascii="Arial" w:eastAsia="Arial" w:hAnsi="Arial" w:cs="Arial"/>
        </w:rPr>
        <w:t xml:space="preserve"> </w:t>
      </w:r>
      <w:r w:rsidRPr="00A41EB0">
        <w:rPr>
          <w:rFonts w:ascii="Arial" w:eastAsia="Arial" w:hAnsi="Arial" w:cs="Arial"/>
        </w:rPr>
        <w:t>Cash flow operation rose to ¥2.73 trillion in 2021 and 3.72 trillion in 2022 and then decreased to 2.96 trillion in 2023 and then rebounding well in 2024. This variation indicates changes in working capital - particularly significant increases in receivables and inventory outflows in 2023-2024 - and overall growth is enhanced by increasing net income (¥2.14 trillion in 2020 to ¥5.07 trillion in 2024) and the uniform non-cash expenses such as depreciation.</w:t>
      </w:r>
      <w:r>
        <w:rPr>
          <w:rFonts w:ascii="Arial" w:eastAsia="Arial" w:hAnsi="Arial" w:cs="Arial"/>
        </w:rPr>
        <w:t xml:space="preserve"> </w:t>
      </w:r>
      <w:r w:rsidRPr="00A41EB0">
        <w:rPr>
          <w:rFonts w:ascii="Arial" w:eastAsia="Arial" w:hAnsi="Arial" w:cs="Arial"/>
        </w:rPr>
        <w:t>Cash flow investment continued to be negative and deteriorated, reaching a value of approximately - 3.15 trillion in 2020 and -4.19 trillion in 2024</w:t>
      </w:r>
      <w:r>
        <w:rPr>
          <w:rFonts w:ascii="Arial" w:eastAsia="Arial" w:hAnsi="Arial" w:cs="Arial"/>
        </w:rPr>
        <w:t xml:space="preserve"> (</w:t>
      </w:r>
      <w:r w:rsidRPr="00A41EB0">
        <w:rPr>
          <w:rFonts w:ascii="Arial" w:eastAsia="Arial" w:hAnsi="Arial" w:cs="Arial"/>
        </w:rPr>
        <w:t>Toyota</w:t>
      </w:r>
      <w:r>
        <w:rPr>
          <w:rFonts w:ascii="Arial" w:eastAsia="Arial" w:hAnsi="Arial" w:cs="Arial"/>
        </w:rPr>
        <w:t>, 2024)</w:t>
      </w:r>
      <w:r w:rsidRPr="00A41EB0">
        <w:rPr>
          <w:rFonts w:ascii="Arial" w:eastAsia="Arial" w:hAnsi="Arial" w:cs="Arial"/>
        </w:rPr>
        <w:t>. This is indicative of the aggressive capital expenditures and electrification, technology and financial services asset investments by Toyota which implies long-term growth orientation at the expense of short-term cash outflows</w:t>
      </w:r>
      <w:r>
        <w:rPr>
          <w:rFonts w:ascii="Arial" w:eastAsia="Arial" w:hAnsi="Arial" w:cs="Arial"/>
        </w:rPr>
        <w:t xml:space="preserve"> (</w:t>
      </w:r>
      <w:r w:rsidRPr="00A41EB0">
        <w:rPr>
          <w:rFonts w:ascii="Arial" w:eastAsia="Arial" w:hAnsi="Arial" w:cs="Arial"/>
        </w:rPr>
        <w:t>Toyota</w:t>
      </w:r>
      <w:r>
        <w:rPr>
          <w:rFonts w:ascii="Arial" w:eastAsia="Arial" w:hAnsi="Arial" w:cs="Arial"/>
        </w:rPr>
        <w:t>, 2023)</w:t>
      </w:r>
      <w:r w:rsidRPr="00A41EB0">
        <w:rPr>
          <w:rFonts w:ascii="Arial" w:eastAsia="Arial" w:hAnsi="Arial" w:cs="Arial"/>
        </w:rPr>
        <w:t>.</w:t>
      </w:r>
      <w:r>
        <w:rPr>
          <w:rFonts w:ascii="Arial" w:eastAsia="Arial" w:hAnsi="Arial" w:cs="Arial"/>
        </w:rPr>
        <w:t xml:space="preserve"> </w:t>
      </w:r>
      <w:r w:rsidRPr="00A41EB0">
        <w:rPr>
          <w:rFonts w:ascii="Arial" w:eastAsia="Arial" w:hAnsi="Arial" w:cs="Arial"/>
        </w:rPr>
        <w:t>The cash flow financing was unpredictable: it was positive in 2024, 2023 at ¥0.40 trillion and 2.50 trillion respectively, but negative in previous years, with -2.47 trillion in 2022. This fluctuation is primarily motivated by the issue of debts and repayment, increasing dividends (up to approximately ¥880 billion in 2024), demonstrating shareholder yields and debt handling.</w:t>
      </w:r>
      <w:r>
        <w:rPr>
          <w:rFonts w:ascii="Arial" w:eastAsia="Arial" w:hAnsi="Arial" w:cs="Arial"/>
        </w:rPr>
        <w:t xml:space="preserve"> </w:t>
      </w:r>
      <w:r w:rsidRPr="00A41EB0">
        <w:rPr>
          <w:rFonts w:ascii="Arial" w:eastAsia="Arial" w:hAnsi="Arial" w:cs="Arial"/>
        </w:rPr>
        <w:t>Toyota consistently had good net cash growth on annual basis with the highest growth of ¥1.90 trillion in 2024 indicating good liquidity in spite of high investment expenditure and cyclic financing choices.</w:t>
      </w:r>
    </w:p>
    <w:p w14:paraId="7E151594" w14:textId="68328773" w:rsidR="005D57A3" w:rsidRPr="00A41EB0" w:rsidRDefault="00000000" w:rsidP="00A41EB0">
      <w:pPr>
        <w:pStyle w:val="Heading2"/>
      </w:pPr>
      <w:bookmarkStart w:id="6" w:name="_Toc227878952"/>
      <w:r>
        <w:lastRenderedPageBreak/>
        <w:t>2.2 Perform a Full Ratio Analysis</w:t>
      </w:r>
      <w:bookmarkEnd w:id="6"/>
    </w:p>
    <w:p w14:paraId="09E9D2DE" w14:textId="77777777" w:rsidR="005D57A3" w:rsidRDefault="00000000">
      <w:pPr>
        <w:pStyle w:val="Heading3"/>
      </w:pPr>
      <w:bookmarkStart w:id="7" w:name="_Toc227878953"/>
      <w:r>
        <w:t>Profitability Ratios</w:t>
      </w:r>
      <w:bookmarkEnd w:id="7"/>
    </w:p>
    <w:p w14:paraId="44EC5070" w14:textId="5AD8789F" w:rsidR="00B54041" w:rsidRDefault="00B54041">
      <w:pPr>
        <w:spacing w:before="200" w:after="200"/>
        <w:rPr>
          <w:rFonts w:ascii="Arial" w:eastAsia="Arial" w:hAnsi="Arial" w:cs="Arial"/>
        </w:rPr>
      </w:pPr>
      <w:r w:rsidRPr="00B54041">
        <w:rPr>
          <w:rFonts w:ascii="Arial" w:eastAsia="Arial" w:hAnsi="Arial" w:cs="Arial"/>
        </w:rPr>
        <w:t>The analysis shows that profitability will be on the increase in 2024, where the Return on Equity will increase to 14.39% as compared to 8.52% in 2023. The Net Profit Margin and Operating Margin are also increasing significantly indicating improved cost management and efficiency. Gross Margin has also improved to 25.49 which shows increased production profitability. ROCE grew to 11.43 indicating an efficient use of capital. Altogether, the business has a favorable financial performance trend that will see an increase in profitability and operational efficiency in 2024 than previous years.</w:t>
      </w:r>
    </w:p>
    <w:p w14:paraId="019EBAE2" w14:textId="77777777" w:rsidR="005D57A3" w:rsidRDefault="00000000">
      <w:pPr>
        <w:pStyle w:val="Heading3"/>
      </w:pPr>
      <w:bookmarkStart w:id="8" w:name="_Toc227878954"/>
      <w:r>
        <w:t>Liquidity Ratios</w:t>
      </w:r>
      <w:bookmarkEnd w:id="8"/>
    </w:p>
    <w:p w14:paraId="41741E8F" w14:textId="16E45470" w:rsidR="005D57A3" w:rsidRDefault="00F15657" w:rsidP="00A41EB0">
      <w:pPr>
        <w:spacing w:before="200" w:after="200"/>
        <w:jc w:val="center"/>
        <w:rPr>
          <w:rFonts w:ascii="Arial" w:eastAsia="Arial" w:hAnsi="Arial" w:cs="Arial"/>
        </w:rPr>
      </w:pPr>
      <w:r w:rsidRPr="00F15657">
        <w:rPr>
          <w:rFonts w:ascii="Arial" w:eastAsia="Arial" w:hAnsi="Arial" w:cs="Arial"/>
          <w:noProof/>
        </w:rPr>
        <w:drawing>
          <wp:inline distT="0" distB="0" distL="0" distR="0" wp14:anchorId="508808C8" wp14:editId="17E1E200">
            <wp:extent cx="5733415" cy="5287645"/>
            <wp:effectExtent l="0" t="0" r="635" b="8255"/>
            <wp:docPr id="880930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930161" name=""/>
                    <pic:cNvPicPr/>
                  </pic:nvPicPr>
                  <pic:blipFill>
                    <a:blip r:embed="rId7"/>
                    <a:stretch>
                      <a:fillRect/>
                    </a:stretch>
                  </pic:blipFill>
                  <pic:spPr>
                    <a:xfrm>
                      <a:off x="0" y="0"/>
                      <a:ext cx="5733415" cy="5287645"/>
                    </a:xfrm>
                    <a:prstGeom prst="rect">
                      <a:avLst/>
                    </a:prstGeom>
                  </pic:spPr>
                </pic:pic>
              </a:graphicData>
            </a:graphic>
          </wp:inline>
        </w:drawing>
      </w:r>
    </w:p>
    <w:p w14:paraId="1C8A2391" w14:textId="0B39E118" w:rsidR="00A41EB0" w:rsidRPr="00A41EB0" w:rsidRDefault="00A41EB0" w:rsidP="00A41EB0">
      <w:pPr>
        <w:spacing w:before="200" w:after="200"/>
        <w:jc w:val="center"/>
        <w:rPr>
          <w:rFonts w:ascii="Arial" w:eastAsia="Arial" w:hAnsi="Arial" w:cs="Arial"/>
          <w:b/>
          <w:bCs/>
        </w:rPr>
      </w:pPr>
      <w:r w:rsidRPr="00A41EB0">
        <w:rPr>
          <w:rFonts w:ascii="Arial" w:eastAsia="Arial" w:hAnsi="Arial" w:cs="Arial"/>
          <w:b/>
          <w:bCs/>
        </w:rPr>
        <w:lastRenderedPageBreak/>
        <w:t xml:space="preserve">Figure </w:t>
      </w:r>
      <w:r w:rsidR="00B54041">
        <w:rPr>
          <w:rFonts w:ascii="Arial" w:eastAsia="Arial" w:hAnsi="Arial" w:cs="Arial"/>
          <w:b/>
          <w:bCs/>
        </w:rPr>
        <w:t>1</w:t>
      </w:r>
      <w:r w:rsidRPr="00A41EB0">
        <w:rPr>
          <w:rFonts w:ascii="Arial" w:eastAsia="Arial" w:hAnsi="Arial" w:cs="Arial"/>
          <w:b/>
          <w:bCs/>
        </w:rPr>
        <w:t xml:space="preserve">: </w:t>
      </w:r>
      <w:r>
        <w:rPr>
          <w:rFonts w:ascii="Arial" w:eastAsia="Arial" w:hAnsi="Arial" w:cs="Arial"/>
          <w:b/>
          <w:bCs/>
        </w:rPr>
        <w:t>R</w:t>
      </w:r>
      <w:r w:rsidRPr="00A41EB0">
        <w:rPr>
          <w:rFonts w:ascii="Arial" w:eastAsia="Arial" w:hAnsi="Arial" w:cs="Arial"/>
          <w:b/>
          <w:bCs/>
        </w:rPr>
        <w:t>atios</w:t>
      </w:r>
    </w:p>
    <w:p w14:paraId="40EE99AC" w14:textId="1873A9F5" w:rsidR="00A41EB0" w:rsidRDefault="00A41EB0" w:rsidP="00A41EB0">
      <w:pPr>
        <w:spacing w:before="200" w:after="200"/>
        <w:jc w:val="center"/>
        <w:rPr>
          <w:rFonts w:ascii="Arial" w:eastAsia="Arial" w:hAnsi="Arial" w:cs="Arial"/>
        </w:rPr>
      </w:pPr>
      <w:r>
        <w:rPr>
          <w:rFonts w:ascii="Arial" w:eastAsia="Arial" w:hAnsi="Arial" w:cs="Arial"/>
        </w:rPr>
        <w:t>(Source: MS-Excel)</w:t>
      </w:r>
    </w:p>
    <w:p w14:paraId="6B8F2CCE" w14:textId="561DAA0A" w:rsidR="00B54041" w:rsidRDefault="00000000">
      <w:pPr>
        <w:spacing w:before="200" w:after="200"/>
        <w:rPr>
          <w:rFonts w:ascii="Arial" w:eastAsia="Arial" w:hAnsi="Arial" w:cs="Arial"/>
        </w:rPr>
      </w:pPr>
      <w:r>
        <w:rPr>
          <w:rFonts w:ascii="Arial" w:eastAsia="Arial" w:hAnsi="Arial" w:cs="Arial"/>
        </w:rPr>
        <w:t xml:space="preserve">The liquidity ratios evaluate how a firm is able to fulfill its short-term liabilities. They play a critical role when it comes to the assessment of financial health and efficiency of working capital (Gunawan, 2023). </w:t>
      </w:r>
      <w:r w:rsidR="00B54041" w:rsidRPr="00B54041">
        <w:rPr>
          <w:rFonts w:ascii="Arial" w:eastAsia="Arial" w:hAnsi="Arial" w:cs="Arial"/>
        </w:rPr>
        <w:t>Liquidity position is steadily improving over the years. The current ratio rose in 2024 to 1.19 compared to 1.04 in 2020, which means that it is more likely to be solvent in the short term. In 2024, the acid test ratio increased to 1.03 as the company started being more capable of covering its obligations without resorting to inventory. Cash availability also increased with a rise in the cash ratio which rose to 0.32 as compared to 0.23. In general, the liquidity position of the company has improved slowly by slowly.</w:t>
      </w:r>
    </w:p>
    <w:p w14:paraId="40F85C1E" w14:textId="777C2535" w:rsidR="005D57A3" w:rsidRDefault="00000000" w:rsidP="00F15657">
      <w:pPr>
        <w:pStyle w:val="Heading3"/>
      </w:pPr>
      <w:bookmarkStart w:id="9" w:name="_Toc227878955"/>
      <w:r>
        <w:t>Efficiency Ratios</w:t>
      </w:r>
      <w:bookmarkEnd w:id="9"/>
    </w:p>
    <w:p w14:paraId="201076D7" w14:textId="263C476E" w:rsidR="00F15657" w:rsidRDefault="00000000">
      <w:pPr>
        <w:spacing w:before="200" w:after="200"/>
        <w:rPr>
          <w:rFonts w:ascii="Arial" w:eastAsia="Arial" w:hAnsi="Arial" w:cs="Arial"/>
        </w:rPr>
      </w:pPr>
      <w:r>
        <w:rPr>
          <w:rFonts w:ascii="Arial" w:eastAsia="Arial" w:hAnsi="Arial" w:cs="Arial"/>
        </w:rPr>
        <w:t xml:space="preserve">Efficiency ratios are used to assess the efficiency with which a company uses its assets to earn revenue. They are important to measure the performance of operations (Majka, 2024). </w:t>
      </w:r>
      <w:r w:rsidR="00F15657" w:rsidRPr="00F15657">
        <w:rPr>
          <w:rFonts w:ascii="Arial" w:eastAsia="Arial" w:hAnsi="Arial" w:cs="Arial"/>
        </w:rPr>
        <w:t>Better collection efficiency is reflected in the receivable’s turnover ratio of 11.90 in 2024 compared to 9.20 in 2021, though 2020 seems to be abnormally high. Overall, inventory turnover was lower in 2024, at 9.79 compared to 12.29 in 2020, indicating slower inventory movement. The turnover of fixed assets marginally declined, as it was 26.21 in 2022 and 24.84 in 2024, which shows slightly less efficient use of assets.</w:t>
      </w:r>
    </w:p>
    <w:p w14:paraId="08720151" w14:textId="77777777" w:rsidR="005D57A3" w:rsidRDefault="00000000">
      <w:pPr>
        <w:pStyle w:val="Heading3"/>
      </w:pPr>
      <w:bookmarkStart w:id="10" w:name="_Toc227878956"/>
      <w:r>
        <w:t>Gearing Ratios</w:t>
      </w:r>
      <w:bookmarkEnd w:id="10"/>
    </w:p>
    <w:p w14:paraId="2D757F63" w14:textId="748B2F79" w:rsidR="005D57A3" w:rsidRDefault="00000000">
      <w:pPr>
        <w:spacing w:before="200" w:after="200"/>
        <w:rPr>
          <w:rFonts w:ascii="Arial" w:eastAsia="Arial" w:hAnsi="Arial" w:cs="Arial"/>
        </w:rPr>
      </w:pPr>
      <w:r>
        <w:rPr>
          <w:rFonts w:ascii="Arial" w:eastAsia="Arial" w:hAnsi="Arial" w:cs="Arial"/>
        </w:rPr>
        <w:t xml:space="preserve">The gearing ratios are used to determine the level of both financial leverage and debt financing. They play a major role in determining the financial risk and capital structure (Oranefo and Egbunike, 2023). Toyota has a marginally higher leverage as its debt-to-equity ratio changed marginally between 2023 and 2024, 1.54 to 1.56. The interest earned increased greatly as time-interest earned increased by a margin of 29.32 to 67.16, indicating a better capacity to cover interest charges. This advances on the increased operating profits, indicating </w:t>
      </w:r>
      <w:r w:rsidR="00A41EB0">
        <w:rPr>
          <w:rFonts w:ascii="Arial" w:eastAsia="Arial" w:hAnsi="Arial" w:cs="Arial"/>
        </w:rPr>
        <w:t>fewer</w:t>
      </w:r>
      <w:r>
        <w:rPr>
          <w:rFonts w:ascii="Arial" w:eastAsia="Arial" w:hAnsi="Arial" w:cs="Arial"/>
        </w:rPr>
        <w:t xml:space="preserve"> financial risks in spite of the increased debt levels (Toyota, 2021).</w:t>
      </w:r>
    </w:p>
    <w:p w14:paraId="0FA4B7AF" w14:textId="77777777" w:rsidR="005D57A3" w:rsidRDefault="00000000">
      <w:pPr>
        <w:pStyle w:val="Heading3"/>
      </w:pPr>
      <w:bookmarkStart w:id="11" w:name="_Toc227878957"/>
      <w:r>
        <w:lastRenderedPageBreak/>
        <w:t>Investment Ratios</w:t>
      </w:r>
      <w:bookmarkEnd w:id="11"/>
    </w:p>
    <w:p w14:paraId="2C006A33" w14:textId="53C72B61" w:rsidR="005D57A3" w:rsidRDefault="00000000">
      <w:pPr>
        <w:spacing w:before="200" w:after="200"/>
        <w:rPr>
          <w:rFonts w:ascii="Arial" w:eastAsia="Arial" w:hAnsi="Arial" w:cs="Arial"/>
        </w:rPr>
      </w:pPr>
      <w:r>
        <w:rPr>
          <w:rFonts w:ascii="Arial" w:eastAsia="Arial" w:hAnsi="Arial" w:cs="Arial"/>
        </w:rPr>
        <w:t xml:space="preserve">The investment ratios are measures of returns to shareholders and market perception. They play an important role in the determination of the attractiveness of investment (Beck et al., 2022). </w:t>
      </w:r>
      <w:r w:rsidR="00916A3C" w:rsidRPr="00916A3C">
        <w:rPr>
          <w:rFonts w:ascii="Arial" w:eastAsia="Arial" w:hAnsi="Arial" w:cs="Arial"/>
        </w:rPr>
        <w:t>The investment ratios are a performance that is changing. In 2024, the dividend payout dropped to 0.20 compared to 0.33 in 2023, which is an indicator of a more retained earnings policy. The PE ratio declined to 0.06, indicating a lower market valuation or earnings expectations. Nevertheless, ROIC increased to 0.06 in 2024, and it is more efficient in using capital. Generally, the company has a conservative distribution policy and average returns on invested capital.</w:t>
      </w:r>
      <w:r w:rsidR="00916A3C">
        <w:rPr>
          <w:rFonts w:ascii="Arial" w:eastAsia="Arial" w:hAnsi="Arial" w:cs="Arial"/>
        </w:rPr>
        <w:t xml:space="preserve"> </w:t>
      </w:r>
      <w:r>
        <w:rPr>
          <w:rFonts w:ascii="Arial" w:eastAsia="Arial" w:hAnsi="Arial" w:cs="Arial"/>
        </w:rPr>
        <w:t>It could be a sign of a careful attitude of investors or high growth in earnings, which implies the company is oriented on long-term value creation (Companiesmarketcap, 2026).</w:t>
      </w:r>
    </w:p>
    <w:p w14:paraId="26F6E039" w14:textId="77777777" w:rsidR="005D57A3" w:rsidRDefault="00000000">
      <w:pPr>
        <w:pStyle w:val="Heading3"/>
      </w:pPr>
      <w:bookmarkStart w:id="12" w:name="_Toc227878958"/>
      <w:r>
        <w:t>Cash Flow Ratios</w:t>
      </w:r>
      <w:bookmarkEnd w:id="12"/>
    </w:p>
    <w:p w14:paraId="391ED6CA" w14:textId="1C2DA50B" w:rsidR="00916A3C" w:rsidRDefault="00000000">
      <w:pPr>
        <w:spacing w:before="200" w:after="200"/>
        <w:rPr>
          <w:rFonts w:ascii="Arial" w:eastAsia="Arial" w:hAnsi="Arial" w:cs="Arial"/>
        </w:rPr>
      </w:pPr>
      <w:r>
        <w:rPr>
          <w:rFonts w:ascii="Arial" w:eastAsia="Arial" w:hAnsi="Arial" w:cs="Arial"/>
        </w:rPr>
        <w:t xml:space="preserve">The cash flow ratios consider the capacity of a company to produce cash to settle debts. They play an essential role in assessing financial flexibility and liquidity (Arifaj et al., 2023). </w:t>
      </w:r>
      <w:r w:rsidR="00916A3C" w:rsidRPr="00916A3C">
        <w:rPr>
          <w:rFonts w:ascii="Arial" w:eastAsia="Arial" w:hAnsi="Arial" w:cs="Arial"/>
        </w:rPr>
        <w:t>The cash flow ratios represent mixed improved performance. The operating cash flow ratio has decreased by 0.20 in 2020 to 0.14 in 2024, indicating a decreased efficiency to generate short-run cash. The debt coverage capacity was also low as the cash flow to debt ratio decreased. Nevertheless, the margin of free cash flow has increased to 0.08 in 2024, compared to an almost zero in 2021, which indicates a greater availability of cash following expenditure. In general, there is slow recovery in cash management.</w:t>
      </w:r>
    </w:p>
    <w:p w14:paraId="3FE14673" w14:textId="77777777" w:rsidR="005D57A3" w:rsidRDefault="00000000">
      <w:pPr>
        <w:pStyle w:val="Heading2"/>
      </w:pPr>
      <w:bookmarkStart w:id="13" w:name="_Toc227878959"/>
      <w:r>
        <w:t>2.3 Identify Trends</w:t>
      </w:r>
      <w:bookmarkEnd w:id="13"/>
    </w:p>
    <w:p w14:paraId="40588424" w14:textId="77777777" w:rsidR="005D57A3" w:rsidRDefault="00000000">
      <w:pPr>
        <w:spacing w:before="200" w:after="200"/>
        <w:rPr>
          <w:rFonts w:ascii="Arial" w:eastAsia="Arial" w:hAnsi="Arial" w:cs="Arial"/>
        </w:rPr>
      </w:pPr>
      <w:r>
        <w:rPr>
          <w:rFonts w:ascii="Arial" w:eastAsia="Arial" w:hAnsi="Arial" w:cs="Arial"/>
        </w:rPr>
        <w:t>The financial trend of Toyota during 2020-2024 is favourable, as the company is experiencing rising profits and enhancing liquidity. There is stable growth in the net profit margins and return on equity, which depicts the improved earnings performance. The liquidity ratios are slowly improving, which is an indicator of enhanced financial stability in the short term (Hasidi et al., 2024). As well, efficiency ratios are enhanced, indicating better utilisation of assets. Gearing, however, is also rather high, which implies relying on debt. In general, the trend shows financial expansion with operational effectiveness and increased revenues.</w:t>
      </w:r>
    </w:p>
    <w:p w14:paraId="1ED2352B" w14:textId="77777777" w:rsidR="005D57A3" w:rsidRDefault="00000000">
      <w:pPr>
        <w:pStyle w:val="Heading2"/>
      </w:pPr>
      <w:bookmarkStart w:id="14" w:name="_Toc227878960"/>
      <w:r>
        <w:lastRenderedPageBreak/>
        <w:t>2.4 Identify Strengths</w:t>
      </w:r>
      <w:bookmarkEnd w:id="14"/>
      <w:r>
        <w:t xml:space="preserve"> </w:t>
      </w:r>
    </w:p>
    <w:p w14:paraId="014E6F2B" w14:textId="77777777" w:rsidR="005D57A3" w:rsidRDefault="00000000">
      <w:pPr>
        <w:spacing w:before="200" w:after="200"/>
        <w:rPr>
          <w:rFonts w:ascii="Arial" w:eastAsia="Arial" w:hAnsi="Arial" w:cs="Arial"/>
        </w:rPr>
      </w:pPr>
      <w:r>
        <w:rPr>
          <w:rFonts w:ascii="Arial" w:eastAsia="Arial" w:hAnsi="Arial" w:cs="Arial"/>
        </w:rPr>
        <w:t>The strengths of Toyota are high growth in profitability; the ratio of return to equity is increasing to 14.39% in 2024, and net margins have improved. The business has good liquidity, as evidenced by growing cash flows and effective working capital management (Seretidou et al., 2025). A high interest cover means that it is capable of paying off debts. Moreover, better efficiency ratios indicate that there is effective utilisation of assets. These strengths portray that Toyota has a good financial position and operational efficiency, as well as the ability to maintain long-term growth.</w:t>
      </w:r>
    </w:p>
    <w:p w14:paraId="390B6F1B" w14:textId="77777777" w:rsidR="005D57A3" w:rsidRDefault="00000000">
      <w:pPr>
        <w:pStyle w:val="Heading2"/>
      </w:pPr>
      <w:bookmarkStart w:id="15" w:name="_Toc227878961"/>
      <w:r>
        <w:t>2.5 Identify Threats</w:t>
      </w:r>
      <w:bookmarkEnd w:id="15"/>
    </w:p>
    <w:p w14:paraId="06B23847" w14:textId="3EAD57B3" w:rsidR="005D57A3" w:rsidRDefault="00000000">
      <w:pPr>
        <w:spacing w:before="200" w:after="200"/>
        <w:rPr>
          <w:rFonts w:ascii="Arial" w:eastAsia="Arial" w:hAnsi="Arial" w:cs="Arial"/>
        </w:rPr>
      </w:pPr>
      <w:r>
        <w:rPr>
          <w:rFonts w:ascii="Arial" w:eastAsia="Arial" w:hAnsi="Arial" w:cs="Arial"/>
        </w:rPr>
        <w:t xml:space="preserve">Toyota has a number of financial threats, such as a relatively high debt-to-equity ratio of 1.56, which may mean its reliance on external funding. The suggestive negative dividend payout and P/E ratios can be an indication of a wary investor attitude. Profitability may be negatively affected by changes in world markets, exchange rates, and increased costs (Zhang et al., 2025). Also, the decrease in the cash flow ratios in comparison to the previous </w:t>
      </w:r>
      <w:r w:rsidR="00A41EB0">
        <w:rPr>
          <w:rFonts w:ascii="Arial" w:eastAsia="Arial" w:hAnsi="Arial" w:cs="Arial"/>
        </w:rPr>
        <w:t>year’s</w:t>
      </w:r>
      <w:r>
        <w:rPr>
          <w:rFonts w:ascii="Arial" w:eastAsia="Arial" w:hAnsi="Arial" w:cs="Arial"/>
        </w:rPr>
        <w:t xml:space="preserve"> raises concerns of potential pressure on liquidity (Toyota, 2026b). Unless well addressed, these factors can become a threat to the stability and future performance.</w:t>
      </w:r>
    </w:p>
    <w:p w14:paraId="7E25B615" w14:textId="77777777" w:rsidR="005D57A3" w:rsidRDefault="00000000">
      <w:pPr>
        <w:pStyle w:val="Heading1"/>
      </w:pPr>
      <w:bookmarkStart w:id="16" w:name="_Toc227878962"/>
      <w:r>
        <w:t>3. Working Capital Management Analysis</w:t>
      </w:r>
      <w:bookmarkEnd w:id="16"/>
      <w:r>
        <w:t xml:space="preserve"> </w:t>
      </w:r>
    </w:p>
    <w:p w14:paraId="07C74FF9" w14:textId="77777777" w:rsidR="005D57A3" w:rsidRDefault="00000000">
      <w:pPr>
        <w:pStyle w:val="Heading2"/>
      </w:pPr>
      <w:bookmarkStart w:id="17" w:name="_Toc227878963"/>
      <w:r>
        <w:t>3.1 Assess the Cash Operating Cycle</w:t>
      </w:r>
      <w:bookmarkEnd w:id="17"/>
      <w:r>
        <w:t xml:space="preserve"> </w:t>
      </w:r>
    </w:p>
    <w:p w14:paraId="0453BF2E" w14:textId="4EBD708F" w:rsidR="005D57A3" w:rsidRDefault="00B37547" w:rsidP="00A41EB0">
      <w:pPr>
        <w:spacing w:before="200" w:after="200"/>
        <w:jc w:val="center"/>
        <w:rPr>
          <w:rFonts w:ascii="Arial" w:eastAsia="Arial" w:hAnsi="Arial" w:cs="Arial"/>
        </w:rPr>
      </w:pPr>
      <w:r w:rsidRPr="00B37547">
        <w:rPr>
          <w:rFonts w:ascii="Arial" w:eastAsia="Arial" w:hAnsi="Arial" w:cs="Arial"/>
          <w:noProof/>
        </w:rPr>
        <w:drawing>
          <wp:inline distT="0" distB="0" distL="0" distR="0" wp14:anchorId="5493F5FD" wp14:editId="40066D55">
            <wp:extent cx="5733415" cy="1495425"/>
            <wp:effectExtent l="0" t="0" r="635" b="9525"/>
            <wp:docPr id="653337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337659" name=""/>
                    <pic:cNvPicPr/>
                  </pic:nvPicPr>
                  <pic:blipFill>
                    <a:blip r:embed="rId8"/>
                    <a:stretch>
                      <a:fillRect/>
                    </a:stretch>
                  </pic:blipFill>
                  <pic:spPr>
                    <a:xfrm>
                      <a:off x="0" y="0"/>
                      <a:ext cx="5733415" cy="1495425"/>
                    </a:xfrm>
                    <a:prstGeom prst="rect">
                      <a:avLst/>
                    </a:prstGeom>
                  </pic:spPr>
                </pic:pic>
              </a:graphicData>
            </a:graphic>
          </wp:inline>
        </w:drawing>
      </w:r>
    </w:p>
    <w:p w14:paraId="74622E0F" w14:textId="269B1FAF" w:rsidR="00A41EB0" w:rsidRPr="00A41EB0" w:rsidRDefault="00A41EB0" w:rsidP="00A41EB0">
      <w:pPr>
        <w:spacing w:before="200" w:after="200"/>
        <w:jc w:val="center"/>
        <w:rPr>
          <w:rFonts w:ascii="Arial" w:eastAsia="Arial" w:hAnsi="Arial" w:cs="Arial"/>
          <w:b/>
          <w:bCs/>
        </w:rPr>
      </w:pPr>
      <w:r w:rsidRPr="00A41EB0">
        <w:rPr>
          <w:rFonts w:ascii="Arial" w:eastAsia="Arial" w:hAnsi="Arial" w:cs="Arial"/>
          <w:b/>
          <w:bCs/>
        </w:rPr>
        <w:t xml:space="preserve">Figure </w:t>
      </w:r>
      <w:r w:rsidR="00BC44D3">
        <w:rPr>
          <w:rFonts w:ascii="Arial" w:eastAsia="Arial" w:hAnsi="Arial" w:cs="Arial"/>
          <w:b/>
          <w:bCs/>
        </w:rPr>
        <w:t>2</w:t>
      </w:r>
      <w:r w:rsidRPr="00A41EB0">
        <w:rPr>
          <w:rFonts w:ascii="Arial" w:eastAsia="Arial" w:hAnsi="Arial" w:cs="Arial"/>
          <w:b/>
          <w:bCs/>
        </w:rPr>
        <w:t>: Toyota’s Cash Operating Cycle (CCC)</w:t>
      </w:r>
    </w:p>
    <w:p w14:paraId="179FC045" w14:textId="4AE93A4B" w:rsidR="00B37547" w:rsidRDefault="00A41EB0" w:rsidP="00B37547">
      <w:pPr>
        <w:spacing w:before="200" w:after="200"/>
        <w:jc w:val="center"/>
        <w:rPr>
          <w:rFonts w:ascii="Arial" w:eastAsia="Arial" w:hAnsi="Arial" w:cs="Arial"/>
        </w:rPr>
      </w:pPr>
      <w:r>
        <w:rPr>
          <w:rFonts w:ascii="Arial" w:eastAsia="Arial" w:hAnsi="Arial" w:cs="Arial"/>
        </w:rPr>
        <w:t>(Source: MS-Excel)</w:t>
      </w:r>
    </w:p>
    <w:p w14:paraId="1BD9F246" w14:textId="672C83AE" w:rsidR="005D57A3" w:rsidRDefault="00000000">
      <w:pPr>
        <w:spacing w:before="200" w:after="200"/>
        <w:rPr>
          <w:rFonts w:ascii="Arial" w:eastAsia="Arial" w:hAnsi="Arial" w:cs="Arial"/>
        </w:rPr>
      </w:pPr>
      <w:r>
        <w:rPr>
          <w:rFonts w:ascii="Arial" w:eastAsia="Arial" w:hAnsi="Arial" w:cs="Arial"/>
        </w:rPr>
        <w:lastRenderedPageBreak/>
        <w:t>The cash operating cycle (CCC) is a measure of how long a company takes to convert investments in its inventories and debts to sales cash flows. It is noteworthy because it indicates efficiency in working capital and how to manage liquidity (Asman et al., 2022). The shorter CCC reflects the efficient operation and faster recovery of cash. Toyota’s CCC shows a declining trend from 3</w:t>
      </w:r>
      <w:r w:rsidR="00B37547">
        <w:rPr>
          <w:rFonts w:ascii="Arial" w:eastAsia="Arial" w:hAnsi="Arial" w:cs="Arial"/>
        </w:rPr>
        <w:t>1.08</w:t>
      </w:r>
      <w:r>
        <w:rPr>
          <w:rFonts w:ascii="Arial" w:eastAsia="Arial" w:hAnsi="Arial" w:cs="Arial"/>
        </w:rPr>
        <w:t xml:space="preserve"> days in 2022 and </w:t>
      </w:r>
      <w:r w:rsidR="00B37547">
        <w:rPr>
          <w:rFonts w:ascii="Arial" w:eastAsia="Arial" w:hAnsi="Arial" w:cs="Arial"/>
        </w:rPr>
        <w:t>30.97</w:t>
      </w:r>
      <w:r>
        <w:rPr>
          <w:rFonts w:ascii="Arial" w:eastAsia="Arial" w:hAnsi="Arial" w:cs="Arial"/>
        </w:rPr>
        <w:t xml:space="preserve"> days in 2023 to </w:t>
      </w:r>
      <w:r w:rsidR="00B37547">
        <w:rPr>
          <w:rFonts w:ascii="Arial" w:eastAsia="Arial" w:hAnsi="Arial" w:cs="Arial"/>
        </w:rPr>
        <w:t>28.36</w:t>
      </w:r>
      <w:r>
        <w:rPr>
          <w:rFonts w:ascii="Arial" w:eastAsia="Arial" w:hAnsi="Arial" w:cs="Arial"/>
        </w:rPr>
        <w:t xml:space="preserve"> days in 2024. Such an improvement implies a better capital working efficiency. Inventory days reduced to 37.28 days in 2024 compared to 44.45 days in 2022, which is a reflection of the presence of better inventory turnover through the management of the demand and supply chains. The number of days in receivables also decreased, with 36.56 days of 2022 turning into 30.67 days of 2024, being evidence of the efficient control on credits and faster credit collection among customers (Toyota, 2024). Although this enhances the relationship of suppliers, it reduces the trade credit advantage. On the whole, the decrease in CCC can be attributed to the better management of inventory and receivables. However, the low payable period is an indicator that opens up to maximisation of the cash outflows and further improvement of the liquidity.</w:t>
      </w:r>
    </w:p>
    <w:p w14:paraId="13302181" w14:textId="77777777" w:rsidR="005D57A3" w:rsidRDefault="00000000" w:rsidP="005F6C2F">
      <w:pPr>
        <w:pStyle w:val="Heading2"/>
      </w:pPr>
      <w:bookmarkStart w:id="18" w:name="_Toc227878964"/>
      <w:r>
        <w:t>3.2 Strategies to Improve Liquidity By Working Capital Reforms</w:t>
      </w:r>
      <w:bookmarkEnd w:id="18"/>
      <w:r>
        <w:t xml:space="preserve"> </w:t>
      </w:r>
    </w:p>
    <w:p w14:paraId="3881FC93" w14:textId="77777777" w:rsidR="005D57A3" w:rsidRDefault="00000000">
      <w:pPr>
        <w:pStyle w:val="Heading3"/>
      </w:pPr>
      <w:bookmarkStart w:id="19" w:name="_Toc227878965"/>
      <w:r>
        <w:t>Optimisation of Receivables and Inventory Management</w:t>
      </w:r>
      <w:bookmarkEnd w:id="19"/>
    </w:p>
    <w:p w14:paraId="6DC35B68" w14:textId="77777777" w:rsidR="005D57A3" w:rsidRDefault="00000000">
      <w:pPr>
        <w:spacing w:before="200" w:after="200"/>
        <w:rPr>
          <w:rFonts w:ascii="Arial" w:eastAsia="Arial" w:hAnsi="Arial" w:cs="Arial"/>
        </w:rPr>
      </w:pPr>
      <w:r>
        <w:rPr>
          <w:rFonts w:ascii="Arial" w:eastAsia="Arial" w:hAnsi="Arial" w:cs="Arial"/>
        </w:rPr>
        <w:t>To enhance its liquidity position, Toyota can enhance its receivables management by implementing tougher credit policies and more aggressive collections. Further shortening of the number of days in receivables to a minimum of 30.67 days can hasten cash inflows. To address the changes, the firm can adopt online payment systems and provide discounts to buyers before payment. Moreover, better credit risk evaluation will decrease bad debts and promote cash flow stability. Another way to optimise inventory management is to implement advanced forecasting algorithms and just-in-time (JIT) systems (Pal, 2024). As much as inventory days have been decreased to 37.28 days in 2024, more effort can be made by matching production and demand in the most effective way. This will lower the holding cost and release cash that is bound up in inventory. Another way of reducing the risk of excess stock and obsolescence is efficient inventory control systems and automation.</w:t>
      </w:r>
    </w:p>
    <w:p w14:paraId="7A9693F9" w14:textId="77777777" w:rsidR="005D57A3" w:rsidRDefault="00000000">
      <w:pPr>
        <w:pStyle w:val="Heading3"/>
      </w:pPr>
      <w:bookmarkStart w:id="20" w:name="_Toc227878966"/>
      <w:r>
        <w:lastRenderedPageBreak/>
        <w:t>Extension of Payables and Cash Flow Management</w:t>
      </w:r>
      <w:bookmarkEnd w:id="20"/>
    </w:p>
    <w:p w14:paraId="7DB7A692" w14:textId="77777777" w:rsidR="005D57A3" w:rsidRDefault="00000000">
      <w:pPr>
        <w:spacing w:before="200" w:after="200"/>
        <w:rPr>
          <w:rFonts w:ascii="Arial" w:eastAsia="Arial" w:hAnsi="Arial" w:cs="Arial"/>
        </w:rPr>
      </w:pPr>
      <w:r>
        <w:rPr>
          <w:rFonts w:ascii="Arial" w:eastAsia="Arial" w:hAnsi="Arial" w:cs="Arial"/>
        </w:rPr>
        <w:t>The liquidity can be improved after Toyota organizes the expansion of its payable period, which is now very low (0.10 days in 2024). It would be wise to negotiate with suppliers about longer credit terms so that the company can hold cash longer without any impact on operations. This would greatly enhance the cash operating cycle and the position of working capital. Moreover, centralised treasury management and cash pooling may be effective cash flow management strategies that can maximise the liquidity in global operations (Yan et al., 2024). Short-term financial instruments are also available to the company as it can invest excess cash to make additional returns. Following stricter management of operating costs and offsetting the cash receipts and outgoings will sustain adequate liquidity. All these reforms make financial flexibility more flexible, and they empower Toyota in regard to short-term obligations.</w:t>
      </w:r>
    </w:p>
    <w:p w14:paraId="097E3DA2" w14:textId="77777777" w:rsidR="005D57A3" w:rsidRDefault="00000000" w:rsidP="005F6C2F">
      <w:pPr>
        <w:pStyle w:val="Heading2"/>
      </w:pPr>
      <w:bookmarkStart w:id="21" w:name="_Toc227878967"/>
      <w:r>
        <w:t>3.3 Compare Short-term vs Long-term Financing Options</w:t>
      </w:r>
      <w:bookmarkEnd w:id="21"/>
    </w:p>
    <w:p w14:paraId="4B0F1670" w14:textId="77777777" w:rsidR="005D57A3" w:rsidRDefault="00000000" w:rsidP="005F6C2F">
      <w:pPr>
        <w:pStyle w:val="Heading3"/>
      </w:pPr>
      <w:bookmarkStart w:id="22" w:name="_Toc227878968"/>
      <w:r>
        <w:t>Short-term Financing</w:t>
      </w:r>
      <w:bookmarkEnd w:id="22"/>
    </w:p>
    <w:p w14:paraId="1CDCB56F" w14:textId="77777777" w:rsidR="005D57A3" w:rsidRDefault="00000000">
      <w:pPr>
        <w:spacing w:before="200" w:after="200"/>
        <w:rPr>
          <w:rFonts w:ascii="Arial" w:eastAsia="Arial" w:hAnsi="Arial" w:cs="Arial"/>
        </w:rPr>
      </w:pPr>
      <w:r>
        <w:rPr>
          <w:rFonts w:ascii="Arial" w:eastAsia="Arial" w:hAnsi="Arial" w:cs="Arial"/>
        </w:rPr>
        <w:t>Bank overdraft, trade credit and short-term loans are sources of short-term financing, which are usually repaid within one year. It has relevance in managing the working capital requirements and mitigating any temporary liquidity crunches. Short-term financing is often more adaptable and not complicated to secure, thus is used in financing day-to-day operations (Hempel et al., 2024). It usually has increased interest rates and refinancing risk, which has potential effects on the financial stability if not handled appropriately.</w:t>
      </w:r>
    </w:p>
    <w:p w14:paraId="5A2928A2" w14:textId="77777777" w:rsidR="005D57A3" w:rsidRDefault="00000000" w:rsidP="005F6C2F">
      <w:pPr>
        <w:pStyle w:val="Heading3"/>
      </w:pPr>
      <w:bookmarkStart w:id="23" w:name="_Toc227878969"/>
      <w:r>
        <w:t>Long-term Financing</w:t>
      </w:r>
      <w:bookmarkEnd w:id="23"/>
    </w:p>
    <w:p w14:paraId="7808A95D" w14:textId="77777777" w:rsidR="005D57A3" w:rsidRDefault="00000000">
      <w:pPr>
        <w:spacing w:before="200" w:after="200"/>
        <w:rPr>
          <w:rFonts w:ascii="Arial" w:eastAsia="Arial" w:hAnsi="Arial" w:cs="Arial"/>
        </w:rPr>
      </w:pPr>
      <w:r>
        <w:rPr>
          <w:rFonts w:ascii="Arial" w:eastAsia="Arial" w:hAnsi="Arial" w:cs="Arial"/>
        </w:rPr>
        <w:t xml:space="preserve">Long-term financing comprises equity capital, long-term loans and bonds, which are repayable within several years. It helps in financing capital investments and strategic growth. Long-term financing is a more stable option and less stressful in terms of regular repayments (Hempel et al., 2024). It also enables firms to match long-term assets utilisation with financing. But it can entail increased start-up expenses, increased regulatory burden, and dilution of ownership in the event of equity financing. Comparatively, short-term financing can be used to cater to operational requirements, </w:t>
      </w:r>
      <w:r>
        <w:rPr>
          <w:rFonts w:ascii="Arial" w:eastAsia="Arial" w:hAnsi="Arial" w:cs="Arial"/>
        </w:rPr>
        <w:lastRenderedPageBreak/>
        <w:t>whereas long-term financing is used in strategic growth. The moderate method will help maintain an optimal capital structure and financial sustainability.</w:t>
      </w:r>
    </w:p>
    <w:p w14:paraId="7F563ECE" w14:textId="77777777" w:rsidR="005D57A3" w:rsidRDefault="00000000">
      <w:pPr>
        <w:pStyle w:val="Heading1"/>
      </w:pPr>
      <w:bookmarkStart w:id="24" w:name="_Toc227878970"/>
      <w:r>
        <w:t>4. Strategic Financial Restructuring Plan</w:t>
      </w:r>
      <w:bookmarkEnd w:id="24"/>
      <w:r>
        <w:t xml:space="preserve"> </w:t>
      </w:r>
    </w:p>
    <w:p w14:paraId="2AB465F0" w14:textId="77777777" w:rsidR="005D57A3" w:rsidRDefault="00000000">
      <w:pPr>
        <w:pStyle w:val="Heading2"/>
      </w:pPr>
      <w:bookmarkStart w:id="25" w:name="_Toc227878971"/>
      <w:r>
        <w:t>4.1 Financial Restructuring Options</w:t>
      </w:r>
      <w:bookmarkEnd w:id="25"/>
      <w:r>
        <w:t xml:space="preserve"> </w:t>
      </w:r>
    </w:p>
    <w:p w14:paraId="65B780D3" w14:textId="77777777" w:rsidR="005D57A3" w:rsidRDefault="00000000">
      <w:pPr>
        <w:pStyle w:val="Heading3"/>
      </w:pPr>
      <w:bookmarkStart w:id="26" w:name="_Toc227878972"/>
      <w:r>
        <w:t>Divestiture of Non-core Assets</w:t>
      </w:r>
      <w:bookmarkEnd w:id="26"/>
    </w:p>
    <w:p w14:paraId="4BD61A49" w14:textId="77777777" w:rsidR="005D57A3" w:rsidRDefault="00000000">
      <w:pPr>
        <w:spacing w:before="200" w:after="200"/>
        <w:rPr>
          <w:rFonts w:ascii="Arial" w:eastAsia="Arial" w:hAnsi="Arial" w:cs="Arial"/>
        </w:rPr>
      </w:pPr>
      <w:r>
        <w:rPr>
          <w:rFonts w:ascii="Arial" w:eastAsia="Arial" w:hAnsi="Arial" w:cs="Arial"/>
        </w:rPr>
        <w:t>Toyota can enhance financial efficiency through selling off the businesses which are non-core or non-performing. By this move, the company will be able to concentrate on its main automotive and mobility business and free up capital that is held up in businesses that do not make it profitable. Divestiture proceeds can either be used to cut down debt or reinvest in areas that have high growth potential, like electric vehicles and autonomous technologies (Potharla, 2025). This improves general profitability and the effectiveness of capital allocation.</w:t>
      </w:r>
    </w:p>
    <w:p w14:paraId="6FBB311E" w14:textId="77777777" w:rsidR="005D57A3" w:rsidRDefault="00000000">
      <w:pPr>
        <w:pStyle w:val="Heading3"/>
      </w:pPr>
      <w:bookmarkStart w:id="27" w:name="_Toc227878973"/>
      <w:r>
        <w:t>Strategic Mergers and Partnerships</w:t>
      </w:r>
      <w:bookmarkEnd w:id="27"/>
    </w:p>
    <w:p w14:paraId="7B583A7D" w14:textId="77777777" w:rsidR="005D57A3" w:rsidRDefault="00000000">
      <w:pPr>
        <w:spacing w:before="200" w:after="200"/>
        <w:rPr>
          <w:rFonts w:ascii="Arial" w:eastAsia="Arial" w:hAnsi="Arial" w:cs="Arial"/>
        </w:rPr>
      </w:pPr>
      <w:r>
        <w:rPr>
          <w:rFonts w:ascii="Arial" w:eastAsia="Arial" w:hAnsi="Arial" w:cs="Arial"/>
        </w:rPr>
        <w:t>Strategic mergers or joint ventures will help Toyota build its competitive advantage and technological strength. The technology companies or electric vehicle makers can be partners that can speed up the innovation and decrease the expenses used in research and development (Takeuchi et al., 2023). Mergers may also open up new markets and economies of scale, enhancing the effectiveness of operations. This method is especially topical in the shift towards comfortable mobility and digitization.</w:t>
      </w:r>
    </w:p>
    <w:p w14:paraId="02C8D183" w14:textId="77777777" w:rsidR="005D57A3" w:rsidRDefault="00000000">
      <w:pPr>
        <w:pStyle w:val="Heading3"/>
      </w:pPr>
      <w:bookmarkStart w:id="28" w:name="_Toc227878974"/>
      <w:r>
        <w:t>Equity Injection and Capital Restructuring</w:t>
      </w:r>
      <w:bookmarkEnd w:id="28"/>
    </w:p>
    <w:p w14:paraId="6D1A4B0E" w14:textId="77777777" w:rsidR="005D57A3" w:rsidRDefault="00000000">
      <w:pPr>
        <w:spacing w:before="200" w:after="200"/>
        <w:rPr>
          <w:rFonts w:ascii="Arial" w:eastAsia="Arial" w:hAnsi="Arial" w:cs="Arial"/>
        </w:rPr>
      </w:pPr>
      <w:r>
        <w:rPr>
          <w:rFonts w:ascii="Arial" w:eastAsia="Arial" w:hAnsi="Arial" w:cs="Arial"/>
        </w:rPr>
        <w:t>Toyota can use equity financing to fortify its capital base and lessen debt. New shares or retention earnings would help to improve the debt-to-equity ratio. As of 2024, the ratio is 1.56. A higher equity base will increase financial stability and decrease financial risk (Toyota, 2024). Furthermore, a reorganization of the current debt, through refinancing at a reduced interest rate, would allow a decrease in the financing costs and the level of profitability. This will result in a prospective and viable capital structure.</w:t>
      </w:r>
    </w:p>
    <w:p w14:paraId="24BE4855" w14:textId="77777777" w:rsidR="005D57A3" w:rsidRDefault="00000000">
      <w:pPr>
        <w:pStyle w:val="Heading2"/>
      </w:pPr>
      <w:bookmarkStart w:id="29" w:name="_Toc227878975"/>
      <w:r>
        <w:lastRenderedPageBreak/>
        <w:t>4.2 Impact on Financial Performance</w:t>
      </w:r>
      <w:bookmarkEnd w:id="29"/>
      <w:r>
        <w:t xml:space="preserve"> </w:t>
      </w:r>
    </w:p>
    <w:p w14:paraId="32E9B32E" w14:textId="77777777" w:rsidR="005D57A3" w:rsidRDefault="00000000">
      <w:pPr>
        <w:pStyle w:val="Heading3"/>
      </w:pPr>
      <w:bookmarkStart w:id="30" w:name="_Toc227878976"/>
      <w:r>
        <w:t>Impact on Shareholder Value</w:t>
      </w:r>
      <w:bookmarkEnd w:id="30"/>
    </w:p>
    <w:p w14:paraId="4A8BBE6E" w14:textId="77777777" w:rsidR="005D57A3" w:rsidRDefault="00000000">
      <w:pPr>
        <w:spacing w:before="200" w:after="200"/>
        <w:rPr>
          <w:rFonts w:ascii="Arial" w:eastAsia="Arial" w:hAnsi="Arial" w:cs="Arial"/>
        </w:rPr>
      </w:pPr>
      <w:r>
        <w:rPr>
          <w:rFonts w:ascii="Arial" w:eastAsia="Arial" w:hAnsi="Arial" w:cs="Arial"/>
        </w:rPr>
        <w:t>Restructuring of finances can greatly increase the shareholder value because of the improved profitability and return on equity. The efficiency and divestitures drive earnings, resulting in increased returns to investors (Liu, 2024). Strategic alliances may lead to long-term growth, increasing market value. But the issuance of equity can weaken the stock in the short term, but it will enhance long-term financial stability and investment confidence.</w:t>
      </w:r>
    </w:p>
    <w:p w14:paraId="6E15702E" w14:textId="77777777" w:rsidR="005D57A3" w:rsidRDefault="00000000">
      <w:pPr>
        <w:pStyle w:val="Heading3"/>
      </w:pPr>
      <w:bookmarkStart w:id="31" w:name="_Toc227878977"/>
      <w:r>
        <w:t>Impact on Debt Structure</w:t>
      </w:r>
      <w:bookmarkEnd w:id="31"/>
    </w:p>
    <w:p w14:paraId="477D75F8" w14:textId="77777777" w:rsidR="005D57A3" w:rsidRDefault="00000000">
      <w:pPr>
        <w:spacing w:before="200" w:after="200"/>
        <w:rPr>
          <w:rFonts w:ascii="Arial" w:eastAsia="Arial" w:hAnsi="Arial" w:cs="Arial"/>
        </w:rPr>
      </w:pPr>
      <w:r>
        <w:rPr>
          <w:rFonts w:ascii="Arial" w:eastAsia="Arial" w:hAnsi="Arial" w:cs="Arial"/>
        </w:rPr>
        <w:t>Toyota's debt structure can be optimally restructured through restructuring measures like being injected with equity and refinancing. Lowering the use of debt minimizes financial risk and increases creditworthiness. Remaking loans with a favourable interest rate reduces the interest costs, making it more profitable (Istan, 2024). Mergers and acquisitions might lead to a high level of debt but with well-managed management situations, the leverage will be at a sustainable level just to uphold financial stability in the long term.</w:t>
      </w:r>
    </w:p>
    <w:p w14:paraId="33237C3E" w14:textId="77777777" w:rsidR="005D57A3" w:rsidRDefault="00000000">
      <w:pPr>
        <w:pStyle w:val="Heading3"/>
      </w:pPr>
      <w:bookmarkStart w:id="32" w:name="_Toc227878978"/>
      <w:r>
        <w:t>Impact on Operational Flexibility</w:t>
      </w:r>
      <w:bookmarkEnd w:id="32"/>
    </w:p>
    <w:p w14:paraId="7362257F" w14:textId="77777777" w:rsidR="005D57A3" w:rsidRDefault="00000000">
      <w:pPr>
        <w:spacing w:before="200" w:after="200"/>
        <w:rPr>
          <w:rFonts w:ascii="Arial" w:eastAsia="Arial" w:hAnsi="Arial" w:cs="Arial"/>
        </w:rPr>
      </w:pPr>
      <w:r>
        <w:rPr>
          <w:rFonts w:ascii="Arial" w:eastAsia="Arial" w:hAnsi="Arial" w:cs="Arial"/>
        </w:rPr>
        <w:t>Reorganization of the finances enhances the flexibility in the operations due to the liberation of funds and the increase in liquidity. Selling non-core assets enables the management to direct their attention to their strategic priorities and the better cash flow enables investment in innovations and expansion (Liu, 2024). The lower financial commitments are better placed to allow it to be more flexible in reacting to market changes. This will help Toyota to keep up with trends in the industry, especially in the changing automotive industry.</w:t>
      </w:r>
    </w:p>
    <w:p w14:paraId="17456436" w14:textId="77777777" w:rsidR="005D57A3" w:rsidRDefault="00000000">
      <w:pPr>
        <w:pStyle w:val="Heading2"/>
      </w:pPr>
      <w:bookmarkStart w:id="33" w:name="_Toc227878979"/>
      <w:r>
        <w:t>4.3 International and Ethical Considerations</w:t>
      </w:r>
      <w:bookmarkEnd w:id="33"/>
    </w:p>
    <w:p w14:paraId="5C2234D2" w14:textId="77777777" w:rsidR="005D57A3" w:rsidRDefault="00000000">
      <w:pPr>
        <w:pStyle w:val="Heading3"/>
      </w:pPr>
      <w:bookmarkStart w:id="34" w:name="_Toc227878980"/>
      <w:r>
        <w:t>International Factors (Taxation and Currency Risk)</w:t>
      </w:r>
      <w:bookmarkEnd w:id="34"/>
    </w:p>
    <w:p w14:paraId="275147E3" w14:textId="77777777" w:rsidR="005D57A3" w:rsidRDefault="00000000">
      <w:pPr>
        <w:spacing w:before="200" w:after="200"/>
        <w:rPr>
          <w:rFonts w:ascii="Arial" w:eastAsia="Arial" w:hAnsi="Arial" w:cs="Arial"/>
        </w:rPr>
      </w:pPr>
      <w:r>
        <w:rPr>
          <w:rFonts w:ascii="Arial" w:eastAsia="Arial" w:hAnsi="Arial" w:cs="Arial"/>
        </w:rPr>
        <w:t xml:space="preserve">Toyota is an international company that has to factoring consideration of the international financial considerations, including taxes and currency changes. High volatility of the exchange rate can affect revenues and profitability, especially when </w:t>
      </w:r>
      <w:r>
        <w:rPr>
          <w:rFonts w:ascii="Arial" w:eastAsia="Arial" w:hAnsi="Arial" w:cs="Arial"/>
        </w:rPr>
        <w:lastRenderedPageBreak/>
        <w:t>the activity overseas is very big. Currency risk needs proper management through effective hedging strategies (Yuan, 2024). There are also variations on tax policies depending on various nations, and that affects the choices of financial planning and restructuring, which need proper tax optimisation plans which will help reduce the liability without violating taxation policies.</w:t>
      </w:r>
    </w:p>
    <w:p w14:paraId="743FA302" w14:textId="77777777" w:rsidR="005D57A3" w:rsidRDefault="00000000">
      <w:pPr>
        <w:pStyle w:val="Heading3"/>
      </w:pPr>
      <w:bookmarkStart w:id="35" w:name="_Toc227878981"/>
      <w:r>
        <w:t>Inflation and Economic Conditions</w:t>
      </w:r>
      <w:bookmarkEnd w:id="35"/>
    </w:p>
    <w:p w14:paraId="485D71DF" w14:textId="77777777" w:rsidR="005D57A3" w:rsidRDefault="00000000">
      <w:pPr>
        <w:spacing w:before="200" w:after="200"/>
        <w:rPr>
          <w:rFonts w:ascii="Arial" w:eastAsia="Arial" w:hAnsi="Arial" w:cs="Arial"/>
        </w:rPr>
      </w:pPr>
      <w:r>
        <w:rPr>
          <w:rFonts w:ascii="Arial" w:eastAsia="Arial" w:hAnsi="Arial" w:cs="Arial"/>
        </w:rPr>
        <w:t>Inflation and fluctuating economic conditions impact costs and pricing policies, as well as consumer demand. The rise in production costs due to inflation may lead to low profit margins if there is no effective management. To counter these effects, Toyota needs to embrace cost management practices and pricing models (Bhattacheryay, 2023). Investment decisions are also affected by economic uncertainties, which demand a lot of financial planning to ensure stability and growth.</w:t>
      </w:r>
    </w:p>
    <w:p w14:paraId="43E65273" w14:textId="77777777" w:rsidR="005D57A3" w:rsidRDefault="00000000">
      <w:pPr>
        <w:pStyle w:val="Heading3"/>
      </w:pPr>
      <w:bookmarkStart w:id="36" w:name="_Toc227878982"/>
      <w:r>
        <w:t>Corporate Social Responsibility (CSR) and Ethics</w:t>
      </w:r>
      <w:bookmarkEnd w:id="36"/>
    </w:p>
    <w:p w14:paraId="75F5E8D4" w14:textId="77777777" w:rsidR="005D57A3" w:rsidRDefault="00000000">
      <w:pPr>
        <w:spacing w:before="200" w:after="200"/>
        <w:rPr>
          <w:rFonts w:ascii="Arial" w:eastAsia="Arial" w:hAnsi="Arial" w:cs="Arial"/>
        </w:rPr>
      </w:pPr>
      <w:r>
        <w:rPr>
          <w:rFonts w:ascii="Arial" w:eastAsia="Arial" w:hAnsi="Arial" w:cs="Arial"/>
        </w:rPr>
        <w:t>In making financial restructuring decisions, ethical issues and corporate social responsibility issues are very important. Toyota must ensure that its restructuring plans do not harm employees, suppliers or communities. Green practices such as investing in clean technologies are in tandem with global expectations and regulatory requirements (Katamba et al., 2024). Being transparent, ethically managed and earning the trust of its stakeholders boosts corporate image and helps it to succeed in the long term.</w:t>
      </w:r>
    </w:p>
    <w:p w14:paraId="75F21229" w14:textId="77777777" w:rsidR="005D57A3" w:rsidRDefault="00000000">
      <w:pPr>
        <w:pStyle w:val="Heading1"/>
      </w:pPr>
      <w:bookmarkStart w:id="37" w:name="_Toc227878983"/>
      <w:r>
        <w:lastRenderedPageBreak/>
        <w:t>5. Investment Appraisal and Capital Budgeting</w:t>
      </w:r>
      <w:bookmarkEnd w:id="37"/>
      <w:r>
        <w:t xml:space="preserve"> </w:t>
      </w:r>
    </w:p>
    <w:p w14:paraId="62AFA68E" w14:textId="77777777" w:rsidR="005D57A3" w:rsidRDefault="00000000">
      <w:pPr>
        <w:pStyle w:val="Heading2"/>
      </w:pPr>
      <w:bookmarkStart w:id="38" w:name="_Toc227878984"/>
      <w:r>
        <w:t>5.1 Project A Analysis</w:t>
      </w:r>
      <w:bookmarkEnd w:id="38"/>
    </w:p>
    <w:p w14:paraId="07957293" w14:textId="77777777" w:rsidR="005D57A3" w:rsidRDefault="00000000" w:rsidP="00A41EB0">
      <w:pPr>
        <w:spacing w:before="200" w:after="200"/>
        <w:jc w:val="center"/>
        <w:rPr>
          <w:rFonts w:ascii="Arial" w:eastAsia="Arial" w:hAnsi="Arial" w:cs="Arial"/>
        </w:rPr>
      </w:pPr>
      <w:r>
        <w:rPr>
          <w:rFonts w:ascii="Arial" w:eastAsia="Arial" w:hAnsi="Arial" w:cs="Arial"/>
          <w:noProof/>
        </w:rPr>
        <w:drawing>
          <wp:inline distT="114300" distB="114300" distL="114300" distR="114300" wp14:anchorId="7480A548" wp14:editId="0ED85DD8">
            <wp:extent cx="4152900" cy="5120640"/>
            <wp:effectExtent l="0" t="0" r="0" b="381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4153143" cy="5120940"/>
                    </a:xfrm>
                    <a:prstGeom prst="rect">
                      <a:avLst/>
                    </a:prstGeom>
                    <a:ln/>
                  </pic:spPr>
                </pic:pic>
              </a:graphicData>
            </a:graphic>
          </wp:inline>
        </w:drawing>
      </w:r>
    </w:p>
    <w:p w14:paraId="181DCDB0" w14:textId="29FEE4A8" w:rsidR="00A41EB0" w:rsidRPr="00A41EB0" w:rsidRDefault="00A41EB0" w:rsidP="00A41EB0">
      <w:pPr>
        <w:spacing w:before="200" w:after="200"/>
        <w:jc w:val="center"/>
        <w:rPr>
          <w:rFonts w:ascii="Arial" w:eastAsia="Arial" w:hAnsi="Arial" w:cs="Arial"/>
          <w:b/>
          <w:bCs/>
        </w:rPr>
      </w:pPr>
      <w:r w:rsidRPr="00A41EB0">
        <w:rPr>
          <w:rFonts w:ascii="Arial" w:eastAsia="Arial" w:hAnsi="Arial" w:cs="Arial"/>
          <w:b/>
          <w:bCs/>
        </w:rPr>
        <w:t xml:space="preserve">Figure </w:t>
      </w:r>
      <w:r w:rsidR="006D2E30">
        <w:rPr>
          <w:rFonts w:ascii="Arial" w:eastAsia="Arial" w:hAnsi="Arial" w:cs="Arial"/>
          <w:b/>
          <w:bCs/>
        </w:rPr>
        <w:t>3</w:t>
      </w:r>
      <w:r w:rsidRPr="00A41EB0">
        <w:rPr>
          <w:rFonts w:ascii="Arial" w:eastAsia="Arial" w:hAnsi="Arial" w:cs="Arial"/>
          <w:b/>
          <w:bCs/>
        </w:rPr>
        <w:t>: Project A</w:t>
      </w:r>
    </w:p>
    <w:p w14:paraId="20E8A565" w14:textId="2B43A920" w:rsidR="00A41EB0" w:rsidRDefault="00A41EB0" w:rsidP="00A41EB0">
      <w:pPr>
        <w:spacing w:before="200" w:after="200"/>
        <w:jc w:val="center"/>
        <w:rPr>
          <w:rFonts w:ascii="Arial" w:eastAsia="Arial" w:hAnsi="Arial" w:cs="Arial"/>
        </w:rPr>
      </w:pPr>
      <w:r>
        <w:rPr>
          <w:rFonts w:ascii="Arial" w:eastAsia="Arial" w:hAnsi="Arial" w:cs="Arial"/>
        </w:rPr>
        <w:t>(Source: MS-Excel)</w:t>
      </w:r>
    </w:p>
    <w:p w14:paraId="0B5934D7" w14:textId="77777777" w:rsidR="005D57A3" w:rsidRDefault="00000000">
      <w:pPr>
        <w:spacing w:before="200" w:after="200"/>
        <w:rPr>
          <w:rFonts w:ascii="Arial" w:eastAsia="Arial" w:hAnsi="Arial" w:cs="Arial"/>
        </w:rPr>
      </w:pPr>
      <w:r>
        <w:rPr>
          <w:rFonts w:ascii="Arial" w:eastAsia="Arial" w:hAnsi="Arial" w:cs="Arial"/>
        </w:rPr>
        <w:t xml:space="preserve">In Project A, the Net Present Value (NPV) is a negative value of -£8.68 million, which does not mean it will bring earnings more than the necessary rate of 10%. The payback period indicates that the project cannot justify its entry cost (Initial investment) in a span of five years in spite of the fact that the Profitability Index (PI) stands at 1.17. The Internal Rate of Return (IRR) is 7.72, which is much lower than the cost of capital and therefore financially unattractive. On top of this, the Accounting Rate of Return (ARR) </w:t>
      </w:r>
      <w:r>
        <w:rPr>
          <w:rFonts w:ascii="Arial" w:eastAsia="Arial" w:hAnsi="Arial" w:cs="Arial"/>
        </w:rPr>
        <w:lastRenderedPageBreak/>
        <w:t>is low at 1.60%. This low performance can be attributed to low and downward cash inflows in the long run.</w:t>
      </w:r>
    </w:p>
    <w:p w14:paraId="784CE1DC" w14:textId="77777777" w:rsidR="005D57A3" w:rsidRDefault="00000000">
      <w:pPr>
        <w:pStyle w:val="Heading2"/>
      </w:pPr>
      <w:bookmarkStart w:id="39" w:name="_Toc227878985"/>
      <w:r>
        <w:t>5.2 Project B Analysis</w:t>
      </w:r>
      <w:bookmarkEnd w:id="39"/>
    </w:p>
    <w:p w14:paraId="3881B93F" w14:textId="77777777" w:rsidR="005D57A3" w:rsidRDefault="00000000" w:rsidP="00A41EB0">
      <w:pPr>
        <w:spacing w:before="200" w:after="200"/>
        <w:jc w:val="center"/>
        <w:rPr>
          <w:rFonts w:ascii="Arial" w:eastAsia="Arial" w:hAnsi="Arial" w:cs="Arial"/>
        </w:rPr>
      </w:pPr>
      <w:r>
        <w:rPr>
          <w:rFonts w:ascii="Arial" w:eastAsia="Arial" w:hAnsi="Arial" w:cs="Arial"/>
          <w:noProof/>
        </w:rPr>
        <w:drawing>
          <wp:inline distT="114300" distB="114300" distL="114300" distR="114300" wp14:anchorId="04CA956C" wp14:editId="3C395F66">
            <wp:extent cx="4480560" cy="4983480"/>
            <wp:effectExtent l="0" t="0" r="0" b="762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480817" cy="4983766"/>
                    </a:xfrm>
                    <a:prstGeom prst="rect">
                      <a:avLst/>
                    </a:prstGeom>
                    <a:ln/>
                  </pic:spPr>
                </pic:pic>
              </a:graphicData>
            </a:graphic>
          </wp:inline>
        </w:drawing>
      </w:r>
    </w:p>
    <w:p w14:paraId="0045A1D0" w14:textId="601271C9" w:rsidR="00A41EB0" w:rsidRPr="00A41EB0" w:rsidRDefault="00A41EB0" w:rsidP="00A41EB0">
      <w:pPr>
        <w:spacing w:before="200" w:after="200"/>
        <w:jc w:val="center"/>
        <w:rPr>
          <w:rFonts w:ascii="Arial" w:eastAsia="Arial" w:hAnsi="Arial" w:cs="Arial"/>
          <w:b/>
          <w:bCs/>
        </w:rPr>
      </w:pPr>
      <w:r w:rsidRPr="00A41EB0">
        <w:rPr>
          <w:rFonts w:ascii="Arial" w:eastAsia="Arial" w:hAnsi="Arial" w:cs="Arial"/>
          <w:b/>
          <w:bCs/>
        </w:rPr>
        <w:t xml:space="preserve">Figure </w:t>
      </w:r>
      <w:r w:rsidR="006D2E30">
        <w:rPr>
          <w:rFonts w:ascii="Arial" w:eastAsia="Arial" w:hAnsi="Arial" w:cs="Arial"/>
          <w:b/>
          <w:bCs/>
        </w:rPr>
        <w:t>4</w:t>
      </w:r>
      <w:r w:rsidRPr="00A41EB0">
        <w:rPr>
          <w:rFonts w:ascii="Arial" w:eastAsia="Arial" w:hAnsi="Arial" w:cs="Arial"/>
          <w:b/>
          <w:bCs/>
        </w:rPr>
        <w:t xml:space="preserve">: Project </w:t>
      </w:r>
      <w:r>
        <w:rPr>
          <w:rFonts w:ascii="Arial" w:eastAsia="Arial" w:hAnsi="Arial" w:cs="Arial"/>
          <w:b/>
          <w:bCs/>
        </w:rPr>
        <w:t>B</w:t>
      </w:r>
    </w:p>
    <w:p w14:paraId="1DEF4C0F" w14:textId="3819FA68" w:rsidR="00A41EB0" w:rsidRDefault="00A41EB0" w:rsidP="00A41EB0">
      <w:pPr>
        <w:spacing w:before="200" w:after="200"/>
        <w:jc w:val="center"/>
        <w:rPr>
          <w:rFonts w:ascii="Arial" w:eastAsia="Arial" w:hAnsi="Arial" w:cs="Arial"/>
        </w:rPr>
      </w:pPr>
      <w:r>
        <w:rPr>
          <w:rFonts w:ascii="Arial" w:eastAsia="Arial" w:hAnsi="Arial" w:cs="Arial"/>
        </w:rPr>
        <w:t>(Source: MS-Excel)</w:t>
      </w:r>
    </w:p>
    <w:p w14:paraId="63AC7755" w14:textId="77777777" w:rsidR="005D57A3" w:rsidRDefault="00000000">
      <w:pPr>
        <w:spacing w:before="200" w:after="200"/>
        <w:rPr>
          <w:rFonts w:ascii="Arial" w:eastAsia="Arial" w:hAnsi="Arial" w:cs="Arial"/>
        </w:rPr>
      </w:pPr>
      <w:r>
        <w:rPr>
          <w:rFonts w:ascii="Arial" w:eastAsia="Arial" w:hAnsi="Arial" w:cs="Arial"/>
        </w:rPr>
        <w:t xml:space="preserve">Project B also has a negative NPV of -£8.30 million, meaning it does not satisfy the minimum return. The PI of 1.17 indicates marginal efficiency, yet the project does not become payback over the period of investment. This IRR is 3.26, which is a bit higher than Project A but still lower than the 10% discount rate, and therefore shows poor profitability. The ARR is 2.00% with low accounting returns. Despite the fact that the </w:t>
      </w:r>
      <w:r>
        <w:rPr>
          <w:rFonts w:ascii="Arial" w:eastAsia="Arial" w:hAnsi="Arial" w:cs="Arial"/>
        </w:rPr>
        <w:lastRenderedPageBreak/>
        <w:t>cash flows remain at a constant level of £11 million a year, this is not enough to finance the start-up, and therefore the project is not financially feasible.</w:t>
      </w:r>
    </w:p>
    <w:p w14:paraId="6A6AE2B9" w14:textId="77777777" w:rsidR="005D57A3" w:rsidRDefault="00000000">
      <w:pPr>
        <w:pStyle w:val="Heading2"/>
      </w:pPr>
      <w:bookmarkStart w:id="40" w:name="_Toc227878986"/>
      <w:r>
        <w:t>5.3 Project C Analysis</w:t>
      </w:r>
      <w:bookmarkEnd w:id="40"/>
    </w:p>
    <w:p w14:paraId="2188D429" w14:textId="77777777" w:rsidR="005D57A3" w:rsidRDefault="00000000" w:rsidP="00A41EB0">
      <w:pPr>
        <w:spacing w:before="200" w:after="200"/>
        <w:jc w:val="center"/>
        <w:rPr>
          <w:rFonts w:ascii="Arial" w:eastAsia="Arial" w:hAnsi="Arial" w:cs="Arial"/>
        </w:rPr>
      </w:pPr>
      <w:r>
        <w:rPr>
          <w:rFonts w:ascii="Arial" w:eastAsia="Arial" w:hAnsi="Arial" w:cs="Arial"/>
          <w:noProof/>
        </w:rPr>
        <w:drawing>
          <wp:inline distT="114300" distB="114300" distL="114300" distR="114300" wp14:anchorId="3C1CD079" wp14:editId="18C4399E">
            <wp:extent cx="4183380" cy="4838700"/>
            <wp:effectExtent l="0" t="0" r="762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4183621" cy="4838979"/>
                    </a:xfrm>
                    <a:prstGeom prst="rect">
                      <a:avLst/>
                    </a:prstGeom>
                    <a:ln/>
                  </pic:spPr>
                </pic:pic>
              </a:graphicData>
            </a:graphic>
          </wp:inline>
        </w:drawing>
      </w:r>
    </w:p>
    <w:p w14:paraId="778E9482" w14:textId="33D886E7" w:rsidR="00A41EB0" w:rsidRPr="00A41EB0" w:rsidRDefault="00A41EB0" w:rsidP="00A41EB0">
      <w:pPr>
        <w:spacing w:before="200" w:after="200"/>
        <w:jc w:val="center"/>
        <w:rPr>
          <w:rFonts w:ascii="Arial" w:eastAsia="Arial" w:hAnsi="Arial" w:cs="Arial"/>
          <w:b/>
          <w:bCs/>
        </w:rPr>
      </w:pPr>
      <w:r w:rsidRPr="00A41EB0">
        <w:rPr>
          <w:rFonts w:ascii="Arial" w:eastAsia="Arial" w:hAnsi="Arial" w:cs="Arial"/>
          <w:b/>
          <w:bCs/>
        </w:rPr>
        <w:t xml:space="preserve">Figure </w:t>
      </w:r>
      <w:r w:rsidR="006D2E30">
        <w:rPr>
          <w:rFonts w:ascii="Arial" w:eastAsia="Arial" w:hAnsi="Arial" w:cs="Arial"/>
          <w:b/>
          <w:bCs/>
        </w:rPr>
        <w:t>5</w:t>
      </w:r>
      <w:r w:rsidRPr="00A41EB0">
        <w:rPr>
          <w:rFonts w:ascii="Arial" w:eastAsia="Arial" w:hAnsi="Arial" w:cs="Arial"/>
          <w:b/>
          <w:bCs/>
        </w:rPr>
        <w:t xml:space="preserve">: Project </w:t>
      </w:r>
      <w:r>
        <w:rPr>
          <w:rFonts w:ascii="Arial" w:eastAsia="Arial" w:hAnsi="Arial" w:cs="Arial"/>
          <w:b/>
          <w:bCs/>
        </w:rPr>
        <w:t>C</w:t>
      </w:r>
    </w:p>
    <w:p w14:paraId="2A64C963" w14:textId="538251D0" w:rsidR="00A41EB0" w:rsidRDefault="00A41EB0" w:rsidP="00A41EB0">
      <w:pPr>
        <w:spacing w:before="200" w:after="200"/>
        <w:jc w:val="center"/>
        <w:rPr>
          <w:rFonts w:ascii="Arial" w:eastAsia="Arial" w:hAnsi="Arial" w:cs="Arial"/>
        </w:rPr>
      </w:pPr>
      <w:r>
        <w:rPr>
          <w:rFonts w:ascii="Arial" w:eastAsia="Arial" w:hAnsi="Arial" w:cs="Arial"/>
        </w:rPr>
        <w:t>(Source: MS-Excel)</w:t>
      </w:r>
    </w:p>
    <w:p w14:paraId="193FF387" w14:textId="77777777" w:rsidR="005D57A3" w:rsidRDefault="00000000">
      <w:pPr>
        <w:spacing w:before="200" w:after="200"/>
        <w:rPr>
          <w:rFonts w:ascii="Arial" w:eastAsia="Arial" w:hAnsi="Arial" w:cs="Arial"/>
        </w:rPr>
      </w:pPr>
      <w:r>
        <w:rPr>
          <w:rFonts w:ascii="Arial" w:eastAsia="Arial" w:hAnsi="Arial" w:cs="Arial"/>
        </w:rPr>
        <w:t xml:space="preserve">Project C is relatively better-liked, and its negative NPV is lower, -£1.98 million, indicating that it is closer to the breakeven point. PI of 1.04 indicates low value creation. As the payback period is not reached in five years, the IRR of 8.59% is quite high compared to Projects A and B, and it is close to the needed IRR of 10. The ARR is also higher at 6.00%, indicating better profitability. The fact that the project enjoys rising cash inflows in its old age, especially the increased cash inflows of 20 million </w:t>
      </w:r>
      <w:r>
        <w:rPr>
          <w:rFonts w:ascii="Arial" w:eastAsia="Arial" w:hAnsi="Arial" w:cs="Arial"/>
        </w:rPr>
        <w:lastRenderedPageBreak/>
        <w:t>and 25 million, renders it comparatively attractive even though the project underperforms in terms of its financial performance.</w:t>
      </w:r>
    </w:p>
    <w:p w14:paraId="456E3239" w14:textId="77777777" w:rsidR="005D57A3" w:rsidRDefault="00000000">
      <w:pPr>
        <w:pStyle w:val="Heading2"/>
      </w:pPr>
      <w:bookmarkStart w:id="41" w:name="_Toc227878987"/>
      <w:r>
        <w:t>5.4 Recommended Project</w:t>
      </w:r>
      <w:bookmarkEnd w:id="41"/>
      <w:r>
        <w:t xml:space="preserve"> </w:t>
      </w:r>
    </w:p>
    <w:p w14:paraId="2F8986AE" w14:textId="77777777" w:rsidR="005D57A3" w:rsidRDefault="00000000">
      <w:pPr>
        <w:pStyle w:val="Heading3"/>
      </w:pPr>
      <w:bookmarkStart w:id="42" w:name="_Toc227878988"/>
      <w:r>
        <w:t>Financial Justification</w:t>
      </w:r>
      <w:bookmarkEnd w:id="42"/>
    </w:p>
    <w:p w14:paraId="4A00901C" w14:textId="77777777" w:rsidR="005D57A3" w:rsidRDefault="00000000">
      <w:pPr>
        <w:spacing w:before="200" w:after="200"/>
        <w:rPr>
          <w:rFonts w:ascii="Arial" w:eastAsia="Arial" w:hAnsi="Arial" w:cs="Arial"/>
        </w:rPr>
      </w:pPr>
      <w:r>
        <w:rPr>
          <w:rFonts w:ascii="Arial" w:eastAsia="Arial" w:hAnsi="Arial" w:cs="Arial"/>
        </w:rPr>
        <w:t>Project C is the most appropriate investment compared to the other two projects, although its NPV is negative, it will be -£1.98 million. Project C has the lowest financial loss and the most significant performance indicators as compared to A (-£8.68 million) and B (-8.30 million). It has an IRR of 8.59%, which compares much more with the required rate of return (10%), indicating a high potential of profitability. Project C is, as well, the best accounting project, as the ARR is at its highest, 6.00%. Toyota has the financial capacity to take up ventures where its returns are slightly low since it has produced a high level of profitability performance, as showcased by increasing net profit margin and return on equity of 11.25% and 14.39% in 2024, respectively. Besides, the rising liquidity situation of Toyota, which has a current ratio of 1.19, helps it to afford such investments. Findings of Project C Show that the cash inflows have increased over the years and this is consistent with the long-term strategy of Toyota to grow and invest in innovation.</w:t>
      </w:r>
    </w:p>
    <w:p w14:paraId="12A56647" w14:textId="77777777" w:rsidR="005D57A3" w:rsidRDefault="00000000">
      <w:pPr>
        <w:pStyle w:val="Heading3"/>
      </w:pPr>
      <w:bookmarkStart w:id="43" w:name="_Toc227878989"/>
      <w:r>
        <w:t>Non-financial Considerations</w:t>
      </w:r>
      <w:bookmarkEnd w:id="43"/>
    </w:p>
    <w:p w14:paraId="6E517F0B" w14:textId="77777777" w:rsidR="005D57A3" w:rsidRDefault="00000000">
      <w:pPr>
        <w:spacing w:before="200" w:after="200"/>
        <w:rPr>
          <w:rFonts w:ascii="Arial" w:eastAsia="Arial" w:hAnsi="Arial" w:cs="Arial"/>
        </w:rPr>
      </w:pPr>
      <w:r>
        <w:rPr>
          <w:rFonts w:ascii="Arial" w:eastAsia="Arial" w:hAnsi="Arial" w:cs="Arial"/>
        </w:rPr>
        <w:t xml:space="preserve">Project C would be of more strategic value in terms of its potential to expand in the long-term, which is not a financial aspect. The fact that the cash flows are growing points to the possibility that the project can be associated with developing technologies or market penetration, considering that Toyota focuses on electric vehicles and sustainable mobility. This helps in customer retention and enhances branding in competitive environments. Also, they will need to take into account political and economic risks. The lagging returns of project C could lead to risk of inflation, change in regulations and currency fluctuations. Nevertheless, these uncertainties are minimized by the global nature of Toyota and its risk management strategies. Projects A and B, on the contrary, provide a lesser payoff and lesser strategic value, that mean they are less appealing. </w:t>
      </w:r>
    </w:p>
    <w:p w14:paraId="4783AD40" w14:textId="77777777" w:rsidR="005D57A3" w:rsidRDefault="00000000">
      <w:pPr>
        <w:spacing w:before="200" w:after="200"/>
        <w:rPr>
          <w:rFonts w:ascii="Arial" w:eastAsia="Arial" w:hAnsi="Arial" w:cs="Arial"/>
        </w:rPr>
      </w:pPr>
      <w:r>
        <w:rPr>
          <w:rFonts w:ascii="Arial" w:eastAsia="Arial" w:hAnsi="Arial" w:cs="Arial"/>
        </w:rPr>
        <w:lastRenderedPageBreak/>
        <w:t>All in all, Project C is advisable because it would offer a relatively improved financial performance and aligns well with the long-term strategic goals of Toyota, although it has slight financial constraints.</w:t>
      </w:r>
    </w:p>
    <w:p w14:paraId="219A4B97" w14:textId="77777777" w:rsidR="005D57A3" w:rsidRDefault="00000000">
      <w:pPr>
        <w:pStyle w:val="Heading2"/>
      </w:pPr>
      <w:bookmarkStart w:id="44" w:name="_Toc227878990"/>
      <w:r>
        <w:t>5.5 Capital Rationing Decision</w:t>
      </w:r>
      <w:bookmarkEnd w:id="44"/>
    </w:p>
    <w:p w14:paraId="3752A371" w14:textId="77777777" w:rsidR="005D57A3" w:rsidRDefault="00000000">
      <w:pPr>
        <w:pStyle w:val="Heading3"/>
      </w:pPr>
      <w:bookmarkStart w:id="45" w:name="_Toc227878991"/>
      <w:r>
        <w:t>Optimal Project Combination</w:t>
      </w:r>
      <w:bookmarkEnd w:id="45"/>
    </w:p>
    <w:p w14:paraId="7854F9BE" w14:textId="77777777" w:rsidR="005D57A3" w:rsidRDefault="00000000">
      <w:pPr>
        <w:spacing w:before="200" w:after="200"/>
        <w:rPr>
          <w:rFonts w:ascii="Arial" w:eastAsia="Arial" w:hAnsi="Arial" w:cs="Arial"/>
        </w:rPr>
      </w:pPr>
      <w:r>
        <w:rPr>
          <w:rFonts w:ascii="Arial" w:eastAsia="Arial" w:hAnsi="Arial" w:cs="Arial"/>
        </w:rPr>
        <w:t>In capital rationing, the parameter is that these are only £100 million, and therefore the aim is to choose the mix of projects that will yield the highest returns. The investment outlay is an initial 50 million pounds per project, meaning that Toyota can choose any two projects. According to NPV, the best project is Project C (-£1.98 million), then Project B (-£8.30 million), and Project A (-£8.68 million). Project B and Project C are the best combination because they could yield a more favourable financial result than the other combinations. The combined NPV of Projects B and C is -£10.28 million, which is superior to the combination of Projects A and B (-£16.98 million) and Projects A and C (-£10.66 million). Moreover, Project C has a good growth potential, whereas Project B has good cash flows, which are stable and consistent.</w:t>
      </w:r>
    </w:p>
    <w:p w14:paraId="6EFDEA1A" w14:textId="77777777" w:rsidR="005D57A3" w:rsidRDefault="00000000">
      <w:pPr>
        <w:pStyle w:val="Heading3"/>
      </w:pPr>
      <w:bookmarkStart w:id="46" w:name="_Toc227878992"/>
      <w:r>
        <w:t>Justification of Selection</w:t>
      </w:r>
      <w:bookmarkEnd w:id="46"/>
    </w:p>
    <w:p w14:paraId="1E0ADFDC" w14:textId="711BB0EB" w:rsidR="005D57A3" w:rsidRDefault="00000000">
      <w:pPr>
        <w:spacing w:before="200" w:after="200"/>
        <w:rPr>
          <w:rFonts w:ascii="Arial" w:eastAsia="Arial" w:hAnsi="Arial" w:cs="Arial"/>
        </w:rPr>
      </w:pPr>
      <w:r>
        <w:rPr>
          <w:rFonts w:ascii="Arial" w:eastAsia="Arial" w:hAnsi="Arial" w:cs="Arial"/>
        </w:rPr>
        <w:t xml:space="preserve">The choice of Projects B and C is made in order to have a balance between risk and return. Project B offers predictable miles of cash with a stable cash inflow of £11 million annually, to eliminate unpredictability and liquidity. Project C, in its turn, will be more profitable in the later years, which will help increase long-term profitability. The combination is in line with the financial position of Toyota, which has a high profitability and stronger liquidity, which allows the company to withstand the risks of moderate investment. Strategically, the </w:t>
      </w:r>
      <w:r w:rsidR="005F6C2F">
        <w:rPr>
          <w:rFonts w:ascii="Arial" w:eastAsia="Arial" w:hAnsi="Arial" w:cs="Arial"/>
        </w:rPr>
        <w:t>two-project</w:t>
      </w:r>
      <w:r>
        <w:rPr>
          <w:rFonts w:ascii="Arial" w:eastAsia="Arial" w:hAnsi="Arial" w:cs="Arial"/>
        </w:rPr>
        <w:t xml:space="preserve"> diversification minimises reliance on one investment and diversifies the risk. Besides, this is more </w:t>
      </w:r>
      <w:r w:rsidR="005F6C2F">
        <w:rPr>
          <w:rFonts w:ascii="Arial" w:eastAsia="Arial" w:hAnsi="Arial" w:cs="Arial"/>
        </w:rPr>
        <w:t>business friendly</w:t>
      </w:r>
      <w:r>
        <w:rPr>
          <w:rFonts w:ascii="Arial" w:eastAsia="Arial" w:hAnsi="Arial" w:cs="Arial"/>
        </w:rPr>
        <w:t xml:space="preserve"> as it promotes flexibility in operations and sustainable development. Other considerations like market growth, technological innovations, and customer satisfaction add more reasons to the selection (Leonis et al., 2024).</w:t>
      </w:r>
    </w:p>
    <w:p w14:paraId="223AAA81" w14:textId="77777777" w:rsidR="005D57A3" w:rsidRDefault="00000000">
      <w:pPr>
        <w:spacing w:before="200" w:after="200"/>
        <w:rPr>
          <w:rFonts w:ascii="Arial" w:eastAsia="Arial" w:hAnsi="Arial" w:cs="Arial"/>
        </w:rPr>
      </w:pPr>
      <w:r>
        <w:rPr>
          <w:rFonts w:ascii="Arial" w:eastAsia="Arial" w:hAnsi="Arial" w:cs="Arial"/>
        </w:rPr>
        <w:t>All in all, Projects B and C are the most appropriate to maximise value subject to capital limitations, and they harmonise with the financial strength and strategic goals of Toyota.</w:t>
      </w:r>
    </w:p>
    <w:p w14:paraId="3FABD774" w14:textId="77777777" w:rsidR="005D57A3" w:rsidRDefault="00000000">
      <w:pPr>
        <w:pStyle w:val="Heading1"/>
      </w:pPr>
      <w:bookmarkStart w:id="47" w:name="_Toc227878993"/>
      <w:r>
        <w:lastRenderedPageBreak/>
        <w:t>6. Conclusion</w:t>
      </w:r>
      <w:bookmarkEnd w:id="47"/>
    </w:p>
    <w:p w14:paraId="3E7546A5" w14:textId="77777777" w:rsidR="005D57A3" w:rsidRDefault="00000000">
      <w:pPr>
        <w:pStyle w:val="Heading2"/>
      </w:pPr>
      <w:bookmarkStart w:id="48" w:name="_Toc227878994"/>
      <w:r>
        <w:t>6.1 Summary</w:t>
      </w:r>
      <w:bookmarkEnd w:id="48"/>
    </w:p>
    <w:p w14:paraId="3424090D" w14:textId="3716223E" w:rsidR="005D57A3" w:rsidRDefault="00000000">
      <w:pPr>
        <w:rPr>
          <w:rFonts w:ascii="Arial" w:eastAsia="Arial" w:hAnsi="Arial" w:cs="Arial"/>
        </w:rPr>
      </w:pPr>
      <w:r>
        <w:rPr>
          <w:rFonts w:ascii="Arial" w:eastAsia="Arial" w:hAnsi="Arial" w:cs="Arial"/>
        </w:rPr>
        <w:t xml:space="preserve">As can be seen in the analysis of Toyota Motor Corporation, its financial performance has been high since the year 2020 to 2024, as evidenced by the steady growth in revenues, profitability and asset base. The company has had a greater growth in the ratio of its financial position; total assets, and shareholders' equity have grown, indicating growth in expansion and retained earnings. Ratio analysis indicates a trend of increasing profitability, especially in terms of return on equity and net profit margin, liquidity and operational efficiency. The working capital analysis shows that the cash operating cycle improved from </w:t>
      </w:r>
      <w:r w:rsidR="00B37547">
        <w:rPr>
          <w:rFonts w:ascii="Arial" w:eastAsia="Arial" w:hAnsi="Arial" w:cs="Arial"/>
        </w:rPr>
        <w:t>31.08</w:t>
      </w:r>
      <w:r>
        <w:rPr>
          <w:rFonts w:ascii="Arial" w:eastAsia="Arial" w:hAnsi="Arial" w:cs="Arial"/>
        </w:rPr>
        <w:t xml:space="preserve"> days in 2022 to</w:t>
      </w:r>
      <w:r w:rsidR="00B37547">
        <w:rPr>
          <w:rFonts w:ascii="Arial" w:eastAsia="Arial" w:hAnsi="Arial" w:cs="Arial"/>
        </w:rPr>
        <w:t xml:space="preserve"> 28.36</w:t>
      </w:r>
      <w:r>
        <w:rPr>
          <w:rFonts w:ascii="Arial" w:eastAsia="Arial" w:hAnsi="Arial" w:cs="Arial"/>
        </w:rPr>
        <w:t xml:space="preserve"> days in 2024 due to the improvement of inventory and receivables management. Nevertheless, the very low payable period implies a possibility to optimise cash outflows. The financial restructuring plan outlines some of the key approaches to improve the financial conditions and operational efficiency: divestiture, strategic partnerships, and equity restructuring. Moreover, the outcomes of the investment appraisal process indicate that, despite the fact that all projects possess a negative NPV, Project C stands out more favourably in terms of the higher IRR, as well as the long-term opportunity to grow and prosper. The project B and C combination offers the optimal mix of stability and future returns according to capital rationing.</w:t>
      </w:r>
    </w:p>
    <w:p w14:paraId="657BFAC8" w14:textId="77777777" w:rsidR="005D57A3" w:rsidRDefault="00000000">
      <w:pPr>
        <w:pStyle w:val="Heading2"/>
      </w:pPr>
      <w:bookmarkStart w:id="49" w:name="_Toc227878995"/>
      <w:r>
        <w:t>6.2 Final Evaluation</w:t>
      </w:r>
      <w:bookmarkEnd w:id="49"/>
    </w:p>
    <w:p w14:paraId="6050BA4C" w14:textId="77777777" w:rsidR="005D57A3" w:rsidRDefault="00000000">
      <w:pPr>
        <w:rPr>
          <w:rFonts w:ascii="Arial" w:eastAsia="Arial" w:hAnsi="Arial" w:cs="Arial"/>
        </w:rPr>
      </w:pPr>
      <w:r>
        <w:rPr>
          <w:rFonts w:ascii="Arial" w:eastAsia="Arial" w:hAnsi="Arial" w:cs="Arial"/>
        </w:rPr>
        <w:t>Altogether, Toyota is financially sound, and its revenues and costs are growing profitably; its level of liquidity is consistent, and its operational management is sound. The company shows a good capability of producing returns and managing financial risk with its high interest coverage and rising efficiency ratios. The company has a sustainable capital structure in spite of moderate reliance on debt. This investment analysis recommends cautious capital budgeting because the current projects may not entirely yield the required returns, hence projects should be selected carefully.</w:t>
      </w:r>
    </w:p>
    <w:p w14:paraId="1407E82E" w14:textId="77777777" w:rsidR="005D57A3" w:rsidRDefault="00000000">
      <w:pPr>
        <w:pStyle w:val="Heading2"/>
      </w:pPr>
      <w:bookmarkStart w:id="50" w:name="_Toc227878996"/>
      <w:r>
        <w:lastRenderedPageBreak/>
        <w:t>6.3 Future Outlook</w:t>
      </w:r>
      <w:bookmarkEnd w:id="50"/>
    </w:p>
    <w:p w14:paraId="0E62D5C6" w14:textId="77777777" w:rsidR="005D57A3" w:rsidRDefault="00000000">
      <w:pPr>
        <w:rPr>
          <w:rFonts w:ascii="Arial" w:eastAsia="Arial" w:hAnsi="Arial" w:cs="Arial"/>
        </w:rPr>
      </w:pPr>
      <w:r>
        <w:rPr>
          <w:rFonts w:ascii="Arial" w:eastAsia="Arial" w:hAnsi="Arial" w:cs="Arial"/>
        </w:rPr>
        <w:t>Moving forward, Toyota can continue to grow by making effective investments in innovation, especially with electric cars and sustainable technologies. Liquidity can also be enhanced by enhancing working capital management, particularly through increasing payable periods. Furthermore, it will be supported by financial restructuring and balancing the finance mix as well to enhance long-term stability (Katamba et al., 2024). Other external issues that need to be dealt with by the company include economic uncertainty, inflation, and fluctuations in the currency. With the help of its good financial foundation and global scope, Toyota can keep on creating the wealth of its shareholders and ensuring a competitive edge in the changing automotive marketplace.</w:t>
      </w:r>
      <w:r>
        <w:br w:type="page"/>
      </w:r>
    </w:p>
    <w:p w14:paraId="00AFD517" w14:textId="77777777" w:rsidR="005D57A3" w:rsidRDefault="00000000">
      <w:pPr>
        <w:pStyle w:val="Heading1"/>
      </w:pPr>
      <w:bookmarkStart w:id="51" w:name="_Toc227878997"/>
      <w:r>
        <w:lastRenderedPageBreak/>
        <w:t>References</w:t>
      </w:r>
      <w:bookmarkEnd w:id="51"/>
    </w:p>
    <w:p w14:paraId="52DA2FE5" w14:textId="77777777" w:rsidR="005F6C2F" w:rsidRDefault="005F6C2F">
      <w:pPr>
        <w:rPr>
          <w:rFonts w:ascii="Arial" w:eastAsia="Arial" w:hAnsi="Arial" w:cs="Arial"/>
        </w:rPr>
      </w:pPr>
      <w:r>
        <w:rPr>
          <w:rFonts w:ascii="Arial" w:eastAsia="Arial" w:hAnsi="Arial" w:cs="Arial"/>
        </w:rPr>
        <w:t xml:space="preserve">Arifaj, A.H., Berisha, V., Morina, F. and Avdyli, E., 2023. Exploring the impact of cash flow, company size, and debt on financial performance in corporations. </w:t>
      </w:r>
      <w:r>
        <w:rPr>
          <w:rFonts w:ascii="Arial" w:eastAsia="Arial" w:hAnsi="Arial" w:cs="Arial"/>
          <w:i/>
          <w:iCs/>
        </w:rPr>
        <w:t>Investment Management &amp; Financial Innovations</w:t>
      </w:r>
      <w:r>
        <w:rPr>
          <w:rFonts w:ascii="Arial" w:eastAsia="Arial" w:hAnsi="Arial" w:cs="Arial"/>
        </w:rPr>
        <w:t xml:space="preserve">, </w:t>
      </w:r>
      <w:r>
        <w:rPr>
          <w:rFonts w:ascii="Arial" w:eastAsia="Arial" w:hAnsi="Arial" w:cs="Arial"/>
          <w:i/>
          <w:iCs/>
        </w:rPr>
        <w:t>20</w:t>
      </w:r>
      <w:r>
        <w:rPr>
          <w:rFonts w:ascii="Arial" w:eastAsia="Arial" w:hAnsi="Arial" w:cs="Arial"/>
        </w:rPr>
        <w:t xml:space="preserve">(3), p.264. </w:t>
      </w:r>
      <w:hyperlink r:id="rId12">
        <w:r>
          <w:rPr>
            <w:rFonts w:ascii="Arial" w:eastAsia="Arial" w:hAnsi="Arial" w:cs="Arial"/>
            <w:color w:val="1155CC"/>
            <w:u w:val="single"/>
          </w:rPr>
          <w:t>https://pdfs.semanticscholar.org/b297/a823988fa5f3b58516df9f08c16c2c20d0e5.pdf</w:t>
        </w:r>
      </w:hyperlink>
      <w:r>
        <w:rPr>
          <w:rFonts w:ascii="Arial" w:eastAsia="Arial" w:hAnsi="Arial" w:cs="Arial"/>
        </w:rPr>
        <w:t xml:space="preserve"> </w:t>
      </w:r>
    </w:p>
    <w:p w14:paraId="176C4C1F" w14:textId="77777777" w:rsidR="005F6C2F" w:rsidRDefault="005F6C2F">
      <w:pPr>
        <w:rPr>
          <w:rFonts w:ascii="Arial" w:eastAsia="Arial" w:hAnsi="Arial" w:cs="Arial"/>
        </w:rPr>
      </w:pPr>
      <w:r>
        <w:rPr>
          <w:rFonts w:ascii="Arial" w:eastAsia="Arial" w:hAnsi="Arial" w:cs="Arial"/>
        </w:rPr>
        <w:t xml:space="preserve">Asman, F.N., Fernandez, D., Jamaludin, N.A., Omar Zaki, H. and Ghazali, A.W., 2022. Cash conversion cycle and firm’s performance. </w:t>
      </w:r>
      <w:r>
        <w:rPr>
          <w:rFonts w:ascii="Arial" w:eastAsia="Arial" w:hAnsi="Arial" w:cs="Arial"/>
          <w:i/>
          <w:iCs/>
        </w:rPr>
        <w:t>International Journal of Academic Research in Business and Social Sciences</w:t>
      </w:r>
      <w:r>
        <w:rPr>
          <w:rFonts w:ascii="Arial" w:eastAsia="Arial" w:hAnsi="Arial" w:cs="Arial"/>
        </w:rPr>
        <w:t xml:space="preserve">, </w:t>
      </w:r>
      <w:r>
        <w:rPr>
          <w:rFonts w:ascii="Arial" w:eastAsia="Arial" w:hAnsi="Arial" w:cs="Arial"/>
          <w:i/>
          <w:iCs/>
        </w:rPr>
        <w:t>12</w:t>
      </w:r>
      <w:r>
        <w:rPr>
          <w:rFonts w:ascii="Arial" w:eastAsia="Arial" w:hAnsi="Arial" w:cs="Arial"/>
        </w:rPr>
        <w:t xml:space="preserve">(11), pp.2682-2692. </w:t>
      </w:r>
      <w:hyperlink r:id="rId13">
        <w:r>
          <w:rPr>
            <w:rFonts w:ascii="Arial" w:eastAsia="Arial" w:hAnsi="Arial" w:cs="Arial"/>
            <w:color w:val="1155CC"/>
            <w:u w:val="single"/>
          </w:rPr>
          <w:t>https://www.academia.edu/download/106769993/cash-conversion-cycle-and-firms-performance.pdf</w:t>
        </w:r>
      </w:hyperlink>
      <w:r>
        <w:rPr>
          <w:rFonts w:ascii="Arial" w:eastAsia="Arial" w:hAnsi="Arial" w:cs="Arial"/>
        </w:rPr>
        <w:t xml:space="preserve"> </w:t>
      </w:r>
    </w:p>
    <w:p w14:paraId="30B0F244" w14:textId="77777777" w:rsidR="005F6C2F" w:rsidRDefault="005F6C2F">
      <w:pPr>
        <w:rPr>
          <w:rFonts w:ascii="Arial" w:eastAsia="Arial" w:hAnsi="Arial" w:cs="Arial"/>
        </w:rPr>
      </w:pPr>
      <w:r>
        <w:rPr>
          <w:rFonts w:ascii="Arial" w:eastAsia="Arial" w:hAnsi="Arial" w:cs="Arial"/>
        </w:rPr>
        <w:t xml:space="preserve">Beck, K.L., Chong, J. and Niendorf, B.D., 2022. Investment returns from reputation investing: do good firms provide good returns?. </w:t>
      </w:r>
      <w:r>
        <w:rPr>
          <w:rFonts w:ascii="Arial" w:eastAsia="Arial" w:hAnsi="Arial" w:cs="Arial"/>
          <w:i/>
          <w:iCs/>
        </w:rPr>
        <w:t>American Journal of Business</w:t>
      </w:r>
      <w:r>
        <w:rPr>
          <w:rFonts w:ascii="Arial" w:eastAsia="Arial" w:hAnsi="Arial" w:cs="Arial"/>
        </w:rPr>
        <w:t xml:space="preserve">, </w:t>
      </w:r>
      <w:r>
        <w:rPr>
          <w:rFonts w:ascii="Arial" w:eastAsia="Arial" w:hAnsi="Arial" w:cs="Arial"/>
          <w:i/>
          <w:iCs/>
        </w:rPr>
        <w:t>37</w:t>
      </w:r>
      <w:r>
        <w:rPr>
          <w:rFonts w:ascii="Arial" w:eastAsia="Arial" w:hAnsi="Arial" w:cs="Arial"/>
        </w:rPr>
        <w:t xml:space="preserve">(3), pp.109-119. </w:t>
      </w:r>
      <w:hyperlink r:id="rId14">
        <w:r>
          <w:rPr>
            <w:rFonts w:ascii="Arial" w:eastAsia="Arial" w:hAnsi="Arial" w:cs="Arial"/>
            <w:color w:val="1155CC"/>
            <w:u w:val="single"/>
          </w:rPr>
          <w:t>https://www.emerald.com/ajb/article-pdf/37/3/109/226512/ajb-06-2021-0070.pdf</w:t>
        </w:r>
      </w:hyperlink>
      <w:r>
        <w:rPr>
          <w:rFonts w:ascii="Arial" w:eastAsia="Arial" w:hAnsi="Arial" w:cs="Arial"/>
        </w:rPr>
        <w:t xml:space="preserve"> </w:t>
      </w:r>
    </w:p>
    <w:p w14:paraId="0F4AEC9A" w14:textId="77777777" w:rsidR="005F6C2F" w:rsidRDefault="005F6C2F">
      <w:pPr>
        <w:rPr>
          <w:rFonts w:ascii="Arial" w:eastAsia="Arial" w:hAnsi="Arial" w:cs="Arial"/>
        </w:rPr>
      </w:pPr>
      <w:r>
        <w:rPr>
          <w:rFonts w:ascii="Arial" w:eastAsia="Arial" w:hAnsi="Arial" w:cs="Arial"/>
        </w:rPr>
        <w:t xml:space="preserve">Bhattacheryay, S., 2023. Multinational working capital management a study on Toyota Motor Corporation. </w:t>
      </w:r>
      <w:r>
        <w:rPr>
          <w:rFonts w:ascii="Arial" w:eastAsia="Arial" w:hAnsi="Arial" w:cs="Arial"/>
          <w:i/>
          <w:iCs/>
        </w:rPr>
        <w:t>International Journal of Finance &amp; Economics</w:t>
      </w:r>
      <w:r>
        <w:rPr>
          <w:rFonts w:ascii="Arial" w:eastAsia="Arial" w:hAnsi="Arial" w:cs="Arial"/>
        </w:rPr>
        <w:t xml:space="preserve">, </w:t>
      </w:r>
      <w:r>
        <w:rPr>
          <w:rFonts w:ascii="Arial" w:eastAsia="Arial" w:hAnsi="Arial" w:cs="Arial"/>
          <w:i/>
          <w:iCs/>
        </w:rPr>
        <w:t>28</w:t>
      </w:r>
      <w:r>
        <w:rPr>
          <w:rFonts w:ascii="Arial" w:eastAsia="Arial" w:hAnsi="Arial" w:cs="Arial"/>
        </w:rPr>
        <w:t xml:space="preserve">(1), pp.236-256. </w:t>
      </w:r>
      <w:hyperlink r:id="rId15">
        <w:r>
          <w:rPr>
            <w:rFonts w:ascii="Arial" w:eastAsia="Arial" w:hAnsi="Arial" w:cs="Arial"/>
            <w:color w:val="1155CC"/>
            <w:u w:val="single"/>
          </w:rPr>
          <w:t>https://www.researchgate.net/profile/Suranjan-Bhattacheryay-2/publication/348843827_Multinational_working_capital_management_a_study_on_Toyota_Motor_Corporation/links/604d719a458515e529a7a20a/Multinational-working-capital-management-a-study-on-Toyota-Motor-Corporation.pdf</w:t>
        </w:r>
      </w:hyperlink>
      <w:r>
        <w:rPr>
          <w:rFonts w:ascii="Arial" w:eastAsia="Arial" w:hAnsi="Arial" w:cs="Arial"/>
        </w:rPr>
        <w:t xml:space="preserve"> </w:t>
      </w:r>
    </w:p>
    <w:p w14:paraId="486397E0" w14:textId="77777777" w:rsidR="005F6C2F" w:rsidRDefault="005F6C2F">
      <w:pPr>
        <w:rPr>
          <w:rFonts w:ascii="Arial" w:eastAsia="Arial" w:hAnsi="Arial" w:cs="Arial"/>
        </w:rPr>
      </w:pPr>
      <w:r>
        <w:rPr>
          <w:rFonts w:ascii="Arial" w:eastAsia="Arial" w:hAnsi="Arial" w:cs="Arial"/>
        </w:rPr>
        <w:t xml:space="preserve">Companiesmarketcap. 2026. </w:t>
      </w:r>
      <w:r>
        <w:rPr>
          <w:rFonts w:ascii="Arial" w:eastAsia="Arial" w:hAnsi="Arial" w:cs="Arial"/>
          <w:i/>
          <w:iCs/>
        </w:rPr>
        <w:t>Toyota (TM) - Market capitalization</w:t>
      </w:r>
      <w:r>
        <w:rPr>
          <w:rFonts w:ascii="Arial" w:eastAsia="Arial" w:hAnsi="Arial" w:cs="Arial"/>
        </w:rPr>
        <w:t xml:space="preserve">. Available at: </w:t>
      </w:r>
      <w:hyperlink r:id="rId16" w:anchor="google_vignette">
        <w:r>
          <w:rPr>
            <w:rFonts w:ascii="Arial" w:eastAsia="Arial" w:hAnsi="Arial" w:cs="Arial"/>
            <w:color w:val="1155CC"/>
            <w:u w:val="single"/>
          </w:rPr>
          <w:t>https://companiesmarketcap.com/inr/toyota/marketcap/#google_vignette</w:t>
        </w:r>
      </w:hyperlink>
      <w:r>
        <w:rPr>
          <w:rFonts w:ascii="Arial" w:eastAsia="Arial" w:hAnsi="Arial" w:cs="Arial"/>
        </w:rPr>
        <w:t xml:space="preserve"> [Accessed 13th April 2026]</w:t>
      </w:r>
    </w:p>
    <w:p w14:paraId="2FC6549A" w14:textId="77777777" w:rsidR="005F6C2F" w:rsidRDefault="005F6C2F">
      <w:pPr>
        <w:rPr>
          <w:rFonts w:ascii="Arial" w:eastAsia="Arial" w:hAnsi="Arial" w:cs="Arial"/>
          <w:sz w:val="28"/>
          <w:szCs w:val="28"/>
        </w:rPr>
      </w:pPr>
      <w:r>
        <w:rPr>
          <w:rFonts w:ascii="Arial" w:eastAsia="Arial" w:hAnsi="Arial" w:cs="Arial"/>
        </w:rPr>
        <w:t xml:space="preserve">Grundy, T., Johnson, G. and Scholes, K., 2022. Strategic Financial Management. </w:t>
      </w:r>
      <w:r>
        <w:rPr>
          <w:rFonts w:ascii="Arial" w:eastAsia="Arial" w:hAnsi="Arial" w:cs="Arial"/>
          <w:i/>
          <w:iCs/>
        </w:rPr>
        <w:t>Bachelor of Business Administration Programme Code: BBA Duration–3 Years Full Time</w:t>
      </w:r>
      <w:r>
        <w:rPr>
          <w:rFonts w:ascii="Arial" w:eastAsia="Arial" w:hAnsi="Arial" w:cs="Arial"/>
        </w:rPr>
        <w:t xml:space="preserve">, </w:t>
      </w:r>
      <w:r>
        <w:rPr>
          <w:rFonts w:ascii="Arial" w:eastAsia="Arial" w:hAnsi="Arial" w:cs="Arial"/>
          <w:i/>
          <w:iCs/>
        </w:rPr>
        <w:t>2</w:t>
      </w:r>
      <w:r>
        <w:rPr>
          <w:rFonts w:ascii="Arial" w:eastAsia="Arial" w:hAnsi="Arial" w:cs="Arial"/>
        </w:rPr>
        <w:t xml:space="preserve">(1), pp.1-575. </w:t>
      </w:r>
      <w:hyperlink r:id="rId17" w:anchor="page=529">
        <w:r>
          <w:rPr>
            <w:rFonts w:ascii="Arial" w:eastAsia="Arial" w:hAnsi="Arial" w:cs="Arial"/>
            <w:color w:val="1155CC"/>
            <w:u w:val="single"/>
          </w:rPr>
          <w:t>https://www.amity.edu/gwalior/naac/1_1_3/syllabus/1.1.3%20abs%20new.pdf#page=529</w:t>
        </w:r>
      </w:hyperlink>
      <w:r>
        <w:rPr>
          <w:rFonts w:ascii="Arial" w:eastAsia="Arial" w:hAnsi="Arial" w:cs="Arial"/>
        </w:rPr>
        <w:t xml:space="preserve"> </w:t>
      </w:r>
    </w:p>
    <w:p w14:paraId="66A864D2" w14:textId="77777777" w:rsidR="005F6C2F" w:rsidRDefault="005F6C2F">
      <w:pPr>
        <w:rPr>
          <w:rFonts w:ascii="Arial" w:eastAsia="Arial" w:hAnsi="Arial" w:cs="Arial"/>
        </w:rPr>
      </w:pPr>
      <w:r>
        <w:rPr>
          <w:rFonts w:ascii="Arial" w:eastAsia="Arial" w:hAnsi="Arial" w:cs="Arial"/>
        </w:rPr>
        <w:lastRenderedPageBreak/>
        <w:t xml:space="preserve">Gunawan, E., 2023. Liquidity Ratio Analysis in Financing Short Term Liabilities. </w:t>
      </w:r>
      <w:r>
        <w:rPr>
          <w:rFonts w:ascii="Arial" w:eastAsia="Arial" w:hAnsi="Arial" w:cs="Arial"/>
          <w:i/>
          <w:iCs/>
        </w:rPr>
        <w:t>International Journal of Health, Economics, and Social Sciences (IJHESS)</w:t>
      </w:r>
      <w:r>
        <w:rPr>
          <w:rFonts w:ascii="Arial" w:eastAsia="Arial" w:hAnsi="Arial" w:cs="Arial"/>
        </w:rPr>
        <w:t xml:space="preserve">, </w:t>
      </w:r>
      <w:r>
        <w:rPr>
          <w:rFonts w:ascii="Arial" w:eastAsia="Arial" w:hAnsi="Arial" w:cs="Arial"/>
          <w:i/>
          <w:iCs/>
        </w:rPr>
        <w:t>5</w:t>
      </w:r>
      <w:r>
        <w:rPr>
          <w:rFonts w:ascii="Arial" w:eastAsia="Arial" w:hAnsi="Arial" w:cs="Arial"/>
        </w:rPr>
        <w:t xml:space="preserve">(2), pp.157-162. </w:t>
      </w:r>
      <w:hyperlink r:id="rId18">
        <w:r>
          <w:rPr>
            <w:rFonts w:ascii="Arial" w:eastAsia="Arial" w:hAnsi="Arial" w:cs="Arial"/>
            <w:color w:val="1155CC"/>
            <w:u w:val="single"/>
          </w:rPr>
          <w:t>https://jurnal.unismuhpalu.ac.id/index.php/IJHESS/article/download/3611/2789</w:t>
        </w:r>
      </w:hyperlink>
      <w:r>
        <w:rPr>
          <w:rFonts w:ascii="Arial" w:eastAsia="Arial" w:hAnsi="Arial" w:cs="Arial"/>
        </w:rPr>
        <w:t xml:space="preserve"> </w:t>
      </w:r>
    </w:p>
    <w:p w14:paraId="6530B410" w14:textId="77777777" w:rsidR="005F6C2F" w:rsidRDefault="005F6C2F">
      <w:pPr>
        <w:rPr>
          <w:rFonts w:ascii="Arial" w:eastAsia="Arial" w:hAnsi="Arial" w:cs="Arial"/>
        </w:rPr>
      </w:pPr>
      <w:r>
        <w:rPr>
          <w:rFonts w:ascii="Arial" w:eastAsia="Arial" w:hAnsi="Arial" w:cs="Arial"/>
        </w:rPr>
        <w:t xml:space="preserve">Hasidi, M.H., Baheri, J. and Hajar, K.I., 2024. Financial performance evaluation using profitability and liquidity ratio analysis. </w:t>
      </w:r>
      <w:r>
        <w:rPr>
          <w:rFonts w:ascii="Arial" w:eastAsia="Arial" w:hAnsi="Arial" w:cs="Arial"/>
          <w:i/>
          <w:iCs/>
        </w:rPr>
        <w:t>Jurnal Ilmiah Manajemen Kesatuan</w:t>
      </w:r>
      <w:r>
        <w:rPr>
          <w:rFonts w:ascii="Arial" w:eastAsia="Arial" w:hAnsi="Arial" w:cs="Arial"/>
        </w:rPr>
        <w:t xml:space="preserve">, </w:t>
      </w:r>
      <w:r>
        <w:rPr>
          <w:rFonts w:ascii="Arial" w:eastAsia="Arial" w:hAnsi="Arial" w:cs="Arial"/>
          <w:i/>
          <w:iCs/>
        </w:rPr>
        <w:t>12</w:t>
      </w:r>
      <w:r>
        <w:rPr>
          <w:rFonts w:ascii="Arial" w:eastAsia="Arial" w:hAnsi="Arial" w:cs="Arial"/>
        </w:rPr>
        <w:t>(4), pp.1347-1358. https://jurnal.ibik.ac.id/index.php/jimkes/article/download/2742/1966</w:t>
      </w:r>
    </w:p>
    <w:p w14:paraId="1878B99C" w14:textId="77777777" w:rsidR="005F6C2F" w:rsidRDefault="005F6C2F">
      <w:pPr>
        <w:rPr>
          <w:rFonts w:ascii="Arial" w:eastAsia="Arial" w:hAnsi="Arial" w:cs="Arial"/>
        </w:rPr>
      </w:pPr>
      <w:r>
        <w:rPr>
          <w:rFonts w:ascii="Arial" w:eastAsia="Arial" w:hAnsi="Arial" w:cs="Arial"/>
        </w:rPr>
        <w:t xml:space="preserve">Hempel, S., Li, Y. and Tibay, S., 2024. Firms' financing choice between short-term and long-term debts: Are they substitutes?. </w:t>
      </w:r>
      <w:hyperlink r:id="rId19">
        <w:r>
          <w:rPr>
            <w:rFonts w:ascii="Arial" w:eastAsia="Arial" w:hAnsi="Arial" w:cs="Arial"/>
            <w:color w:val="1155CC"/>
            <w:u w:val="single"/>
          </w:rPr>
          <w:t>https://www.federalreserve.gov/econres/notes/feds-notes/firms-financing-choice-between-short-term-and-long-term-debts-are-they-substitutes-20240503.html</w:t>
        </w:r>
      </w:hyperlink>
      <w:r>
        <w:rPr>
          <w:rFonts w:ascii="Arial" w:eastAsia="Arial" w:hAnsi="Arial" w:cs="Arial"/>
        </w:rPr>
        <w:t xml:space="preserve"> </w:t>
      </w:r>
    </w:p>
    <w:p w14:paraId="6A754972" w14:textId="77777777" w:rsidR="005F6C2F" w:rsidRDefault="005F6C2F">
      <w:pPr>
        <w:rPr>
          <w:rFonts w:ascii="Arial" w:eastAsia="Arial" w:hAnsi="Arial" w:cs="Arial"/>
        </w:rPr>
      </w:pPr>
      <w:r>
        <w:rPr>
          <w:rFonts w:ascii="Arial" w:eastAsia="Arial" w:hAnsi="Arial" w:cs="Arial"/>
        </w:rPr>
        <w:t xml:space="preserve">Istan, M., 2024. Analysis of the influence of assets structure, earning volatility, and financial flexibility on capital structure and corporate performance in manufacturing sector companies on the IDX. </w:t>
      </w:r>
      <w:r>
        <w:rPr>
          <w:rFonts w:ascii="Arial" w:eastAsia="Arial" w:hAnsi="Arial" w:cs="Arial"/>
          <w:i/>
          <w:iCs/>
        </w:rPr>
        <w:t>Икономически изследвания</w:t>
      </w:r>
      <w:r>
        <w:rPr>
          <w:rFonts w:ascii="Arial" w:eastAsia="Arial" w:hAnsi="Arial" w:cs="Arial"/>
        </w:rPr>
        <w:t xml:space="preserve">, (1), pp.49-65. </w:t>
      </w:r>
      <w:hyperlink r:id="rId20">
        <w:r>
          <w:rPr>
            <w:rFonts w:ascii="Arial" w:eastAsia="Arial" w:hAnsi="Arial" w:cs="Arial"/>
            <w:color w:val="1155CC"/>
            <w:u w:val="single"/>
          </w:rPr>
          <w:t>http://repository.iaincurup.ac.id/1725/6/1%20Korespondensi%20Economic%20Studies_Muhammad%20Istan_Versi%20Pedoman%20Terbaru.pdf</w:t>
        </w:r>
      </w:hyperlink>
      <w:r>
        <w:rPr>
          <w:rFonts w:ascii="Arial" w:eastAsia="Arial" w:hAnsi="Arial" w:cs="Arial"/>
        </w:rPr>
        <w:t xml:space="preserve"> </w:t>
      </w:r>
    </w:p>
    <w:p w14:paraId="308F87F6" w14:textId="77777777" w:rsidR="005F6C2F" w:rsidRDefault="005F6C2F">
      <w:pPr>
        <w:rPr>
          <w:rFonts w:ascii="Arial" w:eastAsia="Arial" w:hAnsi="Arial" w:cs="Arial"/>
        </w:rPr>
      </w:pPr>
      <w:r>
        <w:rPr>
          <w:rFonts w:ascii="Arial" w:eastAsia="Arial" w:hAnsi="Arial" w:cs="Arial"/>
        </w:rPr>
        <w:t xml:space="preserve">Katamba, D., Wickert, C.M. and Nkiko, C.M., 2024. Humanism as an Institutional Driver of Corporate Social Responsibility (CSR) Activities. In </w:t>
      </w:r>
      <w:r>
        <w:rPr>
          <w:rFonts w:ascii="Arial" w:eastAsia="Arial" w:hAnsi="Arial" w:cs="Arial"/>
          <w:i/>
          <w:iCs/>
        </w:rPr>
        <w:t>Corporate Social Responsibility Disclosure in Developing and Emerging Economies: Institutional, Governance and Regulatory Issues</w:t>
      </w:r>
      <w:r>
        <w:rPr>
          <w:rFonts w:ascii="Arial" w:eastAsia="Arial" w:hAnsi="Arial" w:cs="Arial"/>
        </w:rPr>
        <w:t xml:space="preserve"> (pp. 21-44). Cham: Springer International Publishing. </w:t>
      </w:r>
      <w:hyperlink r:id="rId21">
        <w:r>
          <w:rPr>
            <w:rFonts w:ascii="Arial" w:eastAsia="Arial" w:hAnsi="Arial" w:cs="Arial"/>
            <w:color w:val="1155CC"/>
            <w:u w:val="single"/>
          </w:rPr>
          <w:t>https://research.vu.nl/files/383294522/Humanism_as_an_Institutional_Driver_of_Corporate_Social_Responsibility_CSR_Activities.pdf</w:t>
        </w:r>
      </w:hyperlink>
      <w:r>
        <w:rPr>
          <w:rFonts w:ascii="Arial" w:eastAsia="Arial" w:hAnsi="Arial" w:cs="Arial"/>
        </w:rPr>
        <w:t xml:space="preserve"> </w:t>
      </w:r>
    </w:p>
    <w:p w14:paraId="0D5FB147" w14:textId="77777777" w:rsidR="005F6C2F" w:rsidRDefault="005F6C2F">
      <w:pPr>
        <w:rPr>
          <w:rFonts w:ascii="Arial" w:eastAsia="Arial" w:hAnsi="Arial" w:cs="Arial"/>
        </w:rPr>
      </w:pPr>
      <w:r>
        <w:rPr>
          <w:rFonts w:ascii="Arial" w:eastAsia="Arial" w:hAnsi="Arial" w:cs="Arial"/>
        </w:rPr>
        <w:t xml:space="preserve">Leonidou, E., Battisti, E., Ahmad, M.I. and Campo, R., 2024. Financial and non-financial factors for the success of hybrid offerings: evidence from multinational enterprises in an emerging market. </w:t>
      </w:r>
      <w:r>
        <w:rPr>
          <w:rFonts w:ascii="Arial" w:eastAsia="Arial" w:hAnsi="Arial" w:cs="Arial"/>
          <w:i/>
          <w:iCs/>
        </w:rPr>
        <w:t>International Marketing Review</w:t>
      </w:r>
      <w:r>
        <w:rPr>
          <w:rFonts w:ascii="Arial" w:eastAsia="Arial" w:hAnsi="Arial" w:cs="Arial"/>
        </w:rPr>
        <w:t xml:space="preserve">, </w:t>
      </w:r>
      <w:r>
        <w:rPr>
          <w:rFonts w:ascii="Arial" w:eastAsia="Arial" w:hAnsi="Arial" w:cs="Arial"/>
          <w:i/>
          <w:iCs/>
        </w:rPr>
        <w:t>41</w:t>
      </w:r>
      <w:r>
        <w:rPr>
          <w:rFonts w:ascii="Arial" w:eastAsia="Arial" w:hAnsi="Arial" w:cs="Arial"/>
        </w:rPr>
        <w:t xml:space="preserve">(3-4), pp.827-846. </w:t>
      </w:r>
      <w:hyperlink r:id="rId22">
        <w:r>
          <w:rPr>
            <w:rFonts w:ascii="Arial" w:eastAsia="Arial" w:hAnsi="Arial" w:cs="Arial"/>
            <w:color w:val="1155CC"/>
            <w:u w:val="single"/>
          </w:rPr>
          <w:t>https://www.emerald.com/imr/article-pdf/41/3-4/827/9612448/imr-04-2022-0103.pdf</w:t>
        </w:r>
      </w:hyperlink>
      <w:r>
        <w:rPr>
          <w:rFonts w:ascii="Arial" w:eastAsia="Arial" w:hAnsi="Arial" w:cs="Arial"/>
        </w:rPr>
        <w:t xml:space="preserve"> </w:t>
      </w:r>
    </w:p>
    <w:p w14:paraId="2B209A28" w14:textId="77777777" w:rsidR="005F6C2F" w:rsidRDefault="005F6C2F">
      <w:pPr>
        <w:rPr>
          <w:rFonts w:ascii="Arial" w:eastAsia="Arial" w:hAnsi="Arial" w:cs="Arial"/>
        </w:rPr>
      </w:pPr>
      <w:r>
        <w:rPr>
          <w:rFonts w:ascii="Arial" w:eastAsia="Arial" w:hAnsi="Arial" w:cs="Arial"/>
        </w:rPr>
        <w:t xml:space="preserve">Liu, S., 2024. The Impact of Capital Structure on Corporate Financial Performance: A Case Study of Alibaba and E-commerce Industry. In </w:t>
      </w:r>
      <w:r>
        <w:rPr>
          <w:rFonts w:ascii="Arial" w:eastAsia="Arial" w:hAnsi="Arial" w:cs="Arial"/>
          <w:i/>
          <w:iCs/>
        </w:rPr>
        <w:t>SHS Web of Conferences</w:t>
      </w:r>
      <w:r>
        <w:rPr>
          <w:rFonts w:ascii="Arial" w:eastAsia="Arial" w:hAnsi="Arial" w:cs="Arial"/>
        </w:rPr>
        <w:t xml:space="preserve"> (Vol. </w:t>
      </w:r>
      <w:r>
        <w:rPr>
          <w:rFonts w:ascii="Arial" w:eastAsia="Arial" w:hAnsi="Arial" w:cs="Arial"/>
        </w:rPr>
        <w:lastRenderedPageBreak/>
        <w:t xml:space="preserve">207, p. 03019). EDP Sciences. </w:t>
      </w:r>
      <w:hyperlink r:id="rId23">
        <w:r>
          <w:rPr>
            <w:rFonts w:ascii="Arial" w:eastAsia="Arial" w:hAnsi="Arial" w:cs="Arial"/>
            <w:color w:val="1155CC"/>
            <w:u w:val="single"/>
          </w:rPr>
          <w:t>https://www.shs-conferences.org/articles/shsconf/pdf/2024/27/shsconf_icdeba2024_03019.pdf</w:t>
        </w:r>
      </w:hyperlink>
      <w:r>
        <w:rPr>
          <w:rFonts w:ascii="Arial" w:eastAsia="Arial" w:hAnsi="Arial" w:cs="Arial"/>
        </w:rPr>
        <w:t xml:space="preserve"> </w:t>
      </w:r>
    </w:p>
    <w:p w14:paraId="1CC6AE33" w14:textId="77777777" w:rsidR="005F6C2F" w:rsidRDefault="005F6C2F">
      <w:pPr>
        <w:rPr>
          <w:rFonts w:ascii="Arial" w:eastAsia="Arial" w:hAnsi="Arial" w:cs="Arial"/>
        </w:rPr>
      </w:pPr>
      <w:r>
        <w:rPr>
          <w:rFonts w:ascii="Arial" w:eastAsia="Arial" w:hAnsi="Arial" w:cs="Arial"/>
        </w:rPr>
        <w:t xml:space="preserve">Majka, M., 2024. Understanding Efficiency Ratios. </w:t>
      </w:r>
      <w:hyperlink r:id="rId24">
        <w:r>
          <w:rPr>
            <w:rFonts w:ascii="Arial" w:eastAsia="Arial" w:hAnsi="Arial" w:cs="Arial"/>
            <w:color w:val="1155CC"/>
            <w:u w:val="single"/>
          </w:rPr>
          <w:t>https://www.researchgate.net/profile/Marcin-Majka-2/publication/381402363_Understanding_Efficiency_Ratios/links/666b64b9de777205a32c2aa5/Understanding-Efficiency-Ratios.pdf</w:t>
        </w:r>
      </w:hyperlink>
      <w:r>
        <w:rPr>
          <w:rFonts w:ascii="Arial" w:eastAsia="Arial" w:hAnsi="Arial" w:cs="Arial"/>
        </w:rPr>
        <w:t xml:space="preserve"> </w:t>
      </w:r>
    </w:p>
    <w:p w14:paraId="0D15A0D0" w14:textId="77777777" w:rsidR="005F6C2F" w:rsidRDefault="005F6C2F">
      <w:pPr>
        <w:rPr>
          <w:rFonts w:ascii="Arial" w:eastAsia="Arial" w:hAnsi="Arial" w:cs="Arial"/>
        </w:rPr>
      </w:pPr>
      <w:r>
        <w:rPr>
          <w:rFonts w:ascii="Arial" w:eastAsia="Arial" w:hAnsi="Arial" w:cs="Arial"/>
        </w:rPr>
        <w:t xml:space="preserve">Nasution, Y.A. and Yusleny, Y., 2023, February. Financial Performance Measurement Using Profitability Ratios And Liquidity Ratios. In </w:t>
      </w:r>
      <w:r>
        <w:rPr>
          <w:rFonts w:ascii="Arial" w:eastAsia="Arial" w:hAnsi="Arial" w:cs="Arial"/>
          <w:i/>
          <w:iCs/>
        </w:rPr>
        <w:t>Proceeding Medan International Conference on Economic and Business</w:t>
      </w:r>
      <w:r>
        <w:rPr>
          <w:rFonts w:ascii="Arial" w:eastAsia="Arial" w:hAnsi="Arial" w:cs="Arial"/>
        </w:rPr>
        <w:t xml:space="preserve"> (Vol. 1, pp. 1730-1741). </w:t>
      </w:r>
      <w:hyperlink r:id="rId25">
        <w:r>
          <w:rPr>
            <w:rFonts w:ascii="Arial" w:eastAsia="Arial" w:hAnsi="Arial" w:cs="Arial"/>
            <w:color w:val="1155CC"/>
            <w:u w:val="single"/>
          </w:rPr>
          <w:t>https://proceeding.umsu.ac.id/index.php/Miceb/article/download/282/303</w:t>
        </w:r>
      </w:hyperlink>
      <w:r>
        <w:rPr>
          <w:rFonts w:ascii="Arial" w:eastAsia="Arial" w:hAnsi="Arial" w:cs="Arial"/>
        </w:rPr>
        <w:t xml:space="preserve"> </w:t>
      </w:r>
    </w:p>
    <w:p w14:paraId="11C70D94" w14:textId="77777777" w:rsidR="005F6C2F" w:rsidRDefault="005F6C2F">
      <w:pPr>
        <w:rPr>
          <w:rFonts w:ascii="Arial" w:eastAsia="Arial" w:hAnsi="Arial" w:cs="Arial"/>
        </w:rPr>
      </w:pPr>
      <w:r>
        <w:rPr>
          <w:rFonts w:ascii="Arial" w:eastAsia="Arial" w:hAnsi="Arial" w:cs="Arial"/>
        </w:rPr>
        <w:t xml:space="preserve">Oranefo, P.C. and Egbunike, C.F., 2023. Gearing ratio and operating cash flow performance of quoted manufacturing firms in Nigeria. </w:t>
      </w:r>
      <w:r>
        <w:rPr>
          <w:rFonts w:ascii="Arial" w:eastAsia="Arial" w:hAnsi="Arial" w:cs="Arial"/>
          <w:i/>
          <w:iCs/>
        </w:rPr>
        <w:t>International Journal of Financial, Accounting, and Management</w:t>
      </w:r>
      <w:r>
        <w:rPr>
          <w:rFonts w:ascii="Arial" w:eastAsia="Arial" w:hAnsi="Arial" w:cs="Arial"/>
        </w:rPr>
        <w:t xml:space="preserve">, </w:t>
      </w:r>
      <w:r>
        <w:rPr>
          <w:rFonts w:ascii="Arial" w:eastAsia="Arial" w:hAnsi="Arial" w:cs="Arial"/>
          <w:i/>
          <w:iCs/>
        </w:rPr>
        <w:t>4</w:t>
      </w:r>
      <w:r>
        <w:rPr>
          <w:rFonts w:ascii="Arial" w:eastAsia="Arial" w:hAnsi="Arial" w:cs="Arial"/>
        </w:rPr>
        <w:t xml:space="preserve">(4), pp.395-410. </w:t>
      </w:r>
      <w:hyperlink r:id="rId26">
        <w:r>
          <w:rPr>
            <w:rFonts w:ascii="Arial" w:eastAsia="Arial" w:hAnsi="Arial" w:cs="Arial"/>
            <w:color w:val="1155CC"/>
            <w:u w:val="single"/>
          </w:rPr>
          <w:t>https://www.neliti.com/publications/620973/gearing-ratio-and-operating-cash-flow-performance-of-quoted-manufacturing-firms</w:t>
        </w:r>
      </w:hyperlink>
      <w:r>
        <w:rPr>
          <w:rFonts w:ascii="Arial" w:eastAsia="Arial" w:hAnsi="Arial" w:cs="Arial"/>
        </w:rPr>
        <w:t xml:space="preserve"> </w:t>
      </w:r>
    </w:p>
    <w:p w14:paraId="1C609B38" w14:textId="77777777" w:rsidR="005F6C2F" w:rsidRDefault="005F6C2F">
      <w:pPr>
        <w:rPr>
          <w:rFonts w:ascii="Arial" w:eastAsia="Arial" w:hAnsi="Arial" w:cs="Arial"/>
        </w:rPr>
      </w:pPr>
      <w:r>
        <w:rPr>
          <w:rFonts w:ascii="Arial" w:eastAsia="Arial" w:hAnsi="Arial" w:cs="Arial"/>
        </w:rPr>
        <w:t xml:space="preserve">Pal, S., 2024. Optimizing just-in-time inventory management: A deep dive into AI-enhanced demand forecasting. </w:t>
      </w:r>
      <w:r>
        <w:rPr>
          <w:rFonts w:ascii="Arial" w:eastAsia="Arial" w:hAnsi="Arial" w:cs="Arial"/>
          <w:i/>
          <w:iCs/>
        </w:rPr>
        <w:t>NOVYI MIR Research Journal</w:t>
      </w:r>
      <w:r>
        <w:rPr>
          <w:rFonts w:ascii="Arial" w:eastAsia="Arial" w:hAnsi="Arial" w:cs="Arial"/>
        </w:rPr>
        <w:t xml:space="preserve">, </w:t>
      </w:r>
      <w:r>
        <w:rPr>
          <w:rFonts w:ascii="Arial" w:eastAsia="Arial" w:hAnsi="Arial" w:cs="Arial"/>
          <w:i/>
          <w:iCs/>
        </w:rPr>
        <w:t>9</w:t>
      </w:r>
      <w:r>
        <w:rPr>
          <w:rFonts w:ascii="Arial" w:eastAsia="Arial" w:hAnsi="Arial" w:cs="Arial"/>
        </w:rPr>
        <w:t xml:space="preserve">, pp.62-70. </w:t>
      </w:r>
      <w:hyperlink r:id="rId27">
        <w:r>
          <w:rPr>
            <w:rFonts w:ascii="Arial" w:eastAsia="Arial" w:hAnsi="Arial" w:cs="Arial"/>
            <w:color w:val="1155CC"/>
            <w:u w:val="single"/>
          </w:rPr>
          <w:t>https://www.researchgate.net/profile/Subharun-Pal/publication/378977234_Optimizing_Just-In-Time_Inventory_Management_A_Deep_Dive_into_AI-Enhanced_Demand_Forecasting/links/65f4a532286738732d4d4e90/Optimizing-Just-In-Time-Inventory-Management-A-Deep-Dive-into-AI-Enhanced-Demand-Forecasting.pdf</w:t>
        </w:r>
      </w:hyperlink>
      <w:r>
        <w:rPr>
          <w:rFonts w:ascii="Arial" w:eastAsia="Arial" w:hAnsi="Arial" w:cs="Arial"/>
        </w:rPr>
        <w:t xml:space="preserve"> </w:t>
      </w:r>
    </w:p>
    <w:p w14:paraId="412F6C84" w14:textId="77777777" w:rsidR="005F6C2F" w:rsidRDefault="005F6C2F">
      <w:pPr>
        <w:rPr>
          <w:rFonts w:ascii="Arial" w:eastAsia="Arial" w:hAnsi="Arial" w:cs="Arial"/>
        </w:rPr>
      </w:pPr>
      <w:r>
        <w:rPr>
          <w:rFonts w:ascii="Arial" w:eastAsia="Arial" w:hAnsi="Arial" w:cs="Arial"/>
        </w:rPr>
        <w:t xml:space="preserve">Potharla, S., 2025. From Debt to Divestiture: How Indian and Global Firms Reshaped through Corporate Restructuring. </w:t>
      </w:r>
      <w:r>
        <w:rPr>
          <w:rFonts w:ascii="Arial" w:eastAsia="Arial" w:hAnsi="Arial" w:cs="Arial"/>
          <w:i/>
          <w:iCs/>
        </w:rPr>
        <w:t>Available at SSRN 5348941</w:t>
      </w:r>
      <w:r>
        <w:rPr>
          <w:rFonts w:ascii="Arial" w:eastAsia="Arial" w:hAnsi="Arial" w:cs="Arial"/>
        </w:rPr>
        <w:t xml:space="preserve">. </w:t>
      </w:r>
      <w:hyperlink r:id="rId28">
        <w:r>
          <w:rPr>
            <w:rFonts w:ascii="Arial" w:eastAsia="Arial" w:hAnsi="Arial" w:cs="Arial"/>
            <w:color w:val="1155CC"/>
            <w:u w:val="single"/>
          </w:rPr>
          <w:t>https://papers.ssrn.com/sol3/Delivery.cfm?abstractid=5348941</w:t>
        </w:r>
      </w:hyperlink>
      <w:r>
        <w:rPr>
          <w:rFonts w:ascii="Arial" w:eastAsia="Arial" w:hAnsi="Arial" w:cs="Arial"/>
        </w:rPr>
        <w:t xml:space="preserve"> </w:t>
      </w:r>
    </w:p>
    <w:p w14:paraId="5362CE22" w14:textId="77777777" w:rsidR="005F6C2F" w:rsidRDefault="005F6C2F">
      <w:pPr>
        <w:rPr>
          <w:rFonts w:ascii="Arial" w:eastAsia="Arial" w:hAnsi="Arial" w:cs="Arial"/>
        </w:rPr>
      </w:pPr>
      <w:r>
        <w:rPr>
          <w:rFonts w:ascii="Arial" w:eastAsia="Arial" w:hAnsi="Arial" w:cs="Arial"/>
        </w:rPr>
        <w:t xml:space="preserve">Seretidou, D., Billios, D. and Stavropoulos, A., 2025. Integrative analysis of traditional and cash flow financial ratios: Insights from a systematic comparative review. </w:t>
      </w:r>
      <w:r>
        <w:rPr>
          <w:rFonts w:ascii="Arial" w:eastAsia="Arial" w:hAnsi="Arial" w:cs="Arial"/>
          <w:i/>
          <w:iCs/>
        </w:rPr>
        <w:t>Risks</w:t>
      </w:r>
      <w:r>
        <w:rPr>
          <w:rFonts w:ascii="Arial" w:eastAsia="Arial" w:hAnsi="Arial" w:cs="Arial"/>
        </w:rPr>
        <w:t xml:space="preserve">, </w:t>
      </w:r>
      <w:r>
        <w:rPr>
          <w:rFonts w:ascii="Arial" w:eastAsia="Arial" w:hAnsi="Arial" w:cs="Arial"/>
          <w:i/>
          <w:iCs/>
        </w:rPr>
        <w:t>13</w:t>
      </w:r>
      <w:r>
        <w:rPr>
          <w:rFonts w:ascii="Arial" w:eastAsia="Arial" w:hAnsi="Arial" w:cs="Arial"/>
        </w:rPr>
        <w:t xml:space="preserve">(4), p.62. </w:t>
      </w:r>
      <w:hyperlink r:id="rId29">
        <w:r>
          <w:rPr>
            <w:rFonts w:ascii="Arial" w:eastAsia="Arial" w:hAnsi="Arial" w:cs="Arial"/>
            <w:color w:val="1155CC"/>
            <w:u w:val="single"/>
          </w:rPr>
          <w:t>https://www.mdpi.com/2227-9091/13/4/62</w:t>
        </w:r>
      </w:hyperlink>
      <w:r>
        <w:rPr>
          <w:rFonts w:ascii="Arial" w:eastAsia="Arial" w:hAnsi="Arial" w:cs="Arial"/>
        </w:rPr>
        <w:t xml:space="preserve"> </w:t>
      </w:r>
    </w:p>
    <w:p w14:paraId="108AC173" w14:textId="77777777" w:rsidR="005F6C2F" w:rsidRDefault="005F6C2F">
      <w:pPr>
        <w:rPr>
          <w:rFonts w:ascii="Arial" w:eastAsia="Arial" w:hAnsi="Arial" w:cs="Arial"/>
        </w:rPr>
      </w:pPr>
      <w:r>
        <w:rPr>
          <w:rFonts w:ascii="Arial" w:eastAsia="Arial" w:hAnsi="Arial" w:cs="Arial"/>
        </w:rPr>
        <w:lastRenderedPageBreak/>
        <w:t xml:space="preserve">Sukenti, S., 2023. Financial management concepts: a review. </w:t>
      </w:r>
      <w:r>
        <w:rPr>
          <w:rFonts w:ascii="Arial" w:eastAsia="Arial" w:hAnsi="Arial" w:cs="Arial"/>
          <w:i/>
          <w:iCs/>
        </w:rPr>
        <w:t>Journal of Contemporary Administration and Management (ADMAN)</w:t>
      </w:r>
      <w:r>
        <w:rPr>
          <w:rFonts w:ascii="Arial" w:eastAsia="Arial" w:hAnsi="Arial" w:cs="Arial"/>
        </w:rPr>
        <w:t xml:space="preserve">, </w:t>
      </w:r>
      <w:r>
        <w:rPr>
          <w:rFonts w:ascii="Arial" w:eastAsia="Arial" w:hAnsi="Arial" w:cs="Arial"/>
          <w:i/>
          <w:iCs/>
        </w:rPr>
        <w:t>1</w:t>
      </w:r>
      <w:r>
        <w:rPr>
          <w:rFonts w:ascii="Arial" w:eastAsia="Arial" w:hAnsi="Arial" w:cs="Arial"/>
        </w:rPr>
        <w:t xml:space="preserve">(1), pp.13-16. </w:t>
      </w:r>
      <w:hyperlink r:id="rId30">
        <w:r>
          <w:rPr>
            <w:rFonts w:ascii="Arial" w:eastAsia="Arial" w:hAnsi="Arial" w:cs="Arial"/>
            <w:color w:val="1155CC"/>
            <w:u w:val="single"/>
          </w:rPr>
          <w:t>https://journal.literasisainsnusantara.com/index.php/adman/article/download/4/31</w:t>
        </w:r>
      </w:hyperlink>
      <w:r>
        <w:rPr>
          <w:rFonts w:ascii="Arial" w:eastAsia="Arial" w:hAnsi="Arial" w:cs="Arial"/>
        </w:rPr>
        <w:t xml:space="preserve"> </w:t>
      </w:r>
    </w:p>
    <w:p w14:paraId="362C1D1D" w14:textId="77777777" w:rsidR="005F6C2F" w:rsidRDefault="005F6C2F">
      <w:pPr>
        <w:rPr>
          <w:rFonts w:ascii="Arial" w:eastAsia="Arial" w:hAnsi="Arial" w:cs="Arial"/>
        </w:rPr>
      </w:pPr>
      <w:r>
        <w:rPr>
          <w:rFonts w:ascii="Arial" w:eastAsia="Arial" w:hAnsi="Arial" w:cs="Arial"/>
        </w:rPr>
        <w:t xml:space="preserve">Takeuchi, I.Y., Ohmae, H.T. and Ichijo, K.K., 2023. Navigating Competition through Alliances: An Analysis of Toyota's Strategy in the Japanese Auto Industry. </w:t>
      </w:r>
      <w:r>
        <w:rPr>
          <w:rFonts w:ascii="Arial" w:eastAsia="Arial" w:hAnsi="Arial" w:cs="Arial"/>
          <w:i/>
          <w:iCs/>
        </w:rPr>
        <w:t>Journal of Strategic Management</w:t>
      </w:r>
      <w:r>
        <w:rPr>
          <w:rFonts w:ascii="Arial" w:eastAsia="Arial" w:hAnsi="Arial" w:cs="Arial"/>
        </w:rPr>
        <w:t xml:space="preserve">, </w:t>
      </w:r>
      <w:r>
        <w:rPr>
          <w:rFonts w:ascii="Arial" w:eastAsia="Arial" w:hAnsi="Arial" w:cs="Arial"/>
          <w:i/>
          <w:iCs/>
        </w:rPr>
        <w:t>7</w:t>
      </w:r>
      <w:r>
        <w:rPr>
          <w:rFonts w:ascii="Arial" w:eastAsia="Arial" w:hAnsi="Arial" w:cs="Arial"/>
        </w:rPr>
        <w:t xml:space="preserve">(6), pp.1-12. </w:t>
      </w:r>
      <w:hyperlink r:id="rId31">
        <w:r>
          <w:rPr>
            <w:rFonts w:ascii="Arial" w:eastAsia="Arial" w:hAnsi="Arial" w:cs="Arial"/>
            <w:color w:val="1155CC"/>
            <w:u w:val="single"/>
          </w:rPr>
          <w:t>https://stratfordjournalpublishers.org/journals/index.php/journal-of-strategic-management/article/download/1733/2251</w:t>
        </w:r>
      </w:hyperlink>
      <w:r>
        <w:rPr>
          <w:rFonts w:ascii="Arial" w:eastAsia="Arial" w:hAnsi="Arial" w:cs="Arial"/>
        </w:rPr>
        <w:t xml:space="preserve"> </w:t>
      </w:r>
    </w:p>
    <w:p w14:paraId="5565AE30" w14:textId="77777777" w:rsidR="005F6C2F" w:rsidRDefault="005F6C2F">
      <w:pPr>
        <w:rPr>
          <w:rFonts w:ascii="Arial" w:eastAsia="Arial" w:hAnsi="Arial" w:cs="Arial"/>
        </w:rPr>
      </w:pPr>
      <w:r>
        <w:rPr>
          <w:rFonts w:ascii="Arial" w:eastAsia="Arial" w:hAnsi="Arial" w:cs="Arial"/>
        </w:rPr>
        <w:t xml:space="preserve">Toyota. 2020. </w:t>
      </w:r>
      <w:r>
        <w:rPr>
          <w:rFonts w:ascii="Arial" w:eastAsia="Arial" w:hAnsi="Arial" w:cs="Arial"/>
          <w:i/>
          <w:iCs/>
        </w:rPr>
        <w:t>FINANCIAL SUMMARY FY2020.</w:t>
      </w:r>
      <w:r>
        <w:rPr>
          <w:rFonts w:ascii="Arial" w:eastAsia="Arial" w:hAnsi="Arial" w:cs="Arial"/>
        </w:rPr>
        <w:t xml:space="preserve"> Available at: </w:t>
      </w:r>
      <w:hyperlink r:id="rId32">
        <w:r>
          <w:rPr>
            <w:rFonts w:ascii="Arial" w:eastAsia="Arial" w:hAnsi="Arial" w:cs="Arial"/>
            <w:color w:val="1155CC"/>
            <w:u w:val="single"/>
          </w:rPr>
          <w:t>https://global.toyota/pages/global_toyota/ir/financial-results/2020_4q_summary_en.pdf</w:t>
        </w:r>
      </w:hyperlink>
      <w:r>
        <w:rPr>
          <w:rFonts w:ascii="Arial" w:eastAsia="Arial" w:hAnsi="Arial" w:cs="Arial"/>
        </w:rPr>
        <w:t xml:space="preserve"> [Accessed 13th April 2026]</w:t>
      </w:r>
    </w:p>
    <w:p w14:paraId="38D83A4F" w14:textId="77777777" w:rsidR="005F6C2F" w:rsidRDefault="005F6C2F">
      <w:pPr>
        <w:rPr>
          <w:rFonts w:ascii="Arial" w:eastAsia="Arial" w:hAnsi="Arial" w:cs="Arial"/>
        </w:rPr>
      </w:pPr>
      <w:r>
        <w:rPr>
          <w:rFonts w:ascii="Arial" w:eastAsia="Arial" w:hAnsi="Arial" w:cs="Arial"/>
        </w:rPr>
        <w:t xml:space="preserve">Toyota. 2022. </w:t>
      </w:r>
      <w:r>
        <w:rPr>
          <w:rFonts w:ascii="Arial" w:eastAsia="Arial" w:hAnsi="Arial" w:cs="Arial"/>
          <w:i/>
          <w:iCs/>
        </w:rPr>
        <w:t>FINANCIAL SUMMARY FY2022.</w:t>
      </w:r>
      <w:r>
        <w:rPr>
          <w:rFonts w:ascii="Arial" w:eastAsia="Arial" w:hAnsi="Arial" w:cs="Arial"/>
        </w:rPr>
        <w:t xml:space="preserve"> Available at: </w:t>
      </w:r>
      <w:hyperlink r:id="rId33">
        <w:r>
          <w:rPr>
            <w:rFonts w:ascii="Arial" w:eastAsia="Arial" w:hAnsi="Arial" w:cs="Arial"/>
            <w:color w:val="1155CC"/>
            <w:u w:val="single"/>
          </w:rPr>
          <w:t>https://global.toyota/pages/global_toyota/ir/financial-results/2022_4q_summary_en.pdf</w:t>
        </w:r>
      </w:hyperlink>
      <w:r>
        <w:rPr>
          <w:rFonts w:ascii="Arial" w:eastAsia="Arial" w:hAnsi="Arial" w:cs="Arial"/>
        </w:rPr>
        <w:t xml:space="preserve"> [Accessed 13th April 2026]</w:t>
      </w:r>
    </w:p>
    <w:p w14:paraId="5A41BE7E" w14:textId="77777777" w:rsidR="005F6C2F" w:rsidRDefault="005F6C2F">
      <w:pPr>
        <w:rPr>
          <w:rFonts w:ascii="Arial" w:eastAsia="Arial" w:hAnsi="Arial" w:cs="Arial"/>
        </w:rPr>
      </w:pPr>
      <w:r>
        <w:rPr>
          <w:rFonts w:ascii="Arial" w:eastAsia="Arial" w:hAnsi="Arial" w:cs="Arial"/>
        </w:rPr>
        <w:t xml:space="preserve">Toyota. 2023. </w:t>
      </w:r>
      <w:r>
        <w:rPr>
          <w:rFonts w:ascii="Arial" w:eastAsia="Arial" w:hAnsi="Arial" w:cs="Arial"/>
          <w:i/>
          <w:iCs/>
        </w:rPr>
        <w:t>FINANCIAL SUMMARY FY2023.</w:t>
      </w:r>
      <w:r>
        <w:rPr>
          <w:rFonts w:ascii="Arial" w:eastAsia="Arial" w:hAnsi="Arial" w:cs="Arial"/>
        </w:rPr>
        <w:t xml:space="preserve"> Available at: </w:t>
      </w:r>
      <w:hyperlink r:id="rId34">
        <w:r>
          <w:rPr>
            <w:rFonts w:ascii="Arial" w:eastAsia="Arial" w:hAnsi="Arial" w:cs="Arial"/>
            <w:color w:val="1155CC"/>
            <w:u w:val="single"/>
          </w:rPr>
          <w:t>https://global.toyota/pages/global_toyota/ir/financial-results/2023_4q_summary_en.pdf</w:t>
        </w:r>
      </w:hyperlink>
      <w:r>
        <w:rPr>
          <w:rFonts w:ascii="Arial" w:eastAsia="Arial" w:hAnsi="Arial" w:cs="Arial"/>
        </w:rPr>
        <w:t xml:space="preserve"> [Accessed 13th April 2026]</w:t>
      </w:r>
    </w:p>
    <w:p w14:paraId="2735C0CA" w14:textId="77777777" w:rsidR="005F6C2F" w:rsidRDefault="005F6C2F">
      <w:pPr>
        <w:rPr>
          <w:rFonts w:ascii="Arial" w:eastAsia="Arial" w:hAnsi="Arial" w:cs="Arial"/>
        </w:rPr>
      </w:pPr>
      <w:r>
        <w:rPr>
          <w:rFonts w:ascii="Arial" w:eastAsia="Arial" w:hAnsi="Arial" w:cs="Arial"/>
        </w:rPr>
        <w:t xml:space="preserve">Toyota. 2024. </w:t>
      </w:r>
      <w:r>
        <w:rPr>
          <w:rFonts w:ascii="Arial" w:eastAsia="Arial" w:hAnsi="Arial" w:cs="Arial"/>
          <w:i/>
          <w:iCs/>
        </w:rPr>
        <w:t>FINANCIAL SUMMARY FY2024.</w:t>
      </w:r>
      <w:r>
        <w:rPr>
          <w:rFonts w:ascii="Arial" w:eastAsia="Arial" w:hAnsi="Arial" w:cs="Arial"/>
        </w:rPr>
        <w:t xml:space="preserve"> Available at: </w:t>
      </w:r>
      <w:hyperlink r:id="rId35">
        <w:r>
          <w:rPr>
            <w:rFonts w:ascii="Arial" w:eastAsia="Arial" w:hAnsi="Arial" w:cs="Arial"/>
            <w:color w:val="1155CC"/>
            <w:u w:val="single"/>
          </w:rPr>
          <w:t>https://global.toyota/pages/global_toyota/ir/financial-results/2024_4q_summary_en.pdf</w:t>
        </w:r>
      </w:hyperlink>
      <w:r>
        <w:rPr>
          <w:rFonts w:ascii="Arial" w:eastAsia="Arial" w:hAnsi="Arial" w:cs="Arial"/>
        </w:rPr>
        <w:t xml:space="preserve"> [Accessed 13th April 2026]</w:t>
      </w:r>
    </w:p>
    <w:p w14:paraId="086B164B" w14:textId="77777777" w:rsidR="005F6C2F" w:rsidRDefault="005F6C2F" w:rsidP="005F6C2F">
      <w:pPr>
        <w:spacing w:before="200" w:after="200"/>
      </w:pPr>
      <w:r>
        <w:rPr>
          <w:rFonts w:ascii="Arial" w:eastAsia="Arial" w:hAnsi="Arial" w:cs="Arial"/>
        </w:rPr>
        <w:t xml:space="preserve">Toyota. 2026a. </w:t>
      </w:r>
      <w:r>
        <w:rPr>
          <w:rFonts w:ascii="Arial" w:eastAsia="Arial" w:hAnsi="Arial" w:cs="Arial"/>
          <w:i/>
          <w:iCs/>
        </w:rPr>
        <w:t xml:space="preserve">Company | Toyota Motor Corporation Official Global Website. </w:t>
      </w:r>
      <w:r>
        <w:rPr>
          <w:rFonts w:ascii="Arial" w:eastAsia="Arial" w:hAnsi="Arial" w:cs="Arial"/>
        </w:rPr>
        <w:t xml:space="preserve">Available at: </w:t>
      </w:r>
      <w:hyperlink r:id="rId36">
        <w:r>
          <w:rPr>
            <w:rFonts w:ascii="Arial" w:eastAsia="Arial" w:hAnsi="Arial" w:cs="Arial"/>
            <w:color w:val="1155CC"/>
            <w:u w:val="single"/>
          </w:rPr>
          <w:t>https://global.toyota/en/company/index.html</w:t>
        </w:r>
      </w:hyperlink>
      <w:r>
        <w:rPr>
          <w:rFonts w:ascii="Arial" w:eastAsia="Arial" w:hAnsi="Arial" w:cs="Arial"/>
        </w:rPr>
        <w:t xml:space="preserve"> [Accessed 13th April 2026]</w:t>
      </w:r>
    </w:p>
    <w:p w14:paraId="1716ED59" w14:textId="00138893" w:rsidR="005F6C2F" w:rsidRDefault="005F6C2F" w:rsidP="005F6C2F">
      <w:pPr>
        <w:spacing w:before="200" w:after="200"/>
        <w:rPr>
          <w:rFonts w:ascii="Arial" w:eastAsia="Arial" w:hAnsi="Arial" w:cs="Arial"/>
        </w:rPr>
      </w:pPr>
      <w:r>
        <w:rPr>
          <w:rFonts w:ascii="Arial" w:eastAsia="Arial" w:hAnsi="Arial" w:cs="Arial"/>
        </w:rPr>
        <w:t xml:space="preserve">Toyota. 2026b. </w:t>
      </w:r>
      <w:r>
        <w:rPr>
          <w:rFonts w:ascii="Arial" w:eastAsia="Arial" w:hAnsi="Arial" w:cs="Arial"/>
          <w:i/>
          <w:iCs/>
        </w:rPr>
        <w:t xml:space="preserve">Overview | Profile | Company | Toyota Motor Corporation. </w:t>
      </w:r>
      <w:r>
        <w:rPr>
          <w:rFonts w:ascii="Arial" w:eastAsia="Arial" w:hAnsi="Arial" w:cs="Arial"/>
        </w:rPr>
        <w:t xml:space="preserve">Available at: </w:t>
      </w:r>
      <w:hyperlink r:id="rId37">
        <w:r>
          <w:rPr>
            <w:rFonts w:ascii="Arial" w:eastAsia="Arial" w:hAnsi="Arial" w:cs="Arial"/>
            <w:color w:val="1155CC"/>
            <w:u w:val="single"/>
          </w:rPr>
          <w:t>https://global.toyota/en/company/profile/overview/index.html</w:t>
        </w:r>
      </w:hyperlink>
      <w:r>
        <w:rPr>
          <w:rFonts w:ascii="Arial" w:eastAsia="Arial" w:hAnsi="Arial" w:cs="Arial"/>
        </w:rPr>
        <w:t xml:space="preserve"> [Accessed 13th April 2026]</w:t>
      </w:r>
    </w:p>
    <w:p w14:paraId="659C396F" w14:textId="77777777" w:rsidR="005F6C2F" w:rsidRDefault="005F6C2F">
      <w:pPr>
        <w:rPr>
          <w:rFonts w:ascii="Arial" w:eastAsia="Arial" w:hAnsi="Arial" w:cs="Arial"/>
        </w:rPr>
      </w:pPr>
      <w:r>
        <w:rPr>
          <w:rFonts w:ascii="Arial" w:eastAsia="Arial" w:hAnsi="Arial" w:cs="Arial"/>
        </w:rPr>
        <w:t xml:space="preserve">Yan, X., Chen, L. and Ding, X., 2024. Optimal cash management with payables finance. </w:t>
      </w:r>
      <w:r>
        <w:rPr>
          <w:rFonts w:ascii="Arial" w:eastAsia="Arial" w:hAnsi="Arial" w:cs="Arial"/>
          <w:i/>
          <w:iCs/>
        </w:rPr>
        <w:t>Operations Research</w:t>
      </w:r>
      <w:r>
        <w:rPr>
          <w:rFonts w:ascii="Arial" w:eastAsia="Arial" w:hAnsi="Arial" w:cs="Arial"/>
        </w:rPr>
        <w:t xml:space="preserve">, </w:t>
      </w:r>
      <w:r>
        <w:rPr>
          <w:rFonts w:ascii="Arial" w:eastAsia="Arial" w:hAnsi="Arial" w:cs="Arial"/>
          <w:i/>
          <w:iCs/>
        </w:rPr>
        <w:t>72</w:t>
      </w:r>
      <w:r>
        <w:rPr>
          <w:rFonts w:ascii="Arial" w:eastAsia="Arial" w:hAnsi="Arial" w:cs="Arial"/>
        </w:rPr>
        <w:t xml:space="preserve">(5), pp.1806-1826. </w:t>
      </w:r>
      <w:hyperlink r:id="rId38">
        <w:r>
          <w:rPr>
            <w:rFonts w:ascii="Arial" w:eastAsia="Arial" w:hAnsi="Arial" w:cs="Arial"/>
            <w:color w:val="1155CC"/>
            <w:u w:val="single"/>
          </w:rPr>
          <w:t>https://pubsonline.informs.org/doi/abs/10.1287/opre.2022.0196</w:t>
        </w:r>
      </w:hyperlink>
      <w:r>
        <w:rPr>
          <w:rFonts w:ascii="Arial" w:eastAsia="Arial" w:hAnsi="Arial" w:cs="Arial"/>
        </w:rPr>
        <w:t xml:space="preserve"> </w:t>
      </w:r>
    </w:p>
    <w:p w14:paraId="355449D1" w14:textId="77777777" w:rsidR="005F6C2F" w:rsidRDefault="005F6C2F">
      <w:pPr>
        <w:rPr>
          <w:rFonts w:ascii="Arial" w:eastAsia="Arial" w:hAnsi="Arial" w:cs="Arial"/>
        </w:rPr>
      </w:pPr>
      <w:r>
        <w:rPr>
          <w:rFonts w:ascii="Arial" w:eastAsia="Arial" w:hAnsi="Arial" w:cs="Arial"/>
        </w:rPr>
        <w:lastRenderedPageBreak/>
        <w:t xml:space="preserve">Yuan, Y., 2025. Toyota Motor’s Exchange Rate Risk Management: Residual Risk and Response Strategies after Forward Hedging. </w:t>
      </w:r>
      <w:r>
        <w:rPr>
          <w:rFonts w:ascii="Arial" w:eastAsia="Arial" w:hAnsi="Arial" w:cs="Arial"/>
          <w:i/>
          <w:iCs/>
        </w:rPr>
        <w:t>Highlights in Business, Economics and Management</w:t>
      </w:r>
      <w:r>
        <w:rPr>
          <w:rFonts w:ascii="Arial" w:eastAsia="Arial" w:hAnsi="Arial" w:cs="Arial"/>
        </w:rPr>
        <w:t xml:space="preserve">, </w:t>
      </w:r>
      <w:r>
        <w:rPr>
          <w:rFonts w:ascii="Arial" w:eastAsia="Arial" w:hAnsi="Arial" w:cs="Arial"/>
          <w:i/>
          <w:iCs/>
        </w:rPr>
        <w:t>65</w:t>
      </w:r>
      <w:r>
        <w:rPr>
          <w:rFonts w:ascii="Arial" w:eastAsia="Arial" w:hAnsi="Arial" w:cs="Arial"/>
        </w:rPr>
        <w:t xml:space="preserve">, pp.152-157. </w:t>
      </w:r>
      <w:hyperlink r:id="rId39">
        <w:r>
          <w:rPr>
            <w:rFonts w:ascii="Arial" w:eastAsia="Arial" w:hAnsi="Arial" w:cs="Arial"/>
            <w:color w:val="1155CC"/>
            <w:u w:val="single"/>
          </w:rPr>
          <w:t>http://hbemdata.org/index.php/ojs/article/download/25/22</w:t>
        </w:r>
      </w:hyperlink>
      <w:r>
        <w:rPr>
          <w:rFonts w:ascii="Arial" w:eastAsia="Arial" w:hAnsi="Arial" w:cs="Arial"/>
        </w:rPr>
        <w:t xml:space="preserve"> </w:t>
      </w:r>
    </w:p>
    <w:p w14:paraId="7DA09F61" w14:textId="77777777" w:rsidR="005F6C2F" w:rsidRDefault="005F6C2F">
      <w:pPr>
        <w:rPr>
          <w:rFonts w:ascii="Arial" w:eastAsia="Arial" w:hAnsi="Arial" w:cs="Arial"/>
        </w:rPr>
      </w:pPr>
      <w:r>
        <w:rPr>
          <w:rFonts w:ascii="Arial" w:eastAsia="Arial" w:hAnsi="Arial" w:cs="Arial"/>
        </w:rPr>
        <w:t xml:space="preserve">Zhang, Y., Silva, B., Moreau, É. and Tāne, H., 2025. Financial ratio analysis: A literature review working paper. </w:t>
      </w:r>
      <w:hyperlink r:id="rId40">
        <w:r>
          <w:rPr>
            <w:rFonts w:ascii="Arial" w:eastAsia="Arial" w:hAnsi="Arial" w:cs="Arial"/>
            <w:color w:val="1155CC"/>
            <w:u w:val="single"/>
          </w:rPr>
          <w:t>https://mpra.ub.uni-muenchen.de/125289/1/Financial%20Ratio%20Analysis%20A%20literature%20Review%20Working%20Paper.pdf</w:t>
        </w:r>
      </w:hyperlink>
      <w:r>
        <w:rPr>
          <w:rFonts w:ascii="Arial" w:eastAsia="Arial" w:hAnsi="Arial" w:cs="Arial"/>
        </w:rPr>
        <w:t xml:space="preserve"> </w:t>
      </w:r>
    </w:p>
    <w:p w14:paraId="61EC1447" w14:textId="77777777" w:rsidR="005F6C2F" w:rsidRDefault="005F6C2F">
      <w:pPr>
        <w:rPr>
          <w:rFonts w:ascii="Arial" w:eastAsia="Arial" w:hAnsi="Arial" w:cs="Arial"/>
          <w:b/>
          <w:bCs/>
          <w:sz w:val="28"/>
          <w:szCs w:val="28"/>
        </w:rPr>
      </w:pPr>
      <w:r>
        <w:br w:type="page"/>
      </w:r>
    </w:p>
    <w:p w14:paraId="2C0EF2CF" w14:textId="160F3EE2" w:rsidR="005D57A3" w:rsidRDefault="00000000">
      <w:pPr>
        <w:pStyle w:val="Heading1"/>
      </w:pPr>
      <w:bookmarkStart w:id="52" w:name="_Toc227878998"/>
      <w:r>
        <w:lastRenderedPageBreak/>
        <w:t>Appendices</w:t>
      </w:r>
      <w:bookmarkEnd w:id="52"/>
    </w:p>
    <w:p w14:paraId="5485CA16" w14:textId="77777777" w:rsidR="005D57A3" w:rsidRDefault="00000000">
      <w:pPr>
        <w:pStyle w:val="Heading2"/>
      </w:pPr>
      <w:bookmarkStart w:id="53" w:name="_Toc227878999"/>
      <w:r>
        <w:t>Appendix 1: Ratio Tables</w:t>
      </w:r>
      <w:bookmarkEnd w:id="53"/>
      <w:r>
        <w:t xml:space="preserve"> </w:t>
      </w:r>
    </w:p>
    <w:tbl>
      <w:tblPr>
        <w:tblW w:w="5000" w:type="pct"/>
        <w:jc w:val="center"/>
        <w:tblLook w:val="04A0" w:firstRow="1" w:lastRow="0" w:firstColumn="1" w:lastColumn="0" w:noHBand="0" w:noVBand="1"/>
      </w:tblPr>
      <w:tblGrid>
        <w:gridCol w:w="4089"/>
        <w:gridCol w:w="986"/>
        <w:gridCol w:w="986"/>
        <w:gridCol w:w="986"/>
        <w:gridCol w:w="986"/>
        <w:gridCol w:w="986"/>
      </w:tblGrid>
      <w:tr w:rsidR="006D2E30" w:rsidRPr="006D2E30" w14:paraId="6D40EBA6" w14:textId="77777777" w:rsidTr="006D2E30">
        <w:trPr>
          <w:trHeight w:val="312"/>
          <w:jc w:val="center"/>
        </w:trPr>
        <w:tc>
          <w:tcPr>
            <w:tcW w:w="2207" w:type="pct"/>
            <w:tcBorders>
              <w:top w:val="single" w:sz="4" w:space="0" w:color="auto"/>
              <w:left w:val="single" w:sz="4" w:space="0" w:color="auto"/>
              <w:bottom w:val="single" w:sz="4" w:space="0" w:color="auto"/>
              <w:right w:val="single" w:sz="4" w:space="0" w:color="auto"/>
            </w:tcBorders>
            <w:noWrap/>
            <w:vAlign w:val="bottom"/>
            <w:hideMark/>
          </w:tcPr>
          <w:p w14:paraId="25E7D04A"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Profitability Ratios</w:t>
            </w:r>
          </w:p>
        </w:tc>
        <w:tc>
          <w:tcPr>
            <w:tcW w:w="625" w:type="pct"/>
            <w:tcBorders>
              <w:top w:val="single" w:sz="4" w:space="0" w:color="auto"/>
              <w:left w:val="nil"/>
              <w:bottom w:val="single" w:sz="4" w:space="0" w:color="auto"/>
              <w:right w:val="single" w:sz="4" w:space="0" w:color="auto"/>
            </w:tcBorders>
            <w:noWrap/>
            <w:vAlign w:val="bottom"/>
            <w:hideMark/>
          </w:tcPr>
          <w:p w14:paraId="492E6932"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2024</w:t>
            </w:r>
          </w:p>
        </w:tc>
        <w:tc>
          <w:tcPr>
            <w:tcW w:w="625" w:type="pct"/>
            <w:tcBorders>
              <w:top w:val="single" w:sz="4" w:space="0" w:color="auto"/>
              <w:left w:val="nil"/>
              <w:bottom w:val="single" w:sz="4" w:space="0" w:color="auto"/>
              <w:right w:val="single" w:sz="4" w:space="0" w:color="auto"/>
            </w:tcBorders>
            <w:noWrap/>
            <w:vAlign w:val="bottom"/>
            <w:hideMark/>
          </w:tcPr>
          <w:p w14:paraId="1486737D"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2023</w:t>
            </w:r>
          </w:p>
        </w:tc>
        <w:tc>
          <w:tcPr>
            <w:tcW w:w="503" w:type="pct"/>
            <w:tcBorders>
              <w:top w:val="single" w:sz="4" w:space="0" w:color="auto"/>
              <w:left w:val="nil"/>
              <w:bottom w:val="single" w:sz="4" w:space="0" w:color="auto"/>
              <w:right w:val="single" w:sz="4" w:space="0" w:color="auto"/>
            </w:tcBorders>
            <w:noWrap/>
            <w:vAlign w:val="bottom"/>
            <w:hideMark/>
          </w:tcPr>
          <w:p w14:paraId="05095177"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2022</w:t>
            </w:r>
          </w:p>
        </w:tc>
        <w:tc>
          <w:tcPr>
            <w:tcW w:w="503" w:type="pct"/>
            <w:tcBorders>
              <w:top w:val="single" w:sz="4" w:space="0" w:color="auto"/>
              <w:left w:val="nil"/>
              <w:bottom w:val="single" w:sz="4" w:space="0" w:color="auto"/>
              <w:right w:val="single" w:sz="4" w:space="0" w:color="auto"/>
            </w:tcBorders>
            <w:noWrap/>
            <w:vAlign w:val="bottom"/>
            <w:hideMark/>
          </w:tcPr>
          <w:p w14:paraId="5186E78B"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2021</w:t>
            </w:r>
          </w:p>
        </w:tc>
        <w:tc>
          <w:tcPr>
            <w:tcW w:w="537" w:type="pct"/>
            <w:tcBorders>
              <w:top w:val="single" w:sz="4" w:space="0" w:color="auto"/>
              <w:left w:val="nil"/>
              <w:bottom w:val="single" w:sz="4" w:space="0" w:color="auto"/>
              <w:right w:val="single" w:sz="4" w:space="0" w:color="auto"/>
            </w:tcBorders>
            <w:noWrap/>
            <w:vAlign w:val="bottom"/>
            <w:hideMark/>
          </w:tcPr>
          <w:p w14:paraId="3F6DAADE"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2020</w:t>
            </w:r>
          </w:p>
        </w:tc>
      </w:tr>
      <w:tr w:rsidR="006D2E30" w:rsidRPr="006D2E30" w14:paraId="74BCBE42" w14:textId="77777777" w:rsidTr="006D2E30">
        <w:trPr>
          <w:trHeight w:val="312"/>
          <w:jc w:val="center"/>
        </w:trPr>
        <w:tc>
          <w:tcPr>
            <w:tcW w:w="2207" w:type="pct"/>
            <w:tcBorders>
              <w:top w:val="nil"/>
              <w:left w:val="single" w:sz="4" w:space="0" w:color="auto"/>
              <w:bottom w:val="single" w:sz="4" w:space="0" w:color="auto"/>
              <w:right w:val="single" w:sz="4" w:space="0" w:color="auto"/>
            </w:tcBorders>
            <w:noWrap/>
            <w:vAlign w:val="bottom"/>
            <w:hideMark/>
          </w:tcPr>
          <w:p w14:paraId="6E9D39CF"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"Return on Equity"</w:t>
            </w:r>
          </w:p>
        </w:tc>
        <w:tc>
          <w:tcPr>
            <w:tcW w:w="625" w:type="pct"/>
            <w:tcBorders>
              <w:top w:val="nil"/>
              <w:left w:val="nil"/>
              <w:bottom w:val="single" w:sz="4" w:space="0" w:color="auto"/>
              <w:right w:val="single" w:sz="4" w:space="0" w:color="auto"/>
            </w:tcBorders>
            <w:noWrap/>
            <w:vAlign w:val="bottom"/>
            <w:hideMark/>
          </w:tcPr>
          <w:p w14:paraId="20BFB9CE"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14.39%</w:t>
            </w:r>
          </w:p>
        </w:tc>
        <w:tc>
          <w:tcPr>
            <w:tcW w:w="625" w:type="pct"/>
            <w:tcBorders>
              <w:top w:val="nil"/>
              <w:left w:val="nil"/>
              <w:bottom w:val="single" w:sz="4" w:space="0" w:color="auto"/>
              <w:right w:val="single" w:sz="4" w:space="0" w:color="auto"/>
            </w:tcBorders>
            <w:noWrap/>
            <w:vAlign w:val="bottom"/>
            <w:hideMark/>
          </w:tcPr>
          <w:p w14:paraId="7647D432"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8.52%</w:t>
            </w:r>
          </w:p>
        </w:tc>
        <w:tc>
          <w:tcPr>
            <w:tcW w:w="503" w:type="pct"/>
            <w:tcBorders>
              <w:top w:val="nil"/>
              <w:left w:val="nil"/>
              <w:bottom w:val="single" w:sz="4" w:space="0" w:color="auto"/>
              <w:right w:val="single" w:sz="4" w:space="0" w:color="auto"/>
            </w:tcBorders>
            <w:noWrap/>
            <w:vAlign w:val="bottom"/>
            <w:hideMark/>
          </w:tcPr>
          <w:p w14:paraId="3CA4837E"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10.59%</w:t>
            </w:r>
          </w:p>
        </w:tc>
        <w:tc>
          <w:tcPr>
            <w:tcW w:w="503" w:type="pct"/>
            <w:tcBorders>
              <w:top w:val="nil"/>
              <w:left w:val="nil"/>
              <w:bottom w:val="single" w:sz="4" w:space="0" w:color="auto"/>
              <w:right w:val="single" w:sz="4" w:space="0" w:color="auto"/>
            </w:tcBorders>
            <w:noWrap/>
            <w:vAlign w:val="bottom"/>
            <w:hideMark/>
          </w:tcPr>
          <w:p w14:paraId="0E554009"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9.40%</w:t>
            </w:r>
          </w:p>
        </w:tc>
        <w:tc>
          <w:tcPr>
            <w:tcW w:w="537" w:type="pct"/>
            <w:tcBorders>
              <w:top w:val="nil"/>
              <w:left w:val="nil"/>
              <w:bottom w:val="single" w:sz="4" w:space="0" w:color="auto"/>
              <w:right w:val="single" w:sz="4" w:space="0" w:color="auto"/>
            </w:tcBorders>
            <w:noWrap/>
            <w:vAlign w:val="bottom"/>
            <w:hideMark/>
          </w:tcPr>
          <w:p w14:paraId="778642C7"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10.33%</w:t>
            </w:r>
          </w:p>
        </w:tc>
      </w:tr>
      <w:tr w:rsidR="006D2E30" w:rsidRPr="006D2E30" w14:paraId="54E0D07E" w14:textId="77777777" w:rsidTr="006D2E30">
        <w:trPr>
          <w:trHeight w:val="312"/>
          <w:jc w:val="center"/>
        </w:trPr>
        <w:tc>
          <w:tcPr>
            <w:tcW w:w="2207" w:type="pct"/>
            <w:tcBorders>
              <w:top w:val="nil"/>
              <w:left w:val="single" w:sz="4" w:space="0" w:color="auto"/>
              <w:bottom w:val="single" w:sz="4" w:space="0" w:color="auto"/>
              <w:right w:val="single" w:sz="4" w:space="0" w:color="auto"/>
            </w:tcBorders>
            <w:noWrap/>
            <w:vAlign w:val="bottom"/>
            <w:hideMark/>
          </w:tcPr>
          <w:p w14:paraId="07DBCE76"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"Net Profit Margin"</w:t>
            </w:r>
          </w:p>
        </w:tc>
        <w:tc>
          <w:tcPr>
            <w:tcW w:w="625" w:type="pct"/>
            <w:tcBorders>
              <w:top w:val="nil"/>
              <w:left w:val="nil"/>
              <w:bottom w:val="single" w:sz="4" w:space="0" w:color="auto"/>
              <w:right w:val="single" w:sz="4" w:space="0" w:color="auto"/>
            </w:tcBorders>
            <w:noWrap/>
            <w:vAlign w:val="bottom"/>
            <w:hideMark/>
          </w:tcPr>
          <w:p w14:paraId="168C2850"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11.25%</w:t>
            </w:r>
          </w:p>
        </w:tc>
        <w:tc>
          <w:tcPr>
            <w:tcW w:w="625" w:type="pct"/>
            <w:tcBorders>
              <w:top w:val="nil"/>
              <w:left w:val="nil"/>
              <w:bottom w:val="single" w:sz="4" w:space="0" w:color="auto"/>
              <w:right w:val="single" w:sz="4" w:space="0" w:color="auto"/>
            </w:tcBorders>
            <w:noWrap/>
            <w:vAlign w:val="bottom"/>
            <w:hideMark/>
          </w:tcPr>
          <w:p w14:paraId="19F33552"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6.71%</w:t>
            </w:r>
          </w:p>
        </w:tc>
        <w:tc>
          <w:tcPr>
            <w:tcW w:w="503" w:type="pct"/>
            <w:tcBorders>
              <w:top w:val="nil"/>
              <w:left w:val="nil"/>
              <w:bottom w:val="single" w:sz="4" w:space="0" w:color="auto"/>
              <w:right w:val="single" w:sz="4" w:space="0" w:color="auto"/>
            </w:tcBorders>
            <w:noWrap/>
            <w:vAlign w:val="bottom"/>
            <w:hideMark/>
          </w:tcPr>
          <w:p w14:paraId="22513D5E"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9.16%</w:t>
            </w:r>
          </w:p>
        </w:tc>
        <w:tc>
          <w:tcPr>
            <w:tcW w:w="503" w:type="pct"/>
            <w:tcBorders>
              <w:top w:val="nil"/>
              <w:left w:val="nil"/>
              <w:bottom w:val="single" w:sz="4" w:space="0" w:color="auto"/>
              <w:right w:val="single" w:sz="4" w:space="0" w:color="auto"/>
            </w:tcBorders>
            <w:noWrap/>
            <w:vAlign w:val="bottom"/>
            <w:hideMark/>
          </w:tcPr>
          <w:p w14:paraId="21AC09EE"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8.39%</w:t>
            </w:r>
          </w:p>
        </w:tc>
        <w:tc>
          <w:tcPr>
            <w:tcW w:w="537" w:type="pct"/>
            <w:tcBorders>
              <w:top w:val="nil"/>
              <w:left w:val="nil"/>
              <w:bottom w:val="single" w:sz="4" w:space="0" w:color="auto"/>
              <w:right w:val="single" w:sz="4" w:space="0" w:color="auto"/>
            </w:tcBorders>
            <w:noWrap/>
            <w:vAlign w:val="bottom"/>
            <w:hideMark/>
          </w:tcPr>
          <w:p w14:paraId="6005AD93"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7.16%</w:t>
            </w:r>
          </w:p>
        </w:tc>
      </w:tr>
      <w:tr w:rsidR="006D2E30" w:rsidRPr="006D2E30" w14:paraId="4F5484DB" w14:textId="77777777" w:rsidTr="006D2E30">
        <w:trPr>
          <w:trHeight w:val="312"/>
          <w:jc w:val="center"/>
        </w:trPr>
        <w:tc>
          <w:tcPr>
            <w:tcW w:w="2207" w:type="pct"/>
            <w:tcBorders>
              <w:top w:val="nil"/>
              <w:left w:val="single" w:sz="4" w:space="0" w:color="auto"/>
              <w:bottom w:val="single" w:sz="4" w:space="0" w:color="auto"/>
              <w:right w:val="single" w:sz="4" w:space="0" w:color="auto"/>
            </w:tcBorders>
            <w:noWrap/>
            <w:vAlign w:val="bottom"/>
            <w:hideMark/>
          </w:tcPr>
          <w:p w14:paraId="4FAB67C9"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"Gross Margin"</w:t>
            </w:r>
          </w:p>
        </w:tc>
        <w:tc>
          <w:tcPr>
            <w:tcW w:w="625" w:type="pct"/>
            <w:tcBorders>
              <w:top w:val="nil"/>
              <w:left w:val="nil"/>
              <w:bottom w:val="single" w:sz="4" w:space="0" w:color="auto"/>
              <w:right w:val="single" w:sz="4" w:space="0" w:color="auto"/>
            </w:tcBorders>
            <w:noWrap/>
            <w:vAlign w:val="bottom"/>
            <w:hideMark/>
          </w:tcPr>
          <w:p w14:paraId="7DB96714"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25.49%</w:t>
            </w:r>
          </w:p>
        </w:tc>
        <w:tc>
          <w:tcPr>
            <w:tcW w:w="625" w:type="pct"/>
            <w:tcBorders>
              <w:top w:val="nil"/>
              <w:left w:val="nil"/>
              <w:bottom w:val="single" w:sz="4" w:space="0" w:color="auto"/>
              <w:right w:val="single" w:sz="4" w:space="0" w:color="auto"/>
            </w:tcBorders>
            <w:noWrap/>
            <w:vAlign w:val="bottom"/>
            <w:hideMark/>
          </w:tcPr>
          <w:p w14:paraId="4CB45B08"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21.60%</w:t>
            </w:r>
          </w:p>
        </w:tc>
        <w:tc>
          <w:tcPr>
            <w:tcW w:w="503" w:type="pct"/>
            <w:tcBorders>
              <w:top w:val="nil"/>
              <w:left w:val="nil"/>
              <w:bottom w:val="single" w:sz="4" w:space="0" w:color="auto"/>
              <w:right w:val="single" w:sz="4" w:space="0" w:color="auto"/>
            </w:tcBorders>
            <w:noWrap/>
            <w:vAlign w:val="bottom"/>
            <w:hideMark/>
          </w:tcPr>
          <w:p w14:paraId="3E1529FB"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22.72%</w:t>
            </w:r>
          </w:p>
        </w:tc>
        <w:tc>
          <w:tcPr>
            <w:tcW w:w="503" w:type="pct"/>
            <w:tcBorders>
              <w:top w:val="nil"/>
              <w:left w:val="nil"/>
              <w:bottom w:val="single" w:sz="4" w:space="0" w:color="auto"/>
              <w:right w:val="single" w:sz="4" w:space="0" w:color="auto"/>
            </w:tcBorders>
            <w:noWrap/>
            <w:vAlign w:val="bottom"/>
            <w:hideMark/>
          </w:tcPr>
          <w:p w14:paraId="4CF8677C"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22.10%</w:t>
            </w:r>
          </w:p>
        </w:tc>
        <w:tc>
          <w:tcPr>
            <w:tcW w:w="537" w:type="pct"/>
            <w:tcBorders>
              <w:top w:val="nil"/>
              <w:left w:val="nil"/>
              <w:bottom w:val="single" w:sz="4" w:space="0" w:color="auto"/>
              <w:right w:val="single" w:sz="4" w:space="0" w:color="auto"/>
            </w:tcBorders>
            <w:noWrap/>
            <w:vAlign w:val="bottom"/>
            <w:hideMark/>
          </w:tcPr>
          <w:p w14:paraId="70A6F010"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22.68%</w:t>
            </w:r>
          </w:p>
        </w:tc>
      </w:tr>
      <w:tr w:rsidR="006D2E30" w:rsidRPr="006D2E30" w14:paraId="7DDD8797" w14:textId="77777777" w:rsidTr="006D2E30">
        <w:trPr>
          <w:trHeight w:val="312"/>
          <w:jc w:val="center"/>
        </w:trPr>
        <w:tc>
          <w:tcPr>
            <w:tcW w:w="2207" w:type="pct"/>
            <w:tcBorders>
              <w:top w:val="nil"/>
              <w:left w:val="single" w:sz="4" w:space="0" w:color="auto"/>
              <w:bottom w:val="single" w:sz="4" w:space="0" w:color="auto"/>
              <w:right w:val="single" w:sz="4" w:space="0" w:color="auto"/>
            </w:tcBorders>
            <w:noWrap/>
            <w:vAlign w:val="bottom"/>
            <w:hideMark/>
          </w:tcPr>
          <w:p w14:paraId="7879A6E3"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"Operating Margin"</w:t>
            </w:r>
          </w:p>
        </w:tc>
        <w:tc>
          <w:tcPr>
            <w:tcW w:w="625" w:type="pct"/>
            <w:tcBorders>
              <w:top w:val="nil"/>
              <w:left w:val="nil"/>
              <w:bottom w:val="single" w:sz="4" w:space="0" w:color="auto"/>
              <w:right w:val="single" w:sz="4" w:space="0" w:color="auto"/>
            </w:tcBorders>
            <w:noWrap/>
            <w:vAlign w:val="bottom"/>
            <w:hideMark/>
          </w:tcPr>
          <w:p w14:paraId="6E0450CB"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11.87%</w:t>
            </w:r>
          </w:p>
        </w:tc>
        <w:tc>
          <w:tcPr>
            <w:tcW w:w="625" w:type="pct"/>
            <w:tcBorders>
              <w:top w:val="nil"/>
              <w:left w:val="nil"/>
              <w:bottom w:val="single" w:sz="4" w:space="0" w:color="auto"/>
              <w:right w:val="single" w:sz="4" w:space="0" w:color="auto"/>
            </w:tcBorders>
            <w:noWrap/>
            <w:vAlign w:val="bottom"/>
            <w:hideMark/>
          </w:tcPr>
          <w:p w14:paraId="369C5F2D"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7.33%</w:t>
            </w:r>
          </w:p>
        </w:tc>
        <w:tc>
          <w:tcPr>
            <w:tcW w:w="503" w:type="pct"/>
            <w:tcBorders>
              <w:top w:val="nil"/>
              <w:left w:val="nil"/>
              <w:bottom w:val="single" w:sz="4" w:space="0" w:color="auto"/>
              <w:right w:val="single" w:sz="4" w:space="0" w:color="auto"/>
            </w:tcBorders>
            <w:noWrap/>
            <w:vAlign w:val="bottom"/>
            <w:hideMark/>
          </w:tcPr>
          <w:p w14:paraId="27FC1CB0"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9.55%</w:t>
            </w:r>
          </w:p>
        </w:tc>
        <w:tc>
          <w:tcPr>
            <w:tcW w:w="503" w:type="pct"/>
            <w:tcBorders>
              <w:top w:val="nil"/>
              <w:left w:val="nil"/>
              <w:bottom w:val="single" w:sz="4" w:space="0" w:color="auto"/>
              <w:right w:val="single" w:sz="4" w:space="0" w:color="auto"/>
            </w:tcBorders>
            <w:noWrap/>
            <w:vAlign w:val="bottom"/>
            <w:hideMark/>
          </w:tcPr>
          <w:p w14:paraId="0DE54F87"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8.08%</w:t>
            </w:r>
          </w:p>
        </w:tc>
        <w:tc>
          <w:tcPr>
            <w:tcW w:w="537" w:type="pct"/>
            <w:tcBorders>
              <w:top w:val="nil"/>
              <w:left w:val="nil"/>
              <w:bottom w:val="single" w:sz="4" w:space="0" w:color="auto"/>
              <w:right w:val="single" w:sz="4" w:space="0" w:color="auto"/>
            </w:tcBorders>
            <w:noWrap/>
            <w:vAlign w:val="bottom"/>
            <w:hideMark/>
          </w:tcPr>
          <w:p w14:paraId="31289B60"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8.16%</w:t>
            </w:r>
          </w:p>
        </w:tc>
      </w:tr>
      <w:tr w:rsidR="006D2E30" w:rsidRPr="006D2E30" w14:paraId="5DC2442A" w14:textId="77777777" w:rsidTr="006D2E30">
        <w:trPr>
          <w:trHeight w:val="312"/>
          <w:jc w:val="center"/>
        </w:trPr>
        <w:tc>
          <w:tcPr>
            <w:tcW w:w="2207" w:type="pct"/>
            <w:tcBorders>
              <w:top w:val="nil"/>
              <w:left w:val="single" w:sz="4" w:space="0" w:color="auto"/>
              <w:bottom w:val="single" w:sz="4" w:space="0" w:color="auto"/>
              <w:right w:val="single" w:sz="4" w:space="0" w:color="auto"/>
            </w:tcBorders>
            <w:noWrap/>
            <w:vAlign w:val="bottom"/>
            <w:hideMark/>
          </w:tcPr>
          <w:p w14:paraId="36A7A444"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"ROCE"</w:t>
            </w:r>
          </w:p>
        </w:tc>
        <w:tc>
          <w:tcPr>
            <w:tcW w:w="625" w:type="pct"/>
            <w:tcBorders>
              <w:top w:val="nil"/>
              <w:left w:val="nil"/>
              <w:bottom w:val="single" w:sz="4" w:space="0" w:color="auto"/>
              <w:right w:val="single" w:sz="4" w:space="0" w:color="auto"/>
            </w:tcBorders>
            <w:noWrap/>
            <w:vAlign w:val="bottom"/>
            <w:hideMark/>
          </w:tcPr>
          <w:p w14:paraId="58559AA5"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11.43%</w:t>
            </w:r>
          </w:p>
        </w:tc>
        <w:tc>
          <w:tcPr>
            <w:tcW w:w="625" w:type="pct"/>
            <w:tcBorders>
              <w:top w:val="nil"/>
              <w:left w:val="nil"/>
              <w:bottom w:val="single" w:sz="4" w:space="0" w:color="auto"/>
              <w:right w:val="single" w:sz="4" w:space="0" w:color="auto"/>
            </w:tcBorders>
            <w:noWrap/>
            <w:vAlign w:val="bottom"/>
            <w:hideMark/>
          </w:tcPr>
          <w:p w14:paraId="671A92E4"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7.29%</w:t>
            </w:r>
          </w:p>
        </w:tc>
        <w:tc>
          <w:tcPr>
            <w:tcW w:w="503" w:type="pct"/>
            <w:tcBorders>
              <w:top w:val="nil"/>
              <w:left w:val="nil"/>
              <w:bottom w:val="single" w:sz="4" w:space="0" w:color="auto"/>
              <w:right w:val="single" w:sz="4" w:space="0" w:color="auto"/>
            </w:tcBorders>
            <w:noWrap/>
            <w:vAlign w:val="bottom"/>
            <w:hideMark/>
          </w:tcPr>
          <w:p w14:paraId="018224B3"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8.70%</w:t>
            </w:r>
          </w:p>
        </w:tc>
        <w:tc>
          <w:tcPr>
            <w:tcW w:w="503" w:type="pct"/>
            <w:tcBorders>
              <w:top w:val="nil"/>
              <w:left w:val="nil"/>
              <w:bottom w:val="single" w:sz="4" w:space="0" w:color="auto"/>
              <w:right w:val="single" w:sz="4" w:space="0" w:color="auto"/>
            </w:tcBorders>
            <w:noWrap/>
            <w:vAlign w:val="bottom"/>
            <w:hideMark/>
          </w:tcPr>
          <w:p w14:paraId="78C6A1C5"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7.19%</w:t>
            </w:r>
          </w:p>
        </w:tc>
        <w:tc>
          <w:tcPr>
            <w:tcW w:w="537" w:type="pct"/>
            <w:tcBorders>
              <w:top w:val="nil"/>
              <w:left w:val="nil"/>
              <w:bottom w:val="single" w:sz="4" w:space="0" w:color="auto"/>
              <w:right w:val="single" w:sz="4" w:space="0" w:color="auto"/>
            </w:tcBorders>
            <w:noWrap/>
            <w:vAlign w:val="bottom"/>
            <w:hideMark/>
          </w:tcPr>
          <w:p w14:paraId="7738EBFD"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7.35%</w:t>
            </w:r>
          </w:p>
        </w:tc>
      </w:tr>
      <w:tr w:rsidR="006D2E30" w:rsidRPr="006D2E30" w14:paraId="0E3C621B" w14:textId="77777777" w:rsidTr="006D2E30">
        <w:trPr>
          <w:trHeight w:val="300"/>
          <w:jc w:val="center"/>
        </w:trPr>
        <w:tc>
          <w:tcPr>
            <w:tcW w:w="2207" w:type="pct"/>
            <w:tcBorders>
              <w:top w:val="nil"/>
              <w:left w:val="nil"/>
              <w:bottom w:val="nil"/>
              <w:right w:val="nil"/>
            </w:tcBorders>
            <w:noWrap/>
            <w:vAlign w:val="bottom"/>
            <w:hideMark/>
          </w:tcPr>
          <w:p w14:paraId="00BDF7D2" w14:textId="77777777" w:rsidR="006D2E30" w:rsidRPr="006D2E30" w:rsidRDefault="006D2E30" w:rsidP="006D2E30">
            <w:pPr>
              <w:spacing w:before="0" w:after="0" w:line="240" w:lineRule="auto"/>
              <w:jc w:val="right"/>
              <w:rPr>
                <w:rFonts w:ascii="Arial" w:hAnsi="Arial" w:cs="Arial"/>
                <w:color w:val="000000"/>
                <w:lang w:val="en-IN"/>
              </w:rPr>
            </w:pPr>
          </w:p>
        </w:tc>
        <w:tc>
          <w:tcPr>
            <w:tcW w:w="625" w:type="pct"/>
            <w:tcBorders>
              <w:top w:val="nil"/>
              <w:left w:val="nil"/>
              <w:bottom w:val="nil"/>
              <w:right w:val="nil"/>
            </w:tcBorders>
            <w:noWrap/>
            <w:vAlign w:val="bottom"/>
            <w:hideMark/>
          </w:tcPr>
          <w:p w14:paraId="12D8F0BC" w14:textId="77777777" w:rsidR="006D2E30" w:rsidRPr="006D2E30" w:rsidRDefault="006D2E30" w:rsidP="006D2E30">
            <w:pPr>
              <w:spacing w:before="0" w:after="0" w:line="240" w:lineRule="auto"/>
              <w:jc w:val="left"/>
              <w:rPr>
                <w:sz w:val="20"/>
                <w:szCs w:val="20"/>
                <w:lang w:val="en-IN"/>
              </w:rPr>
            </w:pPr>
          </w:p>
        </w:tc>
        <w:tc>
          <w:tcPr>
            <w:tcW w:w="625" w:type="pct"/>
            <w:tcBorders>
              <w:top w:val="nil"/>
              <w:left w:val="nil"/>
              <w:bottom w:val="nil"/>
              <w:right w:val="nil"/>
            </w:tcBorders>
            <w:noWrap/>
            <w:vAlign w:val="bottom"/>
            <w:hideMark/>
          </w:tcPr>
          <w:p w14:paraId="27980DAD" w14:textId="77777777" w:rsidR="006D2E30" w:rsidRPr="006D2E30" w:rsidRDefault="006D2E30" w:rsidP="006D2E30">
            <w:pPr>
              <w:spacing w:before="0" w:after="0" w:line="240" w:lineRule="auto"/>
              <w:jc w:val="left"/>
              <w:rPr>
                <w:sz w:val="20"/>
                <w:szCs w:val="20"/>
                <w:lang w:val="en-IN"/>
              </w:rPr>
            </w:pPr>
          </w:p>
        </w:tc>
        <w:tc>
          <w:tcPr>
            <w:tcW w:w="503" w:type="pct"/>
            <w:tcBorders>
              <w:top w:val="nil"/>
              <w:left w:val="nil"/>
              <w:bottom w:val="nil"/>
              <w:right w:val="nil"/>
            </w:tcBorders>
            <w:noWrap/>
            <w:vAlign w:val="bottom"/>
            <w:hideMark/>
          </w:tcPr>
          <w:p w14:paraId="0F517FBA" w14:textId="77777777" w:rsidR="006D2E30" w:rsidRPr="006D2E30" w:rsidRDefault="006D2E30" w:rsidP="006D2E30">
            <w:pPr>
              <w:spacing w:before="0" w:after="0" w:line="240" w:lineRule="auto"/>
              <w:jc w:val="left"/>
              <w:rPr>
                <w:sz w:val="20"/>
                <w:szCs w:val="20"/>
                <w:lang w:val="en-IN"/>
              </w:rPr>
            </w:pPr>
          </w:p>
        </w:tc>
        <w:tc>
          <w:tcPr>
            <w:tcW w:w="503" w:type="pct"/>
            <w:tcBorders>
              <w:top w:val="nil"/>
              <w:left w:val="nil"/>
              <w:bottom w:val="nil"/>
              <w:right w:val="nil"/>
            </w:tcBorders>
            <w:noWrap/>
            <w:vAlign w:val="bottom"/>
            <w:hideMark/>
          </w:tcPr>
          <w:p w14:paraId="449DC48B" w14:textId="77777777" w:rsidR="006D2E30" w:rsidRPr="006D2E30" w:rsidRDefault="006D2E30" w:rsidP="006D2E30">
            <w:pPr>
              <w:spacing w:before="0" w:after="0" w:line="240" w:lineRule="auto"/>
              <w:jc w:val="left"/>
              <w:rPr>
                <w:sz w:val="20"/>
                <w:szCs w:val="20"/>
                <w:lang w:val="en-IN"/>
              </w:rPr>
            </w:pPr>
          </w:p>
        </w:tc>
        <w:tc>
          <w:tcPr>
            <w:tcW w:w="537" w:type="pct"/>
            <w:tcBorders>
              <w:top w:val="nil"/>
              <w:left w:val="nil"/>
              <w:bottom w:val="nil"/>
              <w:right w:val="nil"/>
            </w:tcBorders>
            <w:noWrap/>
            <w:vAlign w:val="bottom"/>
            <w:hideMark/>
          </w:tcPr>
          <w:p w14:paraId="7389F301" w14:textId="77777777" w:rsidR="006D2E30" w:rsidRPr="006D2E30" w:rsidRDefault="006D2E30" w:rsidP="006D2E30">
            <w:pPr>
              <w:spacing w:before="0" w:after="0" w:line="240" w:lineRule="auto"/>
              <w:jc w:val="left"/>
              <w:rPr>
                <w:sz w:val="20"/>
                <w:szCs w:val="20"/>
                <w:lang w:val="en-IN"/>
              </w:rPr>
            </w:pPr>
          </w:p>
        </w:tc>
      </w:tr>
      <w:tr w:rsidR="006D2E30" w:rsidRPr="006D2E30" w14:paraId="46001086" w14:textId="77777777" w:rsidTr="006D2E30">
        <w:trPr>
          <w:trHeight w:val="312"/>
          <w:jc w:val="center"/>
        </w:trPr>
        <w:tc>
          <w:tcPr>
            <w:tcW w:w="2207" w:type="pct"/>
            <w:tcBorders>
              <w:top w:val="single" w:sz="4" w:space="0" w:color="auto"/>
              <w:left w:val="single" w:sz="4" w:space="0" w:color="auto"/>
              <w:bottom w:val="single" w:sz="4" w:space="0" w:color="auto"/>
              <w:right w:val="single" w:sz="4" w:space="0" w:color="auto"/>
            </w:tcBorders>
            <w:noWrap/>
            <w:vAlign w:val="bottom"/>
            <w:hideMark/>
          </w:tcPr>
          <w:p w14:paraId="3D8C5949"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Liquidity Ratios</w:t>
            </w:r>
          </w:p>
        </w:tc>
        <w:tc>
          <w:tcPr>
            <w:tcW w:w="625" w:type="pct"/>
            <w:tcBorders>
              <w:top w:val="single" w:sz="4" w:space="0" w:color="auto"/>
              <w:left w:val="nil"/>
              <w:bottom w:val="single" w:sz="4" w:space="0" w:color="auto"/>
              <w:right w:val="single" w:sz="4" w:space="0" w:color="auto"/>
            </w:tcBorders>
            <w:noWrap/>
            <w:vAlign w:val="bottom"/>
            <w:hideMark/>
          </w:tcPr>
          <w:p w14:paraId="4C4A1731"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2024</w:t>
            </w:r>
          </w:p>
        </w:tc>
        <w:tc>
          <w:tcPr>
            <w:tcW w:w="625" w:type="pct"/>
            <w:tcBorders>
              <w:top w:val="single" w:sz="4" w:space="0" w:color="auto"/>
              <w:left w:val="nil"/>
              <w:bottom w:val="single" w:sz="4" w:space="0" w:color="auto"/>
              <w:right w:val="single" w:sz="4" w:space="0" w:color="auto"/>
            </w:tcBorders>
            <w:noWrap/>
            <w:vAlign w:val="bottom"/>
            <w:hideMark/>
          </w:tcPr>
          <w:p w14:paraId="51688C31"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2023</w:t>
            </w:r>
          </w:p>
        </w:tc>
        <w:tc>
          <w:tcPr>
            <w:tcW w:w="503" w:type="pct"/>
            <w:tcBorders>
              <w:top w:val="single" w:sz="4" w:space="0" w:color="auto"/>
              <w:left w:val="nil"/>
              <w:bottom w:val="single" w:sz="4" w:space="0" w:color="auto"/>
              <w:right w:val="single" w:sz="4" w:space="0" w:color="auto"/>
            </w:tcBorders>
            <w:noWrap/>
            <w:vAlign w:val="bottom"/>
            <w:hideMark/>
          </w:tcPr>
          <w:p w14:paraId="32D70207"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2022</w:t>
            </w:r>
          </w:p>
        </w:tc>
        <w:tc>
          <w:tcPr>
            <w:tcW w:w="503" w:type="pct"/>
            <w:tcBorders>
              <w:top w:val="single" w:sz="4" w:space="0" w:color="auto"/>
              <w:left w:val="nil"/>
              <w:bottom w:val="single" w:sz="4" w:space="0" w:color="auto"/>
              <w:right w:val="single" w:sz="4" w:space="0" w:color="auto"/>
            </w:tcBorders>
            <w:noWrap/>
            <w:vAlign w:val="bottom"/>
            <w:hideMark/>
          </w:tcPr>
          <w:p w14:paraId="7D75924B"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2021</w:t>
            </w:r>
          </w:p>
        </w:tc>
        <w:tc>
          <w:tcPr>
            <w:tcW w:w="537" w:type="pct"/>
            <w:tcBorders>
              <w:top w:val="single" w:sz="4" w:space="0" w:color="auto"/>
              <w:left w:val="nil"/>
              <w:bottom w:val="single" w:sz="4" w:space="0" w:color="auto"/>
              <w:right w:val="single" w:sz="4" w:space="0" w:color="auto"/>
            </w:tcBorders>
            <w:noWrap/>
            <w:vAlign w:val="bottom"/>
            <w:hideMark/>
          </w:tcPr>
          <w:p w14:paraId="227A3997"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2020</w:t>
            </w:r>
          </w:p>
        </w:tc>
      </w:tr>
      <w:tr w:rsidR="006D2E30" w:rsidRPr="006D2E30" w14:paraId="08330500" w14:textId="77777777" w:rsidTr="006D2E30">
        <w:trPr>
          <w:trHeight w:val="312"/>
          <w:jc w:val="center"/>
        </w:trPr>
        <w:tc>
          <w:tcPr>
            <w:tcW w:w="2207" w:type="pct"/>
            <w:tcBorders>
              <w:top w:val="nil"/>
              <w:left w:val="single" w:sz="4" w:space="0" w:color="auto"/>
              <w:bottom w:val="single" w:sz="4" w:space="0" w:color="auto"/>
              <w:right w:val="single" w:sz="4" w:space="0" w:color="auto"/>
            </w:tcBorders>
            <w:noWrap/>
            <w:vAlign w:val="bottom"/>
            <w:hideMark/>
          </w:tcPr>
          <w:p w14:paraId="0B86C724"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"Current ratio"</w:t>
            </w:r>
          </w:p>
        </w:tc>
        <w:tc>
          <w:tcPr>
            <w:tcW w:w="625" w:type="pct"/>
            <w:tcBorders>
              <w:top w:val="nil"/>
              <w:left w:val="nil"/>
              <w:bottom w:val="single" w:sz="4" w:space="0" w:color="auto"/>
              <w:right w:val="single" w:sz="4" w:space="0" w:color="auto"/>
            </w:tcBorders>
            <w:noWrap/>
            <w:vAlign w:val="bottom"/>
            <w:hideMark/>
          </w:tcPr>
          <w:p w14:paraId="4C92571E"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1.19</w:t>
            </w:r>
          </w:p>
        </w:tc>
        <w:tc>
          <w:tcPr>
            <w:tcW w:w="625" w:type="pct"/>
            <w:tcBorders>
              <w:top w:val="nil"/>
              <w:left w:val="nil"/>
              <w:bottom w:val="single" w:sz="4" w:space="0" w:color="auto"/>
              <w:right w:val="single" w:sz="4" w:space="0" w:color="auto"/>
            </w:tcBorders>
            <w:noWrap/>
            <w:vAlign w:val="bottom"/>
            <w:hideMark/>
          </w:tcPr>
          <w:p w14:paraId="2524E5BA"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1.10</w:t>
            </w:r>
          </w:p>
        </w:tc>
        <w:tc>
          <w:tcPr>
            <w:tcW w:w="503" w:type="pct"/>
            <w:tcBorders>
              <w:top w:val="nil"/>
              <w:left w:val="nil"/>
              <w:bottom w:val="single" w:sz="4" w:space="0" w:color="auto"/>
              <w:right w:val="single" w:sz="4" w:space="0" w:color="auto"/>
            </w:tcBorders>
            <w:noWrap/>
            <w:vAlign w:val="bottom"/>
            <w:hideMark/>
          </w:tcPr>
          <w:p w14:paraId="138DE385"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1.09</w:t>
            </w:r>
          </w:p>
        </w:tc>
        <w:tc>
          <w:tcPr>
            <w:tcW w:w="503" w:type="pct"/>
            <w:tcBorders>
              <w:top w:val="nil"/>
              <w:left w:val="nil"/>
              <w:bottom w:val="single" w:sz="4" w:space="0" w:color="auto"/>
              <w:right w:val="single" w:sz="4" w:space="0" w:color="auto"/>
            </w:tcBorders>
            <w:noWrap/>
            <w:vAlign w:val="bottom"/>
            <w:hideMark/>
          </w:tcPr>
          <w:p w14:paraId="455E1BB7"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1.06</w:t>
            </w:r>
          </w:p>
        </w:tc>
        <w:tc>
          <w:tcPr>
            <w:tcW w:w="537" w:type="pct"/>
            <w:tcBorders>
              <w:top w:val="nil"/>
              <w:left w:val="nil"/>
              <w:bottom w:val="single" w:sz="4" w:space="0" w:color="auto"/>
              <w:right w:val="single" w:sz="4" w:space="0" w:color="auto"/>
            </w:tcBorders>
            <w:noWrap/>
            <w:vAlign w:val="bottom"/>
            <w:hideMark/>
          </w:tcPr>
          <w:p w14:paraId="465A1060"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1.04</w:t>
            </w:r>
          </w:p>
        </w:tc>
      </w:tr>
      <w:tr w:rsidR="006D2E30" w:rsidRPr="006D2E30" w14:paraId="3E3E1E7D" w14:textId="77777777" w:rsidTr="006D2E30">
        <w:trPr>
          <w:trHeight w:val="312"/>
          <w:jc w:val="center"/>
        </w:trPr>
        <w:tc>
          <w:tcPr>
            <w:tcW w:w="2207" w:type="pct"/>
            <w:tcBorders>
              <w:top w:val="nil"/>
              <w:left w:val="single" w:sz="4" w:space="0" w:color="auto"/>
              <w:bottom w:val="single" w:sz="4" w:space="0" w:color="auto"/>
              <w:right w:val="single" w:sz="4" w:space="0" w:color="auto"/>
            </w:tcBorders>
            <w:noWrap/>
            <w:vAlign w:val="bottom"/>
            <w:hideMark/>
          </w:tcPr>
          <w:p w14:paraId="2853877A"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"Acid test ratio"</w:t>
            </w:r>
          </w:p>
        </w:tc>
        <w:tc>
          <w:tcPr>
            <w:tcW w:w="625" w:type="pct"/>
            <w:tcBorders>
              <w:top w:val="nil"/>
              <w:left w:val="nil"/>
              <w:bottom w:val="single" w:sz="4" w:space="0" w:color="auto"/>
              <w:right w:val="single" w:sz="4" w:space="0" w:color="auto"/>
            </w:tcBorders>
            <w:noWrap/>
            <w:vAlign w:val="bottom"/>
            <w:hideMark/>
          </w:tcPr>
          <w:p w14:paraId="278108D2"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1.03</w:t>
            </w:r>
          </w:p>
        </w:tc>
        <w:tc>
          <w:tcPr>
            <w:tcW w:w="625" w:type="pct"/>
            <w:tcBorders>
              <w:top w:val="nil"/>
              <w:left w:val="nil"/>
              <w:bottom w:val="single" w:sz="4" w:space="0" w:color="auto"/>
              <w:right w:val="single" w:sz="4" w:space="0" w:color="auto"/>
            </w:tcBorders>
            <w:noWrap/>
            <w:vAlign w:val="bottom"/>
            <w:hideMark/>
          </w:tcPr>
          <w:p w14:paraId="1C3C2E4B"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0.93</w:t>
            </w:r>
          </w:p>
        </w:tc>
        <w:tc>
          <w:tcPr>
            <w:tcW w:w="503" w:type="pct"/>
            <w:tcBorders>
              <w:top w:val="nil"/>
              <w:left w:val="nil"/>
              <w:bottom w:val="single" w:sz="4" w:space="0" w:color="auto"/>
              <w:right w:val="single" w:sz="4" w:space="0" w:color="auto"/>
            </w:tcBorders>
            <w:noWrap/>
            <w:vAlign w:val="bottom"/>
            <w:hideMark/>
          </w:tcPr>
          <w:p w14:paraId="4BC8AA18"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0.91</w:t>
            </w:r>
          </w:p>
        </w:tc>
        <w:tc>
          <w:tcPr>
            <w:tcW w:w="503" w:type="pct"/>
            <w:tcBorders>
              <w:top w:val="nil"/>
              <w:left w:val="nil"/>
              <w:bottom w:val="single" w:sz="4" w:space="0" w:color="auto"/>
              <w:right w:val="single" w:sz="4" w:space="0" w:color="auto"/>
            </w:tcBorders>
            <w:noWrap/>
            <w:vAlign w:val="bottom"/>
            <w:hideMark/>
          </w:tcPr>
          <w:p w14:paraId="6C32330F"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0.93</w:t>
            </w:r>
          </w:p>
        </w:tc>
        <w:tc>
          <w:tcPr>
            <w:tcW w:w="537" w:type="pct"/>
            <w:tcBorders>
              <w:top w:val="nil"/>
              <w:left w:val="nil"/>
              <w:bottom w:val="single" w:sz="4" w:space="0" w:color="auto"/>
              <w:right w:val="single" w:sz="4" w:space="0" w:color="auto"/>
            </w:tcBorders>
            <w:noWrap/>
            <w:vAlign w:val="bottom"/>
            <w:hideMark/>
          </w:tcPr>
          <w:p w14:paraId="5CDDA635"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0.91</w:t>
            </w:r>
          </w:p>
        </w:tc>
      </w:tr>
      <w:tr w:rsidR="006D2E30" w:rsidRPr="006D2E30" w14:paraId="25D01E35" w14:textId="77777777" w:rsidTr="006D2E30">
        <w:trPr>
          <w:trHeight w:val="312"/>
          <w:jc w:val="center"/>
        </w:trPr>
        <w:tc>
          <w:tcPr>
            <w:tcW w:w="2207" w:type="pct"/>
            <w:tcBorders>
              <w:top w:val="nil"/>
              <w:left w:val="single" w:sz="4" w:space="0" w:color="auto"/>
              <w:bottom w:val="single" w:sz="4" w:space="0" w:color="auto"/>
              <w:right w:val="single" w:sz="4" w:space="0" w:color="auto"/>
            </w:tcBorders>
            <w:noWrap/>
            <w:vAlign w:val="bottom"/>
            <w:hideMark/>
          </w:tcPr>
          <w:p w14:paraId="70247614"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"Cash ratio"</w:t>
            </w:r>
          </w:p>
        </w:tc>
        <w:tc>
          <w:tcPr>
            <w:tcW w:w="625" w:type="pct"/>
            <w:tcBorders>
              <w:top w:val="nil"/>
              <w:left w:val="nil"/>
              <w:bottom w:val="single" w:sz="4" w:space="0" w:color="auto"/>
              <w:right w:val="single" w:sz="4" w:space="0" w:color="auto"/>
            </w:tcBorders>
            <w:noWrap/>
            <w:vAlign w:val="bottom"/>
            <w:hideMark/>
          </w:tcPr>
          <w:p w14:paraId="41D2C0D8"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0.32</w:t>
            </w:r>
          </w:p>
        </w:tc>
        <w:tc>
          <w:tcPr>
            <w:tcW w:w="625" w:type="pct"/>
            <w:tcBorders>
              <w:top w:val="nil"/>
              <w:left w:val="nil"/>
              <w:bottom w:val="single" w:sz="4" w:space="0" w:color="auto"/>
              <w:right w:val="single" w:sz="4" w:space="0" w:color="auto"/>
            </w:tcBorders>
            <w:noWrap/>
            <w:vAlign w:val="bottom"/>
            <w:hideMark/>
          </w:tcPr>
          <w:p w14:paraId="4D3D07BE"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0.31</w:t>
            </w:r>
          </w:p>
        </w:tc>
        <w:tc>
          <w:tcPr>
            <w:tcW w:w="503" w:type="pct"/>
            <w:tcBorders>
              <w:top w:val="nil"/>
              <w:left w:val="nil"/>
              <w:bottom w:val="single" w:sz="4" w:space="0" w:color="auto"/>
              <w:right w:val="single" w:sz="4" w:space="0" w:color="auto"/>
            </w:tcBorders>
            <w:noWrap/>
            <w:vAlign w:val="bottom"/>
            <w:hideMark/>
          </w:tcPr>
          <w:p w14:paraId="395EE5BB"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0.28</w:t>
            </w:r>
          </w:p>
        </w:tc>
        <w:tc>
          <w:tcPr>
            <w:tcW w:w="503" w:type="pct"/>
            <w:tcBorders>
              <w:top w:val="nil"/>
              <w:left w:val="nil"/>
              <w:bottom w:val="single" w:sz="4" w:space="0" w:color="auto"/>
              <w:right w:val="single" w:sz="4" w:space="0" w:color="auto"/>
            </w:tcBorders>
            <w:noWrap/>
            <w:vAlign w:val="bottom"/>
            <w:hideMark/>
          </w:tcPr>
          <w:p w14:paraId="08A00B62"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0.24</w:t>
            </w:r>
          </w:p>
        </w:tc>
        <w:tc>
          <w:tcPr>
            <w:tcW w:w="537" w:type="pct"/>
            <w:tcBorders>
              <w:top w:val="nil"/>
              <w:left w:val="nil"/>
              <w:bottom w:val="single" w:sz="4" w:space="0" w:color="auto"/>
              <w:right w:val="single" w:sz="4" w:space="0" w:color="auto"/>
            </w:tcBorders>
            <w:noWrap/>
            <w:vAlign w:val="bottom"/>
            <w:hideMark/>
          </w:tcPr>
          <w:p w14:paraId="7EE156E9"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0.23</w:t>
            </w:r>
          </w:p>
        </w:tc>
      </w:tr>
      <w:tr w:rsidR="006D2E30" w:rsidRPr="006D2E30" w14:paraId="3684333A" w14:textId="77777777" w:rsidTr="006D2E30">
        <w:trPr>
          <w:trHeight w:val="300"/>
          <w:jc w:val="center"/>
        </w:trPr>
        <w:tc>
          <w:tcPr>
            <w:tcW w:w="2207" w:type="pct"/>
            <w:tcBorders>
              <w:top w:val="nil"/>
              <w:left w:val="nil"/>
              <w:bottom w:val="nil"/>
              <w:right w:val="nil"/>
            </w:tcBorders>
            <w:noWrap/>
            <w:vAlign w:val="bottom"/>
            <w:hideMark/>
          </w:tcPr>
          <w:p w14:paraId="3C23B0F2" w14:textId="77777777" w:rsidR="006D2E30" w:rsidRPr="006D2E30" w:rsidRDefault="006D2E30" w:rsidP="006D2E30">
            <w:pPr>
              <w:spacing w:before="0" w:after="0" w:line="240" w:lineRule="auto"/>
              <w:jc w:val="right"/>
              <w:rPr>
                <w:rFonts w:ascii="Arial" w:hAnsi="Arial" w:cs="Arial"/>
                <w:color w:val="000000"/>
                <w:lang w:val="en-IN"/>
              </w:rPr>
            </w:pPr>
          </w:p>
        </w:tc>
        <w:tc>
          <w:tcPr>
            <w:tcW w:w="625" w:type="pct"/>
            <w:tcBorders>
              <w:top w:val="nil"/>
              <w:left w:val="nil"/>
              <w:bottom w:val="nil"/>
              <w:right w:val="nil"/>
            </w:tcBorders>
            <w:noWrap/>
            <w:vAlign w:val="bottom"/>
            <w:hideMark/>
          </w:tcPr>
          <w:p w14:paraId="4047F7A6" w14:textId="77777777" w:rsidR="006D2E30" w:rsidRPr="006D2E30" w:rsidRDefault="006D2E30" w:rsidP="006D2E30">
            <w:pPr>
              <w:spacing w:before="0" w:after="0" w:line="240" w:lineRule="auto"/>
              <w:jc w:val="left"/>
              <w:rPr>
                <w:sz w:val="20"/>
                <w:szCs w:val="20"/>
                <w:lang w:val="en-IN"/>
              </w:rPr>
            </w:pPr>
          </w:p>
        </w:tc>
        <w:tc>
          <w:tcPr>
            <w:tcW w:w="625" w:type="pct"/>
            <w:tcBorders>
              <w:top w:val="nil"/>
              <w:left w:val="nil"/>
              <w:bottom w:val="nil"/>
              <w:right w:val="nil"/>
            </w:tcBorders>
            <w:noWrap/>
            <w:vAlign w:val="bottom"/>
            <w:hideMark/>
          </w:tcPr>
          <w:p w14:paraId="23F47CF0" w14:textId="77777777" w:rsidR="006D2E30" w:rsidRPr="006D2E30" w:rsidRDefault="006D2E30" w:rsidP="006D2E30">
            <w:pPr>
              <w:spacing w:before="0" w:after="0" w:line="240" w:lineRule="auto"/>
              <w:jc w:val="left"/>
              <w:rPr>
                <w:sz w:val="20"/>
                <w:szCs w:val="20"/>
                <w:lang w:val="en-IN"/>
              </w:rPr>
            </w:pPr>
          </w:p>
        </w:tc>
        <w:tc>
          <w:tcPr>
            <w:tcW w:w="503" w:type="pct"/>
            <w:tcBorders>
              <w:top w:val="nil"/>
              <w:left w:val="nil"/>
              <w:bottom w:val="nil"/>
              <w:right w:val="nil"/>
            </w:tcBorders>
            <w:noWrap/>
            <w:vAlign w:val="bottom"/>
            <w:hideMark/>
          </w:tcPr>
          <w:p w14:paraId="7569D0A9" w14:textId="77777777" w:rsidR="006D2E30" w:rsidRPr="006D2E30" w:rsidRDefault="006D2E30" w:rsidP="006D2E30">
            <w:pPr>
              <w:spacing w:before="0" w:after="0" w:line="240" w:lineRule="auto"/>
              <w:jc w:val="left"/>
              <w:rPr>
                <w:sz w:val="20"/>
                <w:szCs w:val="20"/>
                <w:lang w:val="en-IN"/>
              </w:rPr>
            </w:pPr>
          </w:p>
        </w:tc>
        <w:tc>
          <w:tcPr>
            <w:tcW w:w="503" w:type="pct"/>
            <w:tcBorders>
              <w:top w:val="nil"/>
              <w:left w:val="nil"/>
              <w:bottom w:val="nil"/>
              <w:right w:val="nil"/>
            </w:tcBorders>
            <w:noWrap/>
            <w:vAlign w:val="bottom"/>
            <w:hideMark/>
          </w:tcPr>
          <w:p w14:paraId="7776DC8D" w14:textId="77777777" w:rsidR="006D2E30" w:rsidRPr="006D2E30" w:rsidRDefault="006D2E30" w:rsidP="006D2E30">
            <w:pPr>
              <w:spacing w:before="0" w:after="0" w:line="240" w:lineRule="auto"/>
              <w:jc w:val="left"/>
              <w:rPr>
                <w:sz w:val="20"/>
                <w:szCs w:val="20"/>
                <w:lang w:val="en-IN"/>
              </w:rPr>
            </w:pPr>
          </w:p>
        </w:tc>
        <w:tc>
          <w:tcPr>
            <w:tcW w:w="537" w:type="pct"/>
            <w:tcBorders>
              <w:top w:val="nil"/>
              <w:left w:val="nil"/>
              <w:bottom w:val="nil"/>
              <w:right w:val="nil"/>
            </w:tcBorders>
            <w:noWrap/>
            <w:vAlign w:val="bottom"/>
            <w:hideMark/>
          </w:tcPr>
          <w:p w14:paraId="25F8027D" w14:textId="77777777" w:rsidR="006D2E30" w:rsidRPr="006D2E30" w:rsidRDefault="006D2E30" w:rsidP="006D2E30">
            <w:pPr>
              <w:spacing w:before="0" w:after="0" w:line="240" w:lineRule="auto"/>
              <w:jc w:val="left"/>
              <w:rPr>
                <w:sz w:val="20"/>
                <w:szCs w:val="20"/>
                <w:lang w:val="en-IN"/>
              </w:rPr>
            </w:pPr>
          </w:p>
        </w:tc>
      </w:tr>
      <w:tr w:rsidR="006D2E30" w:rsidRPr="006D2E30" w14:paraId="5E58CC6A" w14:textId="77777777" w:rsidTr="006D2E30">
        <w:trPr>
          <w:trHeight w:val="312"/>
          <w:jc w:val="center"/>
        </w:trPr>
        <w:tc>
          <w:tcPr>
            <w:tcW w:w="2207" w:type="pct"/>
            <w:tcBorders>
              <w:top w:val="single" w:sz="4" w:space="0" w:color="auto"/>
              <w:left w:val="single" w:sz="4" w:space="0" w:color="auto"/>
              <w:bottom w:val="single" w:sz="4" w:space="0" w:color="auto"/>
              <w:right w:val="single" w:sz="4" w:space="0" w:color="auto"/>
            </w:tcBorders>
            <w:noWrap/>
            <w:vAlign w:val="bottom"/>
            <w:hideMark/>
          </w:tcPr>
          <w:p w14:paraId="08AE0C4B"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Efficiency Ratios</w:t>
            </w:r>
          </w:p>
        </w:tc>
        <w:tc>
          <w:tcPr>
            <w:tcW w:w="625" w:type="pct"/>
            <w:tcBorders>
              <w:top w:val="single" w:sz="4" w:space="0" w:color="auto"/>
              <w:left w:val="nil"/>
              <w:bottom w:val="single" w:sz="4" w:space="0" w:color="auto"/>
              <w:right w:val="single" w:sz="4" w:space="0" w:color="auto"/>
            </w:tcBorders>
            <w:noWrap/>
            <w:vAlign w:val="bottom"/>
            <w:hideMark/>
          </w:tcPr>
          <w:p w14:paraId="181A5305"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2024</w:t>
            </w:r>
          </w:p>
        </w:tc>
        <w:tc>
          <w:tcPr>
            <w:tcW w:w="625" w:type="pct"/>
            <w:tcBorders>
              <w:top w:val="single" w:sz="4" w:space="0" w:color="auto"/>
              <w:left w:val="nil"/>
              <w:bottom w:val="single" w:sz="4" w:space="0" w:color="auto"/>
              <w:right w:val="single" w:sz="4" w:space="0" w:color="auto"/>
            </w:tcBorders>
            <w:noWrap/>
            <w:vAlign w:val="bottom"/>
            <w:hideMark/>
          </w:tcPr>
          <w:p w14:paraId="44EF9C04"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2023</w:t>
            </w:r>
          </w:p>
        </w:tc>
        <w:tc>
          <w:tcPr>
            <w:tcW w:w="503" w:type="pct"/>
            <w:tcBorders>
              <w:top w:val="single" w:sz="4" w:space="0" w:color="auto"/>
              <w:left w:val="nil"/>
              <w:bottom w:val="single" w:sz="4" w:space="0" w:color="auto"/>
              <w:right w:val="single" w:sz="4" w:space="0" w:color="auto"/>
            </w:tcBorders>
            <w:noWrap/>
            <w:vAlign w:val="bottom"/>
            <w:hideMark/>
          </w:tcPr>
          <w:p w14:paraId="37411DF2"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2022</w:t>
            </w:r>
          </w:p>
        </w:tc>
        <w:tc>
          <w:tcPr>
            <w:tcW w:w="503" w:type="pct"/>
            <w:tcBorders>
              <w:top w:val="single" w:sz="4" w:space="0" w:color="auto"/>
              <w:left w:val="nil"/>
              <w:bottom w:val="single" w:sz="4" w:space="0" w:color="auto"/>
              <w:right w:val="single" w:sz="4" w:space="0" w:color="auto"/>
            </w:tcBorders>
            <w:noWrap/>
            <w:vAlign w:val="bottom"/>
            <w:hideMark/>
          </w:tcPr>
          <w:p w14:paraId="5826943F"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2021</w:t>
            </w:r>
          </w:p>
        </w:tc>
        <w:tc>
          <w:tcPr>
            <w:tcW w:w="537" w:type="pct"/>
            <w:tcBorders>
              <w:top w:val="single" w:sz="4" w:space="0" w:color="auto"/>
              <w:left w:val="nil"/>
              <w:bottom w:val="single" w:sz="4" w:space="0" w:color="auto"/>
              <w:right w:val="single" w:sz="4" w:space="0" w:color="auto"/>
            </w:tcBorders>
            <w:noWrap/>
            <w:vAlign w:val="bottom"/>
            <w:hideMark/>
          </w:tcPr>
          <w:p w14:paraId="5B120BBA"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2020</w:t>
            </w:r>
          </w:p>
        </w:tc>
      </w:tr>
      <w:tr w:rsidR="006D2E30" w:rsidRPr="006D2E30" w14:paraId="46F90F7D" w14:textId="77777777" w:rsidTr="006D2E30">
        <w:trPr>
          <w:trHeight w:val="312"/>
          <w:jc w:val="center"/>
        </w:trPr>
        <w:tc>
          <w:tcPr>
            <w:tcW w:w="2207" w:type="pct"/>
            <w:tcBorders>
              <w:top w:val="nil"/>
              <w:left w:val="single" w:sz="4" w:space="0" w:color="auto"/>
              <w:bottom w:val="single" w:sz="4" w:space="0" w:color="auto"/>
              <w:right w:val="single" w:sz="4" w:space="0" w:color="auto"/>
            </w:tcBorders>
            <w:noWrap/>
            <w:vAlign w:val="bottom"/>
            <w:hideMark/>
          </w:tcPr>
          <w:p w14:paraId="0FA6E34A"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"Receivables Turnover ratio"</w:t>
            </w:r>
          </w:p>
        </w:tc>
        <w:tc>
          <w:tcPr>
            <w:tcW w:w="625" w:type="pct"/>
            <w:tcBorders>
              <w:top w:val="nil"/>
              <w:left w:val="nil"/>
              <w:bottom w:val="single" w:sz="4" w:space="0" w:color="auto"/>
              <w:right w:val="single" w:sz="4" w:space="0" w:color="auto"/>
            </w:tcBorders>
            <w:noWrap/>
            <w:vAlign w:val="bottom"/>
            <w:hideMark/>
          </w:tcPr>
          <w:p w14:paraId="106A4D20"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11.90</w:t>
            </w:r>
          </w:p>
        </w:tc>
        <w:tc>
          <w:tcPr>
            <w:tcW w:w="625" w:type="pct"/>
            <w:tcBorders>
              <w:top w:val="nil"/>
              <w:left w:val="nil"/>
              <w:bottom w:val="single" w:sz="4" w:space="0" w:color="auto"/>
              <w:right w:val="single" w:sz="4" w:space="0" w:color="auto"/>
            </w:tcBorders>
            <w:noWrap/>
            <w:vAlign w:val="bottom"/>
            <w:hideMark/>
          </w:tcPr>
          <w:p w14:paraId="591D83CA"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10.36</w:t>
            </w:r>
          </w:p>
        </w:tc>
        <w:tc>
          <w:tcPr>
            <w:tcW w:w="503" w:type="pct"/>
            <w:tcBorders>
              <w:top w:val="nil"/>
              <w:left w:val="nil"/>
              <w:bottom w:val="single" w:sz="4" w:space="0" w:color="auto"/>
              <w:right w:val="single" w:sz="4" w:space="0" w:color="auto"/>
            </w:tcBorders>
            <w:noWrap/>
            <w:vAlign w:val="bottom"/>
            <w:hideMark/>
          </w:tcPr>
          <w:p w14:paraId="5C55BAF1"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9.98</w:t>
            </w:r>
          </w:p>
        </w:tc>
        <w:tc>
          <w:tcPr>
            <w:tcW w:w="503" w:type="pct"/>
            <w:tcBorders>
              <w:top w:val="nil"/>
              <w:left w:val="nil"/>
              <w:bottom w:val="single" w:sz="4" w:space="0" w:color="auto"/>
              <w:right w:val="single" w:sz="4" w:space="0" w:color="auto"/>
            </w:tcBorders>
            <w:noWrap/>
            <w:vAlign w:val="bottom"/>
            <w:hideMark/>
          </w:tcPr>
          <w:p w14:paraId="5FF1923B"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9.20</w:t>
            </w:r>
          </w:p>
        </w:tc>
        <w:tc>
          <w:tcPr>
            <w:tcW w:w="537" w:type="pct"/>
            <w:tcBorders>
              <w:top w:val="nil"/>
              <w:left w:val="nil"/>
              <w:bottom w:val="single" w:sz="4" w:space="0" w:color="auto"/>
              <w:right w:val="single" w:sz="4" w:space="0" w:color="auto"/>
            </w:tcBorders>
            <w:noWrap/>
            <w:vAlign w:val="bottom"/>
            <w:hideMark/>
          </w:tcPr>
          <w:p w14:paraId="5183C3BD"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52.99</w:t>
            </w:r>
          </w:p>
        </w:tc>
      </w:tr>
      <w:tr w:rsidR="006D2E30" w:rsidRPr="006D2E30" w14:paraId="2E3E0A9B" w14:textId="77777777" w:rsidTr="006D2E30">
        <w:trPr>
          <w:trHeight w:val="312"/>
          <w:jc w:val="center"/>
        </w:trPr>
        <w:tc>
          <w:tcPr>
            <w:tcW w:w="2207" w:type="pct"/>
            <w:tcBorders>
              <w:top w:val="nil"/>
              <w:left w:val="single" w:sz="4" w:space="0" w:color="auto"/>
              <w:bottom w:val="single" w:sz="4" w:space="0" w:color="auto"/>
              <w:right w:val="single" w:sz="4" w:space="0" w:color="auto"/>
            </w:tcBorders>
            <w:noWrap/>
            <w:vAlign w:val="bottom"/>
            <w:hideMark/>
          </w:tcPr>
          <w:p w14:paraId="5BD4027A"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"Inventory Turnover ratio"</w:t>
            </w:r>
          </w:p>
        </w:tc>
        <w:tc>
          <w:tcPr>
            <w:tcW w:w="625" w:type="pct"/>
            <w:tcBorders>
              <w:top w:val="nil"/>
              <w:left w:val="nil"/>
              <w:bottom w:val="single" w:sz="4" w:space="0" w:color="auto"/>
              <w:right w:val="single" w:sz="4" w:space="0" w:color="auto"/>
            </w:tcBorders>
            <w:noWrap/>
            <w:vAlign w:val="bottom"/>
            <w:hideMark/>
          </w:tcPr>
          <w:p w14:paraId="6F6FFAE1"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9.79</w:t>
            </w:r>
          </w:p>
        </w:tc>
        <w:tc>
          <w:tcPr>
            <w:tcW w:w="625" w:type="pct"/>
            <w:tcBorders>
              <w:top w:val="nil"/>
              <w:left w:val="nil"/>
              <w:bottom w:val="single" w:sz="4" w:space="0" w:color="auto"/>
              <w:right w:val="single" w:sz="4" w:space="0" w:color="auto"/>
            </w:tcBorders>
            <w:noWrap/>
            <w:vAlign w:val="bottom"/>
            <w:hideMark/>
          </w:tcPr>
          <w:p w14:paraId="35F86D8B"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8.73</w:t>
            </w:r>
          </w:p>
        </w:tc>
        <w:tc>
          <w:tcPr>
            <w:tcW w:w="503" w:type="pct"/>
            <w:tcBorders>
              <w:top w:val="nil"/>
              <w:left w:val="nil"/>
              <w:bottom w:val="single" w:sz="4" w:space="0" w:color="auto"/>
              <w:right w:val="single" w:sz="4" w:space="0" w:color="auto"/>
            </w:tcBorders>
            <w:noWrap/>
            <w:vAlign w:val="bottom"/>
            <w:hideMark/>
          </w:tcPr>
          <w:p w14:paraId="168F453D"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8.21</w:t>
            </w:r>
          </w:p>
        </w:tc>
        <w:tc>
          <w:tcPr>
            <w:tcW w:w="503" w:type="pct"/>
            <w:tcBorders>
              <w:top w:val="nil"/>
              <w:left w:val="nil"/>
              <w:bottom w:val="single" w:sz="4" w:space="0" w:color="auto"/>
              <w:right w:val="single" w:sz="4" w:space="0" w:color="auto"/>
            </w:tcBorders>
            <w:noWrap/>
            <w:vAlign w:val="bottom"/>
            <w:hideMark/>
          </w:tcPr>
          <w:p w14:paraId="1160038A"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9.42</w:t>
            </w:r>
          </w:p>
        </w:tc>
        <w:tc>
          <w:tcPr>
            <w:tcW w:w="537" w:type="pct"/>
            <w:tcBorders>
              <w:top w:val="nil"/>
              <w:left w:val="nil"/>
              <w:bottom w:val="single" w:sz="4" w:space="0" w:color="auto"/>
              <w:right w:val="single" w:sz="4" w:space="0" w:color="auto"/>
            </w:tcBorders>
            <w:noWrap/>
            <w:vAlign w:val="bottom"/>
            <w:hideMark/>
          </w:tcPr>
          <w:p w14:paraId="2B747876"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12.29</w:t>
            </w:r>
          </w:p>
        </w:tc>
      </w:tr>
      <w:tr w:rsidR="006D2E30" w:rsidRPr="006D2E30" w14:paraId="299072F1" w14:textId="77777777" w:rsidTr="006D2E30">
        <w:trPr>
          <w:trHeight w:val="312"/>
          <w:jc w:val="center"/>
        </w:trPr>
        <w:tc>
          <w:tcPr>
            <w:tcW w:w="2207" w:type="pct"/>
            <w:tcBorders>
              <w:top w:val="nil"/>
              <w:left w:val="single" w:sz="4" w:space="0" w:color="auto"/>
              <w:bottom w:val="single" w:sz="4" w:space="0" w:color="auto"/>
              <w:right w:val="single" w:sz="4" w:space="0" w:color="auto"/>
            </w:tcBorders>
            <w:noWrap/>
            <w:vAlign w:val="bottom"/>
            <w:hideMark/>
          </w:tcPr>
          <w:p w14:paraId="1D299794"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"Fixed Asset Turnover"</w:t>
            </w:r>
          </w:p>
        </w:tc>
        <w:tc>
          <w:tcPr>
            <w:tcW w:w="625" w:type="pct"/>
            <w:tcBorders>
              <w:top w:val="nil"/>
              <w:left w:val="nil"/>
              <w:bottom w:val="single" w:sz="4" w:space="0" w:color="auto"/>
              <w:right w:val="single" w:sz="4" w:space="0" w:color="auto"/>
            </w:tcBorders>
            <w:noWrap/>
            <w:vAlign w:val="bottom"/>
            <w:hideMark/>
          </w:tcPr>
          <w:p w14:paraId="5FA8D63D"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24.84</w:t>
            </w:r>
          </w:p>
        </w:tc>
        <w:tc>
          <w:tcPr>
            <w:tcW w:w="625" w:type="pct"/>
            <w:tcBorders>
              <w:top w:val="nil"/>
              <w:left w:val="nil"/>
              <w:bottom w:val="single" w:sz="4" w:space="0" w:color="auto"/>
              <w:right w:val="single" w:sz="4" w:space="0" w:color="auto"/>
            </w:tcBorders>
            <w:noWrap/>
            <w:vAlign w:val="bottom"/>
            <w:hideMark/>
          </w:tcPr>
          <w:p w14:paraId="6B2FDB51"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25.81</w:t>
            </w:r>
          </w:p>
        </w:tc>
        <w:tc>
          <w:tcPr>
            <w:tcW w:w="503" w:type="pct"/>
            <w:tcBorders>
              <w:top w:val="nil"/>
              <w:left w:val="nil"/>
              <w:bottom w:val="single" w:sz="4" w:space="0" w:color="auto"/>
              <w:right w:val="single" w:sz="4" w:space="0" w:color="auto"/>
            </w:tcBorders>
            <w:noWrap/>
            <w:vAlign w:val="bottom"/>
            <w:hideMark/>
          </w:tcPr>
          <w:p w14:paraId="25FDA79E"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26.21</w:t>
            </w:r>
          </w:p>
        </w:tc>
        <w:tc>
          <w:tcPr>
            <w:tcW w:w="503" w:type="pct"/>
            <w:tcBorders>
              <w:top w:val="nil"/>
              <w:left w:val="nil"/>
              <w:bottom w:val="single" w:sz="4" w:space="0" w:color="auto"/>
              <w:right w:val="single" w:sz="4" w:space="0" w:color="auto"/>
            </w:tcBorders>
            <w:noWrap/>
            <w:vAlign w:val="bottom"/>
            <w:hideMark/>
          </w:tcPr>
          <w:p w14:paraId="0F140F2D"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22.42</w:t>
            </w:r>
          </w:p>
        </w:tc>
        <w:tc>
          <w:tcPr>
            <w:tcW w:w="537" w:type="pct"/>
            <w:tcBorders>
              <w:top w:val="nil"/>
              <w:left w:val="nil"/>
              <w:bottom w:val="single" w:sz="4" w:space="0" w:color="auto"/>
              <w:right w:val="single" w:sz="4" w:space="0" w:color="auto"/>
            </w:tcBorders>
            <w:noWrap/>
            <w:vAlign w:val="bottom"/>
            <w:hideMark/>
          </w:tcPr>
          <w:p w14:paraId="0F96DC5C"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21.26</w:t>
            </w:r>
          </w:p>
        </w:tc>
      </w:tr>
      <w:tr w:rsidR="006D2E30" w:rsidRPr="006D2E30" w14:paraId="54A2AFDC" w14:textId="77777777" w:rsidTr="006D2E30">
        <w:trPr>
          <w:trHeight w:val="300"/>
          <w:jc w:val="center"/>
        </w:trPr>
        <w:tc>
          <w:tcPr>
            <w:tcW w:w="2207" w:type="pct"/>
            <w:tcBorders>
              <w:top w:val="nil"/>
              <w:left w:val="nil"/>
              <w:bottom w:val="nil"/>
              <w:right w:val="nil"/>
            </w:tcBorders>
            <w:noWrap/>
            <w:vAlign w:val="bottom"/>
            <w:hideMark/>
          </w:tcPr>
          <w:p w14:paraId="25963FE6" w14:textId="77777777" w:rsidR="006D2E30" w:rsidRPr="006D2E30" w:rsidRDefault="006D2E30" w:rsidP="006D2E30">
            <w:pPr>
              <w:spacing w:before="0" w:after="0" w:line="240" w:lineRule="auto"/>
              <w:jc w:val="right"/>
              <w:rPr>
                <w:rFonts w:ascii="Arial" w:hAnsi="Arial" w:cs="Arial"/>
                <w:color w:val="000000"/>
                <w:lang w:val="en-IN"/>
              </w:rPr>
            </w:pPr>
          </w:p>
        </w:tc>
        <w:tc>
          <w:tcPr>
            <w:tcW w:w="625" w:type="pct"/>
            <w:tcBorders>
              <w:top w:val="nil"/>
              <w:left w:val="nil"/>
              <w:bottom w:val="nil"/>
              <w:right w:val="nil"/>
            </w:tcBorders>
            <w:noWrap/>
            <w:vAlign w:val="bottom"/>
            <w:hideMark/>
          </w:tcPr>
          <w:p w14:paraId="101E24D0" w14:textId="77777777" w:rsidR="006D2E30" w:rsidRPr="006D2E30" w:rsidRDefault="006D2E30" w:rsidP="006D2E30">
            <w:pPr>
              <w:spacing w:before="0" w:after="0" w:line="240" w:lineRule="auto"/>
              <w:jc w:val="left"/>
              <w:rPr>
                <w:sz w:val="20"/>
                <w:szCs w:val="20"/>
                <w:lang w:val="en-IN"/>
              </w:rPr>
            </w:pPr>
          </w:p>
        </w:tc>
        <w:tc>
          <w:tcPr>
            <w:tcW w:w="625" w:type="pct"/>
            <w:tcBorders>
              <w:top w:val="nil"/>
              <w:left w:val="nil"/>
              <w:bottom w:val="nil"/>
              <w:right w:val="nil"/>
            </w:tcBorders>
            <w:noWrap/>
            <w:vAlign w:val="bottom"/>
            <w:hideMark/>
          </w:tcPr>
          <w:p w14:paraId="6F76F343" w14:textId="77777777" w:rsidR="006D2E30" w:rsidRPr="006D2E30" w:rsidRDefault="006D2E30" w:rsidP="006D2E30">
            <w:pPr>
              <w:spacing w:before="0" w:after="0" w:line="240" w:lineRule="auto"/>
              <w:jc w:val="left"/>
              <w:rPr>
                <w:sz w:val="20"/>
                <w:szCs w:val="20"/>
                <w:lang w:val="en-IN"/>
              </w:rPr>
            </w:pPr>
          </w:p>
        </w:tc>
        <w:tc>
          <w:tcPr>
            <w:tcW w:w="503" w:type="pct"/>
            <w:tcBorders>
              <w:top w:val="nil"/>
              <w:left w:val="nil"/>
              <w:bottom w:val="nil"/>
              <w:right w:val="nil"/>
            </w:tcBorders>
            <w:noWrap/>
            <w:vAlign w:val="bottom"/>
            <w:hideMark/>
          </w:tcPr>
          <w:p w14:paraId="415F37EB" w14:textId="77777777" w:rsidR="006D2E30" w:rsidRPr="006D2E30" w:rsidRDefault="006D2E30" w:rsidP="006D2E30">
            <w:pPr>
              <w:spacing w:before="0" w:after="0" w:line="240" w:lineRule="auto"/>
              <w:jc w:val="left"/>
              <w:rPr>
                <w:sz w:val="20"/>
                <w:szCs w:val="20"/>
                <w:lang w:val="en-IN"/>
              </w:rPr>
            </w:pPr>
          </w:p>
        </w:tc>
        <w:tc>
          <w:tcPr>
            <w:tcW w:w="503" w:type="pct"/>
            <w:tcBorders>
              <w:top w:val="nil"/>
              <w:left w:val="nil"/>
              <w:bottom w:val="nil"/>
              <w:right w:val="nil"/>
            </w:tcBorders>
            <w:noWrap/>
            <w:vAlign w:val="bottom"/>
            <w:hideMark/>
          </w:tcPr>
          <w:p w14:paraId="7CF0FF78" w14:textId="77777777" w:rsidR="006D2E30" w:rsidRPr="006D2E30" w:rsidRDefault="006D2E30" w:rsidP="006D2E30">
            <w:pPr>
              <w:spacing w:before="0" w:after="0" w:line="240" w:lineRule="auto"/>
              <w:jc w:val="left"/>
              <w:rPr>
                <w:sz w:val="20"/>
                <w:szCs w:val="20"/>
                <w:lang w:val="en-IN"/>
              </w:rPr>
            </w:pPr>
          </w:p>
        </w:tc>
        <w:tc>
          <w:tcPr>
            <w:tcW w:w="537" w:type="pct"/>
            <w:tcBorders>
              <w:top w:val="nil"/>
              <w:left w:val="nil"/>
              <w:bottom w:val="nil"/>
              <w:right w:val="nil"/>
            </w:tcBorders>
            <w:noWrap/>
            <w:vAlign w:val="bottom"/>
            <w:hideMark/>
          </w:tcPr>
          <w:p w14:paraId="44859B46" w14:textId="77777777" w:rsidR="006D2E30" w:rsidRPr="006D2E30" w:rsidRDefault="006D2E30" w:rsidP="006D2E30">
            <w:pPr>
              <w:spacing w:before="0" w:after="0" w:line="240" w:lineRule="auto"/>
              <w:jc w:val="left"/>
              <w:rPr>
                <w:sz w:val="20"/>
                <w:szCs w:val="20"/>
                <w:lang w:val="en-IN"/>
              </w:rPr>
            </w:pPr>
          </w:p>
        </w:tc>
      </w:tr>
      <w:tr w:rsidR="006D2E30" w:rsidRPr="006D2E30" w14:paraId="1B70230C" w14:textId="77777777" w:rsidTr="006D2E30">
        <w:trPr>
          <w:trHeight w:val="312"/>
          <w:jc w:val="center"/>
        </w:trPr>
        <w:tc>
          <w:tcPr>
            <w:tcW w:w="2207" w:type="pct"/>
            <w:tcBorders>
              <w:top w:val="single" w:sz="4" w:space="0" w:color="auto"/>
              <w:left w:val="single" w:sz="4" w:space="0" w:color="auto"/>
              <w:bottom w:val="single" w:sz="4" w:space="0" w:color="auto"/>
              <w:right w:val="single" w:sz="4" w:space="0" w:color="auto"/>
            </w:tcBorders>
            <w:noWrap/>
            <w:vAlign w:val="bottom"/>
            <w:hideMark/>
          </w:tcPr>
          <w:p w14:paraId="00416630"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Gearing Ratios</w:t>
            </w:r>
          </w:p>
        </w:tc>
        <w:tc>
          <w:tcPr>
            <w:tcW w:w="625" w:type="pct"/>
            <w:tcBorders>
              <w:top w:val="single" w:sz="4" w:space="0" w:color="auto"/>
              <w:left w:val="nil"/>
              <w:bottom w:val="single" w:sz="4" w:space="0" w:color="auto"/>
              <w:right w:val="single" w:sz="4" w:space="0" w:color="auto"/>
            </w:tcBorders>
            <w:noWrap/>
            <w:vAlign w:val="bottom"/>
            <w:hideMark/>
          </w:tcPr>
          <w:p w14:paraId="67F9FC0D"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2024</w:t>
            </w:r>
          </w:p>
        </w:tc>
        <w:tc>
          <w:tcPr>
            <w:tcW w:w="625" w:type="pct"/>
            <w:tcBorders>
              <w:top w:val="single" w:sz="4" w:space="0" w:color="auto"/>
              <w:left w:val="nil"/>
              <w:bottom w:val="single" w:sz="4" w:space="0" w:color="auto"/>
              <w:right w:val="single" w:sz="4" w:space="0" w:color="auto"/>
            </w:tcBorders>
            <w:noWrap/>
            <w:vAlign w:val="bottom"/>
            <w:hideMark/>
          </w:tcPr>
          <w:p w14:paraId="7C477CE6"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2023</w:t>
            </w:r>
          </w:p>
        </w:tc>
        <w:tc>
          <w:tcPr>
            <w:tcW w:w="503" w:type="pct"/>
            <w:tcBorders>
              <w:top w:val="single" w:sz="4" w:space="0" w:color="auto"/>
              <w:left w:val="nil"/>
              <w:bottom w:val="single" w:sz="4" w:space="0" w:color="auto"/>
              <w:right w:val="single" w:sz="4" w:space="0" w:color="auto"/>
            </w:tcBorders>
            <w:noWrap/>
            <w:vAlign w:val="bottom"/>
            <w:hideMark/>
          </w:tcPr>
          <w:p w14:paraId="5D8F8DA5"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2022</w:t>
            </w:r>
          </w:p>
        </w:tc>
        <w:tc>
          <w:tcPr>
            <w:tcW w:w="503" w:type="pct"/>
            <w:tcBorders>
              <w:top w:val="single" w:sz="4" w:space="0" w:color="auto"/>
              <w:left w:val="nil"/>
              <w:bottom w:val="single" w:sz="4" w:space="0" w:color="auto"/>
              <w:right w:val="single" w:sz="4" w:space="0" w:color="auto"/>
            </w:tcBorders>
            <w:noWrap/>
            <w:vAlign w:val="bottom"/>
            <w:hideMark/>
          </w:tcPr>
          <w:p w14:paraId="6739EA26"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2021</w:t>
            </w:r>
          </w:p>
        </w:tc>
        <w:tc>
          <w:tcPr>
            <w:tcW w:w="537" w:type="pct"/>
            <w:tcBorders>
              <w:top w:val="single" w:sz="4" w:space="0" w:color="auto"/>
              <w:left w:val="nil"/>
              <w:bottom w:val="single" w:sz="4" w:space="0" w:color="auto"/>
              <w:right w:val="single" w:sz="4" w:space="0" w:color="auto"/>
            </w:tcBorders>
            <w:noWrap/>
            <w:vAlign w:val="bottom"/>
            <w:hideMark/>
          </w:tcPr>
          <w:p w14:paraId="33D8B3A2"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2020</w:t>
            </w:r>
          </w:p>
        </w:tc>
      </w:tr>
      <w:tr w:rsidR="006D2E30" w:rsidRPr="006D2E30" w14:paraId="3A172CB2" w14:textId="77777777" w:rsidTr="006D2E30">
        <w:trPr>
          <w:trHeight w:val="312"/>
          <w:jc w:val="center"/>
        </w:trPr>
        <w:tc>
          <w:tcPr>
            <w:tcW w:w="2207" w:type="pct"/>
            <w:tcBorders>
              <w:top w:val="nil"/>
              <w:left w:val="single" w:sz="4" w:space="0" w:color="auto"/>
              <w:bottom w:val="single" w:sz="4" w:space="0" w:color="auto"/>
              <w:right w:val="single" w:sz="4" w:space="0" w:color="auto"/>
            </w:tcBorders>
            <w:noWrap/>
            <w:vAlign w:val="bottom"/>
            <w:hideMark/>
          </w:tcPr>
          <w:p w14:paraId="37FD4AFE"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"Debt to Equity Ratio"</w:t>
            </w:r>
          </w:p>
        </w:tc>
        <w:tc>
          <w:tcPr>
            <w:tcW w:w="625" w:type="pct"/>
            <w:tcBorders>
              <w:top w:val="nil"/>
              <w:left w:val="nil"/>
              <w:bottom w:val="single" w:sz="4" w:space="0" w:color="auto"/>
              <w:right w:val="single" w:sz="4" w:space="0" w:color="auto"/>
            </w:tcBorders>
            <w:noWrap/>
            <w:vAlign w:val="bottom"/>
            <w:hideMark/>
          </w:tcPr>
          <w:p w14:paraId="0B32BEA1"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1.56</w:t>
            </w:r>
          </w:p>
        </w:tc>
        <w:tc>
          <w:tcPr>
            <w:tcW w:w="625" w:type="pct"/>
            <w:tcBorders>
              <w:top w:val="nil"/>
              <w:left w:val="nil"/>
              <w:bottom w:val="single" w:sz="4" w:space="0" w:color="auto"/>
              <w:right w:val="single" w:sz="4" w:space="0" w:color="auto"/>
            </w:tcBorders>
            <w:noWrap/>
            <w:vAlign w:val="bottom"/>
            <w:hideMark/>
          </w:tcPr>
          <w:p w14:paraId="34C7DD7D"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1.54</w:t>
            </w:r>
          </w:p>
        </w:tc>
        <w:tc>
          <w:tcPr>
            <w:tcW w:w="503" w:type="pct"/>
            <w:tcBorders>
              <w:top w:val="nil"/>
              <w:left w:val="nil"/>
              <w:bottom w:val="single" w:sz="4" w:space="0" w:color="auto"/>
              <w:right w:val="single" w:sz="4" w:space="0" w:color="auto"/>
            </w:tcBorders>
            <w:noWrap/>
            <w:vAlign w:val="bottom"/>
            <w:hideMark/>
          </w:tcPr>
          <w:p w14:paraId="7288C452"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1.49</w:t>
            </w:r>
          </w:p>
        </w:tc>
        <w:tc>
          <w:tcPr>
            <w:tcW w:w="503" w:type="pct"/>
            <w:tcBorders>
              <w:top w:val="nil"/>
              <w:left w:val="nil"/>
              <w:bottom w:val="single" w:sz="4" w:space="0" w:color="auto"/>
              <w:right w:val="single" w:sz="4" w:space="0" w:color="auto"/>
            </w:tcBorders>
            <w:noWrap/>
            <w:vAlign w:val="bottom"/>
            <w:hideMark/>
          </w:tcPr>
          <w:p w14:paraId="03E07BAC"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1.56</w:t>
            </w:r>
          </w:p>
        </w:tc>
        <w:tc>
          <w:tcPr>
            <w:tcW w:w="537" w:type="pct"/>
            <w:tcBorders>
              <w:top w:val="nil"/>
              <w:left w:val="nil"/>
              <w:bottom w:val="single" w:sz="4" w:space="0" w:color="auto"/>
              <w:right w:val="single" w:sz="4" w:space="0" w:color="auto"/>
            </w:tcBorders>
            <w:noWrap/>
            <w:vAlign w:val="bottom"/>
            <w:hideMark/>
          </w:tcPr>
          <w:p w14:paraId="55F52EF4"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1.52</w:t>
            </w:r>
          </w:p>
        </w:tc>
      </w:tr>
      <w:tr w:rsidR="006D2E30" w:rsidRPr="006D2E30" w14:paraId="7C56E6F5" w14:textId="77777777" w:rsidTr="006D2E30">
        <w:trPr>
          <w:trHeight w:val="312"/>
          <w:jc w:val="center"/>
        </w:trPr>
        <w:tc>
          <w:tcPr>
            <w:tcW w:w="2207" w:type="pct"/>
            <w:tcBorders>
              <w:top w:val="nil"/>
              <w:left w:val="single" w:sz="4" w:space="0" w:color="auto"/>
              <w:bottom w:val="single" w:sz="4" w:space="0" w:color="auto"/>
              <w:right w:val="single" w:sz="4" w:space="0" w:color="auto"/>
            </w:tcBorders>
            <w:noWrap/>
            <w:vAlign w:val="bottom"/>
            <w:hideMark/>
          </w:tcPr>
          <w:p w14:paraId="261A6B47"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"Times Interest Earned Ratio"</w:t>
            </w:r>
          </w:p>
        </w:tc>
        <w:tc>
          <w:tcPr>
            <w:tcW w:w="625" w:type="pct"/>
            <w:tcBorders>
              <w:top w:val="nil"/>
              <w:left w:val="nil"/>
              <w:bottom w:val="single" w:sz="4" w:space="0" w:color="auto"/>
              <w:right w:val="single" w:sz="4" w:space="0" w:color="auto"/>
            </w:tcBorders>
            <w:noWrap/>
            <w:vAlign w:val="bottom"/>
            <w:hideMark/>
          </w:tcPr>
          <w:p w14:paraId="5E9248A0"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67.16</w:t>
            </w:r>
          </w:p>
        </w:tc>
        <w:tc>
          <w:tcPr>
            <w:tcW w:w="625" w:type="pct"/>
            <w:tcBorders>
              <w:top w:val="nil"/>
              <w:left w:val="nil"/>
              <w:bottom w:val="single" w:sz="4" w:space="0" w:color="auto"/>
              <w:right w:val="single" w:sz="4" w:space="0" w:color="auto"/>
            </w:tcBorders>
            <w:noWrap/>
            <w:vAlign w:val="bottom"/>
            <w:hideMark/>
          </w:tcPr>
          <w:p w14:paraId="2CF9070E"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29.32</w:t>
            </w:r>
          </w:p>
        </w:tc>
        <w:tc>
          <w:tcPr>
            <w:tcW w:w="503" w:type="pct"/>
            <w:tcBorders>
              <w:top w:val="nil"/>
              <w:left w:val="nil"/>
              <w:bottom w:val="single" w:sz="4" w:space="0" w:color="auto"/>
              <w:right w:val="single" w:sz="4" w:space="0" w:color="auto"/>
            </w:tcBorders>
            <w:noWrap/>
            <w:vAlign w:val="bottom"/>
            <w:hideMark/>
          </w:tcPr>
          <w:p w14:paraId="68907143"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90.70</w:t>
            </w:r>
          </w:p>
        </w:tc>
        <w:tc>
          <w:tcPr>
            <w:tcW w:w="503" w:type="pct"/>
            <w:tcBorders>
              <w:top w:val="nil"/>
              <w:left w:val="nil"/>
              <w:bottom w:val="single" w:sz="4" w:space="0" w:color="auto"/>
              <w:right w:val="single" w:sz="4" w:space="0" w:color="auto"/>
            </w:tcBorders>
            <w:noWrap/>
            <w:vAlign w:val="bottom"/>
            <w:hideMark/>
          </w:tcPr>
          <w:p w14:paraId="0855F4A1"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61.69</w:t>
            </w:r>
          </w:p>
        </w:tc>
        <w:tc>
          <w:tcPr>
            <w:tcW w:w="537" w:type="pct"/>
            <w:tcBorders>
              <w:top w:val="nil"/>
              <w:left w:val="nil"/>
              <w:bottom w:val="single" w:sz="4" w:space="0" w:color="auto"/>
              <w:right w:val="single" w:sz="4" w:space="0" w:color="auto"/>
            </w:tcBorders>
            <w:noWrap/>
            <w:vAlign w:val="bottom"/>
            <w:hideMark/>
          </w:tcPr>
          <w:p w14:paraId="64967D6F"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79.29</w:t>
            </w:r>
          </w:p>
        </w:tc>
      </w:tr>
      <w:tr w:rsidR="006D2E30" w:rsidRPr="006D2E30" w14:paraId="470DABD2" w14:textId="77777777" w:rsidTr="006D2E30">
        <w:trPr>
          <w:trHeight w:val="300"/>
          <w:jc w:val="center"/>
        </w:trPr>
        <w:tc>
          <w:tcPr>
            <w:tcW w:w="2207" w:type="pct"/>
            <w:tcBorders>
              <w:top w:val="nil"/>
              <w:left w:val="nil"/>
              <w:bottom w:val="nil"/>
              <w:right w:val="nil"/>
            </w:tcBorders>
            <w:noWrap/>
            <w:vAlign w:val="bottom"/>
            <w:hideMark/>
          </w:tcPr>
          <w:p w14:paraId="2CE74AD4" w14:textId="77777777" w:rsidR="006D2E30" w:rsidRPr="006D2E30" w:rsidRDefault="006D2E30" w:rsidP="006D2E30">
            <w:pPr>
              <w:spacing w:before="0" w:after="0" w:line="240" w:lineRule="auto"/>
              <w:jc w:val="right"/>
              <w:rPr>
                <w:rFonts w:ascii="Arial" w:hAnsi="Arial" w:cs="Arial"/>
                <w:color w:val="000000"/>
                <w:lang w:val="en-IN"/>
              </w:rPr>
            </w:pPr>
          </w:p>
        </w:tc>
        <w:tc>
          <w:tcPr>
            <w:tcW w:w="625" w:type="pct"/>
            <w:tcBorders>
              <w:top w:val="nil"/>
              <w:left w:val="nil"/>
              <w:bottom w:val="nil"/>
              <w:right w:val="nil"/>
            </w:tcBorders>
            <w:noWrap/>
            <w:vAlign w:val="bottom"/>
            <w:hideMark/>
          </w:tcPr>
          <w:p w14:paraId="402E6A60" w14:textId="77777777" w:rsidR="006D2E30" w:rsidRPr="006D2E30" w:rsidRDefault="006D2E30" w:rsidP="006D2E30">
            <w:pPr>
              <w:spacing w:before="0" w:after="0" w:line="240" w:lineRule="auto"/>
              <w:jc w:val="left"/>
              <w:rPr>
                <w:sz w:val="20"/>
                <w:szCs w:val="20"/>
                <w:lang w:val="en-IN"/>
              </w:rPr>
            </w:pPr>
          </w:p>
        </w:tc>
        <w:tc>
          <w:tcPr>
            <w:tcW w:w="625" w:type="pct"/>
            <w:tcBorders>
              <w:top w:val="nil"/>
              <w:left w:val="nil"/>
              <w:bottom w:val="nil"/>
              <w:right w:val="nil"/>
            </w:tcBorders>
            <w:noWrap/>
            <w:vAlign w:val="bottom"/>
            <w:hideMark/>
          </w:tcPr>
          <w:p w14:paraId="4FB3CA07" w14:textId="77777777" w:rsidR="006D2E30" w:rsidRPr="006D2E30" w:rsidRDefault="006D2E30" w:rsidP="006D2E30">
            <w:pPr>
              <w:spacing w:before="0" w:after="0" w:line="240" w:lineRule="auto"/>
              <w:jc w:val="left"/>
              <w:rPr>
                <w:sz w:val="20"/>
                <w:szCs w:val="20"/>
                <w:lang w:val="en-IN"/>
              </w:rPr>
            </w:pPr>
          </w:p>
        </w:tc>
        <w:tc>
          <w:tcPr>
            <w:tcW w:w="503" w:type="pct"/>
            <w:tcBorders>
              <w:top w:val="nil"/>
              <w:left w:val="nil"/>
              <w:bottom w:val="nil"/>
              <w:right w:val="nil"/>
            </w:tcBorders>
            <w:noWrap/>
            <w:vAlign w:val="bottom"/>
            <w:hideMark/>
          </w:tcPr>
          <w:p w14:paraId="3F5A50A0" w14:textId="77777777" w:rsidR="006D2E30" w:rsidRPr="006D2E30" w:rsidRDefault="006D2E30" w:rsidP="006D2E30">
            <w:pPr>
              <w:spacing w:before="0" w:after="0" w:line="240" w:lineRule="auto"/>
              <w:jc w:val="left"/>
              <w:rPr>
                <w:sz w:val="20"/>
                <w:szCs w:val="20"/>
                <w:lang w:val="en-IN"/>
              </w:rPr>
            </w:pPr>
          </w:p>
        </w:tc>
        <w:tc>
          <w:tcPr>
            <w:tcW w:w="503" w:type="pct"/>
            <w:tcBorders>
              <w:top w:val="nil"/>
              <w:left w:val="nil"/>
              <w:bottom w:val="nil"/>
              <w:right w:val="nil"/>
            </w:tcBorders>
            <w:noWrap/>
            <w:vAlign w:val="bottom"/>
            <w:hideMark/>
          </w:tcPr>
          <w:p w14:paraId="06D3DB0D" w14:textId="77777777" w:rsidR="006D2E30" w:rsidRPr="006D2E30" w:rsidRDefault="006D2E30" w:rsidP="006D2E30">
            <w:pPr>
              <w:spacing w:before="0" w:after="0" w:line="240" w:lineRule="auto"/>
              <w:jc w:val="left"/>
              <w:rPr>
                <w:sz w:val="20"/>
                <w:szCs w:val="20"/>
                <w:lang w:val="en-IN"/>
              </w:rPr>
            </w:pPr>
          </w:p>
        </w:tc>
        <w:tc>
          <w:tcPr>
            <w:tcW w:w="537" w:type="pct"/>
            <w:tcBorders>
              <w:top w:val="nil"/>
              <w:left w:val="nil"/>
              <w:bottom w:val="nil"/>
              <w:right w:val="nil"/>
            </w:tcBorders>
            <w:noWrap/>
            <w:vAlign w:val="bottom"/>
            <w:hideMark/>
          </w:tcPr>
          <w:p w14:paraId="08873BCC" w14:textId="77777777" w:rsidR="006D2E30" w:rsidRPr="006D2E30" w:rsidRDefault="006D2E30" w:rsidP="006D2E30">
            <w:pPr>
              <w:spacing w:before="0" w:after="0" w:line="240" w:lineRule="auto"/>
              <w:jc w:val="left"/>
              <w:rPr>
                <w:sz w:val="20"/>
                <w:szCs w:val="20"/>
                <w:lang w:val="en-IN"/>
              </w:rPr>
            </w:pPr>
          </w:p>
        </w:tc>
      </w:tr>
      <w:tr w:rsidR="006D2E30" w:rsidRPr="006D2E30" w14:paraId="53B5890E" w14:textId="77777777" w:rsidTr="006D2E30">
        <w:trPr>
          <w:trHeight w:val="300"/>
          <w:jc w:val="center"/>
        </w:trPr>
        <w:tc>
          <w:tcPr>
            <w:tcW w:w="2207" w:type="pct"/>
            <w:tcBorders>
              <w:top w:val="nil"/>
              <w:left w:val="nil"/>
              <w:bottom w:val="nil"/>
              <w:right w:val="nil"/>
            </w:tcBorders>
            <w:noWrap/>
            <w:vAlign w:val="bottom"/>
            <w:hideMark/>
          </w:tcPr>
          <w:p w14:paraId="72855F4B" w14:textId="77777777" w:rsidR="006D2E30" w:rsidRPr="006D2E30" w:rsidRDefault="006D2E30" w:rsidP="006D2E30">
            <w:pPr>
              <w:spacing w:before="0" w:after="0" w:line="240" w:lineRule="auto"/>
              <w:jc w:val="left"/>
              <w:rPr>
                <w:sz w:val="20"/>
                <w:szCs w:val="20"/>
                <w:lang w:val="en-IN"/>
              </w:rPr>
            </w:pPr>
          </w:p>
        </w:tc>
        <w:tc>
          <w:tcPr>
            <w:tcW w:w="625" w:type="pct"/>
            <w:tcBorders>
              <w:top w:val="nil"/>
              <w:left w:val="nil"/>
              <w:bottom w:val="nil"/>
              <w:right w:val="nil"/>
            </w:tcBorders>
            <w:noWrap/>
            <w:vAlign w:val="bottom"/>
            <w:hideMark/>
          </w:tcPr>
          <w:p w14:paraId="01A5AF72" w14:textId="77777777" w:rsidR="006D2E30" w:rsidRPr="006D2E30" w:rsidRDefault="006D2E30" w:rsidP="006D2E30">
            <w:pPr>
              <w:spacing w:before="0" w:after="0" w:line="240" w:lineRule="auto"/>
              <w:jc w:val="left"/>
              <w:rPr>
                <w:sz w:val="20"/>
                <w:szCs w:val="20"/>
                <w:lang w:val="en-IN"/>
              </w:rPr>
            </w:pPr>
          </w:p>
        </w:tc>
        <w:tc>
          <w:tcPr>
            <w:tcW w:w="625" w:type="pct"/>
            <w:tcBorders>
              <w:top w:val="nil"/>
              <w:left w:val="nil"/>
              <w:bottom w:val="nil"/>
              <w:right w:val="nil"/>
            </w:tcBorders>
            <w:noWrap/>
            <w:vAlign w:val="bottom"/>
            <w:hideMark/>
          </w:tcPr>
          <w:p w14:paraId="4C484ACE" w14:textId="77777777" w:rsidR="006D2E30" w:rsidRPr="006D2E30" w:rsidRDefault="006D2E30" w:rsidP="006D2E30">
            <w:pPr>
              <w:spacing w:before="0" w:after="0" w:line="240" w:lineRule="auto"/>
              <w:jc w:val="left"/>
              <w:rPr>
                <w:sz w:val="20"/>
                <w:szCs w:val="20"/>
                <w:lang w:val="en-IN"/>
              </w:rPr>
            </w:pPr>
          </w:p>
        </w:tc>
        <w:tc>
          <w:tcPr>
            <w:tcW w:w="503" w:type="pct"/>
            <w:tcBorders>
              <w:top w:val="nil"/>
              <w:left w:val="nil"/>
              <w:bottom w:val="nil"/>
              <w:right w:val="nil"/>
            </w:tcBorders>
            <w:noWrap/>
            <w:vAlign w:val="bottom"/>
            <w:hideMark/>
          </w:tcPr>
          <w:p w14:paraId="0C6AA8FE" w14:textId="77777777" w:rsidR="006D2E30" w:rsidRPr="006D2E30" w:rsidRDefault="006D2E30" w:rsidP="006D2E30">
            <w:pPr>
              <w:spacing w:before="0" w:after="0" w:line="240" w:lineRule="auto"/>
              <w:jc w:val="left"/>
              <w:rPr>
                <w:sz w:val="20"/>
                <w:szCs w:val="20"/>
                <w:lang w:val="en-IN"/>
              </w:rPr>
            </w:pPr>
          </w:p>
        </w:tc>
        <w:tc>
          <w:tcPr>
            <w:tcW w:w="503" w:type="pct"/>
            <w:tcBorders>
              <w:top w:val="nil"/>
              <w:left w:val="nil"/>
              <w:bottom w:val="nil"/>
              <w:right w:val="nil"/>
            </w:tcBorders>
            <w:noWrap/>
            <w:vAlign w:val="bottom"/>
            <w:hideMark/>
          </w:tcPr>
          <w:p w14:paraId="72E1C348" w14:textId="77777777" w:rsidR="006D2E30" w:rsidRPr="006D2E30" w:rsidRDefault="006D2E30" w:rsidP="006D2E30">
            <w:pPr>
              <w:spacing w:before="0" w:after="0" w:line="240" w:lineRule="auto"/>
              <w:jc w:val="left"/>
              <w:rPr>
                <w:sz w:val="20"/>
                <w:szCs w:val="20"/>
                <w:lang w:val="en-IN"/>
              </w:rPr>
            </w:pPr>
          </w:p>
        </w:tc>
        <w:tc>
          <w:tcPr>
            <w:tcW w:w="537" w:type="pct"/>
            <w:tcBorders>
              <w:top w:val="nil"/>
              <w:left w:val="nil"/>
              <w:bottom w:val="nil"/>
              <w:right w:val="nil"/>
            </w:tcBorders>
            <w:noWrap/>
            <w:vAlign w:val="bottom"/>
            <w:hideMark/>
          </w:tcPr>
          <w:p w14:paraId="5A0D8509" w14:textId="77777777" w:rsidR="006D2E30" w:rsidRPr="006D2E30" w:rsidRDefault="006D2E30" w:rsidP="006D2E30">
            <w:pPr>
              <w:spacing w:before="0" w:after="0" w:line="240" w:lineRule="auto"/>
              <w:jc w:val="left"/>
              <w:rPr>
                <w:sz w:val="20"/>
                <w:szCs w:val="20"/>
                <w:lang w:val="en-IN"/>
              </w:rPr>
            </w:pPr>
          </w:p>
        </w:tc>
      </w:tr>
      <w:tr w:rsidR="006D2E30" w:rsidRPr="006D2E30" w14:paraId="26441400" w14:textId="77777777" w:rsidTr="006D2E30">
        <w:trPr>
          <w:trHeight w:val="312"/>
          <w:jc w:val="center"/>
        </w:trPr>
        <w:tc>
          <w:tcPr>
            <w:tcW w:w="2207" w:type="pct"/>
            <w:tcBorders>
              <w:top w:val="single" w:sz="4" w:space="0" w:color="auto"/>
              <w:left w:val="single" w:sz="4" w:space="0" w:color="auto"/>
              <w:bottom w:val="single" w:sz="4" w:space="0" w:color="auto"/>
              <w:right w:val="single" w:sz="4" w:space="0" w:color="auto"/>
            </w:tcBorders>
            <w:noWrap/>
            <w:vAlign w:val="bottom"/>
            <w:hideMark/>
          </w:tcPr>
          <w:p w14:paraId="7657AF4E"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Investment Ratios</w:t>
            </w:r>
          </w:p>
        </w:tc>
        <w:tc>
          <w:tcPr>
            <w:tcW w:w="625" w:type="pct"/>
            <w:tcBorders>
              <w:top w:val="single" w:sz="4" w:space="0" w:color="auto"/>
              <w:left w:val="nil"/>
              <w:bottom w:val="single" w:sz="4" w:space="0" w:color="auto"/>
              <w:right w:val="single" w:sz="4" w:space="0" w:color="auto"/>
            </w:tcBorders>
            <w:noWrap/>
            <w:vAlign w:val="bottom"/>
            <w:hideMark/>
          </w:tcPr>
          <w:p w14:paraId="1CED3FA5"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2024</w:t>
            </w:r>
          </w:p>
        </w:tc>
        <w:tc>
          <w:tcPr>
            <w:tcW w:w="625" w:type="pct"/>
            <w:tcBorders>
              <w:top w:val="single" w:sz="4" w:space="0" w:color="auto"/>
              <w:left w:val="nil"/>
              <w:bottom w:val="single" w:sz="4" w:space="0" w:color="auto"/>
              <w:right w:val="single" w:sz="4" w:space="0" w:color="auto"/>
            </w:tcBorders>
            <w:noWrap/>
            <w:vAlign w:val="bottom"/>
            <w:hideMark/>
          </w:tcPr>
          <w:p w14:paraId="54AF5D9B"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2023</w:t>
            </w:r>
          </w:p>
        </w:tc>
        <w:tc>
          <w:tcPr>
            <w:tcW w:w="503" w:type="pct"/>
            <w:tcBorders>
              <w:top w:val="single" w:sz="4" w:space="0" w:color="auto"/>
              <w:left w:val="nil"/>
              <w:bottom w:val="single" w:sz="4" w:space="0" w:color="auto"/>
              <w:right w:val="single" w:sz="4" w:space="0" w:color="auto"/>
            </w:tcBorders>
            <w:noWrap/>
            <w:vAlign w:val="bottom"/>
            <w:hideMark/>
          </w:tcPr>
          <w:p w14:paraId="66A6D3C8"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2022</w:t>
            </w:r>
          </w:p>
        </w:tc>
        <w:tc>
          <w:tcPr>
            <w:tcW w:w="503" w:type="pct"/>
            <w:tcBorders>
              <w:top w:val="single" w:sz="4" w:space="0" w:color="auto"/>
              <w:left w:val="nil"/>
              <w:bottom w:val="single" w:sz="4" w:space="0" w:color="auto"/>
              <w:right w:val="single" w:sz="4" w:space="0" w:color="auto"/>
            </w:tcBorders>
            <w:noWrap/>
            <w:vAlign w:val="bottom"/>
            <w:hideMark/>
          </w:tcPr>
          <w:p w14:paraId="29177CA5"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2021</w:t>
            </w:r>
          </w:p>
        </w:tc>
        <w:tc>
          <w:tcPr>
            <w:tcW w:w="537" w:type="pct"/>
            <w:tcBorders>
              <w:top w:val="single" w:sz="4" w:space="0" w:color="auto"/>
              <w:left w:val="nil"/>
              <w:bottom w:val="single" w:sz="4" w:space="0" w:color="auto"/>
              <w:right w:val="single" w:sz="4" w:space="0" w:color="auto"/>
            </w:tcBorders>
            <w:noWrap/>
            <w:vAlign w:val="bottom"/>
            <w:hideMark/>
          </w:tcPr>
          <w:p w14:paraId="05158961"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2020</w:t>
            </w:r>
          </w:p>
        </w:tc>
      </w:tr>
      <w:tr w:rsidR="006D2E30" w:rsidRPr="006D2E30" w14:paraId="2F7C9BA8" w14:textId="77777777" w:rsidTr="006D2E30">
        <w:trPr>
          <w:trHeight w:val="312"/>
          <w:jc w:val="center"/>
        </w:trPr>
        <w:tc>
          <w:tcPr>
            <w:tcW w:w="2207" w:type="pct"/>
            <w:tcBorders>
              <w:top w:val="nil"/>
              <w:left w:val="single" w:sz="4" w:space="0" w:color="auto"/>
              <w:bottom w:val="single" w:sz="4" w:space="0" w:color="auto"/>
              <w:right w:val="single" w:sz="4" w:space="0" w:color="auto"/>
            </w:tcBorders>
            <w:noWrap/>
            <w:vAlign w:val="bottom"/>
            <w:hideMark/>
          </w:tcPr>
          <w:p w14:paraId="1CBFFB99"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"Dividend Payout"</w:t>
            </w:r>
          </w:p>
        </w:tc>
        <w:tc>
          <w:tcPr>
            <w:tcW w:w="625" w:type="pct"/>
            <w:tcBorders>
              <w:top w:val="nil"/>
              <w:left w:val="nil"/>
              <w:bottom w:val="single" w:sz="4" w:space="0" w:color="auto"/>
              <w:right w:val="single" w:sz="4" w:space="0" w:color="auto"/>
            </w:tcBorders>
            <w:noWrap/>
            <w:vAlign w:val="bottom"/>
            <w:hideMark/>
          </w:tcPr>
          <w:p w14:paraId="0C23EDE2"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0.20</w:t>
            </w:r>
          </w:p>
        </w:tc>
        <w:tc>
          <w:tcPr>
            <w:tcW w:w="625" w:type="pct"/>
            <w:tcBorders>
              <w:top w:val="nil"/>
              <w:left w:val="nil"/>
              <w:bottom w:val="single" w:sz="4" w:space="0" w:color="auto"/>
              <w:right w:val="single" w:sz="4" w:space="0" w:color="auto"/>
            </w:tcBorders>
            <w:noWrap/>
            <w:vAlign w:val="bottom"/>
            <w:hideMark/>
          </w:tcPr>
          <w:p w14:paraId="5969ADA6"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0.33</w:t>
            </w:r>
          </w:p>
        </w:tc>
        <w:tc>
          <w:tcPr>
            <w:tcW w:w="503" w:type="pct"/>
            <w:tcBorders>
              <w:top w:val="nil"/>
              <w:left w:val="nil"/>
              <w:bottom w:val="single" w:sz="4" w:space="0" w:color="auto"/>
              <w:right w:val="single" w:sz="4" w:space="0" w:color="auto"/>
            </w:tcBorders>
            <w:noWrap/>
            <w:vAlign w:val="bottom"/>
            <w:hideMark/>
          </w:tcPr>
          <w:p w14:paraId="46379C23"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0.25</w:t>
            </w:r>
          </w:p>
        </w:tc>
        <w:tc>
          <w:tcPr>
            <w:tcW w:w="503" w:type="pct"/>
            <w:tcBorders>
              <w:top w:val="nil"/>
              <w:left w:val="nil"/>
              <w:bottom w:val="single" w:sz="4" w:space="0" w:color="auto"/>
              <w:right w:val="single" w:sz="4" w:space="0" w:color="auto"/>
            </w:tcBorders>
            <w:noWrap/>
            <w:vAlign w:val="bottom"/>
            <w:hideMark/>
          </w:tcPr>
          <w:p w14:paraId="5E6DB498"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0.29</w:t>
            </w:r>
          </w:p>
        </w:tc>
        <w:tc>
          <w:tcPr>
            <w:tcW w:w="537" w:type="pct"/>
            <w:tcBorders>
              <w:top w:val="nil"/>
              <w:left w:val="nil"/>
              <w:bottom w:val="single" w:sz="4" w:space="0" w:color="auto"/>
              <w:right w:val="single" w:sz="4" w:space="0" w:color="auto"/>
            </w:tcBorders>
            <w:noWrap/>
            <w:vAlign w:val="bottom"/>
            <w:hideMark/>
          </w:tcPr>
          <w:p w14:paraId="31B608CE"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0.29</w:t>
            </w:r>
          </w:p>
        </w:tc>
      </w:tr>
      <w:tr w:rsidR="006D2E30" w:rsidRPr="006D2E30" w14:paraId="1B275C9F" w14:textId="77777777" w:rsidTr="006D2E30">
        <w:trPr>
          <w:trHeight w:val="312"/>
          <w:jc w:val="center"/>
        </w:trPr>
        <w:tc>
          <w:tcPr>
            <w:tcW w:w="2207" w:type="pct"/>
            <w:tcBorders>
              <w:top w:val="nil"/>
              <w:left w:val="single" w:sz="4" w:space="0" w:color="auto"/>
              <w:bottom w:val="single" w:sz="4" w:space="0" w:color="auto"/>
              <w:right w:val="single" w:sz="4" w:space="0" w:color="auto"/>
            </w:tcBorders>
            <w:noWrap/>
            <w:vAlign w:val="bottom"/>
            <w:hideMark/>
          </w:tcPr>
          <w:p w14:paraId="5A6C472F"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"PE Ratio"</w:t>
            </w:r>
          </w:p>
        </w:tc>
        <w:tc>
          <w:tcPr>
            <w:tcW w:w="625" w:type="pct"/>
            <w:tcBorders>
              <w:top w:val="nil"/>
              <w:left w:val="nil"/>
              <w:bottom w:val="single" w:sz="4" w:space="0" w:color="auto"/>
              <w:right w:val="single" w:sz="4" w:space="0" w:color="auto"/>
            </w:tcBorders>
            <w:noWrap/>
            <w:vAlign w:val="bottom"/>
            <w:hideMark/>
          </w:tcPr>
          <w:p w14:paraId="06F3B709"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0.06</w:t>
            </w:r>
          </w:p>
        </w:tc>
        <w:tc>
          <w:tcPr>
            <w:tcW w:w="625" w:type="pct"/>
            <w:tcBorders>
              <w:top w:val="nil"/>
              <w:left w:val="nil"/>
              <w:bottom w:val="single" w:sz="4" w:space="0" w:color="auto"/>
              <w:right w:val="single" w:sz="4" w:space="0" w:color="auto"/>
            </w:tcBorders>
            <w:noWrap/>
            <w:vAlign w:val="bottom"/>
            <w:hideMark/>
          </w:tcPr>
          <w:p w14:paraId="4EC18965"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0.11</w:t>
            </w:r>
          </w:p>
        </w:tc>
        <w:tc>
          <w:tcPr>
            <w:tcW w:w="503" w:type="pct"/>
            <w:tcBorders>
              <w:top w:val="nil"/>
              <w:left w:val="nil"/>
              <w:bottom w:val="single" w:sz="4" w:space="0" w:color="auto"/>
              <w:right w:val="single" w:sz="4" w:space="0" w:color="auto"/>
            </w:tcBorders>
            <w:noWrap/>
            <w:vAlign w:val="bottom"/>
            <w:hideMark/>
          </w:tcPr>
          <w:p w14:paraId="71C0B936"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0.08</w:t>
            </w:r>
          </w:p>
        </w:tc>
        <w:tc>
          <w:tcPr>
            <w:tcW w:w="503" w:type="pct"/>
            <w:tcBorders>
              <w:top w:val="nil"/>
              <w:left w:val="nil"/>
              <w:bottom w:val="single" w:sz="4" w:space="0" w:color="auto"/>
              <w:right w:val="single" w:sz="4" w:space="0" w:color="auto"/>
            </w:tcBorders>
            <w:noWrap/>
            <w:vAlign w:val="bottom"/>
            <w:hideMark/>
          </w:tcPr>
          <w:p w14:paraId="098E3E70"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0.12</w:t>
            </w:r>
          </w:p>
        </w:tc>
        <w:tc>
          <w:tcPr>
            <w:tcW w:w="537" w:type="pct"/>
            <w:tcBorders>
              <w:top w:val="nil"/>
              <w:left w:val="nil"/>
              <w:bottom w:val="single" w:sz="4" w:space="0" w:color="auto"/>
              <w:right w:val="single" w:sz="4" w:space="0" w:color="auto"/>
            </w:tcBorders>
            <w:noWrap/>
            <w:vAlign w:val="bottom"/>
            <w:hideMark/>
          </w:tcPr>
          <w:p w14:paraId="30FDFEDE"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0.02</w:t>
            </w:r>
          </w:p>
        </w:tc>
      </w:tr>
      <w:tr w:rsidR="006D2E30" w:rsidRPr="006D2E30" w14:paraId="27D5ABB3" w14:textId="77777777" w:rsidTr="006D2E30">
        <w:trPr>
          <w:trHeight w:val="312"/>
          <w:jc w:val="center"/>
        </w:trPr>
        <w:tc>
          <w:tcPr>
            <w:tcW w:w="2207" w:type="pct"/>
            <w:tcBorders>
              <w:top w:val="nil"/>
              <w:left w:val="single" w:sz="4" w:space="0" w:color="auto"/>
              <w:bottom w:val="single" w:sz="4" w:space="0" w:color="auto"/>
              <w:right w:val="single" w:sz="4" w:space="0" w:color="auto"/>
            </w:tcBorders>
            <w:noWrap/>
            <w:vAlign w:val="bottom"/>
            <w:hideMark/>
          </w:tcPr>
          <w:p w14:paraId="50190EA9"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"Return on Invested Capital (ROIC)"</w:t>
            </w:r>
          </w:p>
        </w:tc>
        <w:tc>
          <w:tcPr>
            <w:tcW w:w="625" w:type="pct"/>
            <w:tcBorders>
              <w:top w:val="nil"/>
              <w:left w:val="nil"/>
              <w:bottom w:val="single" w:sz="4" w:space="0" w:color="auto"/>
              <w:right w:val="single" w:sz="4" w:space="0" w:color="auto"/>
            </w:tcBorders>
            <w:noWrap/>
            <w:vAlign w:val="bottom"/>
            <w:hideMark/>
          </w:tcPr>
          <w:p w14:paraId="6C544D7F"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0.06</w:t>
            </w:r>
          </w:p>
        </w:tc>
        <w:tc>
          <w:tcPr>
            <w:tcW w:w="625" w:type="pct"/>
            <w:tcBorders>
              <w:top w:val="nil"/>
              <w:left w:val="nil"/>
              <w:bottom w:val="single" w:sz="4" w:space="0" w:color="auto"/>
              <w:right w:val="single" w:sz="4" w:space="0" w:color="auto"/>
            </w:tcBorders>
            <w:noWrap/>
            <w:vAlign w:val="bottom"/>
            <w:hideMark/>
          </w:tcPr>
          <w:p w14:paraId="792DF4BF"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0.04</w:t>
            </w:r>
          </w:p>
        </w:tc>
        <w:tc>
          <w:tcPr>
            <w:tcW w:w="503" w:type="pct"/>
            <w:tcBorders>
              <w:top w:val="nil"/>
              <w:left w:val="nil"/>
              <w:bottom w:val="single" w:sz="4" w:space="0" w:color="auto"/>
              <w:right w:val="single" w:sz="4" w:space="0" w:color="auto"/>
            </w:tcBorders>
            <w:noWrap/>
            <w:vAlign w:val="bottom"/>
            <w:hideMark/>
          </w:tcPr>
          <w:p w14:paraId="73134E14"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0.05</w:t>
            </w:r>
          </w:p>
        </w:tc>
        <w:tc>
          <w:tcPr>
            <w:tcW w:w="503" w:type="pct"/>
            <w:tcBorders>
              <w:top w:val="nil"/>
              <w:left w:val="nil"/>
              <w:bottom w:val="single" w:sz="4" w:space="0" w:color="auto"/>
              <w:right w:val="single" w:sz="4" w:space="0" w:color="auto"/>
            </w:tcBorders>
            <w:noWrap/>
            <w:vAlign w:val="bottom"/>
            <w:hideMark/>
          </w:tcPr>
          <w:p w14:paraId="46A7377F"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0.04</w:t>
            </w:r>
          </w:p>
        </w:tc>
        <w:tc>
          <w:tcPr>
            <w:tcW w:w="537" w:type="pct"/>
            <w:tcBorders>
              <w:top w:val="nil"/>
              <w:left w:val="nil"/>
              <w:bottom w:val="single" w:sz="4" w:space="0" w:color="auto"/>
              <w:right w:val="single" w:sz="4" w:space="0" w:color="auto"/>
            </w:tcBorders>
            <w:noWrap/>
            <w:vAlign w:val="bottom"/>
            <w:hideMark/>
          </w:tcPr>
          <w:p w14:paraId="1808E213"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0.04</w:t>
            </w:r>
          </w:p>
        </w:tc>
      </w:tr>
      <w:tr w:rsidR="006D2E30" w:rsidRPr="006D2E30" w14:paraId="1AF4082F" w14:textId="77777777" w:rsidTr="006D2E30">
        <w:trPr>
          <w:trHeight w:val="300"/>
          <w:jc w:val="center"/>
        </w:trPr>
        <w:tc>
          <w:tcPr>
            <w:tcW w:w="2207" w:type="pct"/>
            <w:tcBorders>
              <w:top w:val="nil"/>
              <w:left w:val="nil"/>
              <w:bottom w:val="nil"/>
              <w:right w:val="nil"/>
            </w:tcBorders>
            <w:noWrap/>
            <w:vAlign w:val="bottom"/>
            <w:hideMark/>
          </w:tcPr>
          <w:p w14:paraId="4B28BFBA" w14:textId="77777777" w:rsidR="006D2E30" w:rsidRPr="006D2E30" w:rsidRDefault="006D2E30" w:rsidP="006D2E30">
            <w:pPr>
              <w:spacing w:before="0" w:after="0" w:line="240" w:lineRule="auto"/>
              <w:jc w:val="right"/>
              <w:rPr>
                <w:rFonts w:ascii="Arial" w:hAnsi="Arial" w:cs="Arial"/>
                <w:color w:val="000000"/>
                <w:lang w:val="en-IN"/>
              </w:rPr>
            </w:pPr>
          </w:p>
        </w:tc>
        <w:tc>
          <w:tcPr>
            <w:tcW w:w="625" w:type="pct"/>
            <w:tcBorders>
              <w:top w:val="nil"/>
              <w:left w:val="nil"/>
              <w:bottom w:val="nil"/>
              <w:right w:val="nil"/>
            </w:tcBorders>
            <w:noWrap/>
            <w:vAlign w:val="bottom"/>
            <w:hideMark/>
          </w:tcPr>
          <w:p w14:paraId="75502A45" w14:textId="77777777" w:rsidR="006D2E30" w:rsidRPr="006D2E30" w:rsidRDefault="006D2E30" w:rsidP="006D2E30">
            <w:pPr>
              <w:spacing w:before="0" w:after="0" w:line="240" w:lineRule="auto"/>
              <w:jc w:val="left"/>
              <w:rPr>
                <w:sz w:val="20"/>
                <w:szCs w:val="20"/>
                <w:lang w:val="en-IN"/>
              </w:rPr>
            </w:pPr>
          </w:p>
        </w:tc>
        <w:tc>
          <w:tcPr>
            <w:tcW w:w="625" w:type="pct"/>
            <w:tcBorders>
              <w:top w:val="nil"/>
              <w:left w:val="nil"/>
              <w:bottom w:val="nil"/>
              <w:right w:val="nil"/>
            </w:tcBorders>
            <w:noWrap/>
            <w:vAlign w:val="bottom"/>
            <w:hideMark/>
          </w:tcPr>
          <w:p w14:paraId="1F7281E5" w14:textId="77777777" w:rsidR="006D2E30" w:rsidRPr="006D2E30" w:rsidRDefault="006D2E30" w:rsidP="006D2E30">
            <w:pPr>
              <w:spacing w:before="0" w:after="0" w:line="240" w:lineRule="auto"/>
              <w:jc w:val="left"/>
              <w:rPr>
                <w:sz w:val="20"/>
                <w:szCs w:val="20"/>
                <w:lang w:val="en-IN"/>
              </w:rPr>
            </w:pPr>
          </w:p>
        </w:tc>
        <w:tc>
          <w:tcPr>
            <w:tcW w:w="503" w:type="pct"/>
            <w:tcBorders>
              <w:top w:val="nil"/>
              <w:left w:val="nil"/>
              <w:bottom w:val="nil"/>
              <w:right w:val="nil"/>
            </w:tcBorders>
            <w:noWrap/>
            <w:vAlign w:val="bottom"/>
            <w:hideMark/>
          </w:tcPr>
          <w:p w14:paraId="06EDE62B" w14:textId="77777777" w:rsidR="006D2E30" w:rsidRPr="006D2E30" w:rsidRDefault="006D2E30" w:rsidP="006D2E30">
            <w:pPr>
              <w:spacing w:before="0" w:after="0" w:line="240" w:lineRule="auto"/>
              <w:jc w:val="left"/>
              <w:rPr>
                <w:sz w:val="20"/>
                <w:szCs w:val="20"/>
                <w:lang w:val="en-IN"/>
              </w:rPr>
            </w:pPr>
          </w:p>
        </w:tc>
        <w:tc>
          <w:tcPr>
            <w:tcW w:w="503" w:type="pct"/>
            <w:tcBorders>
              <w:top w:val="nil"/>
              <w:left w:val="nil"/>
              <w:bottom w:val="nil"/>
              <w:right w:val="nil"/>
            </w:tcBorders>
            <w:noWrap/>
            <w:vAlign w:val="bottom"/>
            <w:hideMark/>
          </w:tcPr>
          <w:p w14:paraId="6FA3A708" w14:textId="77777777" w:rsidR="006D2E30" w:rsidRPr="006D2E30" w:rsidRDefault="006D2E30" w:rsidP="006D2E30">
            <w:pPr>
              <w:spacing w:before="0" w:after="0" w:line="240" w:lineRule="auto"/>
              <w:jc w:val="left"/>
              <w:rPr>
                <w:sz w:val="20"/>
                <w:szCs w:val="20"/>
                <w:lang w:val="en-IN"/>
              </w:rPr>
            </w:pPr>
          </w:p>
        </w:tc>
        <w:tc>
          <w:tcPr>
            <w:tcW w:w="537" w:type="pct"/>
            <w:tcBorders>
              <w:top w:val="nil"/>
              <w:left w:val="nil"/>
              <w:bottom w:val="nil"/>
              <w:right w:val="nil"/>
            </w:tcBorders>
            <w:noWrap/>
            <w:vAlign w:val="bottom"/>
            <w:hideMark/>
          </w:tcPr>
          <w:p w14:paraId="744BCC93" w14:textId="77777777" w:rsidR="006D2E30" w:rsidRPr="006D2E30" w:rsidRDefault="006D2E30" w:rsidP="006D2E30">
            <w:pPr>
              <w:spacing w:before="0" w:after="0" w:line="240" w:lineRule="auto"/>
              <w:jc w:val="left"/>
              <w:rPr>
                <w:sz w:val="20"/>
                <w:szCs w:val="20"/>
                <w:lang w:val="en-IN"/>
              </w:rPr>
            </w:pPr>
          </w:p>
        </w:tc>
      </w:tr>
      <w:tr w:rsidR="006D2E30" w:rsidRPr="006D2E30" w14:paraId="0EAC4834" w14:textId="77777777" w:rsidTr="006D2E30">
        <w:trPr>
          <w:trHeight w:val="312"/>
          <w:jc w:val="center"/>
        </w:trPr>
        <w:tc>
          <w:tcPr>
            <w:tcW w:w="2207" w:type="pct"/>
            <w:tcBorders>
              <w:top w:val="single" w:sz="4" w:space="0" w:color="auto"/>
              <w:left w:val="single" w:sz="4" w:space="0" w:color="auto"/>
              <w:bottom w:val="single" w:sz="4" w:space="0" w:color="auto"/>
              <w:right w:val="single" w:sz="4" w:space="0" w:color="auto"/>
            </w:tcBorders>
            <w:noWrap/>
            <w:vAlign w:val="bottom"/>
            <w:hideMark/>
          </w:tcPr>
          <w:p w14:paraId="1EEAB264"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Cash Flow Ratios</w:t>
            </w:r>
          </w:p>
        </w:tc>
        <w:tc>
          <w:tcPr>
            <w:tcW w:w="625" w:type="pct"/>
            <w:tcBorders>
              <w:top w:val="single" w:sz="4" w:space="0" w:color="auto"/>
              <w:left w:val="nil"/>
              <w:bottom w:val="single" w:sz="4" w:space="0" w:color="auto"/>
              <w:right w:val="single" w:sz="4" w:space="0" w:color="auto"/>
            </w:tcBorders>
            <w:noWrap/>
            <w:vAlign w:val="bottom"/>
            <w:hideMark/>
          </w:tcPr>
          <w:p w14:paraId="2CCA6C76"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2024</w:t>
            </w:r>
          </w:p>
        </w:tc>
        <w:tc>
          <w:tcPr>
            <w:tcW w:w="625" w:type="pct"/>
            <w:tcBorders>
              <w:top w:val="single" w:sz="4" w:space="0" w:color="auto"/>
              <w:left w:val="nil"/>
              <w:bottom w:val="single" w:sz="4" w:space="0" w:color="auto"/>
              <w:right w:val="single" w:sz="4" w:space="0" w:color="auto"/>
            </w:tcBorders>
            <w:noWrap/>
            <w:vAlign w:val="bottom"/>
            <w:hideMark/>
          </w:tcPr>
          <w:p w14:paraId="6CAFC54E"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2023</w:t>
            </w:r>
          </w:p>
        </w:tc>
        <w:tc>
          <w:tcPr>
            <w:tcW w:w="503" w:type="pct"/>
            <w:tcBorders>
              <w:top w:val="single" w:sz="4" w:space="0" w:color="auto"/>
              <w:left w:val="nil"/>
              <w:bottom w:val="single" w:sz="4" w:space="0" w:color="auto"/>
              <w:right w:val="single" w:sz="4" w:space="0" w:color="auto"/>
            </w:tcBorders>
            <w:noWrap/>
            <w:vAlign w:val="bottom"/>
            <w:hideMark/>
          </w:tcPr>
          <w:p w14:paraId="2E312464"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2022</w:t>
            </w:r>
          </w:p>
        </w:tc>
        <w:tc>
          <w:tcPr>
            <w:tcW w:w="503" w:type="pct"/>
            <w:tcBorders>
              <w:top w:val="single" w:sz="4" w:space="0" w:color="auto"/>
              <w:left w:val="nil"/>
              <w:bottom w:val="single" w:sz="4" w:space="0" w:color="auto"/>
              <w:right w:val="single" w:sz="4" w:space="0" w:color="auto"/>
            </w:tcBorders>
            <w:noWrap/>
            <w:vAlign w:val="bottom"/>
            <w:hideMark/>
          </w:tcPr>
          <w:p w14:paraId="2E4DEF44"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2021</w:t>
            </w:r>
          </w:p>
        </w:tc>
        <w:tc>
          <w:tcPr>
            <w:tcW w:w="537" w:type="pct"/>
            <w:tcBorders>
              <w:top w:val="single" w:sz="4" w:space="0" w:color="auto"/>
              <w:left w:val="nil"/>
              <w:bottom w:val="single" w:sz="4" w:space="0" w:color="auto"/>
              <w:right w:val="single" w:sz="4" w:space="0" w:color="auto"/>
            </w:tcBorders>
            <w:noWrap/>
            <w:vAlign w:val="bottom"/>
            <w:hideMark/>
          </w:tcPr>
          <w:p w14:paraId="7EE0BC7F" w14:textId="77777777" w:rsidR="006D2E30" w:rsidRPr="006D2E30" w:rsidRDefault="006D2E30" w:rsidP="006D2E30">
            <w:pPr>
              <w:spacing w:before="0" w:after="0" w:line="240" w:lineRule="auto"/>
              <w:jc w:val="right"/>
              <w:rPr>
                <w:rFonts w:ascii="Arial" w:hAnsi="Arial" w:cs="Arial"/>
                <w:b/>
                <w:bCs/>
                <w:color w:val="000000"/>
                <w:lang w:val="en-IN"/>
              </w:rPr>
            </w:pPr>
            <w:r w:rsidRPr="006D2E30">
              <w:rPr>
                <w:rFonts w:ascii="Arial" w:hAnsi="Arial" w:cs="Arial"/>
                <w:b/>
                <w:bCs/>
                <w:color w:val="000000"/>
                <w:lang w:val="en-IN"/>
              </w:rPr>
              <w:t>2020</w:t>
            </w:r>
          </w:p>
        </w:tc>
      </w:tr>
      <w:tr w:rsidR="006D2E30" w:rsidRPr="006D2E30" w14:paraId="46477267" w14:textId="77777777" w:rsidTr="006D2E30">
        <w:trPr>
          <w:trHeight w:val="312"/>
          <w:jc w:val="center"/>
        </w:trPr>
        <w:tc>
          <w:tcPr>
            <w:tcW w:w="2207" w:type="pct"/>
            <w:tcBorders>
              <w:top w:val="nil"/>
              <w:left w:val="single" w:sz="4" w:space="0" w:color="auto"/>
              <w:bottom w:val="single" w:sz="4" w:space="0" w:color="auto"/>
              <w:right w:val="single" w:sz="4" w:space="0" w:color="auto"/>
            </w:tcBorders>
            <w:noWrap/>
            <w:vAlign w:val="bottom"/>
            <w:hideMark/>
          </w:tcPr>
          <w:p w14:paraId="025AB44F"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"Operating Cash Flow Ratio"</w:t>
            </w:r>
          </w:p>
        </w:tc>
        <w:tc>
          <w:tcPr>
            <w:tcW w:w="625" w:type="pct"/>
            <w:tcBorders>
              <w:top w:val="nil"/>
              <w:left w:val="nil"/>
              <w:bottom w:val="single" w:sz="4" w:space="0" w:color="auto"/>
              <w:right w:val="single" w:sz="4" w:space="0" w:color="auto"/>
            </w:tcBorders>
            <w:noWrap/>
            <w:vAlign w:val="bottom"/>
            <w:hideMark/>
          </w:tcPr>
          <w:p w14:paraId="6CC3DDC3"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0.14</w:t>
            </w:r>
          </w:p>
        </w:tc>
        <w:tc>
          <w:tcPr>
            <w:tcW w:w="625" w:type="pct"/>
            <w:tcBorders>
              <w:top w:val="nil"/>
              <w:left w:val="nil"/>
              <w:bottom w:val="single" w:sz="4" w:space="0" w:color="auto"/>
              <w:right w:val="single" w:sz="4" w:space="0" w:color="auto"/>
            </w:tcBorders>
            <w:noWrap/>
            <w:vAlign w:val="bottom"/>
            <w:hideMark/>
          </w:tcPr>
          <w:p w14:paraId="311F8258"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0.12</w:t>
            </w:r>
          </w:p>
        </w:tc>
        <w:tc>
          <w:tcPr>
            <w:tcW w:w="503" w:type="pct"/>
            <w:tcBorders>
              <w:top w:val="nil"/>
              <w:left w:val="nil"/>
              <w:bottom w:val="single" w:sz="4" w:space="0" w:color="auto"/>
              <w:right w:val="single" w:sz="4" w:space="0" w:color="auto"/>
            </w:tcBorders>
            <w:noWrap/>
            <w:vAlign w:val="bottom"/>
            <w:hideMark/>
          </w:tcPr>
          <w:p w14:paraId="20D84828"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0.17</w:t>
            </w:r>
          </w:p>
        </w:tc>
        <w:tc>
          <w:tcPr>
            <w:tcW w:w="503" w:type="pct"/>
            <w:tcBorders>
              <w:top w:val="nil"/>
              <w:left w:val="nil"/>
              <w:bottom w:val="single" w:sz="4" w:space="0" w:color="auto"/>
              <w:right w:val="single" w:sz="4" w:space="0" w:color="auto"/>
            </w:tcBorders>
            <w:noWrap/>
            <w:vAlign w:val="bottom"/>
            <w:hideMark/>
          </w:tcPr>
          <w:p w14:paraId="2454E65F"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0.13</w:t>
            </w:r>
          </w:p>
        </w:tc>
        <w:tc>
          <w:tcPr>
            <w:tcW w:w="537" w:type="pct"/>
            <w:tcBorders>
              <w:top w:val="nil"/>
              <w:left w:val="nil"/>
              <w:bottom w:val="single" w:sz="4" w:space="0" w:color="auto"/>
              <w:right w:val="single" w:sz="4" w:space="0" w:color="auto"/>
            </w:tcBorders>
            <w:noWrap/>
            <w:vAlign w:val="bottom"/>
            <w:hideMark/>
          </w:tcPr>
          <w:p w14:paraId="68169B0F"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0.20</w:t>
            </w:r>
          </w:p>
        </w:tc>
      </w:tr>
      <w:tr w:rsidR="006D2E30" w:rsidRPr="006D2E30" w14:paraId="3B3EC219" w14:textId="77777777" w:rsidTr="006D2E30">
        <w:trPr>
          <w:trHeight w:val="312"/>
          <w:jc w:val="center"/>
        </w:trPr>
        <w:tc>
          <w:tcPr>
            <w:tcW w:w="2207" w:type="pct"/>
            <w:tcBorders>
              <w:top w:val="nil"/>
              <w:left w:val="single" w:sz="4" w:space="0" w:color="auto"/>
              <w:bottom w:val="single" w:sz="4" w:space="0" w:color="auto"/>
              <w:right w:val="single" w:sz="4" w:space="0" w:color="auto"/>
            </w:tcBorders>
            <w:noWrap/>
            <w:vAlign w:val="bottom"/>
            <w:hideMark/>
          </w:tcPr>
          <w:p w14:paraId="3DFCBF19"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"Cash Flow to Debt Ratio"</w:t>
            </w:r>
          </w:p>
        </w:tc>
        <w:tc>
          <w:tcPr>
            <w:tcW w:w="625" w:type="pct"/>
            <w:tcBorders>
              <w:top w:val="nil"/>
              <w:left w:val="nil"/>
              <w:bottom w:val="single" w:sz="4" w:space="0" w:color="auto"/>
              <w:right w:val="single" w:sz="4" w:space="0" w:color="auto"/>
            </w:tcBorders>
            <w:noWrap/>
            <w:vAlign w:val="bottom"/>
            <w:hideMark/>
          </w:tcPr>
          <w:p w14:paraId="243BE838"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0.08</w:t>
            </w:r>
          </w:p>
        </w:tc>
        <w:tc>
          <w:tcPr>
            <w:tcW w:w="625" w:type="pct"/>
            <w:tcBorders>
              <w:top w:val="nil"/>
              <w:left w:val="nil"/>
              <w:bottom w:val="single" w:sz="4" w:space="0" w:color="auto"/>
              <w:right w:val="single" w:sz="4" w:space="0" w:color="auto"/>
            </w:tcBorders>
            <w:noWrap/>
            <w:vAlign w:val="bottom"/>
            <w:hideMark/>
          </w:tcPr>
          <w:p w14:paraId="2948606C"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0.07</w:t>
            </w:r>
          </w:p>
        </w:tc>
        <w:tc>
          <w:tcPr>
            <w:tcW w:w="503" w:type="pct"/>
            <w:tcBorders>
              <w:top w:val="nil"/>
              <w:left w:val="nil"/>
              <w:bottom w:val="single" w:sz="4" w:space="0" w:color="auto"/>
              <w:right w:val="single" w:sz="4" w:space="0" w:color="auto"/>
            </w:tcBorders>
            <w:noWrap/>
            <w:vAlign w:val="bottom"/>
            <w:hideMark/>
          </w:tcPr>
          <w:p w14:paraId="58A7CBED"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0.09</w:t>
            </w:r>
          </w:p>
        </w:tc>
        <w:tc>
          <w:tcPr>
            <w:tcW w:w="503" w:type="pct"/>
            <w:tcBorders>
              <w:top w:val="nil"/>
              <w:left w:val="nil"/>
              <w:bottom w:val="single" w:sz="4" w:space="0" w:color="auto"/>
              <w:right w:val="single" w:sz="4" w:space="0" w:color="auto"/>
            </w:tcBorders>
            <w:noWrap/>
            <w:vAlign w:val="bottom"/>
            <w:hideMark/>
          </w:tcPr>
          <w:p w14:paraId="384721E2"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0.07</w:t>
            </w:r>
          </w:p>
        </w:tc>
        <w:tc>
          <w:tcPr>
            <w:tcW w:w="537" w:type="pct"/>
            <w:tcBorders>
              <w:top w:val="nil"/>
              <w:left w:val="nil"/>
              <w:bottom w:val="single" w:sz="4" w:space="0" w:color="auto"/>
              <w:right w:val="single" w:sz="4" w:space="0" w:color="auto"/>
            </w:tcBorders>
            <w:noWrap/>
            <w:vAlign w:val="bottom"/>
            <w:hideMark/>
          </w:tcPr>
          <w:p w14:paraId="1BEBAC54"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0.11</w:t>
            </w:r>
          </w:p>
        </w:tc>
      </w:tr>
      <w:tr w:rsidR="006D2E30" w:rsidRPr="006D2E30" w14:paraId="7B371E92" w14:textId="77777777" w:rsidTr="006D2E30">
        <w:trPr>
          <w:trHeight w:val="312"/>
          <w:jc w:val="center"/>
        </w:trPr>
        <w:tc>
          <w:tcPr>
            <w:tcW w:w="2207" w:type="pct"/>
            <w:tcBorders>
              <w:top w:val="nil"/>
              <w:left w:val="single" w:sz="4" w:space="0" w:color="auto"/>
              <w:bottom w:val="single" w:sz="4" w:space="0" w:color="auto"/>
              <w:right w:val="single" w:sz="4" w:space="0" w:color="auto"/>
            </w:tcBorders>
            <w:noWrap/>
            <w:vAlign w:val="bottom"/>
            <w:hideMark/>
          </w:tcPr>
          <w:p w14:paraId="71A8F9AB" w14:textId="77777777" w:rsidR="006D2E30" w:rsidRPr="006D2E30" w:rsidRDefault="006D2E30" w:rsidP="006D2E30">
            <w:pPr>
              <w:spacing w:before="0" w:after="0" w:line="240" w:lineRule="auto"/>
              <w:jc w:val="left"/>
              <w:rPr>
                <w:rFonts w:ascii="Arial" w:hAnsi="Arial" w:cs="Arial"/>
                <w:b/>
                <w:bCs/>
                <w:color w:val="000000"/>
                <w:lang w:val="en-IN"/>
              </w:rPr>
            </w:pPr>
            <w:r w:rsidRPr="006D2E30">
              <w:rPr>
                <w:rFonts w:ascii="Arial" w:hAnsi="Arial" w:cs="Arial"/>
                <w:b/>
                <w:bCs/>
                <w:color w:val="000000"/>
                <w:lang w:val="en-IN"/>
              </w:rPr>
              <w:t>"Free Cash Flow Margin"</w:t>
            </w:r>
          </w:p>
        </w:tc>
        <w:tc>
          <w:tcPr>
            <w:tcW w:w="625" w:type="pct"/>
            <w:tcBorders>
              <w:top w:val="nil"/>
              <w:left w:val="nil"/>
              <w:bottom w:val="single" w:sz="4" w:space="0" w:color="auto"/>
              <w:right w:val="single" w:sz="4" w:space="0" w:color="auto"/>
            </w:tcBorders>
            <w:noWrap/>
            <w:vAlign w:val="bottom"/>
            <w:hideMark/>
          </w:tcPr>
          <w:p w14:paraId="7A7F04FC"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0.08</w:t>
            </w:r>
          </w:p>
        </w:tc>
        <w:tc>
          <w:tcPr>
            <w:tcW w:w="625" w:type="pct"/>
            <w:tcBorders>
              <w:top w:val="nil"/>
              <w:left w:val="nil"/>
              <w:bottom w:val="single" w:sz="4" w:space="0" w:color="auto"/>
              <w:right w:val="single" w:sz="4" w:space="0" w:color="auto"/>
            </w:tcBorders>
            <w:noWrap/>
            <w:vAlign w:val="bottom"/>
            <w:hideMark/>
          </w:tcPr>
          <w:p w14:paraId="75EF3F17"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0.06</w:t>
            </w:r>
          </w:p>
        </w:tc>
        <w:tc>
          <w:tcPr>
            <w:tcW w:w="503" w:type="pct"/>
            <w:tcBorders>
              <w:top w:val="nil"/>
              <w:left w:val="nil"/>
              <w:bottom w:val="single" w:sz="4" w:space="0" w:color="auto"/>
              <w:right w:val="single" w:sz="4" w:space="0" w:color="auto"/>
            </w:tcBorders>
            <w:noWrap/>
            <w:vAlign w:val="bottom"/>
            <w:hideMark/>
          </w:tcPr>
          <w:p w14:paraId="765445D2"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0.02</w:t>
            </w:r>
          </w:p>
        </w:tc>
        <w:tc>
          <w:tcPr>
            <w:tcW w:w="503" w:type="pct"/>
            <w:tcBorders>
              <w:top w:val="nil"/>
              <w:left w:val="nil"/>
              <w:bottom w:val="single" w:sz="4" w:space="0" w:color="auto"/>
              <w:right w:val="single" w:sz="4" w:space="0" w:color="auto"/>
            </w:tcBorders>
            <w:noWrap/>
            <w:vAlign w:val="bottom"/>
            <w:hideMark/>
          </w:tcPr>
          <w:p w14:paraId="1A077BDB"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0.00</w:t>
            </w:r>
          </w:p>
        </w:tc>
        <w:tc>
          <w:tcPr>
            <w:tcW w:w="537" w:type="pct"/>
            <w:tcBorders>
              <w:top w:val="nil"/>
              <w:left w:val="nil"/>
              <w:bottom w:val="single" w:sz="4" w:space="0" w:color="auto"/>
              <w:right w:val="single" w:sz="4" w:space="0" w:color="auto"/>
            </w:tcBorders>
            <w:noWrap/>
            <w:vAlign w:val="bottom"/>
            <w:hideMark/>
          </w:tcPr>
          <w:p w14:paraId="2C27500F" w14:textId="77777777" w:rsidR="006D2E30" w:rsidRPr="006D2E30" w:rsidRDefault="006D2E30" w:rsidP="006D2E30">
            <w:pPr>
              <w:spacing w:before="0" w:after="0" w:line="240" w:lineRule="auto"/>
              <w:jc w:val="right"/>
              <w:rPr>
                <w:rFonts w:ascii="Arial" w:hAnsi="Arial" w:cs="Arial"/>
                <w:color w:val="000000"/>
                <w:lang w:val="en-IN"/>
              </w:rPr>
            </w:pPr>
            <w:r w:rsidRPr="006D2E30">
              <w:rPr>
                <w:rFonts w:ascii="Arial" w:hAnsi="Arial" w:cs="Arial"/>
                <w:color w:val="000000"/>
                <w:lang w:val="en-IN"/>
              </w:rPr>
              <w:t>0.02</w:t>
            </w:r>
          </w:p>
        </w:tc>
      </w:tr>
    </w:tbl>
    <w:p w14:paraId="2BA6947F" w14:textId="14BC13B4" w:rsidR="005D57A3" w:rsidRDefault="005F6C2F" w:rsidP="005F6C2F">
      <w:pPr>
        <w:spacing w:before="200" w:after="200"/>
        <w:jc w:val="center"/>
        <w:rPr>
          <w:rFonts w:ascii="Arial" w:eastAsia="Arial" w:hAnsi="Arial" w:cs="Arial"/>
        </w:rPr>
      </w:pPr>
      <w:r>
        <w:rPr>
          <w:rFonts w:ascii="Arial" w:eastAsia="Arial" w:hAnsi="Arial" w:cs="Arial"/>
        </w:rPr>
        <w:t>(Source: Excel)</w:t>
      </w:r>
    </w:p>
    <w:p w14:paraId="687C3D07" w14:textId="1A13C67E" w:rsidR="005D57A3" w:rsidRDefault="00000000">
      <w:pPr>
        <w:pStyle w:val="Heading2"/>
      </w:pPr>
      <w:bookmarkStart w:id="54" w:name="_Toc227879000"/>
      <w:r>
        <w:lastRenderedPageBreak/>
        <w:t xml:space="preserve">Appendix </w:t>
      </w:r>
      <w:r w:rsidR="005F6C2F">
        <w:t>2</w:t>
      </w:r>
      <w:r>
        <w:t>: Investment Appraisal Calculations</w:t>
      </w:r>
      <w:bookmarkEnd w:id="54"/>
    </w:p>
    <w:p w14:paraId="013E13F5" w14:textId="77777777" w:rsidR="005D57A3" w:rsidRDefault="00000000">
      <w:pPr>
        <w:pStyle w:val="Heading3"/>
      </w:pPr>
      <w:bookmarkStart w:id="55" w:name="_Toc227879001"/>
      <w:r>
        <w:t>Project A</w:t>
      </w:r>
      <w:bookmarkEnd w:id="55"/>
    </w:p>
    <w:tbl>
      <w:tblPr>
        <w:tblW w:w="5000" w:type="pct"/>
        <w:jc w:val="center"/>
        <w:tblLook w:val="04A0" w:firstRow="1" w:lastRow="0" w:firstColumn="1" w:lastColumn="0" w:noHBand="0" w:noVBand="1"/>
      </w:tblPr>
      <w:tblGrid>
        <w:gridCol w:w="1401"/>
        <w:gridCol w:w="2017"/>
        <w:gridCol w:w="2073"/>
        <w:gridCol w:w="1831"/>
        <w:gridCol w:w="1697"/>
      </w:tblGrid>
      <w:tr w:rsidR="005F6C2F" w:rsidRPr="005F6C2F" w14:paraId="06990262" w14:textId="77777777" w:rsidTr="005F6C2F">
        <w:trPr>
          <w:trHeight w:val="624"/>
          <w:jc w:val="center"/>
        </w:trPr>
        <w:tc>
          <w:tcPr>
            <w:tcW w:w="777" w:type="pct"/>
            <w:tcBorders>
              <w:top w:val="single" w:sz="4" w:space="0" w:color="auto"/>
              <w:left w:val="single" w:sz="4" w:space="0" w:color="auto"/>
              <w:bottom w:val="single" w:sz="4" w:space="0" w:color="000000"/>
              <w:right w:val="single" w:sz="4" w:space="0" w:color="000000"/>
            </w:tcBorders>
            <w:vAlign w:val="center"/>
            <w:hideMark/>
          </w:tcPr>
          <w:p w14:paraId="0D9A1289"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"Year"</w:t>
            </w:r>
          </w:p>
        </w:tc>
        <w:tc>
          <w:tcPr>
            <w:tcW w:w="1118" w:type="pct"/>
            <w:tcBorders>
              <w:top w:val="single" w:sz="4" w:space="0" w:color="auto"/>
              <w:left w:val="nil"/>
              <w:bottom w:val="single" w:sz="4" w:space="0" w:color="000000"/>
              <w:right w:val="single" w:sz="4" w:space="0" w:color="000000"/>
            </w:tcBorders>
            <w:vAlign w:val="center"/>
            <w:hideMark/>
          </w:tcPr>
          <w:p w14:paraId="6AC5D7FA"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"Cash Flow"</w:t>
            </w:r>
          </w:p>
        </w:tc>
        <w:tc>
          <w:tcPr>
            <w:tcW w:w="1150" w:type="pct"/>
            <w:tcBorders>
              <w:top w:val="single" w:sz="4" w:space="0" w:color="auto"/>
              <w:left w:val="nil"/>
              <w:bottom w:val="single" w:sz="4" w:space="0" w:color="000000"/>
              <w:right w:val="single" w:sz="4" w:space="0" w:color="000000"/>
            </w:tcBorders>
            <w:vAlign w:val="center"/>
            <w:hideMark/>
          </w:tcPr>
          <w:p w14:paraId="42FB733A"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"Discounting Factor @10%"</w:t>
            </w:r>
          </w:p>
        </w:tc>
        <w:tc>
          <w:tcPr>
            <w:tcW w:w="1015" w:type="pct"/>
            <w:tcBorders>
              <w:top w:val="single" w:sz="4" w:space="0" w:color="auto"/>
              <w:left w:val="nil"/>
              <w:bottom w:val="single" w:sz="4" w:space="0" w:color="000000"/>
              <w:right w:val="single" w:sz="4" w:space="0" w:color="000000"/>
            </w:tcBorders>
            <w:vAlign w:val="center"/>
            <w:hideMark/>
          </w:tcPr>
          <w:p w14:paraId="43805701"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"Present Value"</w:t>
            </w:r>
          </w:p>
        </w:tc>
        <w:tc>
          <w:tcPr>
            <w:tcW w:w="940" w:type="pct"/>
            <w:tcBorders>
              <w:top w:val="single" w:sz="4" w:space="0" w:color="auto"/>
              <w:left w:val="nil"/>
              <w:bottom w:val="nil"/>
              <w:right w:val="single" w:sz="4" w:space="0" w:color="auto"/>
            </w:tcBorders>
            <w:noWrap/>
            <w:vAlign w:val="bottom"/>
            <w:hideMark/>
          </w:tcPr>
          <w:p w14:paraId="2D96A086" w14:textId="77777777" w:rsidR="005F6C2F" w:rsidRPr="005F6C2F" w:rsidRDefault="005F6C2F" w:rsidP="005F6C2F">
            <w:pPr>
              <w:spacing w:before="0" w:after="0" w:line="240" w:lineRule="auto"/>
              <w:jc w:val="center"/>
              <w:rPr>
                <w:rFonts w:ascii="Arial" w:hAnsi="Arial" w:cs="Arial"/>
                <w:b/>
                <w:bCs/>
                <w:color w:val="000000"/>
                <w:lang w:val="en-IN"/>
              </w:rPr>
            </w:pPr>
          </w:p>
        </w:tc>
      </w:tr>
      <w:tr w:rsidR="005F6C2F" w:rsidRPr="005F6C2F" w14:paraId="5088EA36" w14:textId="77777777" w:rsidTr="005F6C2F">
        <w:trPr>
          <w:trHeight w:val="300"/>
          <w:jc w:val="center"/>
        </w:trPr>
        <w:tc>
          <w:tcPr>
            <w:tcW w:w="777" w:type="pct"/>
            <w:tcBorders>
              <w:top w:val="nil"/>
              <w:left w:val="single" w:sz="4" w:space="0" w:color="auto"/>
              <w:bottom w:val="single" w:sz="4" w:space="0" w:color="000000"/>
              <w:right w:val="single" w:sz="4" w:space="0" w:color="000000"/>
            </w:tcBorders>
            <w:noWrap/>
            <w:vAlign w:val="bottom"/>
            <w:hideMark/>
          </w:tcPr>
          <w:p w14:paraId="36FD2AF1"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w:t>
            </w:r>
          </w:p>
        </w:tc>
        <w:tc>
          <w:tcPr>
            <w:tcW w:w="1118" w:type="pct"/>
            <w:tcBorders>
              <w:top w:val="nil"/>
              <w:left w:val="nil"/>
              <w:bottom w:val="single" w:sz="4" w:space="0" w:color="000000"/>
              <w:right w:val="single" w:sz="4" w:space="0" w:color="000000"/>
            </w:tcBorders>
            <w:noWrap/>
            <w:vAlign w:val="bottom"/>
            <w:hideMark/>
          </w:tcPr>
          <w:p w14:paraId="29652204"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1150" w:type="pct"/>
            <w:tcBorders>
              <w:top w:val="nil"/>
              <w:left w:val="nil"/>
              <w:bottom w:val="single" w:sz="4" w:space="0" w:color="000000"/>
              <w:right w:val="single" w:sz="4" w:space="0" w:color="000000"/>
            </w:tcBorders>
            <w:noWrap/>
            <w:vAlign w:val="bottom"/>
            <w:hideMark/>
          </w:tcPr>
          <w:p w14:paraId="27D6AB5A"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1.000</w:t>
            </w:r>
          </w:p>
        </w:tc>
        <w:tc>
          <w:tcPr>
            <w:tcW w:w="1015" w:type="pct"/>
            <w:tcBorders>
              <w:top w:val="nil"/>
              <w:left w:val="nil"/>
              <w:bottom w:val="single" w:sz="4" w:space="0" w:color="000000"/>
              <w:right w:val="single" w:sz="4" w:space="0" w:color="000000"/>
            </w:tcBorders>
            <w:noWrap/>
            <w:vAlign w:val="bottom"/>
            <w:hideMark/>
          </w:tcPr>
          <w:p w14:paraId="71786280"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940" w:type="pct"/>
            <w:tcBorders>
              <w:top w:val="nil"/>
              <w:left w:val="nil"/>
              <w:bottom w:val="nil"/>
              <w:right w:val="single" w:sz="4" w:space="0" w:color="auto"/>
            </w:tcBorders>
            <w:noWrap/>
            <w:vAlign w:val="bottom"/>
            <w:hideMark/>
          </w:tcPr>
          <w:p w14:paraId="3267BB4B"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356D46F0" w14:textId="77777777" w:rsidTr="005F6C2F">
        <w:trPr>
          <w:trHeight w:val="300"/>
          <w:jc w:val="center"/>
        </w:trPr>
        <w:tc>
          <w:tcPr>
            <w:tcW w:w="777" w:type="pct"/>
            <w:tcBorders>
              <w:top w:val="nil"/>
              <w:left w:val="single" w:sz="4" w:space="0" w:color="auto"/>
              <w:bottom w:val="single" w:sz="4" w:space="0" w:color="000000"/>
              <w:right w:val="single" w:sz="4" w:space="0" w:color="000000"/>
            </w:tcBorders>
            <w:noWrap/>
            <w:vAlign w:val="bottom"/>
            <w:hideMark/>
          </w:tcPr>
          <w:p w14:paraId="2F8DFBC6"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1</w:t>
            </w:r>
          </w:p>
        </w:tc>
        <w:tc>
          <w:tcPr>
            <w:tcW w:w="1118" w:type="pct"/>
            <w:tcBorders>
              <w:top w:val="nil"/>
              <w:left w:val="nil"/>
              <w:bottom w:val="single" w:sz="4" w:space="0" w:color="000000"/>
              <w:right w:val="single" w:sz="4" w:space="0" w:color="000000"/>
            </w:tcBorders>
            <w:noWrap/>
            <w:vAlign w:val="bottom"/>
            <w:hideMark/>
          </w:tcPr>
          <w:p w14:paraId="7500B2D1"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10.00 </w:t>
            </w:r>
          </w:p>
        </w:tc>
        <w:tc>
          <w:tcPr>
            <w:tcW w:w="1150" w:type="pct"/>
            <w:tcBorders>
              <w:top w:val="nil"/>
              <w:left w:val="nil"/>
              <w:bottom w:val="single" w:sz="4" w:space="0" w:color="000000"/>
              <w:right w:val="single" w:sz="4" w:space="0" w:color="000000"/>
            </w:tcBorders>
            <w:noWrap/>
            <w:vAlign w:val="bottom"/>
            <w:hideMark/>
          </w:tcPr>
          <w:p w14:paraId="36D8FE9A"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0.909</w:t>
            </w:r>
          </w:p>
        </w:tc>
        <w:tc>
          <w:tcPr>
            <w:tcW w:w="1015" w:type="pct"/>
            <w:tcBorders>
              <w:top w:val="nil"/>
              <w:left w:val="nil"/>
              <w:bottom w:val="single" w:sz="4" w:space="0" w:color="000000"/>
              <w:right w:val="single" w:sz="4" w:space="0" w:color="000000"/>
            </w:tcBorders>
            <w:noWrap/>
            <w:vAlign w:val="bottom"/>
            <w:hideMark/>
          </w:tcPr>
          <w:p w14:paraId="3DAC2B65"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9.09 </w:t>
            </w:r>
          </w:p>
        </w:tc>
        <w:tc>
          <w:tcPr>
            <w:tcW w:w="940" w:type="pct"/>
            <w:tcBorders>
              <w:top w:val="nil"/>
              <w:left w:val="nil"/>
              <w:bottom w:val="nil"/>
              <w:right w:val="single" w:sz="4" w:space="0" w:color="auto"/>
            </w:tcBorders>
            <w:noWrap/>
            <w:vAlign w:val="bottom"/>
            <w:hideMark/>
          </w:tcPr>
          <w:p w14:paraId="1109862E"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32484459" w14:textId="77777777" w:rsidTr="005F6C2F">
        <w:trPr>
          <w:trHeight w:val="300"/>
          <w:jc w:val="center"/>
        </w:trPr>
        <w:tc>
          <w:tcPr>
            <w:tcW w:w="777" w:type="pct"/>
            <w:tcBorders>
              <w:top w:val="nil"/>
              <w:left w:val="single" w:sz="4" w:space="0" w:color="auto"/>
              <w:bottom w:val="single" w:sz="4" w:space="0" w:color="000000"/>
              <w:right w:val="single" w:sz="4" w:space="0" w:color="000000"/>
            </w:tcBorders>
            <w:noWrap/>
            <w:vAlign w:val="bottom"/>
            <w:hideMark/>
          </w:tcPr>
          <w:p w14:paraId="3C472FD1"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2</w:t>
            </w:r>
          </w:p>
        </w:tc>
        <w:tc>
          <w:tcPr>
            <w:tcW w:w="1118" w:type="pct"/>
            <w:tcBorders>
              <w:top w:val="nil"/>
              <w:left w:val="nil"/>
              <w:bottom w:val="single" w:sz="4" w:space="0" w:color="000000"/>
              <w:right w:val="single" w:sz="4" w:space="0" w:color="000000"/>
            </w:tcBorders>
            <w:noWrap/>
            <w:vAlign w:val="bottom"/>
            <w:hideMark/>
          </w:tcPr>
          <w:p w14:paraId="12023B79"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12.00 </w:t>
            </w:r>
          </w:p>
        </w:tc>
        <w:tc>
          <w:tcPr>
            <w:tcW w:w="1150" w:type="pct"/>
            <w:tcBorders>
              <w:top w:val="nil"/>
              <w:left w:val="nil"/>
              <w:bottom w:val="single" w:sz="4" w:space="0" w:color="000000"/>
              <w:right w:val="single" w:sz="4" w:space="0" w:color="000000"/>
            </w:tcBorders>
            <w:noWrap/>
            <w:vAlign w:val="bottom"/>
            <w:hideMark/>
          </w:tcPr>
          <w:p w14:paraId="7AB03C90"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0.826</w:t>
            </w:r>
          </w:p>
        </w:tc>
        <w:tc>
          <w:tcPr>
            <w:tcW w:w="1015" w:type="pct"/>
            <w:tcBorders>
              <w:top w:val="nil"/>
              <w:left w:val="nil"/>
              <w:bottom w:val="single" w:sz="4" w:space="0" w:color="000000"/>
              <w:right w:val="single" w:sz="4" w:space="0" w:color="000000"/>
            </w:tcBorders>
            <w:noWrap/>
            <w:vAlign w:val="bottom"/>
            <w:hideMark/>
          </w:tcPr>
          <w:p w14:paraId="56105593"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9.92 </w:t>
            </w:r>
          </w:p>
        </w:tc>
        <w:tc>
          <w:tcPr>
            <w:tcW w:w="940" w:type="pct"/>
            <w:tcBorders>
              <w:top w:val="nil"/>
              <w:left w:val="nil"/>
              <w:bottom w:val="nil"/>
              <w:right w:val="single" w:sz="4" w:space="0" w:color="auto"/>
            </w:tcBorders>
            <w:noWrap/>
            <w:vAlign w:val="bottom"/>
            <w:hideMark/>
          </w:tcPr>
          <w:p w14:paraId="4BAFCC95"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4FBF75E1" w14:textId="77777777" w:rsidTr="005F6C2F">
        <w:trPr>
          <w:trHeight w:val="300"/>
          <w:jc w:val="center"/>
        </w:trPr>
        <w:tc>
          <w:tcPr>
            <w:tcW w:w="777" w:type="pct"/>
            <w:tcBorders>
              <w:top w:val="nil"/>
              <w:left w:val="single" w:sz="4" w:space="0" w:color="auto"/>
              <w:bottom w:val="single" w:sz="4" w:space="0" w:color="000000"/>
              <w:right w:val="single" w:sz="4" w:space="0" w:color="000000"/>
            </w:tcBorders>
            <w:noWrap/>
            <w:vAlign w:val="bottom"/>
            <w:hideMark/>
          </w:tcPr>
          <w:p w14:paraId="1972EA78"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3</w:t>
            </w:r>
          </w:p>
        </w:tc>
        <w:tc>
          <w:tcPr>
            <w:tcW w:w="1118" w:type="pct"/>
            <w:tcBorders>
              <w:top w:val="nil"/>
              <w:left w:val="nil"/>
              <w:bottom w:val="single" w:sz="4" w:space="0" w:color="000000"/>
              <w:right w:val="single" w:sz="4" w:space="0" w:color="000000"/>
            </w:tcBorders>
            <w:noWrap/>
            <w:vAlign w:val="bottom"/>
            <w:hideMark/>
          </w:tcPr>
          <w:p w14:paraId="6899B2CA"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14.00 </w:t>
            </w:r>
          </w:p>
        </w:tc>
        <w:tc>
          <w:tcPr>
            <w:tcW w:w="1150" w:type="pct"/>
            <w:tcBorders>
              <w:top w:val="nil"/>
              <w:left w:val="nil"/>
              <w:bottom w:val="single" w:sz="4" w:space="0" w:color="000000"/>
              <w:right w:val="single" w:sz="4" w:space="0" w:color="000000"/>
            </w:tcBorders>
            <w:noWrap/>
            <w:vAlign w:val="bottom"/>
            <w:hideMark/>
          </w:tcPr>
          <w:p w14:paraId="6B6CEE3C"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0.751</w:t>
            </w:r>
          </w:p>
        </w:tc>
        <w:tc>
          <w:tcPr>
            <w:tcW w:w="1015" w:type="pct"/>
            <w:tcBorders>
              <w:top w:val="nil"/>
              <w:left w:val="nil"/>
              <w:bottom w:val="single" w:sz="4" w:space="0" w:color="000000"/>
              <w:right w:val="single" w:sz="4" w:space="0" w:color="000000"/>
            </w:tcBorders>
            <w:noWrap/>
            <w:vAlign w:val="bottom"/>
            <w:hideMark/>
          </w:tcPr>
          <w:p w14:paraId="4CFC617E"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10.52 </w:t>
            </w:r>
          </w:p>
        </w:tc>
        <w:tc>
          <w:tcPr>
            <w:tcW w:w="940" w:type="pct"/>
            <w:tcBorders>
              <w:top w:val="nil"/>
              <w:left w:val="nil"/>
              <w:bottom w:val="nil"/>
              <w:right w:val="single" w:sz="4" w:space="0" w:color="auto"/>
            </w:tcBorders>
            <w:noWrap/>
            <w:vAlign w:val="bottom"/>
            <w:hideMark/>
          </w:tcPr>
          <w:p w14:paraId="0934F59E"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2D0E005D" w14:textId="77777777" w:rsidTr="005F6C2F">
        <w:trPr>
          <w:trHeight w:val="300"/>
          <w:jc w:val="center"/>
        </w:trPr>
        <w:tc>
          <w:tcPr>
            <w:tcW w:w="777" w:type="pct"/>
            <w:tcBorders>
              <w:top w:val="nil"/>
              <w:left w:val="single" w:sz="4" w:space="0" w:color="auto"/>
              <w:bottom w:val="single" w:sz="4" w:space="0" w:color="000000"/>
              <w:right w:val="single" w:sz="4" w:space="0" w:color="000000"/>
            </w:tcBorders>
            <w:noWrap/>
            <w:vAlign w:val="bottom"/>
            <w:hideMark/>
          </w:tcPr>
          <w:p w14:paraId="7F1A1D83"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4</w:t>
            </w:r>
          </w:p>
        </w:tc>
        <w:tc>
          <w:tcPr>
            <w:tcW w:w="1118" w:type="pct"/>
            <w:tcBorders>
              <w:top w:val="nil"/>
              <w:left w:val="nil"/>
              <w:bottom w:val="single" w:sz="4" w:space="0" w:color="000000"/>
              <w:right w:val="single" w:sz="4" w:space="0" w:color="000000"/>
            </w:tcBorders>
            <w:noWrap/>
            <w:vAlign w:val="bottom"/>
            <w:hideMark/>
          </w:tcPr>
          <w:p w14:paraId="27EB368F"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10.00 </w:t>
            </w:r>
          </w:p>
        </w:tc>
        <w:tc>
          <w:tcPr>
            <w:tcW w:w="1150" w:type="pct"/>
            <w:tcBorders>
              <w:top w:val="nil"/>
              <w:left w:val="nil"/>
              <w:bottom w:val="single" w:sz="4" w:space="0" w:color="000000"/>
              <w:right w:val="single" w:sz="4" w:space="0" w:color="000000"/>
            </w:tcBorders>
            <w:noWrap/>
            <w:vAlign w:val="bottom"/>
            <w:hideMark/>
          </w:tcPr>
          <w:p w14:paraId="0598CB1E"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0.683</w:t>
            </w:r>
          </w:p>
        </w:tc>
        <w:tc>
          <w:tcPr>
            <w:tcW w:w="1015" w:type="pct"/>
            <w:tcBorders>
              <w:top w:val="nil"/>
              <w:left w:val="nil"/>
              <w:bottom w:val="single" w:sz="4" w:space="0" w:color="000000"/>
              <w:right w:val="single" w:sz="4" w:space="0" w:color="000000"/>
            </w:tcBorders>
            <w:noWrap/>
            <w:vAlign w:val="bottom"/>
            <w:hideMark/>
          </w:tcPr>
          <w:p w14:paraId="51B4F618"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6.83 </w:t>
            </w:r>
          </w:p>
        </w:tc>
        <w:tc>
          <w:tcPr>
            <w:tcW w:w="940" w:type="pct"/>
            <w:tcBorders>
              <w:top w:val="nil"/>
              <w:left w:val="nil"/>
              <w:bottom w:val="nil"/>
              <w:right w:val="single" w:sz="4" w:space="0" w:color="auto"/>
            </w:tcBorders>
            <w:noWrap/>
            <w:vAlign w:val="bottom"/>
            <w:hideMark/>
          </w:tcPr>
          <w:p w14:paraId="2651D967"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05BC1F11" w14:textId="77777777" w:rsidTr="005F6C2F">
        <w:trPr>
          <w:trHeight w:val="300"/>
          <w:jc w:val="center"/>
        </w:trPr>
        <w:tc>
          <w:tcPr>
            <w:tcW w:w="777" w:type="pct"/>
            <w:tcBorders>
              <w:top w:val="nil"/>
              <w:left w:val="single" w:sz="4" w:space="0" w:color="auto"/>
              <w:bottom w:val="single" w:sz="4" w:space="0" w:color="000000"/>
              <w:right w:val="single" w:sz="4" w:space="0" w:color="000000"/>
            </w:tcBorders>
            <w:noWrap/>
            <w:vAlign w:val="bottom"/>
            <w:hideMark/>
          </w:tcPr>
          <w:p w14:paraId="0D30AF41"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5</w:t>
            </w:r>
          </w:p>
        </w:tc>
        <w:tc>
          <w:tcPr>
            <w:tcW w:w="1118" w:type="pct"/>
            <w:tcBorders>
              <w:top w:val="nil"/>
              <w:left w:val="nil"/>
              <w:bottom w:val="single" w:sz="4" w:space="0" w:color="000000"/>
              <w:right w:val="single" w:sz="4" w:space="0" w:color="000000"/>
            </w:tcBorders>
            <w:noWrap/>
            <w:vAlign w:val="bottom"/>
            <w:hideMark/>
          </w:tcPr>
          <w:p w14:paraId="1FBFFE52"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8.00 </w:t>
            </w:r>
          </w:p>
        </w:tc>
        <w:tc>
          <w:tcPr>
            <w:tcW w:w="1150" w:type="pct"/>
            <w:tcBorders>
              <w:top w:val="nil"/>
              <w:left w:val="nil"/>
              <w:bottom w:val="single" w:sz="4" w:space="0" w:color="000000"/>
              <w:right w:val="single" w:sz="4" w:space="0" w:color="000000"/>
            </w:tcBorders>
            <w:noWrap/>
            <w:vAlign w:val="bottom"/>
            <w:hideMark/>
          </w:tcPr>
          <w:p w14:paraId="238C61FD"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0.621</w:t>
            </w:r>
          </w:p>
        </w:tc>
        <w:tc>
          <w:tcPr>
            <w:tcW w:w="1015" w:type="pct"/>
            <w:tcBorders>
              <w:top w:val="nil"/>
              <w:left w:val="nil"/>
              <w:bottom w:val="single" w:sz="4" w:space="0" w:color="000000"/>
              <w:right w:val="single" w:sz="4" w:space="0" w:color="000000"/>
            </w:tcBorders>
            <w:noWrap/>
            <w:vAlign w:val="bottom"/>
            <w:hideMark/>
          </w:tcPr>
          <w:p w14:paraId="5B97E45A"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4.97 </w:t>
            </w:r>
          </w:p>
        </w:tc>
        <w:tc>
          <w:tcPr>
            <w:tcW w:w="940" w:type="pct"/>
            <w:tcBorders>
              <w:top w:val="nil"/>
              <w:left w:val="nil"/>
              <w:bottom w:val="nil"/>
              <w:right w:val="single" w:sz="4" w:space="0" w:color="auto"/>
            </w:tcBorders>
            <w:noWrap/>
            <w:vAlign w:val="bottom"/>
            <w:hideMark/>
          </w:tcPr>
          <w:p w14:paraId="6D20286F"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50E740DC" w14:textId="77777777" w:rsidTr="005F6C2F">
        <w:trPr>
          <w:trHeight w:val="300"/>
          <w:jc w:val="center"/>
        </w:trPr>
        <w:tc>
          <w:tcPr>
            <w:tcW w:w="3045" w:type="pct"/>
            <w:gridSpan w:val="3"/>
            <w:vMerge w:val="restart"/>
            <w:tcBorders>
              <w:top w:val="single" w:sz="4" w:space="0" w:color="000000"/>
              <w:left w:val="single" w:sz="4" w:space="0" w:color="auto"/>
              <w:bottom w:val="nil"/>
              <w:right w:val="single" w:sz="4" w:space="0" w:color="000000"/>
            </w:tcBorders>
            <w:vAlign w:val="center"/>
            <w:hideMark/>
          </w:tcPr>
          <w:p w14:paraId="1D0082A7"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"Net Present Value (NPV) of Project A"</w:t>
            </w:r>
          </w:p>
        </w:tc>
        <w:tc>
          <w:tcPr>
            <w:tcW w:w="1015" w:type="pct"/>
            <w:vMerge w:val="restart"/>
            <w:tcBorders>
              <w:top w:val="nil"/>
              <w:left w:val="single" w:sz="4" w:space="0" w:color="000000"/>
              <w:bottom w:val="nil"/>
              <w:right w:val="single" w:sz="4" w:space="0" w:color="000000"/>
            </w:tcBorders>
            <w:vAlign w:val="center"/>
            <w:hideMark/>
          </w:tcPr>
          <w:p w14:paraId="37A11257"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 xml:space="preserve">-£              8.68 </w:t>
            </w:r>
          </w:p>
        </w:tc>
        <w:tc>
          <w:tcPr>
            <w:tcW w:w="940" w:type="pct"/>
            <w:tcBorders>
              <w:top w:val="nil"/>
              <w:left w:val="nil"/>
              <w:bottom w:val="nil"/>
              <w:right w:val="single" w:sz="4" w:space="0" w:color="auto"/>
            </w:tcBorders>
            <w:noWrap/>
            <w:vAlign w:val="bottom"/>
            <w:hideMark/>
          </w:tcPr>
          <w:p w14:paraId="39496CFF" w14:textId="77777777" w:rsidR="005F6C2F" w:rsidRPr="005F6C2F" w:rsidRDefault="005F6C2F" w:rsidP="005F6C2F">
            <w:pPr>
              <w:spacing w:before="0" w:after="0" w:line="240" w:lineRule="auto"/>
              <w:jc w:val="center"/>
              <w:rPr>
                <w:rFonts w:ascii="Arial" w:hAnsi="Arial" w:cs="Arial"/>
                <w:b/>
                <w:bCs/>
                <w:color w:val="000000"/>
                <w:lang w:val="en-IN"/>
              </w:rPr>
            </w:pPr>
          </w:p>
        </w:tc>
      </w:tr>
      <w:tr w:rsidR="005F6C2F" w:rsidRPr="005F6C2F" w14:paraId="75CC6E1A" w14:textId="77777777" w:rsidTr="005F6C2F">
        <w:trPr>
          <w:trHeight w:val="300"/>
          <w:jc w:val="center"/>
        </w:trPr>
        <w:tc>
          <w:tcPr>
            <w:tcW w:w="3045" w:type="pct"/>
            <w:gridSpan w:val="3"/>
            <w:vMerge/>
            <w:tcBorders>
              <w:top w:val="single" w:sz="4" w:space="0" w:color="000000"/>
              <w:left w:val="single" w:sz="4" w:space="0" w:color="auto"/>
              <w:bottom w:val="nil"/>
              <w:right w:val="single" w:sz="4" w:space="0" w:color="000000"/>
            </w:tcBorders>
            <w:vAlign w:val="center"/>
            <w:hideMark/>
          </w:tcPr>
          <w:p w14:paraId="52B02A09" w14:textId="77777777" w:rsidR="005F6C2F" w:rsidRPr="005F6C2F" w:rsidRDefault="005F6C2F" w:rsidP="005F6C2F">
            <w:pPr>
              <w:spacing w:before="0" w:after="0" w:line="240" w:lineRule="auto"/>
              <w:jc w:val="left"/>
              <w:rPr>
                <w:rFonts w:ascii="Arial" w:hAnsi="Arial" w:cs="Arial"/>
                <w:b/>
                <w:bCs/>
                <w:color w:val="000000"/>
                <w:lang w:val="en-IN"/>
              </w:rPr>
            </w:pPr>
          </w:p>
        </w:tc>
        <w:tc>
          <w:tcPr>
            <w:tcW w:w="1015" w:type="pct"/>
            <w:vMerge/>
            <w:tcBorders>
              <w:top w:val="nil"/>
              <w:left w:val="single" w:sz="4" w:space="0" w:color="000000"/>
              <w:bottom w:val="nil"/>
              <w:right w:val="single" w:sz="4" w:space="0" w:color="000000"/>
            </w:tcBorders>
            <w:vAlign w:val="center"/>
            <w:hideMark/>
          </w:tcPr>
          <w:p w14:paraId="4B498D9C" w14:textId="77777777" w:rsidR="005F6C2F" w:rsidRPr="005F6C2F" w:rsidRDefault="005F6C2F" w:rsidP="005F6C2F">
            <w:pPr>
              <w:spacing w:before="0" w:after="0" w:line="240" w:lineRule="auto"/>
              <w:jc w:val="left"/>
              <w:rPr>
                <w:rFonts w:ascii="Arial" w:hAnsi="Arial" w:cs="Arial"/>
                <w:b/>
                <w:bCs/>
                <w:color w:val="000000"/>
                <w:lang w:val="en-IN"/>
              </w:rPr>
            </w:pPr>
          </w:p>
        </w:tc>
        <w:tc>
          <w:tcPr>
            <w:tcW w:w="940" w:type="pct"/>
            <w:tcBorders>
              <w:top w:val="nil"/>
              <w:left w:val="nil"/>
              <w:bottom w:val="nil"/>
              <w:right w:val="single" w:sz="4" w:space="0" w:color="auto"/>
            </w:tcBorders>
            <w:noWrap/>
            <w:vAlign w:val="bottom"/>
            <w:hideMark/>
          </w:tcPr>
          <w:p w14:paraId="5FCA7A8D" w14:textId="77777777" w:rsidR="005F6C2F" w:rsidRPr="005F6C2F" w:rsidRDefault="005F6C2F" w:rsidP="005F6C2F">
            <w:pPr>
              <w:spacing w:before="0" w:after="0" w:line="240" w:lineRule="auto"/>
              <w:jc w:val="left"/>
              <w:rPr>
                <w:sz w:val="20"/>
                <w:szCs w:val="20"/>
                <w:lang w:val="en-IN"/>
              </w:rPr>
            </w:pPr>
          </w:p>
        </w:tc>
      </w:tr>
      <w:tr w:rsidR="005F6C2F" w:rsidRPr="005F6C2F" w14:paraId="027A1488" w14:textId="77777777" w:rsidTr="005F6C2F">
        <w:trPr>
          <w:trHeight w:val="1044"/>
          <w:jc w:val="center"/>
        </w:trPr>
        <w:tc>
          <w:tcPr>
            <w:tcW w:w="3045" w:type="pct"/>
            <w:gridSpan w:val="3"/>
            <w:tcBorders>
              <w:top w:val="single" w:sz="4" w:space="0" w:color="auto"/>
              <w:left w:val="single" w:sz="4" w:space="0" w:color="auto"/>
              <w:bottom w:val="single" w:sz="4" w:space="0" w:color="auto"/>
              <w:right w:val="single" w:sz="4" w:space="0" w:color="auto"/>
            </w:tcBorders>
            <w:vAlign w:val="center"/>
            <w:hideMark/>
          </w:tcPr>
          <w:p w14:paraId="3EA8D774"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"Profitability Index (PI) of Project A" (NPV+Initial investment)/Initial investment</w:t>
            </w:r>
          </w:p>
        </w:tc>
        <w:tc>
          <w:tcPr>
            <w:tcW w:w="1015" w:type="pct"/>
            <w:tcBorders>
              <w:top w:val="single" w:sz="4" w:space="0" w:color="auto"/>
              <w:left w:val="nil"/>
              <w:bottom w:val="single" w:sz="4" w:space="0" w:color="auto"/>
              <w:right w:val="single" w:sz="4" w:space="0" w:color="auto"/>
            </w:tcBorders>
            <w:noWrap/>
            <w:vAlign w:val="center"/>
            <w:hideMark/>
          </w:tcPr>
          <w:p w14:paraId="6E5E484B" w14:textId="77777777" w:rsidR="005F6C2F" w:rsidRPr="005F6C2F" w:rsidRDefault="005F6C2F" w:rsidP="005F6C2F">
            <w:pPr>
              <w:spacing w:before="0" w:after="0" w:line="240" w:lineRule="auto"/>
              <w:jc w:val="right"/>
              <w:rPr>
                <w:rFonts w:ascii="Arial" w:hAnsi="Arial" w:cs="Arial"/>
                <w:b/>
                <w:bCs/>
                <w:color w:val="000000"/>
                <w:lang w:val="en-IN"/>
              </w:rPr>
            </w:pPr>
            <w:r w:rsidRPr="005F6C2F">
              <w:rPr>
                <w:rFonts w:ascii="Arial" w:hAnsi="Arial" w:cs="Arial"/>
                <w:b/>
                <w:bCs/>
                <w:color w:val="000000"/>
                <w:lang w:val="en-IN"/>
              </w:rPr>
              <w:t>1.17</w:t>
            </w:r>
          </w:p>
        </w:tc>
        <w:tc>
          <w:tcPr>
            <w:tcW w:w="940" w:type="pct"/>
            <w:tcBorders>
              <w:top w:val="nil"/>
              <w:left w:val="nil"/>
              <w:bottom w:val="nil"/>
              <w:right w:val="single" w:sz="4" w:space="0" w:color="auto"/>
            </w:tcBorders>
            <w:noWrap/>
            <w:vAlign w:val="bottom"/>
            <w:hideMark/>
          </w:tcPr>
          <w:p w14:paraId="32084634" w14:textId="77777777" w:rsidR="005F6C2F" w:rsidRPr="005F6C2F" w:rsidRDefault="005F6C2F" w:rsidP="005F6C2F">
            <w:pPr>
              <w:spacing w:before="0" w:after="0" w:line="240" w:lineRule="auto"/>
              <w:jc w:val="right"/>
              <w:rPr>
                <w:rFonts w:ascii="Arial" w:hAnsi="Arial" w:cs="Arial"/>
                <w:b/>
                <w:bCs/>
                <w:color w:val="000000"/>
                <w:lang w:val="en-IN"/>
              </w:rPr>
            </w:pPr>
          </w:p>
        </w:tc>
      </w:tr>
      <w:tr w:rsidR="005F6C2F" w:rsidRPr="005F6C2F" w14:paraId="5693FE76" w14:textId="77777777" w:rsidTr="005F6C2F">
        <w:trPr>
          <w:trHeight w:val="300"/>
          <w:jc w:val="center"/>
        </w:trPr>
        <w:tc>
          <w:tcPr>
            <w:tcW w:w="777" w:type="pct"/>
            <w:tcBorders>
              <w:top w:val="nil"/>
              <w:left w:val="single" w:sz="4" w:space="0" w:color="auto"/>
              <w:bottom w:val="nil"/>
              <w:right w:val="nil"/>
            </w:tcBorders>
            <w:noWrap/>
            <w:vAlign w:val="bottom"/>
            <w:hideMark/>
          </w:tcPr>
          <w:p w14:paraId="20725E81" w14:textId="77777777" w:rsidR="005F6C2F" w:rsidRPr="005F6C2F" w:rsidRDefault="005F6C2F" w:rsidP="005F6C2F">
            <w:pPr>
              <w:spacing w:before="0" w:after="0" w:line="240" w:lineRule="auto"/>
              <w:jc w:val="left"/>
              <w:rPr>
                <w:sz w:val="20"/>
                <w:szCs w:val="20"/>
                <w:lang w:val="en-IN"/>
              </w:rPr>
            </w:pPr>
          </w:p>
        </w:tc>
        <w:tc>
          <w:tcPr>
            <w:tcW w:w="1118" w:type="pct"/>
            <w:tcBorders>
              <w:top w:val="nil"/>
              <w:left w:val="nil"/>
              <w:bottom w:val="nil"/>
              <w:right w:val="nil"/>
            </w:tcBorders>
            <w:noWrap/>
            <w:vAlign w:val="bottom"/>
            <w:hideMark/>
          </w:tcPr>
          <w:p w14:paraId="5EA03E13" w14:textId="77777777" w:rsidR="005F6C2F" w:rsidRPr="005F6C2F" w:rsidRDefault="005F6C2F" w:rsidP="005F6C2F">
            <w:pPr>
              <w:spacing w:before="0" w:after="0" w:line="240" w:lineRule="auto"/>
              <w:jc w:val="left"/>
              <w:rPr>
                <w:sz w:val="20"/>
                <w:szCs w:val="20"/>
                <w:lang w:val="en-IN"/>
              </w:rPr>
            </w:pPr>
          </w:p>
        </w:tc>
        <w:tc>
          <w:tcPr>
            <w:tcW w:w="1150" w:type="pct"/>
            <w:tcBorders>
              <w:top w:val="nil"/>
              <w:left w:val="nil"/>
              <w:bottom w:val="nil"/>
              <w:right w:val="nil"/>
            </w:tcBorders>
            <w:noWrap/>
            <w:vAlign w:val="bottom"/>
            <w:hideMark/>
          </w:tcPr>
          <w:p w14:paraId="447A4D1F" w14:textId="77777777" w:rsidR="005F6C2F" w:rsidRPr="005F6C2F" w:rsidRDefault="005F6C2F" w:rsidP="005F6C2F">
            <w:pPr>
              <w:spacing w:before="0" w:after="0" w:line="240" w:lineRule="auto"/>
              <w:jc w:val="left"/>
              <w:rPr>
                <w:sz w:val="20"/>
                <w:szCs w:val="20"/>
                <w:lang w:val="en-IN"/>
              </w:rPr>
            </w:pPr>
          </w:p>
        </w:tc>
        <w:tc>
          <w:tcPr>
            <w:tcW w:w="1015" w:type="pct"/>
            <w:tcBorders>
              <w:top w:val="nil"/>
              <w:left w:val="nil"/>
              <w:bottom w:val="nil"/>
              <w:right w:val="nil"/>
            </w:tcBorders>
            <w:noWrap/>
            <w:vAlign w:val="bottom"/>
            <w:hideMark/>
          </w:tcPr>
          <w:p w14:paraId="22ED7F85" w14:textId="77777777" w:rsidR="005F6C2F" w:rsidRPr="005F6C2F" w:rsidRDefault="005F6C2F" w:rsidP="005F6C2F">
            <w:pPr>
              <w:spacing w:before="0" w:after="0" w:line="240" w:lineRule="auto"/>
              <w:jc w:val="left"/>
              <w:rPr>
                <w:sz w:val="20"/>
                <w:szCs w:val="20"/>
                <w:lang w:val="en-IN"/>
              </w:rPr>
            </w:pPr>
          </w:p>
        </w:tc>
        <w:tc>
          <w:tcPr>
            <w:tcW w:w="940" w:type="pct"/>
            <w:tcBorders>
              <w:top w:val="nil"/>
              <w:left w:val="nil"/>
              <w:bottom w:val="nil"/>
              <w:right w:val="single" w:sz="4" w:space="0" w:color="auto"/>
            </w:tcBorders>
            <w:noWrap/>
            <w:vAlign w:val="bottom"/>
            <w:hideMark/>
          </w:tcPr>
          <w:p w14:paraId="0C41E251" w14:textId="77777777" w:rsidR="005F6C2F" w:rsidRPr="005F6C2F" w:rsidRDefault="005F6C2F" w:rsidP="005F6C2F">
            <w:pPr>
              <w:spacing w:before="0" w:after="0" w:line="240" w:lineRule="auto"/>
              <w:jc w:val="left"/>
              <w:rPr>
                <w:sz w:val="20"/>
                <w:szCs w:val="20"/>
                <w:lang w:val="en-IN"/>
              </w:rPr>
            </w:pPr>
          </w:p>
        </w:tc>
      </w:tr>
      <w:tr w:rsidR="005F6C2F" w:rsidRPr="005F6C2F" w14:paraId="15B01AC4" w14:textId="77777777" w:rsidTr="005F6C2F">
        <w:trPr>
          <w:trHeight w:val="624"/>
          <w:jc w:val="center"/>
        </w:trPr>
        <w:tc>
          <w:tcPr>
            <w:tcW w:w="777" w:type="pct"/>
            <w:tcBorders>
              <w:top w:val="single" w:sz="4" w:space="0" w:color="000000"/>
              <w:left w:val="single" w:sz="4" w:space="0" w:color="auto"/>
              <w:bottom w:val="single" w:sz="4" w:space="0" w:color="000000"/>
              <w:right w:val="single" w:sz="4" w:space="0" w:color="000000"/>
            </w:tcBorders>
            <w:vAlign w:val="center"/>
            <w:hideMark/>
          </w:tcPr>
          <w:p w14:paraId="0695E830"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"Year"</w:t>
            </w:r>
          </w:p>
        </w:tc>
        <w:tc>
          <w:tcPr>
            <w:tcW w:w="1118" w:type="pct"/>
            <w:tcBorders>
              <w:top w:val="single" w:sz="4" w:space="0" w:color="000000"/>
              <w:left w:val="nil"/>
              <w:bottom w:val="single" w:sz="4" w:space="0" w:color="000000"/>
              <w:right w:val="single" w:sz="4" w:space="0" w:color="000000"/>
            </w:tcBorders>
            <w:vAlign w:val="center"/>
            <w:hideMark/>
          </w:tcPr>
          <w:p w14:paraId="3FF91B75"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"Cash Flow"</w:t>
            </w:r>
          </w:p>
        </w:tc>
        <w:tc>
          <w:tcPr>
            <w:tcW w:w="1150" w:type="pct"/>
            <w:tcBorders>
              <w:top w:val="single" w:sz="4" w:space="0" w:color="000000"/>
              <w:left w:val="nil"/>
              <w:bottom w:val="single" w:sz="4" w:space="0" w:color="000000"/>
              <w:right w:val="single" w:sz="4" w:space="0" w:color="000000"/>
            </w:tcBorders>
            <w:vAlign w:val="center"/>
            <w:hideMark/>
          </w:tcPr>
          <w:p w14:paraId="529F1CD0"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"Discounting Factor @10%"</w:t>
            </w:r>
          </w:p>
        </w:tc>
        <w:tc>
          <w:tcPr>
            <w:tcW w:w="1015" w:type="pct"/>
            <w:tcBorders>
              <w:top w:val="single" w:sz="4" w:space="0" w:color="000000"/>
              <w:left w:val="nil"/>
              <w:bottom w:val="single" w:sz="4" w:space="0" w:color="000000"/>
              <w:right w:val="single" w:sz="4" w:space="0" w:color="000000"/>
            </w:tcBorders>
            <w:vAlign w:val="center"/>
            <w:hideMark/>
          </w:tcPr>
          <w:p w14:paraId="3D213214"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"Present Value"</w:t>
            </w:r>
          </w:p>
        </w:tc>
        <w:tc>
          <w:tcPr>
            <w:tcW w:w="940" w:type="pct"/>
            <w:tcBorders>
              <w:top w:val="single" w:sz="4" w:space="0" w:color="000000"/>
              <w:left w:val="nil"/>
              <w:bottom w:val="single" w:sz="4" w:space="0" w:color="000000"/>
              <w:right w:val="single" w:sz="4" w:space="0" w:color="auto"/>
            </w:tcBorders>
            <w:vAlign w:val="center"/>
            <w:hideMark/>
          </w:tcPr>
          <w:p w14:paraId="3D8AECED" w14:textId="77777777" w:rsidR="005F6C2F" w:rsidRPr="005F6C2F" w:rsidRDefault="005F6C2F" w:rsidP="005F6C2F">
            <w:pPr>
              <w:spacing w:before="0" w:after="0" w:line="240" w:lineRule="auto"/>
              <w:jc w:val="left"/>
              <w:rPr>
                <w:rFonts w:ascii="Arial" w:hAnsi="Arial" w:cs="Arial"/>
                <w:b/>
                <w:bCs/>
                <w:color w:val="000000"/>
                <w:lang w:val="en-IN"/>
              </w:rPr>
            </w:pPr>
            <w:r w:rsidRPr="005F6C2F">
              <w:rPr>
                <w:rFonts w:ascii="Arial" w:hAnsi="Arial" w:cs="Arial"/>
                <w:b/>
                <w:bCs/>
                <w:color w:val="000000"/>
                <w:lang w:val="en-IN"/>
              </w:rPr>
              <w:t>Cumulative</w:t>
            </w:r>
          </w:p>
        </w:tc>
      </w:tr>
      <w:tr w:rsidR="005F6C2F" w:rsidRPr="005F6C2F" w14:paraId="62ACD261" w14:textId="77777777" w:rsidTr="005F6C2F">
        <w:trPr>
          <w:trHeight w:val="300"/>
          <w:jc w:val="center"/>
        </w:trPr>
        <w:tc>
          <w:tcPr>
            <w:tcW w:w="777" w:type="pct"/>
            <w:tcBorders>
              <w:top w:val="nil"/>
              <w:left w:val="single" w:sz="4" w:space="0" w:color="auto"/>
              <w:bottom w:val="single" w:sz="4" w:space="0" w:color="000000"/>
              <w:right w:val="single" w:sz="4" w:space="0" w:color="000000"/>
            </w:tcBorders>
            <w:noWrap/>
            <w:vAlign w:val="bottom"/>
            <w:hideMark/>
          </w:tcPr>
          <w:p w14:paraId="1FFF7C70"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w:t>
            </w:r>
          </w:p>
        </w:tc>
        <w:tc>
          <w:tcPr>
            <w:tcW w:w="1118" w:type="pct"/>
            <w:tcBorders>
              <w:top w:val="nil"/>
              <w:left w:val="nil"/>
              <w:bottom w:val="single" w:sz="4" w:space="0" w:color="000000"/>
              <w:right w:val="single" w:sz="4" w:space="0" w:color="000000"/>
            </w:tcBorders>
            <w:noWrap/>
            <w:vAlign w:val="bottom"/>
            <w:hideMark/>
          </w:tcPr>
          <w:p w14:paraId="2755A71C"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1150" w:type="pct"/>
            <w:tcBorders>
              <w:top w:val="nil"/>
              <w:left w:val="nil"/>
              <w:bottom w:val="single" w:sz="4" w:space="0" w:color="000000"/>
              <w:right w:val="single" w:sz="4" w:space="0" w:color="000000"/>
            </w:tcBorders>
            <w:noWrap/>
            <w:vAlign w:val="bottom"/>
            <w:hideMark/>
          </w:tcPr>
          <w:p w14:paraId="1BF8AF85"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1.000</w:t>
            </w:r>
          </w:p>
        </w:tc>
        <w:tc>
          <w:tcPr>
            <w:tcW w:w="1015" w:type="pct"/>
            <w:tcBorders>
              <w:top w:val="nil"/>
              <w:left w:val="nil"/>
              <w:bottom w:val="single" w:sz="4" w:space="0" w:color="000000"/>
              <w:right w:val="single" w:sz="4" w:space="0" w:color="000000"/>
            </w:tcBorders>
            <w:noWrap/>
            <w:vAlign w:val="bottom"/>
            <w:hideMark/>
          </w:tcPr>
          <w:p w14:paraId="2E724CB2"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940" w:type="pct"/>
            <w:tcBorders>
              <w:top w:val="nil"/>
              <w:left w:val="nil"/>
              <w:bottom w:val="single" w:sz="4" w:space="0" w:color="000000"/>
              <w:right w:val="single" w:sz="4" w:space="0" w:color="auto"/>
            </w:tcBorders>
            <w:noWrap/>
            <w:vAlign w:val="bottom"/>
            <w:hideMark/>
          </w:tcPr>
          <w:p w14:paraId="71F51829" w14:textId="77777777" w:rsidR="005F6C2F" w:rsidRPr="005F6C2F" w:rsidRDefault="005F6C2F" w:rsidP="005F6C2F">
            <w:pPr>
              <w:spacing w:before="0" w:after="0" w:line="240" w:lineRule="auto"/>
              <w:jc w:val="left"/>
              <w:rPr>
                <w:rFonts w:ascii="Arial" w:hAnsi="Arial" w:cs="Arial"/>
                <w:color w:val="000000"/>
                <w:lang w:val="en-IN"/>
              </w:rPr>
            </w:pPr>
            <w:r w:rsidRPr="005F6C2F">
              <w:rPr>
                <w:rFonts w:ascii="Arial" w:hAnsi="Arial" w:cs="Arial"/>
                <w:color w:val="000000"/>
                <w:lang w:val="en-IN"/>
              </w:rPr>
              <w:t xml:space="preserve">-£          50.00 </w:t>
            </w:r>
          </w:p>
        </w:tc>
      </w:tr>
      <w:tr w:rsidR="005F6C2F" w:rsidRPr="005F6C2F" w14:paraId="4BBE9999" w14:textId="77777777" w:rsidTr="005F6C2F">
        <w:trPr>
          <w:trHeight w:val="300"/>
          <w:jc w:val="center"/>
        </w:trPr>
        <w:tc>
          <w:tcPr>
            <w:tcW w:w="777" w:type="pct"/>
            <w:tcBorders>
              <w:top w:val="nil"/>
              <w:left w:val="single" w:sz="4" w:space="0" w:color="auto"/>
              <w:bottom w:val="single" w:sz="4" w:space="0" w:color="000000"/>
              <w:right w:val="single" w:sz="4" w:space="0" w:color="000000"/>
            </w:tcBorders>
            <w:noWrap/>
            <w:vAlign w:val="bottom"/>
            <w:hideMark/>
          </w:tcPr>
          <w:p w14:paraId="1B0FCC40"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1</w:t>
            </w:r>
          </w:p>
        </w:tc>
        <w:tc>
          <w:tcPr>
            <w:tcW w:w="1118" w:type="pct"/>
            <w:tcBorders>
              <w:top w:val="nil"/>
              <w:left w:val="nil"/>
              <w:bottom w:val="single" w:sz="4" w:space="0" w:color="000000"/>
              <w:right w:val="single" w:sz="4" w:space="0" w:color="000000"/>
            </w:tcBorders>
            <w:noWrap/>
            <w:vAlign w:val="bottom"/>
            <w:hideMark/>
          </w:tcPr>
          <w:p w14:paraId="481B7423"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10.00 </w:t>
            </w:r>
          </w:p>
        </w:tc>
        <w:tc>
          <w:tcPr>
            <w:tcW w:w="1150" w:type="pct"/>
            <w:tcBorders>
              <w:top w:val="nil"/>
              <w:left w:val="nil"/>
              <w:bottom w:val="single" w:sz="4" w:space="0" w:color="000000"/>
              <w:right w:val="single" w:sz="4" w:space="0" w:color="000000"/>
            </w:tcBorders>
            <w:noWrap/>
            <w:vAlign w:val="bottom"/>
            <w:hideMark/>
          </w:tcPr>
          <w:p w14:paraId="60434817"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0.909</w:t>
            </w:r>
          </w:p>
        </w:tc>
        <w:tc>
          <w:tcPr>
            <w:tcW w:w="1015" w:type="pct"/>
            <w:tcBorders>
              <w:top w:val="nil"/>
              <w:left w:val="nil"/>
              <w:bottom w:val="single" w:sz="4" w:space="0" w:color="000000"/>
              <w:right w:val="single" w:sz="4" w:space="0" w:color="000000"/>
            </w:tcBorders>
            <w:noWrap/>
            <w:vAlign w:val="bottom"/>
            <w:hideMark/>
          </w:tcPr>
          <w:p w14:paraId="10319158"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9.09 </w:t>
            </w:r>
          </w:p>
        </w:tc>
        <w:tc>
          <w:tcPr>
            <w:tcW w:w="940" w:type="pct"/>
            <w:tcBorders>
              <w:top w:val="nil"/>
              <w:left w:val="nil"/>
              <w:bottom w:val="single" w:sz="4" w:space="0" w:color="000000"/>
              <w:right w:val="single" w:sz="4" w:space="0" w:color="auto"/>
            </w:tcBorders>
            <w:noWrap/>
            <w:vAlign w:val="bottom"/>
            <w:hideMark/>
          </w:tcPr>
          <w:p w14:paraId="58A1A187" w14:textId="77777777" w:rsidR="005F6C2F" w:rsidRPr="005F6C2F" w:rsidRDefault="005F6C2F" w:rsidP="005F6C2F">
            <w:pPr>
              <w:spacing w:before="0" w:after="0" w:line="240" w:lineRule="auto"/>
              <w:jc w:val="left"/>
              <w:rPr>
                <w:rFonts w:ascii="Arial" w:hAnsi="Arial" w:cs="Arial"/>
                <w:color w:val="000000"/>
                <w:lang w:val="en-IN"/>
              </w:rPr>
            </w:pPr>
            <w:r w:rsidRPr="005F6C2F">
              <w:rPr>
                <w:rFonts w:ascii="Arial" w:hAnsi="Arial" w:cs="Arial"/>
                <w:color w:val="000000"/>
                <w:lang w:val="en-IN"/>
              </w:rPr>
              <w:t xml:space="preserve">-£          40.91 </w:t>
            </w:r>
          </w:p>
        </w:tc>
      </w:tr>
      <w:tr w:rsidR="005F6C2F" w:rsidRPr="005F6C2F" w14:paraId="4FBA3739" w14:textId="77777777" w:rsidTr="005F6C2F">
        <w:trPr>
          <w:trHeight w:val="300"/>
          <w:jc w:val="center"/>
        </w:trPr>
        <w:tc>
          <w:tcPr>
            <w:tcW w:w="777" w:type="pct"/>
            <w:tcBorders>
              <w:top w:val="nil"/>
              <w:left w:val="single" w:sz="4" w:space="0" w:color="auto"/>
              <w:bottom w:val="single" w:sz="4" w:space="0" w:color="000000"/>
              <w:right w:val="single" w:sz="4" w:space="0" w:color="000000"/>
            </w:tcBorders>
            <w:noWrap/>
            <w:vAlign w:val="bottom"/>
            <w:hideMark/>
          </w:tcPr>
          <w:p w14:paraId="6A176F73"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2</w:t>
            </w:r>
          </w:p>
        </w:tc>
        <w:tc>
          <w:tcPr>
            <w:tcW w:w="1118" w:type="pct"/>
            <w:tcBorders>
              <w:top w:val="nil"/>
              <w:left w:val="nil"/>
              <w:bottom w:val="single" w:sz="4" w:space="0" w:color="000000"/>
              <w:right w:val="single" w:sz="4" w:space="0" w:color="000000"/>
            </w:tcBorders>
            <w:noWrap/>
            <w:vAlign w:val="bottom"/>
            <w:hideMark/>
          </w:tcPr>
          <w:p w14:paraId="201B8C0F"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12.00 </w:t>
            </w:r>
          </w:p>
        </w:tc>
        <w:tc>
          <w:tcPr>
            <w:tcW w:w="1150" w:type="pct"/>
            <w:tcBorders>
              <w:top w:val="nil"/>
              <w:left w:val="nil"/>
              <w:bottom w:val="single" w:sz="4" w:space="0" w:color="000000"/>
              <w:right w:val="single" w:sz="4" w:space="0" w:color="000000"/>
            </w:tcBorders>
            <w:noWrap/>
            <w:vAlign w:val="bottom"/>
            <w:hideMark/>
          </w:tcPr>
          <w:p w14:paraId="5BD8E9E6"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0.826</w:t>
            </w:r>
          </w:p>
        </w:tc>
        <w:tc>
          <w:tcPr>
            <w:tcW w:w="1015" w:type="pct"/>
            <w:tcBorders>
              <w:top w:val="nil"/>
              <w:left w:val="nil"/>
              <w:bottom w:val="single" w:sz="4" w:space="0" w:color="000000"/>
              <w:right w:val="single" w:sz="4" w:space="0" w:color="000000"/>
            </w:tcBorders>
            <w:noWrap/>
            <w:vAlign w:val="bottom"/>
            <w:hideMark/>
          </w:tcPr>
          <w:p w14:paraId="2B91FD37"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9.92 </w:t>
            </w:r>
          </w:p>
        </w:tc>
        <w:tc>
          <w:tcPr>
            <w:tcW w:w="940" w:type="pct"/>
            <w:tcBorders>
              <w:top w:val="nil"/>
              <w:left w:val="nil"/>
              <w:bottom w:val="single" w:sz="4" w:space="0" w:color="000000"/>
              <w:right w:val="single" w:sz="4" w:space="0" w:color="auto"/>
            </w:tcBorders>
            <w:noWrap/>
            <w:vAlign w:val="bottom"/>
            <w:hideMark/>
          </w:tcPr>
          <w:p w14:paraId="1AABE699" w14:textId="77777777" w:rsidR="005F6C2F" w:rsidRPr="005F6C2F" w:rsidRDefault="005F6C2F" w:rsidP="005F6C2F">
            <w:pPr>
              <w:spacing w:before="0" w:after="0" w:line="240" w:lineRule="auto"/>
              <w:jc w:val="left"/>
              <w:rPr>
                <w:rFonts w:ascii="Arial" w:hAnsi="Arial" w:cs="Arial"/>
                <w:color w:val="000000"/>
                <w:lang w:val="en-IN"/>
              </w:rPr>
            </w:pPr>
            <w:r w:rsidRPr="005F6C2F">
              <w:rPr>
                <w:rFonts w:ascii="Arial" w:hAnsi="Arial" w:cs="Arial"/>
                <w:color w:val="000000"/>
                <w:lang w:val="en-IN"/>
              </w:rPr>
              <w:t xml:space="preserve">-£          30.99 </w:t>
            </w:r>
          </w:p>
        </w:tc>
      </w:tr>
      <w:tr w:rsidR="005F6C2F" w:rsidRPr="005F6C2F" w14:paraId="09DEA18D" w14:textId="77777777" w:rsidTr="005F6C2F">
        <w:trPr>
          <w:trHeight w:val="300"/>
          <w:jc w:val="center"/>
        </w:trPr>
        <w:tc>
          <w:tcPr>
            <w:tcW w:w="777" w:type="pct"/>
            <w:tcBorders>
              <w:top w:val="nil"/>
              <w:left w:val="single" w:sz="4" w:space="0" w:color="auto"/>
              <w:bottom w:val="single" w:sz="4" w:space="0" w:color="000000"/>
              <w:right w:val="single" w:sz="4" w:space="0" w:color="000000"/>
            </w:tcBorders>
            <w:noWrap/>
            <w:vAlign w:val="bottom"/>
            <w:hideMark/>
          </w:tcPr>
          <w:p w14:paraId="35E57607"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3</w:t>
            </w:r>
          </w:p>
        </w:tc>
        <w:tc>
          <w:tcPr>
            <w:tcW w:w="1118" w:type="pct"/>
            <w:tcBorders>
              <w:top w:val="nil"/>
              <w:left w:val="nil"/>
              <w:bottom w:val="single" w:sz="4" w:space="0" w:color="000000"/>
              <w:right w:val="single" w:sz="4" w:space="0" w:color="000000"/>
            </w:tcBorders>
            <w:noWrap/>
            <w:vAlign w:val="bottom"/>
            <w:hideMark/>
          </w:tcPr>
          <w:p w14:paraId="3EEDA8BC"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14.00 </w:t>
            </w:r>
          </w:p>
        </w:tc>
        <w:tc>
          <w:tcPr>
            <w:tcW w:w="1150" w:type="pct"/>
            <w:tcBorders>
              <w:top w:val="nil"/>
              <w:left w:val="nil"/>
              <w:bottom w:val="single" w:sz="4" w:space="0" w:color="000000"/>
              <w:right w:val="single" w:sz="4" w:space="0" w:color="000000"/>
            </w:tcBorders>
            <w:noWrap/>
            <w:vAlign w:val="bottom"/>
            <w:hideMark/>
          </w:tcPr>
          <w:p w14:paraId="3E6F04FF"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0.751</w:t>
            </w:r>
          </w:p>
        </w:tc>
        <w:tc>
          <w:tcPr>
            <w:tcW w:w="1015" w:type="pct"/>
            <w:tcBorders>
              <w:top w:val="nil"/>
              <w:left w:val="nil"/>
              <w:bottom w:val="single" w:sz="4" w:space="0" w:color="000000"/>
              <w:right w:val="single" w:sz="4" w:space="0" w:color="000000"/>
            </w:tcBorders>
            <w:noWrap/>
            <w:vAlign w:val="bottom"/>
            <w:hideMark/>
          </w:tcPr>
          <w:p w14:paraId="441F762A"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10.52 </w:t>
            </w:r>
          </w:p>
        </w:tc>
        <w:tc>
          <w:tcPr>
            <w:tcW w:w="940" w:type="pct"/>
            <w:tcBorders>
              <w:top w:val="nil"/>
              <w:left w:val="nil"/>
              <w:bottom w:val="single" w:sz="4" w:space="0" w:color="000000"/>
              <w:right w:val="single" w:sz="4" w:space="0" w:color="auto"/>
            </w:tcBorders>
            <w:noWrap/>
            <w:vAlign w:val="bottom"/>
            <w:hideMark/>
          </w:tcPr>
          <w:p w14:paraId="060506B2" w14:textId="77777777" w:rsidR="005F6C2F" w:rsidRPr="005F6C2F" w:rsidRDefault="005F6C2F" w:rsidP="005F6C2F">
            <w:pPr>
              <w:spacing w:before="0" w:after="0" w:line="240" w:lineRule="auto"/>
              <w:jc w:val="left"/>
              <w:rPr>
                <w:rFonts w:ascii="Arial" w:hAnsi="Arial" w:cs="Arial"/>
                <w:color w:val="000000"/>
                <w:lang w:val="en-IN"/>
              </w:rPr>
            </w:pPr>
            <w:r w:rsidRPr="005F6C2F">
              <w:rPr>
                <w:rFonts w:ascii="Arial" w:hAnsi="Arial" w:cs="Arial"/>
                <w:color w:val="000000"/>
                <w:lang w:val="en-IN"/>
              </w:rPr>
              <w:t xml:space="preserve">-£          20.47 </w:t>
            </w:r>
          </w:p>
        </w:tc>
      </w:tr>
      <w:tr w:rsidR="005F6C2F" w:rsidRPr="005F6C2F" w14:paraId="04BE91C5" w14:textId="77777777" w:rsidTr="005F6C2F">
        <w:trPr>
          <w:trHeight w:val="300"/>
          <w:jc w:val="center"/>
        </w:trPr>
        <w:tc>
          <w:tcPr>
            <w:tcW w:w="777" w:type="pct"/>
            <w:tcBorders>
              <w:top w:val="nil"/>
              <w:left w:val="single" w:sz="4" w:space="0" w:color="auto"/>
              <w:bottom w:val="single" w:sz="4" w:space="0" w:color="000000"/>
              <w:right w:val="single" w:sz="4" w:space="0" w:color="000000"/>
            </w:tcBorders>
            <w:noWrap/>
            <w:vAlign w:val="bottom"/>
            <w:hideMark/>
          </w:tcPr>
          <w:p w14:paraId="3CE84B41"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4</w:t>
            </w:r>
          </w:p>
        </w:tc>
        <w:tc>
          <w:tcPr>
            <w:tcW w:w="1118" w:type="pct"/>
            <w:tcBorders>
              <w:top w:val="nil"/>
              <w:left w:val="nil"/>
              <w:bottom w:val="single" w:sz="4" w:space="0" w:color="000000"/>
              <w:right w:val="single" w:sz="4" w:space="0" w:color="000000"/>
            </w:tcBorders>
            <w:noWrap/>
            <w:vAlign w:val="bottom"/>
            <w:hideMark/>
          </w:tcPr>
          <w:p w14:paraId="369BDCD2"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10.00 </w:t>
            </w:r>
          </w:p>
        </w:tc>
        <w:tc>
          <w:tcPr>
            <w:tcW w:w="1150" w:type="pct"/>
            <w:tcBorders>
              <w:top w:val="nil"/>
              <w:left w:val="nil"/>
              <w:bottom w:val="single" w:sz="4" w:space="0" w:color="000000"/>
              <w:right w:val="single" w:sz="4" w:space="0" w:color="000000"/>
            </w:tcBorders>
            <w:noWrap/>
            <w:vAlign w:val="bottom"/>
            <w:hideMark/>
          </w:tcPr>
          <w:p w14:paraId="147346D3"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0.683</w:t>
            </w:r>
          </w:p>
        </w:tc>
        <w:tc>
          <w:tcPr>
            <w:tcW w:w="1015" w:type="pct"/>
            <w:tcBorders>
              <w:top w:val="nil"/>
              <w:left w:val="nil"/>
              <w:bottom w:val="single" w:sz="4" w:space="0" w:color="000000"/>
              <w:right w:val="single" w:sz="4" w:space="0" w:color="000000"/>
            </w:tcBorders>
            <w:noWrap/>
            <w:vAlign w:val="bottom"/>
            <w:hideMark/>
          </w:tcPr>
          <w:p w14:paraId="2570BAA9"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6.83 </w:t>
            </w:r>
          </w:p>
        </w:tc>
        <w:tc>
          <w:tcPr>
            <w:tcW w:w="940" w:type="pct"/>
            <w:tcBorders>
              <w:top w:val="nil"/>
              <w:left w:val="nil"/>
              <w:bottom w:val="single" w:sz="4" w:space="0" w:color="000000"/>
              <w:right w:val="single" w:sz="4" w:space="0" w:color="auto"/>
            </w:tcBorders>
            <w:noWrap/>
            <w:vAlign w:val="bottom"/>
            <w:hideMark/>
          </w:tcPr>
          <w:p w14:paraId="70B5AD19" w14:textId="77777777" w:rsidR="005F6C2F" w:rsidRPr="005F6C2F" w:rsidRDefault="005F6C2F" w:rsidP="005F6C2F">
            <w:pPr>
              <w:spacing w:before="0" w:after="0" w:line="240" w:lineRule="auto"/>
              <w:jc w:val="left"/>
              <w:rPr>
                <w:rFonts w:ascii="Arial" w:hAnsi="Arial" w:cs="Arial"/>
                <w:color w:val="000000"/>
                <w:lang w:val="en-IN"/>
              </w:rPr>
            </w:pPr>
            <w:r w:rsidRPr="005F6C2F">
              <w:rPr>
                <w:rFonts w:ascii="Arial" w:hAnsi="Arial" w:cs="Arial"/>
                <w:color w:val="000000"/>
                <w:lang w:val="en-IN"/>
              </w:rPr>
              <w:t xml:space="preserve">-£          13.64 </w:t>
            </w:r>
          </w:p>
        </w:tc>
      </w:tr>
      <w:tr w:rsidR="005F6C2F" w:rsidRPr="005F6C2F" w14:paraId="740AEA02" w14:textId="77777777" w:rsidTr="005F6C2F">
        <w:trPr>
          <w:trHeight w:val="300"/>
          <w:jc w:val="center"/>
        </w:trPr>
        <w:tc>
          <w:tcPr>
            <w:tcW w:w="777" w:type="pct"/>
            <w:tcBorders>
              <w:top w:val="nil"/>
              <w:left w:val="single" w:sz="4" w:space="0" w:color="auto"/>
              <w:bottom w:val="single" w:sz="4" w:space="0" w:color="000000"/>
              <w:right w:val="single" w:sz="4" w:space="0" w:color="000000"/>
            </w:tcBorders>
            <w:noWrap/>
            <w:vAlign w:val="bottom"/>
            <w:hideMark/>
          </w:tcPr>
          <w:p w14:paraId="1DEAE572"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5</w:t>
            </w:r>
          </w:p>
        </w:tc>
        <w:tc>
          <w:tcPr>
            <w:tcW w:w="1118" w:type="pct"/>
            <w:tcBorders>
              <w:top w:val="nil"/>
              <w:left w:val="nil"/>
              <w:bottom w:val="single" w:sz="4" w:space="0" w:color="000000"/>
              <w:right w:val="single" w:sz="4" w:space="0" w:color="000000"/>
            </w:tcBorders>
            <w:noWrap/>
            <w:vAlign w:val="bottom"/>
            <w:hideMark/>
          </w:tcPr>
          <w:p w14:paraId="577106B4"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8.00 </w:t>
            </w:r>
          </w:p>
        </w:tc>
        <w:tc>
          <w:tcPr>
            <w:tcW w:w="1150" w:type="pct"/>
            <w:tcBorders>
              <w:top w:val="nil"/>
              <w:left w:val="nil"/>
              <w:bottom w:val="single" w:sz="4" w:space="0" w:color="000000"/>
              <w:right w:val="single" w:sz="4" w:space="0" w:color="000000"/>
            </w:tcBorders>
            <w:noWrap/>
            <w:vAlign w:val="bottom"/>
            <w:hideMark/>
          </w:tcPr>
          <w:p w14:paraId="261AFB63"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0.621</w:t>
            </w:r>
          </w:p>
        </w:tc>
        <w:tc>
          <w:tcPr>
            <w:tcW w:w="1015" w:type="pct"/>
            <w:tcBorders>
              <w:top w:val="nil"/>
              <w:left w:val="nil"/>
              <w:bottom w:val="single" w:sz="4" w:space="0" w:color="000000"/>
              <w:right w:val="single" w:sz="4" w:space="0" w:color="000000"/>
            </w:tcBorders>
            <w:noWrap/>
            <w:vAlign w:val="bottom"/>
            <w:hideMark/>
          </w:tcPr>
          <w:p w14:paraId="742AD031"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4.97 </w:t>
            </w:r>
          </w:p>
        </w:tc>
        <w:tc>
          <w:tcPr>
            <w:tcW w:w="940" w:type="pct"/>
            <w:tcBorders>
              <w:top w:val="nil"/>
              <w:left w:val="nil"/>
              <w:bottom w:val="single" w:sz="4" w:space="0" w:color="000000"/>
              <w:right w:val="single" w:sz="4" w:space="0" w:color="auto"/>
            </w:tcBorders>
            <w:noWrap/>
            <w:vAlign w:val="bottom"/>
            <w:hideMark/>
          </w:tcPr>
          <w:p w14:paraId="2981CFBA" w14:textId="77777777" w:rsidR="005F6C2F" w:rsidRPr="005F6C2F" w:rsidRDefault="005F6C2F" w:rsidP="005F6C2F">
            <w:pPr>
              <w:spacing w:before="0" w:after="0" w:line="240" w:lineRule="auto"/>
              <w:jc w:val="left"/>
              <w:rPr>
                <w:rFonts w:ascii="Arial" w:hAnsi="Arial" w:cs="Arial"/>
                <w:color w:val="000000"/>
                <w:lang w:val="en-IN"/>
              </w:rPr>
            </w:pPr>
            <w:r w:rsidRPr="005F6C2F">
              <w:rPr>
                <w:rFonts w:ascii="Arial" w:hAnsi="Arial" w:cs="Arial"/>
                <w:color w:val="000000"/>
                <w:lang w:val="en-IN"/>
              </w:rPr>
              <w:t xml:space="preserve">-£            8.68 </w:t>
            </w:r>
          </w:p>
        </w:tc>
      </w:tr>
      <w:tr w:rsidR="005F6C2F" w:rsidRPr="005F6C2F" w14:paraId="001C9AE8" w14:textId="77777777" w:rsidTr="005F6C2F">
        <w:trPr>
          <w:trHeight w:val="624"/>
          <w:jc w:val="center"/>
        </w:trPr>
        <w:tc>
          <w:tcPr>
            <w:tcW w:w="4060" w:type="pct"/>
            <w:gridSpan w:val="4"/>
            <w:tcBorders>
              <w:top w:val="single" w:sz="4" w:space="0" w:color="000000"/>
              <w:left w:val="single" w:sz="4" w:space="0" w:color="auto"/>
              <w:bottom w:val="single" w:sz="4" w:space="0" w:color="000000"/>
              <w:right w:val="single" w:sz="4" w:space="0" w:color="000000"/>
            </w:tcBorders>
            <w:vAlign w:val="center"/>
            <w:hideMark/>
          </w:tcPr>
          <w:p w14:paraId="61C04DF4"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"Payback Period (PBP) of Project A"</w:t>
            </w:r>
          </w:p>
        </w:tc>
        <w:tc>
          <w:tcPr>
            <w:tcW w:w="940" w:type="pct"/>
            <w:tcBorders>
              <w:top w:val="nil"/>
              <w:left w:val="nil"/>
              <w:bottom w:val="single" w:sz="4" w:space="0" w:color="000000"/>
              <w:right w:val="single" w:sz="4" w:space="0" w:color="auto"/>
            </w:tcBorders>
            <w:vAlign w:val="center"/>
            <w:hideMark/>
          </w:tcPr>
          <w:p w14:paraId="297B73F7"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Not Recovered</w:t>
            </w:r>
          </w:p>
        </w:tc>
      </w:tr>
      <w:tr w:rsidR="005F6C2F" w:rsidRPr="005F6C2F" w14:paraId="3FF70D96" w14:textId="77777777" w:rsidTr="005F6C2F">
        <w:trPr>
          <w:trHeight w:val="300"/>
          <w:jc w:val="center"/>
        </w:trPr>
        <w:tc>
          <w:tcPr>
            <w:tcW w:w="777" w:type="pct"/>
            <w:tcBorders>
              <w:top w:val="nil"/>
              <w:left w:val="single" w:sz="4" w:space="0" w:color="auto"/>
              <w:bottom w:val="nil"/>
              <w:right w:val="nil"/>
            </w:tcBorders>
            <w:noWrap/>
            <w:vAlign w:val="bottom"/>
            <w:hideMark/>
          </w:tcPr>
          <w:p w14:paraId="646F7764" w14:textId="77777777" w:rsidR="005F6C2F" w:rsidRPr="005F6C2F" w:rsidRDefault="005F6C2F" w:rsidP="005F6C2F">
            <w:pPr>
              <w:spacing w:before="0" w:after="0" w:line="240" w:lineRule="auto"/>
              <w:jc w:val="center"/>
              <w:rPr>
                <w:rFonts w:ascii="Arial" w:hAnsi="Arial" w:cs="Arial"/>
                <w:b/>
                <w:bCs/>
                <w:color w:val="000000"/>
                <w:lang w:val="en-IN"/>
              </w:rPr>
            </w:pPr>
          </w:p>
        </w:tc>
        <w:tc>
          <w:tcPr>
            <w:tcW w:w="1118" w:type="pct"/>
            <w:tcBorders>
              <w:top w:val="nil"/>
              <w:left w:val="nil"/>
              <w:bottom w:val="nil"/>
              <w:right w:val="nil"/>
            </w:tcBorders>
            <w:noWrap/>
            <w:vAlign w:val="bottom"/>
            <w:hideMark/>
          </w:tcPr>
          <w:p w14:paraId="2344319D" w14:textId="77777777" w:rsidR="005F6C2F" w:rsidRPr="005F6C2F" w:rsidRDefault="005F6C2F" w:rsidP="005F6C2F">
            <w:pPr>
              <w:spacing w:before="0" w:after="0" w:line="240" w:lineRule="auto"/>
              <w:jc w:val="left"/>
              <w:rPr>
                <w:sz w:val="20"/>
                <w:szCs w:val="20"/>
                <w:lang w:val="en-IN"/>
              </w:rPr>
            </w:pPr>
          </w:p>
        </w:tc>
        <w:tc>
          <w:tcPr>
            <w:tcW w:w="1150" w:type="pct"/>
            <w:tcBorders>
              <w:top w:val="nil"/>
              <w:left w:val="nil"/>
              <w:bottom w:val="nil"/>
              <w:right w:val="nil"/>
            </w:tcBorders>
            <w:noWrap/>
            <w:vAlign w:val="bottom"/>
            <w:hideMark/>
          </w:tcPr>
          <w:p w14:paraId="0A3026AF" w14:textId="77777777" w:rsidR="005F6C2F" w:rsidRPr="005F6C2F" w:rsidRDefault="005F6C2F" w:rsidP="005F6C2F">
            <w:pPr>
              <w:spacing w:before="0" w:after="0" w:line="240" w:lineRule="auto"/>
              <w:jc w:val="left"/>
              <w:rPr>
                <w:sz w:val="20"/>
                <w:szCs w:val="20"/>
                <w:lang w:val="en-IN"/>
              </w:rPr>
            </w:pPr>
          </w:p>
        </w:tc>
        <w:tc>
          <w:tcPr>
            <w:tcW w:w="1015" w:type="pct"/>
            <w:tcBorders>
              <w:top w:val="nil"/>
              <w:left w:val="nil"/>
              <w:bottom w:val="nil"/>
              <w:right w:val="nil"/>
            </w:tcBorders>
            <w:noWrap/>
            <w:vAlign w:val="bottom"/>
            <w:hideMark/>
          </w:tcPr>
          <w:p w14:paraId="7448C876" w14:textId="77777777" w:rsidR="005F6C2F" w:rsidRPr="005F6C2F" w:rsidRDefault="005F6C2F" w:rsidP="005F6C2F">
            <w:pPr>
              <w:spacing w:before="0" w:after="0" w:line="240" w:lineRule="auto"/>
              <w:jc w:val="left"/>
              <w:rPr>
                <w:sz w:val="20"/>
                <w:szCs w:val="20"/>
                <w:lang w:val="en-IN"/>
              </w:rPr>
            </w:pPr>
          </w:p>
        </w:tc>
        <w:tc>
          <w:tcPr>
            <w:tcW w:w="940" w:type="pct"/>
            <w:tcBorders>
              <w:top w:val="nil"/>
              <w:left w:val="nil"/>
              <w:bottom w:val="nil"/>
              <w:right w:val="single" w:sz="4" w:space="0" w:color="auto"/>
            </w:tcBorders>
            <w:noWrap/>
            <w:vAlign w:val="bottom"/>
            <w:hideMark/>
          </w:tcPr>
          <w:p w14:paraId="273F3C3F" w14:textId="77777777" w:rsidR="005F6C2F" w:rsidRPr="005F6C2F" w:rsidRDefault="005F6C2F" w:rsidP="005F6C2F">
            <w:pPr>
              <w:spacing w:before="0" w:after="0" w:line="240" w:lineRule="auto"/>
              <w:jc w:val="left"/>
              <w:rPr>
                <w:sz w:val="20"/>
                <w:szCs w:val="20"/>
                <w:lang w:val="en-IN"/>
              </w:rPr>
            </w:pPr>
          </w:p>
        </w:tc>
      </w:tr>
      <w:tr w:rsidR="005F6C2F" w:rsidRPr="005F6C2F" w14:paraId="0C29D909" w14:textId="77777777" w:rsidTr="005F6C2F">
        <w:trPr>
          <w:trHeight w:val="624"/>
          <w:jc w:val="center"/>
        </w:trPr>
        <w:tc>
          <w:tcPr>
            <w:tcW w:w="777" w:type="pct"/>
            <w:tcBorders>
              <w:top w:val="single" w:sz="4" w:space="0" w:color="000000"/>
              <w:left w:val="single" w:sz="4" w:space="0" w:color="auto"/>
              <w:bottom w:val="single" w:sz="4" w:space="0" w:color="000000"/>
              <w:right w:val="single" w:sz="4" w:space="0" w:color="000000"/>
            </w:tcBorders>
            <w:vAlign w:val="center"/>
            <w:hideMark/>
          </w:tcPr>
          <w:p w14:paraId="03D0FF06"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Year</w:t>
            </w:r>
          </w:p>
        </w:tc>
        <w:tc>
          <w:tcPr>
            <w:tcW w:w="1118" w:type="pct"/>
            <w:tcBorders>
              <w:top w:val="single" w:sz="4" w:space="0" w:color="000000"/>
              <w:left w:val="nil"/>
              <w:bottom w:val="single" w:sz="4" w:space="0" w:color="000000"/>
              <w:right w:val="single" w:sz="4" w:space="0" w:color="000000"/>
            </w:tcBorders>
            <w:vAlign w:val="center"/>
            <w:hideMark/>
          </w:tcPr>
          <w:p w14:paraId="03D44042"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Cashflow</w:t>
            </w:r>
          </w:p>
        </w:tc>
        <w:tc>
          <w:tcPr>
            <w:tcW w:w="1150" w:type="pct"/>
            <w:tcBorders>
              <w:top w:val="single" w:sz="4" w:space="0" w:color="000000"/>
              <w:left w:val="nil"/>
              <w:bottom w:val="single" w:sz="4" w:space="0" w:color="000000"/>
              <w:right w:val="single" w:sz="4" w:space="0" w:color="000000"/>
            </w:tcBorders>
            <w:vAlign w:val="center"/>
            <w:hideMark/>
          </w:tcPr>
          <w:p w14:paraId="00B1C480"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"Discounting Factor @10%"</w:t>
            </w:r>
          </w:p>
        </w:tc>
        <w:tc>
          <w:tcPr>
            <w:tcW w:w="1015" w:type="pct"/>
            <w:tcBorders>
              <w:top w:val="single" w:sz="4" w:space="0" w:color="000000"/>
              <w:left w:val="nil"/>
              <w:bottom w:val="single" w:sz="4" w:space="0" w:color="000000"/>
              <w:right w:val="single" w:sz="4" w:space="0" w:color="000000"/>
            </w:tcBorders>
            <w:vAlign w:val="center"/>
            <w:hideMark/>
          </w:tcPr>
          <w:p w14:paraId="3ECC0F88"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Present value</w:t>
            </w:r>
          </w:p>
        </w:tc>
        <w:tc>
          <w:tcPr>
            <w:tcW w:w="940" w:type="pct"/>
            <w:tcBorders>
              <w:top w:val="nil"/>
              <w:left w:val="nil"/>
              <w:bottom w:val="nil"/>
              <w:right w:val="single" w:sz="4" w:space="0" w:color="auto"/>
            </w:tcBorders>
            <w:noWrap/>
            <w:vAlign w:val="bottom"/>
            <w:hideMark/>
          </w:tcPr>
          <w:p w14:paraId="357CB49E" w14:textId="77777777" w:rsidR="005F6C2F" w:rsidRPr="005F6C2F" w:rsidRDefault="005F6C2F" w:rsidP="005F6C2F">
            <w:pPr>
              <w:spacing w:before="0" w:after="0" w:line="240" w:lineRule="auto"/>
              <w:jc w:val="center"/>
              <w:rPr>
                <w:rFonts w:ascii="Arial" w:hAnsi="Arial" w:cs="Arial"/>
                <w:b/>
                <w:bCs/>
                <w:color w:val="000000"/>
                <w:lang w:val="en-IN"/>
              </w:rPr>
            </w:pPr>
          </w:p>
        </w:tc>
      </w:tr>
      <w:tr w:rsidR="005F6C2F" w:rsidRPr="005F6C2F" w14:paraId="690B2BAB" w14:textId="77777777" w:rsidTr="005F6C2F">
        <w:trPr>
          <w:trHeight w:val="300"/>
          <w:jc w:val="center"/>
        </w:trPr>
        <w:tc>
          <w:tcPr>
            <w:tcW w:w="777" w:type="pct"/>
            <w:tcBorders>
              <w:top w:val="nil"/>
              <w:left w:val="single" w:sz="4" w:space="0" w:color="auto"/>
              <w:bottom w:val="single" w:sz="4" w:space="0" w:color="000000"/>
              <w:right w:val="single" w:sz="4" w:space="0" w:color="000000"/>
            </w:tcBorders>
            <w:noWrap/>
            <w:vAlign w:val="bottom"/>
            <w:hideMark/>
          </w:tcPr>
          <w:p w14:paraId="3C77D442"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w:t>
            </w:r>
          </w:p>
        </w:tc>
        <w:tc>
          <w:tcPr>
            <w:tcW w:w="1118" w:type="pct"/>
            <w:tcBorders>
              <w:top w:val="nil"/>
              <w:left w:val="nil"/>
              <w:bottom w:val="single" w:sz="4" w:space="0" w:color="000000"/>
              <w:right w:val="single" w:sz="4" w:space="0" w:color="000000"/>
            </w:tcBorders>
            <w:noWrap/>
            <w:vAlign w:val="bottom"/>
            <w:hideMark/>
          </w:tcPr>
          <w:p w14:paraId="5C16C556"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1150" w:type="pct"/>
            <w:tcBorders>
              <w:top w:val="nil"/>
              <w:left w:val="nil"/>
              <w:bottom w:val="single" w:sz="4" w:space="0" w:color="000000"/>
              <w:right w:val="single" w:sz="4" w:space="0" w:color="000000"/>
            </w:tcBorders>
            <w:noWrap/>
            <w:vAlign w:val="bottom"/>
            <w:hideMark/>
          </w:tcPr>
          <w:p w14:paraId="709D5A84"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1.000</w:t>
            </w:r>
          </w:p>
        </w:tc>
        <w:tc>
          <w:tcPr>
            <w:tcW w:w="1015" w:type="pct"/>
            <w:tcBorders>
              <w:top w:val="nil"/>
              <w:left w:val="nil"/>
              <w:bottom w:val="single" w:sz="4" w:space="0" w:color="000000"/>
              <w:right w:val="single" w:sz="4" w:space="0" w:color="000000"/>
            </w:tcBorders>
            <w:noWrap/>
            <w:vAlign w:val="bottom"/>
            <w:hideMark/>
          </w:tcPr>
          <w:p w14:paraId="5FA677D5"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940" w:type="pct"/>
            <w:tcBorders>
              <w:top w:val="nil"/>
              <w:left w:val="nil"/>
              <w:bottom w:val="nil"/>
              <w:right w:val="single" w:sz="4" w:space="0" w:color="auto"/>
            </w:tcBorders>
            <w:noWrap/>
            <w:vAlign w:val="bottom"/>
            <w:hideMark/>
          </w:tcPr>
          <w:p w14:paraId="10500637"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57BDEDBD" w14:textId="77777777" w:rsidTr="005F6C2F">
        <w:trPr>
          <w:trHeight w:val="300"/>
          <w:jc w:val="center"/>
        </w:trPr>
        <w:tc>
          <w:tcPr>
            <w:tcW w:w="777" w:type="pct"/>
            <w:tcBorders>
              <w:top w:val="nil"/>
              <w:left w:val="single" w:sz="4" w:space="0" w:color="auto"/>
              <w:bottom w:val="single" w:sz="4" w:space="0" w:color="000000"/>
              <w:right w:val="single" w:sz="4" w:space="0" w:color="000000"/>
            </w:tcBorders>
            <w:noWrap/>
            <w:vAlign w:val="bottom"/>
            <w:hideMark/>
          </w:tcPr>
          <w:p w14:paraId="6C972818"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1</w:t>
            </w:r>
          </w:p>
        </w:tc>
        <w:tc>
          <w:tcPr>
            <w:tcW w:w="1118" w:type="pct"/>
            <w:tcBorders>
              <w:top w:val="nil"/>
              <w:left w:val="nil"/>
              <w:bottom w:val="single" w:sz="4" w:space="0" w:color="000000"/>
              <w:right w:val="single" w:sz="4" w:space="0" w:color="000000"/>
            </w:tcBorders>
            <w:noWrap/>
            <w:vAlign w:val="bottom"/>
            <w:hideMark/>
          </w:tcPr>
          <w:p w14:paraId="7DEA0CE9"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10.00 </w:t>
            </w:r>
          </w:p>
        </w:tc>
        <w:tc>
          <w:tcPr>
            <w:tcW w:w="1150" w:type="pct"/>
            <w:tcBorders>
              <w:top w:val="nil"/>
              <w:left w:val="nil"/>
              <w:bottom w:val="single" w:sz="4" w:space="0" w:color="000000"/>
              <w:right w:val="single" w:sz="4" w:space="0" w:color="000000"/>
            </w:tcBorders>
            <w:noWrap/>
            <w:vAlign w:val="bottom"/>
            <w:hideMark/>
          </w:tcPr>
          <w:p w14:paraId="16FE51F0"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0.909</w:t>
            </w:r>
          </w:p>
        </w:tc>
        <w:tc>
          <w:tcPr>
            <w:tcW w:w="1015" w:type="pct"/>
            <w:tcBorders>
              <w:top w:val="nil"/>
              <w:left w:val="nil"/>
              <w:bottom w:val="single" w:sz="4" w:space="0" w:color="000000"/>
              <w:right w:val="single" w:sz="4" w:space="0" w:color="000000"/>
            </w:tcBorders>
            <w:noWrap/>
            <w:vAlign w:val="bottom"/>
            <w:hideMark/>
          </w:tcPr>
          <w:p w14:paraId="359A3171"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9.09 </w:t>
            </w:r>
          </w:p>
        </w:tc>
        <w:tc>
          <w:tcPr>
            <w:tcW w:w="940" w:type="pct"/>
            <w:tcBorders>
              <w:top w:val="nil"/>
              <w:left w:val="nil"/>
              <w:bottom w:val="nil"/>
              <w:right w:val="single" w:sz="4" w:space="0" w:color="auto"/>
            </w:tcBorders>
            <w:noWrap/>
            <w:vAlign w:val="bottom"/>
            <w:hideMark/>
          </w:tcPr>
          <w:p w14:paraId="776779F0"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7D4023B2" w14:textId="77777777" w:rsidTr="005F6C2F">
        <w:trPr>
          <w:trHeight w:val="300"/>
          <w:jc w:val="center"/>
        </w:trPr>
        <w:tc>
          <w:tcPr>
            <w:tcW w:w="777" w:type="pct"/>
            <w:tcBorders>
              <w:top w:val="nil"/>
              <w:left w:val="single" w:sz="4" w:space="0" w:color="auto"/>
              <w:bottom w:val="single" w:sz="4" w:space="0" w:color="000000"/>
              <w:right w:val="single" w:sz="4" w:space="0" w:color="000000"/>
            </w:tcBorders>
            <w:noWrap/>
            <w:vAlign w:val="bottom"/>
            <w:hideMark/>
          </w:tcPr>
          <w:p w14:paraId="2C5647C0"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2</w:t>
            </w:r>
          </w:p>
        </w:tc>
        <w:tc>
          <w:tcPr>
            <w:tcW w:w="1118" w:type="pct"/>
            <w:tcBorders>
              <w:top w:val="nil"/>
              <w:left w:val="nil"/>
              <w:bottom w:val="single" w:sz="4" w:space="0" w:color="000000"/>
              <w:right w:val="single" w:sz="4" w:space="0" w:color="000000"/>
            </w:tcBorders>
            <w:noWrap/>
            <w:vAlign w:val="bottom"/>
            <w:hideMark/>
          </w:tcPr>
          <w:p w14:paraId="050B4D4C"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12.00 </w:t>
            </w:r>
          </w:p>
        </w:tc>
        <w:tc>
          <w:tcPr>
            <w:tcW w:w="1150" w:type="pct"/>
            <w:tcBorders>
              <w:top w:val="nil"/>
              <w:left w:val="nil"/>
              <w:bottom w:val="single" w:sz="4" w:space="0" w:color="000000"/>
              <w:right w:val="single" w:sz="4" w:space="0" w:color="000000"/>
            </w:tcBorders>
            <w:noWrap/>
            <w:vAlign w:val="bottom"/>
            <w:hideMark/>
          </w:tcPr>
          <w:p w14:paraId="1DA10719"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0.826</w:t>
            </w:r>
          </w:p>
        </w:tc>
        <w:tc>
          <w:tcPr>
            <w:tcW w:w="1015" w:type="pct"/>
            <w:tcBorders>
              <w:top w:val="nil"/>
              <w:left w:val="nil"/>
              <w:bottom w:val="single" w:sz="4" w:space="0" w:color="000000"/>
              <w:right w:val="single" w:sz="4" w:space="0" w:color="000000"/>
            </w:tcBorders>
            <w:noWrap/>
            <w:vAlign w:val="bottom"/>
            <w:hideMark/>
          </w:tcPr>
          <w:p w14:paraId="4599FD2F"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9.92 </w:t>
            </w:r>
          </w:p>
        </w:tc>
        <w:tc>
          <w:tcPr>
            <w:tcW w:w="940" w:type="pct"/>
            <w:tcBorders>
              <w:top w:val="nil"/>
              <w:left w:val="nil"/>
              <w:bottom w:val="nil"/>
              <w:right w:val="single" w:sz="4" w:space="0" w:color="auto"/>
            </w:tcBorders>
            <w:noWrap/>
            <w:vAlign w:val="bottom"/>
            <w:hideMark/>
          </w:tcPr>
          <w:p w14:paraId="3F92C945"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265B3DBD" w14:textId="77777777" w:rsidTr="005F6C2F">
        <w:trPr>
          <w:trHeight w:val="300"/>
          <w:jc w:val="center"/>
        </w:trPr>
        <w:tc>
          <w:tcPr>
            <w:tcW w:w="777" w:type="pct"/>
            <w:tcBorders>
              <w:top w:val="nil"/>
              <w:left w:val="single" w:sz="4" w:space="0" w:color="auto"/>
              <w:bottom w:val="single" w:sz="4" w:space="0" w:color="000000"/>
              <w:right w:val="single" w:sz="4" w:space="0" w:color="000000"/>
            </w:tcBorders>
            <w:noWrap/>
            <w:vAlign w:val="bottom"/>
            <w:hideMark/>
          </w:tcPr>
          <w:p w14:paraId="20A65662"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3</w:t>
            </w:r>
          </w:p>
        </w:tc>
        <w:tc>
          <w:tcPr>
            <w:tcW w:w="1118" w:type="pct"/>
            <w:tcBorders>
              <w:top w:val="nil"/>
              <w:left w:val="nil"/>
              <w:bottom w:val="single" w:sz="4" w:space="0" w:color="000000"/>
              <w:right w:val="single" w:sz="4" w:space="0" w:color="000000"/>
            </w:tcBorders>
            <w:noWrap/>
            <w:vAlign w:val="bottom"/>
            <w:hideMark/>
          </w:tcPr>
          <w:p w14:paraId="284CA4AD"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14.00 </w:t>
            </w:r>
          </w:p>
        </w:tc>
        <w:tc>
          <w:tcPr>
            <w:tcW w:w="1150" w:type="pct"/>
            <w:tcBorders>
              <w:top w:val="nil"/>
              <w:left w:val="nil"/>
              <w:bottom w:val="single" w:sz="4" w:space="0" w:color="000000"/>
              <w:right w:val="single" w:sz="4" w:space="0" w:color="000000"/>
            </w:tcBorders>
            <w:noWrap/>
            <w:vAlign w:val="bottom"/>
            <w:hideMark/>
          </w:tcPr>
          <w:p w14:paraId="1F5647BB"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0.751</w:t>
            </w:r>
          </w:p>
        </w:tc>
        <w:tc>
          <w:tcPr>
            <w:tcW w:w="1015" w:type="pct"/>
            <w:tcBorders>
              <w:top w:val="nil"/>
              <w:left w:val="nil"/>
              <w:bottom w:val="single" w:sz="4" w:space="0" w:color="000000"/>
              <w:right w:val="single" w:sz="4" w:space="0" w:color="000000"/>
            </w:tcBorders>
            <w:noWrap/>
            <w:vAlign w:val="bottom"/>
            <w:hideMark/>
          </w:tcPr>
          <w:p w14:paraId="4C0AA454"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10.52 </w:t>
            </w:r>
          </w:p>
        </w:tc>
        <w:tc>
          <w:tcPr>
            <w:tcW w:w="940" w:type="pct"/>
            <w:tcBorders>
              <w:top w:val="nil"/>
              <w:left w:val="nil"/>
              <w:bottom w:val="nil"/>
              <w:right w:val="single" w:sz="4" w:space="0" w:color="auto"/>
            </w:tcBorders>
            <w:noWrap/>
            <w:vAlign w:val="bottom"/>
            <w:hideMark/>
          </w:tcPr>
          <w:p w14:paraId="4F4F0AB9"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6A78087B" w14:textId="77777777" w:rsidTr="005F6C2F">
        <w:trPr>
          <w:trHeight w:val="300"/>
          <w:jc w:val="center"/>
        </w:trPr>
        <w:tc>
          <w:tcPr>
            <w:tcW w:w="777" w:type="pct"/>
            <w:tcBorders>
              <w:top w:val="nil"/>
              <w:left w:val="single" w:sz="4" w:space="0" w:color="auto"/>
              <w:bottom w:val="single" w:sz="4" w:space="0" w:color="000000"/>
              <w:right w:val="single" w:sz="4" w:space="0" w:color="000000"/>
            </w:tcBorders>
            <w:noWrap/>
            <w:vAlign w:val="bottom"/>
            <w:hideMark/>
          </w:tcPr>
          <w:p w14:paraId="155C5008"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4</w:t>
            </w:r>
          </w:p>
        </w:tc>
        <w:tc>
          <w:tcPr>
            <w:tcW w:w="1118" w:type="pct"/>
            <w:tcBorders>
              <w:top w:val="nil"/>
              <w:left w:val="nil"/>
              <w:bottom w:val="single" w:sz="4" w:space="0" w:color="000000"/>
              <w:right w:val="single" w:sz="4" w:space="0" w:color="000000"/>
            </w:tcBorders>
            <w:noWrap/>
            <w:vAlign w:val="bottom"/>
            <w:hideMark/>
          </w:tcPr>
          <w:p w14:paraId="11770A9E"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10.00 </w:t>
            </w:r>
          </w:p>
        </w:tc>
        <w:tc>
          <w:tcPr>
            <w:tcW w:w="1150" w:type="pct"/>
            <w:tcBorders>
              <w:top w:val="nil"/>
              <w:left w:val="nil"/>
              <w:bottom w:val="single" w:sz="4" w:space="0" w:color="000000"/>
              <w:right w:val="single" w:sz="4" w:space="0" w:color="000000"/>
            </w:tcBorders>
            <w:noWrap/>
            <w:vAlign w:val="bottom"/>
            <w:hideMark/>
          </w:tcPr>
          <w:p w14:paraId="1EDEFC5C"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0.683</w:t>
            </w:r>
          </w:p>
        </w:tc>
        <w:tc>
          <w:tcPr>
            <w:tcW w:w="1015" w:type="pct"/>
            <w:tcBorders>
              <w:top w:val="nil"/>
              <w:left w:val="nil"/>
              <w:bottom w:val="single" w:sz="4" w:space="0" w:color="000000"/>
              <w:right w:val="single" w:sz="4" w:space="0" w:color="000000"/>
            </w:tcBorders>
            <w:noWrap/>
            <w:vAlign w:val="bottom"/>
            <w:hideMark/>
          </w:tcPr>
          <w:p w14:paraId="6B84084C"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6.83 </w:t>
            </w:r>
          </w:p>
        </w:tc>
        <w:tc>
          <w:tcPr>
            <w:tcW w:w="940" w:type="pct"/>
            <w:tcBorders>
              <w:top w:val="nil"/>
              <w:left w:val="nil"/>
              <w:bottom w:val="nil"/>
              <w:right w:val="single" w:sz="4" w:space="0" w:color="auto"/>
            </w:tcBorders>
            <w:noWrap/>
            <w:vAlign w:val="bottom"/>
            <w:hideMark/>
          </w:tcPr>
          <w:p w14:paraId="433F3243"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18CEBF00" w14:textId="77777777" w:rsidTr="005F6C2F">
        <w:trPr>
          <w:trHeight w:val="300"/>
          <w:jc w:val="center"/>
        </w:trPr>
        <w:tc>
          <w:tcPr>
            <w:tcW w:w="777" w:type="pct"/>
            <w:tcBorders>
              <w:top w:val="nil"/>
              <w:left w:val="single" w:sz="4" w:space="0" w:color="auto"/>
              <w:bottom w:val="single" w:sz="4" w:space="0" w:color="000000"/>
              <w:right w:val="single" w:sz="4" w:space="0" w:color="000000"/>
            </w:tcBorders>
            <w:noWrap/>
            <w:vAlign w:val="bottom"/>
            <w:hideMark/>
          </w:tcPr>
          <w:p w14:paraId="19EA5637"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5</w:t>
            </w:r>
          </w:p>
        </w:tc>
        <w:tc>
          <w:tcPr>
            <w:tcW w:w="1118" w:type="pct"/>
            <w:tcBorders>
              <w:top w:val="nil"/>
              <w:left w:val="nil"/>
              <w:bottom w:val="single" w:sz="4" w:space="0" w:color="000000"/>
              <w:right w:val="single" w:sz="4" w:space="0" w:color="000000"/>
            </w:tcBorders>
            <w:noWrap/>
            <w:vAlign w:val="bottom"/>
            <w:hideMark/>
          </w:tcPr>
          <w:p w14:paraId="4DFA354D"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8.00 </w:t>
            </w:r>
          </w:p>
        </w:tc>
        <w:tc>
          <w:tcPr>
            <w:tcW w:w="1150" w:type="pct"/>
            <w:tcBorders>
              <w:top w:val="nil"/>
              <w:left w:val="nil"/>
              <w:bottom w:val="single" w:sz="4" w:space="0" w:color="000000"/>
              <w:right w:val="single" w:sz="4" w:space="0" w:color="000000"/>
            </w:tcBorders>
            <w:noWrap/>
            <w:vAlign w:val="bottom"/>
            <w:hideMark/>
          </w:tcPr>
          <w:p w14:paraId="12DBA317"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0.621</w:t>
            </w:r>
          </w:p>
        </w:tc>
        <w:tc>
          <w:tcPr>
            <w:tcW w:w="1015" w:type="pct"/>
            <w:tcBorders>
              <w:top w:val="nil"/>
              <w:left w:val="nil"/>
              <w:bottom w:val="single" w:sz="4" w:space="0" w:color="000000"/>
              <w:right w:val="single" w:sz="4" w:space="0" w:color="000000"/>
            </w:tcBorders>
            <w:noWrap/>
            <w:vAlign w:val="bottom"/>
            <w:hideMark/>
          </w:tcPr>
          <w:p w14:paraId="0F0C7436"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4.97 </w:t>
            </w:r>
          </w:p>
        </w:tc>
        <w:tc>
          <w:tcPr>
            <w:tcW w:w="940" w:type="pct"/>
            <w:tcBorders>
              <w:top w:val="nil"/>
              <w:left w:val="nil"/>
              <w:bottom w:val="nil"/>
              <w:right w:val="single" w:sz="4" w:space="0" w:color="auto"/>
            </w:tcBorders>
            <w:noWrap/>
            <w:vAlign w:val="bottom"/>
            <w:hideMark/>
          </w:tcPr>
          <w:p w14:paraId="6BD300B3"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2AB4A984" w14:textId="77777777" w:rsidTr="005F6C2F">
        <w:trPr>
          <w:trHeight w:val="540"/>
          <w:jc w:val="center"/>
        </w:trPr>
        <w:tc>
          <w:tcPr>
            <w:tcW w:w="3045" w:type="pct"/>
            <w:gridSpan w:val="3"/>
            <w:tcBorders>
              <w:top w:val="single" w:sz="4" w:space="0" w:color="000000"/>
              <w:left w:val="single" w:sz="4" w:space="0" w:color="auto"/>
              <w:bottom w:val="single" w:sz="4" w:space="0" w:color="000000"/>
              <w:right w:val="single" w:sz="4" w:space="0" w:color="000000"/>
            </w:tcBorders>
            <w:vAlign w:val="center"/>
            <w:hideMark/>
          </w:tcPr>
          <w:p w14:paraId="4E823319"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"Internal Rate of Return (IRR) of Project A"</w:t>
            </w:r>
          </w:p>
        </w:tc>
        <w:tc>
          <w:tcPr>
            <w:tcW w:w="1015" w:type="pct"/>
            <w:tcBorders>
              <w:top w:val="nil"/>
              <w:left w:val="nil"/>
              <w:bottom w:val="single" w:sz="4" w:space="0" w:color="000000"/>
              <w:right w:val="single" w:sz="4" w:space="0" w:color="000000"/>
            </w:tcBorders>
            <w:vAlign w:val="center"/>
            <w:hideMark/>
          </w:tcPr>
          <w:p w14:paraId="73EF2696"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2.72%</w:t>
            </w:r>
          </w:p>
        </w:tc>
        <w:tc>
          <w:tcPr>
            <w:tcW w:w="940" w:type="pct"/>
            <w:tcBorders>
              <w:top w:val="nil"/>
              <w:left w:val="nil"/>
              <w:bottom w:val="nil"/>
              <w:right w:val="single" w:sz="4" w:space="0" w:color="auto"/>
            </w:tcBorders>
            <w:noWrap/>
            <w:vAlign w:val="bottom"/>
            <w:hideMark/>
          </w:tcPr>
          <w:p w14:paraId="38A846E6" w14:textId="77777777" w:rsidR="005F6C2F" w:rsidRPr="005F6C2F" w:rsidRDefault="005F6C2F" w:rsidP="005F6C2F">
            <w:pPr>
              <w:spacing w:before="0" w:after="0" w:line="240" w:lineRule="auto"/>
              <w:jc w:val="center"/>
              <w:rPr>
                <w:rFonts w:ascii="Arial" w:hAnsi="Arial" w:cs="Arial"/>
                <w:b/>
                <w:bCs/>
                <w:color w:val="000000"/>
                <w:lang w:val="en-IN"/>
              </w:rPr>
            </w:pPr>
          </w:p>
        </w:tc>
      </w:tr>
      <w:tr w:rsidR="005F6C2F" w:rsidRPr="005F6C2F" w14:paraId="3E15EC36" w14:textId="77777777" w:rsidTr="005F6C2F">
        <w:trPr>
          <w:trHeight w:val="300"/>
          <w:jc w:val="center"/>
        </w:trPr>
        <w:tc>
          <w:tcPr>
            <w:tcW w:w="777" w:type="pct"/>
            <w:tcBorders>
              <w:top w:val="nil"/>
              <w:left w:val="single" w:sz="4" w:space="0" w:color="auto"/>
              <w:bottom w:val="nil"/>
              <w:right w:val="nil"/>
            </w:tcBorders>
            <w:noWrap/>
            <w:vAlign w:val="bottom"/>
            <w:hideMark/>
          </w:tcPr>
          <w:p w14:paraId="6FD7FD20" w14:textId="77777777" w:rsidR="005F6C2F" w:rsidRPr="005F6C2F" w:rsidRDefault="005F6C2F" w:rsidP="005F6C2F">
            <w:pPr>
              <w:spacing w:before="0" w:after="0" w:line="240" w:lineRule="auto"/>
              <w:jc w:val="left"/>
              <w:rPr>
                <w:sz w:val="20"/>
                <w:szCs w:val="20"/>
                <w:lang w:val="en-IN"/>
              </w:rPr>
            </w:pPr>
          </w:p>
        </w:tc>
        <w:tc>
          <w:tcPr>
            <w:tcW w:w="1118" w:type="pct"/>
            <w:tcBorders>
              <w:top w:val="nil"/>
              <w:left w:val="nil"/>
              <w:bottom w:val="nil"/>
              <w:right w:val="nil"/>
            </w:tcBorders>
            <w:noWrap/>
            <w:vAlign w:val="bottom"/>
            <w:hideMark/>
          </w:tcPr>
          <w:p w14:paraId="4C169C1A" w14:textId="77777777" w:rsidR="005F6C2F" w:rsidRPr="005F6C2F" w:rsidRDefault="005F6C2F" w:rsidP="005F6C2F">
            <w:pPr>
              <w:spacing w:before="0" w:after="0" w:line="240" w:lineRule="auto"/>
              <w:jc w:val="left"/>
              <w:rPr>
                <w:sz w:val="20"/>
                <w:szCs w:val="20"/>
                <w:lang w:val="en-IN"/>
              </w:rPr>
            </w:pPr>
          </w:p>
        </w:tc>
        <w:tc>
          <w:tcPr>
            <w:tcW w:w="1150" w:type="pct"/>
            <w:tcBorders>
              <w:top w:val="nil"/>
              <w:left w:val="nil"/>
              <w:bottom w:val="nil"/>
              <w:right w:val="nil"/>
            </w:tcBorders>
            <w:noWrap/>
            <w:vAlign w:val="bottom"/>
            <w:hideMark/>
          </w:tcPr>
          <w:p w14:paraId="1A6F6571" w14:textId="77777777" w:rsidR="005F6C2F" w:rsidRPr="005F6C2F" w:rsidRDefault="005F6C2F" w:rsidP="005F6C2F">
            <w:pPr>
              <w:spacing w:before="0" w:after="0" w:line="240" w:lineRule="auto"/>
              <w:jc w:val="left"/>
              <w:rPr>
                <w:sz w:val="20"/>
                <w:szCs w:val="20"/>
                <w:lang w:val="en-IN"/>
              </w:rPr>
            </w:pPr>
          </w:p>
        </w:tc>
        <w:tc>
          <w:tcPr>
            <w:tcW w:w="1015" w:type="pct"/>
            <w:tcBorders>
              <w:top w:val="nil"/>
              <w:left w:val="nil"/>
              <w:bottom w:val="nil"/>
              <w:right w:val="nil"/>
            </w:tcBorders>
            <w:noWrap/>
            <w:vAlign w:val="bottom"/>
            <w:hideMark/>
          </w:tcPr>
          <w:p w14:paraId="3E936B47" w14:textId="77777777" w:rsidR="005F6C2F" w:rsidRPr="005F6C2F" w:rsidRDefault="005F6C2F" w:rsidP="005F6C2F">
            <w:pPr>
              <w:spacing w:before="0" w:after="0" w:line="240" w:lineRule="auto"/>
              <w:jc w:val="left"/>
              <w:rPr>
                <w:sz w:val="20"/>
                <w:szCs w:val="20"/>
                <w:lang w:val="en-IN"/>
              </w:rPr>
            </w:pPr>
          </w:p>
        </w:tc>
        <w:tc>
          <w:tcPr>
            <w:tcW w:w="940" w:type="pct"/>
            <w:tcBorders>
              <w:top w:val="nil"/>
              <w:left w:val="nil"/>
              <w:bottom w:val="nil"/>
              <w:right w:val="single" w:sz="4" w:space="0" w:color="auto"/>
            </w:tcBorders>
            <w:noWrap/>
            <w:vAlign w:val="bottom"/>
            <w:hideMark/>
          </w:tcPr>
          <w:p w14:paraId="38876AB8" w14:textId="77777777" w:rsidR="005F6C2F" w:rsidRPr="005F6C2F" w:rsidRDefault="005F6C2F" w:rsidP="005F6C2F">
            <w:pPr>
              <w:spacing w:before="0" w:after="0" w:line="240" w:lineRule="auto"/>
              <w:jc w:val="left"/>
              <w:rPr>
                <w:sz w:val="20"/>
                <w:szCs w:val="20"/>
                <w:lang w:val="en-IN"/>
              </w:rPr>
            </w:pPr>
          </w:p>
        </w:tc>
      </w:tr>
      <w:tr w:rsidR="005F6C2F" w:rsidRPr="005F6C2F" w14:paraId="2523C23E" w14:textId="77777777" w:rsidTr="005F6C2F">
        <w:trPr>
          <w:trHeight w:val="300"/>
          <w:jc w:val="center"/>
        </w:trPr>
        <w:tc>
          <w:tcPr>
            <w:tcW w:w="777" w:type="pct"/>
            <w:tcBorders>
              <w:top w:val="nil"/>
              <w:left w:val="single" w:sz="4" w:space="0" w:color="auto"/>
              <w:bottom w:val="nil"/>
              <w:right w:val="nil"/>
            </w:tcBorders>
            <w:noWrap/>
            <w:vAlign w:val="bottom"/>
            <w:hideMark/>
          </w:tcPr>
          <w:p w14:paraId="6A13A583" w14:textId="77777777" w:rsidR="005F6C2F" w:rsidRPr="005F6C2F" w:rsidRDefault="005F6C2F" w:rsidP="005F6C2F">
            <w:pPr>
              <w:spacing w:before="0" w:after="0" w:line="240" w:lineRule="auto"/>
              <w:jc w:val="left"/>
              <w:rPr>
                <w:sz w:val="20"/>
                <w:szCs w:val="20"/>
                <w:lang w:val="en-IN"/>
              </w:rPr>
            </w:pPr>
          </w:p>
        </w:tc>
        <w:tc>
          <w:tcPr>
            <w:tcW w:w="1118" w:type="pct"/>
            <w:tcBorders>
              <w:top w:val="nil"/>
              <w:left w:val="nil"/>
              <w:bottom w:val="nil"/>
              <w:right w:val="nil"/>
            </w:tcBorders>
            <w:noWrap/>
            <w:vAlign w:val="bottom"/>
            <w:hideMark/>
          </w:tcPr>
          <w:p w14:paraId="0EC180E3" w14:textId="77777777" w:rsidR="005F6C2F" w:rsidRPr="005F6C2F" w:rsidRDefault="005F6C2F" w:rsidP="005F6C2F">
            <w:pPr>
              <w:spacing w:before="0" w:after="0" w:line="240" w:lineRule="auto"/>
              <w:jc w:val="left"/>
              <w:rPr>
                <w:sz w:val="20"/>
                <w:szCs w:val="20"/>
                <w:lang w:val="en-IN"/>
              </w:rPr>
            </w:pPr>
          </w:p>
        </w:tc>
        <w:tc>
          <w:tcPr>
            <w:tcW w:w="1150" w:type="pct"/>
            <w:tcBorders>
              <w:top w:val="nil"/>
              <w:left w:val="nil"/>
              <w:bottom w:val="nil"/>
              <w:right w:val="nil"/>
            </w:tcBorders>
            <w:noWrap/>
            <w:vAlign w:val="bottom"/>
            <w:hideMark/>
          </w:tcPr>
          <w:p w14:paraId="307A4654" w14:textId="77777777" w:rsidR="005F6C2F" w:rsidRPr="005F6C2F" w:rsidRDefault="005F6C2F" w:rsidP="005F6C2F">
            <w:pPr>
              <w:spacing w:before="0" w:after="0" w:line="240" w:lineRule="auto"/>
              <w:jc w:val="left"/>
              <w:rPr>
                <w:sz w:val="20"/>
                <w:szCs w:val="20"/>
                <w:lang w:val="en-IN"/>
              </w:rPr>
            </w:pPr>
          </w:p>
        </w:tc>
        <w:tc>
          <w:tcPr>
            <w:tcW w:w="1015" w:type="pct"/>
            <w:tcBorders>
              <w:top w:val="nil"/>
              <w:left w:val="nil"/>
              <w:bottom w:val="nil"/>
              <w:right w:val="nil"/>
            </w:tcBorders>
            <w:noWrap/>
            <w:vAlign w:val="bottom"/>
            <w:hideMark/>
          </w:tcPr>
          <w:p w14:paraId="5DE8D164" w14:textId="77777777" w:rsidR="005F6C2F" w:rsidRPr="005F6C2F" w:rsidRDefault="005F6C2F" w:rsidP="005F6C2F">
            <w:pPr>
              <w:spacing w:before="0" w:after="0" w:line="240" w:lineRule="auto"/>
              <w:jc w:val="left"/>
              <w:rPr>
                <w:sz w:val="20"/>
                <w:szCs w:val="20"/>
                <w:lang w:val="en-IN"/>
              </w:rPr>
            </w:pPr>
          </w:p>
        </w:tc>
        <w:tc>
          <w:tcPr>
            <w:tcW w:w="940" w:type="pct"/>
            <w:tcBorders>
              <w:top w:val="nil"/>
              <w:left w:val="nil"/>
              <w:bottom w:val="nil"/>
              <w:right w:val="single" w:sz="4" w:space="0" w:color="auto"/>
            </w:tcBorders>
            <w:noWrap/>
            <w:vAlign w:val="bottom"/>
            <w:hideMark/>
          </w:tcPr>
          <w:p w14:paraId="47B5D11B" w14:textId="77777777" w:rsidR="005F6C2F" w:rsidRPr="005F6C2F" w:rsidRDefault="005F6C2F" w:rsidP="005F6C2F">
            <w:pPr>
              <w:spacing w:before="0" w:after="0" w:line="240" w:lineRule="auto"/>
              <w:jc w:val="left"/>
              <w:rPr>
                <w:sz w:val="20"/>
                <w:szCs w:val="20"/>
                <w:lang w:val="en-IN"/>
              </w:rPr>
            </w:pPr>
          </w:p>
        </w:tc>
      </w:tr>
      <w:tr w:rsidR="005F6C2F" w:rsidRPr="005F6C2F" w14:paraId="586990ED" w14:textId="77777777" w:rsidTr="005F6C2F">
        <w:trPr>
          <w:trHeight w:val="624"/>
          <w:jc w:val="center"/>
        </w:trPr>
        <w:tc>
          <w:tcPr>
            <w:tcW w:w="777" w:type="pct"/>
            <w:tcBorders>
              <w:top w:val="single" w:sz="4" w:space="0" w:color="auto"/>
              <w:left w:val="single" w:sz="4" w:space="0" w:color="auto"/>
              <w:bottom w:val="single" w:sz="4" w:space="0" w:color="auto"/>
              <w:right w:val="single" w:sz="4" w:space="0" w:color="auto"/>
            </w:tcBorders>
            <w:vAlign w:val="center"/>
            <w:hideMark/>
          </w:tcPr>
          <w:p w14:paraId="67DF784C"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"Year"</w:t>
            </w:r>
          </w:p>
        </w:tc>
        <w:tc>
          <w:tcPr>
            <w:tcW w:w="1118" w:type="pct"/>
            <w:tcBorders>
              <w:top w:val="single" w:sz="4" w:space="0" w:color="auto"/>
              <w:left w:val="nil"/>
              <w:bottom w:val="single" w:sz="4" w:space="0" w:color="auto"/>
              <w:right w:val="single" w:sz="4" w:space="0" w:color="auto"/>
            </w:tcBorders>
            <w:vAlign w:val="center"/>
            <w:hideMark/>
          </w:tcPr>
          <w:p w14:paraId="0316E929"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"Cash Flow"</w:t>
            </w:r>
          </w:p>
        </w:tc>
        <w:tc>
          <w:tcPr>
            <w:tcW w:w="1150" w:type="pct"/>
            <w:tcBorders>
              <w:top w:val="single" w:sz="4" w:space="0" w:color="auto"/>
              <w:left w:val="nil"/>
              <w:bottom w:val="single" w:sz="4" w:space="0" w:color="auto"/>
              <w:right w:val="single" w:sz="4" w:space="0" w:color="auto"/>
            </w:tcBorders>
            <w:vAlign w:val="center"/>
            <w:hideMark/>
          </w:tcPr>
          <w:p w14:paraId="20FB6C70"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 xml:space="preserve">"Depreciation" </w:t>
            </w:r>
          </w:p>
        </w:tc>
        <w:tc>
          <w:tcPr>
            <w:tcW w:w="1015" w:type="pct"/>
            <w:tcBorders>
              <w:top w:val="single" w:sz="4" w:space="0" w:color="auto"/>
              <w:left w:val="nil"/>
              <w:bottom w:val="single" w:sz="4" w:space="0" w:color="auto"/>
              <w:right w:val="single" w:sz="4" w:space="0" w:color="auto"/>
            </w:tcBorders>
            <w:vAlign w:val="center"/>
            <w:hideMark/>
          </w:tcPr>
          <w:p w14:paraId="687BD469"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"Present Value"</w:t>
            </w:r>
          </w:p>
        </w:tc>
        <w:tc>
          <w:tcPr>
            <w:tcW w:w="940" w:type="pct"/>
            <w:tcBorders>
              <w:top w:val="nil"/>
              <w:left w:val="nil"/>
              <w:bottom w:val="nil"/>
              <w:right w:val="single" w:sz="4" w:space="0" w:color="auto"/>
            </w:tcBorders>
            <w:noWrap/>
            <w:vAlign w:val="bottom"/>
            <w:hideMark/>
          </w:tcPr>
          <w:p w14:paraId="7190BB2D" w14:textId="77777777" w:rsidR="005F6C2F" w:rsidRPr="005F6C2F" w:rsidRDefault="005F6C2F" w:rsidP="005F6C2F">
            <w:pPr>
              <w:spacing w:before="0" w:after="0" w:line="240" w:lineRule="auto"/>
              <w:jc w:val="center"/>
              <w:rPr>
                <w:rFonts w:ascii="Arial" w:hAnsi="Arial" w:cs="Arial"/>
                <w:b/>
                <w:bCs/>
                <w:color w:val="000000"/>
                <w:lang w:val="en-IN"/>
              </w:rPr>
            </w:pPr>
          </w:p>
        </w:tc>
      </w:tr>
      <w:tr w:rsidR="005F6C2F" w:rsidRPr="005F6C2F" w14:paraId="3F1E7CCF" w14:textId="77777777" w:rsidTr="005F6C2F">
        <w:trPr>
          <w:trHeight w:val="300"/>
          <w:jc w:val="center"/>
        </w:trPr>
        <w:tc>
          <w:tcPr>
            <w:tcW w:w="777" w:type="pct"/>
            <w:tcBorders>
              <w:top w:val="nil"/>
              <w:left w:val="single" w:sz="4" w:space="0" w:color="auto"/>
              <w:bottom w:val="single" w:sz="4" w:space="0" w:color="auto"/>
              <w:right w:val="single" w:sz="4" w:space="0" w:color="auto"/>
            </w:tcBorders>
            <w:noWrap/>
            <w:vAlign w:val="center"/>
            <w:hideMark/>
          </w:tcPr>
          <w:p w14:paraId="64E9BD5F"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w:t>
            </w:r>
          </w:p>
        </w:tc>
        <w:tc>
          <w:tcPr>
            <w:tcW w:w="1118" w:type="pct"/>
            <w:tcBorders>
              <w:top w:val="nil"/>
              <w:left w:val="nil"/>
              <w:bottom w:val="single" w:sz="4" w:space="0" w:color="auto"/>
              <w:right w:val="single" w:sz="4" w:space="0" w:color="auto"/>
            </w:tcBorders>
            <w:noWrap/>
            <w:vAlign w:val="center"/>
            <w:hideMark/>
          </w:tcPr>
          <w:p w14:paraId="7612C737"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1150" w:type="pct"/>
            <w:tcBorders>
              <w:top w:val="nil"/>
              <w:left w:val="nil"/>
              <w:bottom w:val="single" w:sz="4" w:space="0" w:color="auto"/>
              <w:right w:val="single" w:sz="4" w:space="0" w:color="auto"/>
            </w:tcBorders>
            <w:noWrap/>
            <w:vAlign w:val="center"/>
            <w:hideMark/>
          </w:tcPr>
          <w:p w14:paraId="497183CA" w14:textId="77777777" w:rsidR="005F6C2F" w:rsidRPr="005F6C2F" w:rsidRDefault="005F6C2F" w:rsidP="005F6C2F">
            <w:pPr>
              <w:spacing w:before="0" w:after="0" w:line="240" w:lineRule="auto"/>
              <w:jc w:val="right"/>
              <w:rPr>
                <w:rFonts w:ascii="Arial" w:hAnsi="Arial" w:cs="Arial"/>
                <w:color w:val="000000"/>
                <w:lang w:val="en-IN"/>
              </w:rPr>
            </w:pPr>
            <w:r w:rsidRPr="005F6C2F">
              <w:rPr>
                <w:rFonts w:ascii="Arial" w:hAnsi="Arial" w:cs="Arial"/>
                <w:color w:val="000000"/>
                <w:lang w:val="en-IN"/>
              </w:rPr>
              <w:t>0.00</w:t>
            </w:r>
          </w:p>
        </w:tc>
        <w:tc>
          <w:tcPr>
            <w:tcW w:w="1015" w:type="pct"/>
            <w:tcBorders>
              <w:top w:val="nil"/>
              <w:left w:val="nil"/>
              <w:bottom w:val="single" w:sz="4" w:space="0" w:color="auto"/>
              <w:right w:val="single" w:sz="4" w:space="0" w:color="auto"/>
            </w:tcBorders>
            <w:noWrap/>
            <w:vAlign w:val="center"/>
            <w:hideMark/>
          </w:tcPr>
          <w:p w14:paraId="22D9AB22"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940" w:type="pct"/>
            <w:tcBorders>
              <w:top w:val="nil"/>
              <w:left w:val="nil"/>
              <w:bottom w:val="nil"/>
              <w:right w:val="single" w:sz="4" w:space="0" w:color="auto"/>
            </w:tcBorders>
            <w:noWrap/>
            <w:vAlign w:val="bottom"/>
            <w:hideMark/>
          </w:tcPr>
          <w:p w14:paraId="13870D86"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35D57C11" w14:textId="77777777" w:rsidTr="005F6C2F">
        <w:trPr>
          <w:trHeight w:val="300"/>
          <w:jc w:val="center"/>
        </w:trPr>
        <w:tc>
          <w:tcPr>
            <w:tcW w:w="777" w:type="pct"/>
            <w:tcBorders>
              <w:top w:val="nil"/>
              <w:left w:val="single" w:sz="4" w:space="0" w:color="auto"/>
              <w:bottom w:val="single" w:sz="4" w:space="0" w:color="auto"/>
              <w:right w:val="single" w:sz="4" w:space="0" w:color="auto"/>
            </w:tcBorders>
            <w:noWrap/>
            <w:vAlign w:val="center"/>
            <w:hideMark/>
          </w:tcPr>
          <w:p w14:paraId="0FA6F4B5"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lastRenderedPageBreak/>
              <w:t>1</w:t>
            </w:r>
          </w:p>
        </w:tc>
        <w:tc>
          <w:tcPr>
            <w:tcW w:w="1118" w:type="pct"/>
            <w:tcBorders>
              <w:top w:val="nil"/>
              <w:left w:val="nil"/>
              <w:bottom w:val="single" w:sz="4" w:space="0" w:color="auto"/>
              <w:right w:val="single" w:sz="4" w:space="0" w:color="auto"/>
            </w:tcBorders>
            <w:noWrap/>
            <w:vAlign w:val="center"/>
            <w:hideMark/>
          </w:tcPr>
          <w:p w14:paraId="13067FA0"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10.00 </w:t>
            </w:r>
          </w:p>
        </w:tc>
        <w:tc>
          <w:tcPr>
            <w:tcW w:w="1150" w:type="pct"/>
            <w:tcBorders>
              <w:top w:val="nil"/>
              <w:left w:val="nil"/>
              <w:bottom w:val="single" w:sz="4" w:space="0" w:color="auto"/>
              <w:right w:val="single" w:sz="4" w:space="0" w:color="auto"/>
            </w:tcBorders>
            <w:noWrap/>
            <w:vAlign w:val="center"/>
            <w:hideMark/>
          </w:tcPr>
          <w:p w14:paraId="7B5AD59E" w14:textId="77777777" w:rsidR="005F6C2F" w:rsidRPr="005F6C2F" w:rsidRDefault="005F6C2F" w:rsidP="005F6C2F">
            <w:pPr>
              <w:spacing w:before="0" w:after="0" w:line="240" w:lineRule="auto"/>
              <w:jc w:val="right"/>
              <w:rPr>
                <w:rFonts w:ascii="Arial" w:hAnsi="Arial" w:cs="Arial"/>
                <w:color w:val="000000"/>
                <w:lang w:val="en-IN"/>
              </w:rPr>
            </w:pPr>
            <w:r w:rsidRPr="005F6C2F">
              <w:rPr>
                <w:rFonts w:ascii="Arial" w:hAnsi="Arial" w:cs="Arial"/>
                <w:color w:val="000000"/>
                <w:lang w:val="en-IN"/>
              </w:rPr>
              <w:t>10.00</w:t>
            </w:r>
          </w:p>
        </w:tc>
        <w:tc>
          <w:tcPr>
            <w:tcW w:w="1015" w:type="pct"/>
            <w:tcBorders>
              <w:top w:val="nil"/>
              <w:left w:val="nil"/>
              <w:bottom w:val="single" w:sz="4" w:space="0" w:color="auto"/>
              <w:right w:val="single" w:sz="4" w:space="0" w:color="auto"/>
            </w:tcBorders>
            <w:noWrap/>
            <w:vAlign w:val="center"/>
            <w:hideMark/>
          </w:tcPr>
          <w:p w14:paraId="66C20CF3"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   </w:t>
            </w:r>
          </w:p>
        </w:tc>
        <w:tc>
          <w:tcPr>
            <w:tcW w:w="940" w:type="pct"/>
            <w:tcBorders>
              <w:top w:val="nil"/>
              <w:left w:val="nil"/>
              <w:bottom w:val="nil"/>
              <w:right w:val="single" w:sz="4" w:space="0" w:color="auto"/>
            </w:tcBorders>
            <w:noWrap/>
            <w:vAlign w:val="bottom"/>
            <w:hideMark/>
          </w:tcPr>
          <w:p w14:paraId="3D77BE8A"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3705D0A6" w14:textId="77777777" w:rsidTr="005F6C2F">
        <w:trPr>
          <w:trHeight w:val="300"/>
          <w:jc w:val="center"/>
        </w:trPr>
        <w:tc>
          <w:tcPr>
            <w:tcW w:w="777" w:type="pct"/>
            <w:tcBorders>
              <w:top w:val="nil"/>
              <w:left w:val="single" w:sz="4" w:space="0" w:color="auto"/>
              <w:bottom w:val="single" w:sz="4" w:space="0" w:color="auto"/>
              <w:right w:val="single" w:sz="4" w:space="0" w:color="auto"/>
            </w:tcBorders>
            <w:noWrap/>
            <w:vAlign w:val="center"/>
            <w:hideMark/>
          </w:tcPr>
          <w:p w14:paraId="5A055A09"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2</w:t>
            </w:r>
          </w:p>
        </w:tc>
        <w:tc>
          <w:tcPr>
            <w:tcW w:w="1118" w:type="pct"/>
            <w:tcBorders>
              <w:top w:val="nil"/>
              <w:left w:val="nil"/>
              <w:bottom w:val="single" w:sz="4" w:space="0" w:color="auto"/>
              <w:right w:val="single" w:sz="4" w:space="0" w:color="auto"/>
            </w:tcBorders>
            <w:noWrap/>
            <w:vAlign w:val="center"/>
            <w:hideMark/>
          </w:tcPr>
          <w:p w14:paraId="1A5BFE83"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12.00 </w:t>
            </w:r>
          </w:p>
        </w:tc>
        <w:tc>
          <w:tcPr>
            <w:tcW w:w="1150" w:type="pct"/>
            <w:tcBorders>
              <w:top w:val="nil"/>
              <w:left w:val="nil"/>
              <w:bottom w:val="single" w:sz="4" w:space="0" w:color="auto"/>
              <w:right w:val="single" w:sz="4" w:space="0" w:color="auto"/>
            </w:tcBorders>
            <w:noWrap/>
            <w:vAlign w:val="center"/>
            <w:hideMark/>
          </w:tcPr>
          <w:p w14:paraId="563FA900" w14:textId="77777777" w:rsidR="005F6C2F" w:rsidRPr="005F6C2F" w:rsidRDefault="005F6C2F" w:rsidP="005F6C2F">
            <w:pPr>
              <w:spacing w:before="0" w:after="0" w:line="240" w:lineRule="auto"/>
              <w:jc w:val="right"/>
              <w:rPr>
                <w:rFonts w:ascii="Arial" w:hAnsi="Arial" w:cs="Arial"/>
                <w:color w:val="000000"/>
                <w:lang w:val="en-IN"/>
              </w:rPr>
            </w:pPr>
            <w:r w:rsidRPr="005F6C2F">
              <w:rPr>
                <w:rFonts w:ascii="Arial" w:hAnsi="Arial" w:cs="Arial"/>
                <w:color w:val="000000"/>
                <w:lang w:val="en-IN"/>
              </w:rPr>
              <w:t>10.00</w:t>
            </w:r>
          </w:p>
        </w:tc>
        <w:tc>
          <w:tcPr>
            <w:tcW w:w="1015" w:type="pct"/>
            <w:tcBorders>
              <w:top w:val="nil"/>
              <w:left w:val="nil"/>
              <w:bottom w:val="single" w:sz="4" w:space="0" w:color="auto"/>
              <w:right w:val="single" w:sz="4" w:space="0" w:color="auto"/>
            </w:tcBorders>
            <w:noWrap/>
            <w:vAlign w:val="center"/>
            <w:hideMark/>
          </w:tcPr>
          <w:p w14:paraId="634354CB"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2.00 </w:t>
            </w:r>
          </w:p>
        </w:tc>
        <w:tc>
          <w:tcPr>
            <w:tcW w:w="940" w:type="pct"/>
            <w:tcBorders>
              <w:top w:val="nil"/>
              <w:left w:val="nil"/>
              <w:bottom w:val="nil"/>
              <w:right w:val="single" w:sz="4" w:space="0" w:color="auto"/>
            </w:tcBorders>
            <w:noWrap/>
            <w:vAlign w:val="bottom"/>
            <w:hideMark/>
          </w:tcPr>
          <w:p w14:paraId="2918C9E3"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5C6CB467" w14:textId="77777777" w:rsidTr="005F6C2F">
        <w:trPr>
          <w:trHeight w:val="300"/>
          <w:jc w:val="center"/>
        </w:trPr>
        <w:tc>
          <w:tcPr>
            <w:tcW w:w="777" w:type="pct"/>
            <w:tcBorders>
              <w:top w:val="nil"/>
              <w:left w:val="single" w:sz="4" w:space="0" w:color="auto"/>
              <w:bottom w:val="single" w:sz="4" w:space="0" w:color="auto"/>
              <w:right w:val="single" w:sz="4" w:space="0" w:color="auto"/>
            </w:tcBorders>
            <w:noWrap/>
            <w:vAlign w:val="center"/>
            <w:hideMark/>
          </w:tcPr>
          <w:p w14:paraId="75223935"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3</w:t>
            </w:r>
          </w:p>
        </w:tc>
        <w:tc>
          <w:tcPr>
            <w:tcW w:w="1118" w:type="pct"/>
            <w:tcBorders>
              <w:top w:val="nil"/>
              <w:left w:val="nil"/>
              <w:bottom w:val="single" w:sz="4" w:space="0" w:color="auto"/>
              <w:right w:val="single" w:sz="4" w:space="0" w:color="auto"/>
            </w:tcBorders>
            <w:noWrap/>
            <w:vAlign w:val="center"/>
            <w:hideMark/>
          </w:tcPr>
          <w:p w14:paraId="3CF99C57"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14.00 </w:t>
            </w:r>
          </w:p>
        </w:tc>
        <w:tc>
          <w:tcPr>
            <w:tcW w:w="1150" w:type="pct"/>
            <w:tcBorders>
              <w:top w:val="nil"/>
              <w:left w:val="nil"/>
              <w:bottom w:val="single" w:sz="4" w:space="0" w:color="auto"/>
              <w:right w:val="single" w:sz="4" w:space="0" w:color="auto"/>
            </w:tcBorders>
            <w:noWrap/>
            <w:vAlign w:val="center"/>
            <w:hideMark/>
          </w:tcPr>
          <w:p w14:paraId="4EEF99A2" w14:textId="77777777" w:rsidR="005F6C2F" w:rsidRPr="005F6C2F" w:rsidRDefault="005F6C2F" w:rsidP="005F6C2F">
            <w:pPr>
              <w:spacing w:before="0" w:after="0" w:line="240" w:lineRule="auto"/>
              <w:jc w:val="right"/>
              <w:rPr>
                <w:rFonts w:ascii="Arial" w:hAnsi="Arial" w:cs="Arial"/>
                <w:color w:val="000000"/>
                <w:lang w:val="en-IN"/>
              </w:rPr>
            </w:pPr>
            <w:r w:rsidRPr="005F6C2F">
              <w:rPr>
                <w:rFonts w:ascii="Arial" w:hAnsi="Arial" w:cs="Arial"/>
                <w:color w:val="000000"/>
                <w:lang w:val="en-IN"/>
              </w:rPr>
              <w:t>10.00</w:t>
            </w:r>
          </w:p>
        </w:tc>
        <w:tc>
          <w:tcPr>
            <w:tcW w:w="1015" w:type="pct"/>
            <w:tcBorders>
              <w:top w:val="nil"/>
              <w:left w:val="nil"/>
              <w:bottom w:val="single" w:sz="4" w:space="0" w:color="auto"/>
              <w:right w:val="single" w:sz="4" w:space="0" w:color="auto"/>
            </w:tcBorders>
            <w:noWrap/>
            <w:vAlign w:val="center"/>
            <w:hideMark/>
          </w:tcPr>
          <w:p w14:paraId="58E5C87F"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4.00 </w:t>
            </w:r>
          </w:p>
        </w:tc>
        <w:tc>
          <w:tcPr>
            <w:tcW w:w="940" w:type="pct"/>
            <w:tcBorders>
              <w:top w:val="nil"/>
              <w:left w:val="nil"/>
              <w:bottom w:val="nil"/>
              <w:right w:val="single" w:sz="4" w:space="0" w:color="auto"/>
            </w:tcBorders>
            <w:noWrap/>
            <w:vAlign w:val="bottom"/>
            <w:hideMark/>
          </w:tcPr>
          <w:p w14:paraId="02499884"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174FF648" w14:textId="77777777" w:rsidTr="005F6C2F">
        <w:trPr>
          <w:trHeight w:val="300"/>
          <w:jc w:val="center"/>
        </w:trPr>
        <w:tc>
          <w:tcPr>
            <w:tcW w:w="777" w:type="pct"/>
            <w:tcBorders>
              <w:top w:val="nil"/>
              <w:left w:val="single" w:sz="4" w:space="0" w:color="auto"/>
              <w:bottom w:val="single" w:sz="4" w:space="0" w:color="auto"/>
              <w:right w:val="single" w:sz="4" w:space="0" w:color="auto"/>
            </w:tcBorders>
            <w:noWrap/>
            <w:vAlign w:val="center"/>
            <w:hideMark/>
          </w:tcPr>
          <w:p w14:paraId="5151B2F4"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4</w:t>
            </w:r>
          </w:p>
        </w:tc>
        <w:tc>
          <w:tcPr>
            <w:tcW w:w="1118" w:type="pct"/>
            <w:tcBorders>
              <w:top w:val="nil"/>
              <w:left w:val="nil"/>
              <w:bottom w:val="single" w:sz="4" w:space="0" w:color="auto"/>
              <w:right w:val="single" w:sz="4" w:space="0" w:color="auto"/>
            </w:tcBorders>
            <w:noWrap/>
            <w:vAlign w:val="center"/>
            <w:hideMark/>
          </w:tcPr>
          <w:p w14:paraId="464B1BD3"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10.00 </w:t>
            </w:r>
          </w:p>
        </w:tc>
        <w:tc>
          <w:tcPr>
            <w:tcW w:w="1150" w:type="pct"/>
            <w:tcBorders>
              <w:top w:val="nil"/>
              <w:left w:val="nil"/>
              <w:bottom w:val="single" w:sz="4" w:space="0" w:color="auto"/>
              <w:right w:val="single" w:sz="4" w:space="0" w:color="auto"/>
            </w:tcBorders>
            <w:noWrap/>
            <w:vAlign w:val="center"/>
            <w:hideMark/>
          </w:tcPr>
          <w:p w14:paraId="4A7737AE" w14:textId="77777777" w:rsidR="005F6C2F" w:rsidRPr="005F6C2F" w:rsidRDefault="005F6C2F" w:rsidP="005F6C2F">
            <w:pPr>
              <w:spacing w:before="0" w:after="0" w:line="240" w:lineRule="auto"/>
              <w:jc w:val="right"/>
              <w:rPr>
                <w:rFonts w:ascii="Arial" w:hAnsi="Arial" w:cs="Arial"/>
                <w:color w:val="000000"/>
                <w:lang w:val="en-IN"/>
              </w:rPr>
            </w:pPr>
            <w:r w:rsidRPr="005F6C2F">
              <w:rPr>
                <w:rFonts w:ascii="Arial" w:hAnsi="Arial" w:cs="Arial"/>
                <w:color w:val="000000"/>
                <w:lang w:val="en-IN"/>
              </w:rPr>
              <w:t>10.00</w:t>
            </w:r>
          </w:p>
        </w:tc>
        <w:tc>
          <w:tcPr>
            <w:tcW w:w="1015" w:type="pct"/>
            <w:tcBorders>
              <w:top w:val="nil"/>
              <w:left w:val="nil"/>
              <w:bottom w:val="single" w:sz="4" w:space="0" w:color="auto"/>
              <w:right w:val="single" w:sz="4" w:space="0" w:color="auto"/>
            </w:tcBorders>
            <w:noWrap/>
            <w:vAlign w:val="center"/>
            <w:hideMark/>
          </w:tcPr>
          <w:p w14:paraId="5A9FF9BB"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   </w:t>
            </w:r>
          </w:p>
        </w:tc>
        <w:tc>
          <w:tcPr>
            <w:tcW w:w="940" w:type="pct"/>
            <w:tcBorders>
              <w:top w:val="nil"/>
              <w:left w:val="nil"/>
              <w:bottom w:val="nil"/>
              <w:right w:val="single" w:sz="4" w:space="0" w:color="auto"/>
            </w:tcBorders>
            <w:noWrap/>
            <w:vAlign w:val="bottom"/>
            <w:hideMark/>
          </w:tcPr>
          <w:p w14:paraId="463C6DE0"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10E194D6" w14:textId="77777777" w:rsidTr="005F6C2F">
        <w:trPr>
          <w:trHeight w:val="300"/>
          <w:jc w:val="center"/>
        </w:trPr>
        <w:tc>
          <w:tcPr>
            <w:tcW w:w="777" w:type="pct"/>
            <w:tcBorders>
              <w:top w:val="nil"/>
              <w:left w:val="single" w:sz="4" w:space="0" w:color="auto"/>
              <w:bottom w:val="single" w:sz="4" w:space="0" w:color="auto"/>
              <w:right w:val="single" w:sz="4" w:space="0" w:color="auto"/>
            </w:tcBorders>
            <w:noWrap/>
            <w:vAlign w:val="center"/>
            <w:hideMark/>
          </w:tcPr>
          <w:p w14:paraId="71A7DBB4"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5</w:t>
            </w:r>
          </w:p>
        </w:tc>
        <w:tc>
          <w:tcPr>
            <w:tcW w:w="1118" w:type="pct"/>
            <w:tcBorders>
              <w:top w:val="nil"/>
              <w:left w:val="nil"/>
              <w:bottom w:val="single" w:sz="4" w:space="0" w:color="auto"/>
              <w:right w:val="single" w:sz="4" w:space="0" w:color="auto"/>
            </w:tcBorders>
            <w:noWrap/>
            <w:vAlign w:val="center"/>
            <w:hideMark/>
          </w:tcPr>
          <w:p w14:paraId="4FA48765"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8.00 </w:t>
            </w:r>
          </w:p>
        </w:tc>
        <w:tc>
          <w:tcPr>
            <w:tcW w:w="1150" w:type="pct"/>
            <w:tcBorders>
              <w:top w:val="nil"/>
              <w:left w:val="nil"/>
              <w:bottom w:val="single" w:sz="4" w:space="0" w:color="auto"/>
              <w:right w:val="single" w:sz="4" w:space="0" w:color="auto"/>
            </w:tcBorders>
            <w:noWrap/>
            <w:vAlign w:val="center"/>
            <w:hideMark/>
          </w:tcPr>
          <w:p w14:paraId="75EB0308" w14:textId="77777777" w:rsidR="005F6C2F" w:rsidRPr="005F6C2F" w:rsidRDefault="005F6C2F" w:rsidP="005F6C2F">
            <w:pPr>
              <w:spacing w:before="0" w:after="0" w:line="240" w:lineRule="auto"/>
              <w:jc w:val="right"/>
              <w:rPr>
                <w:rFonts w:ascii="Arial" w:hAnsi="Arial" w:cs="Arial"/>
                <w:color w:val="000000"/>
                <w:lang w:val="en-IN"/>
              </w:rPr>
            </w:pPr>
            <w:r w:rsidRPr="005F6C2F">
              <w:rPr>
                <w:rFonts w:ascii="Arial" w:hAnsi="Arial" w:cs="Arial"/>
                <w:color w:val="000000"/>
                <w:lang w:val="en-IN"/>
              </w:rPr>
              <w:t>10.00</w:t>
            </w:r>
          </w:p>
        </w:tc>
        <w:tc>
          <w:tcPr>
            <w:tcW w:w="1015" w:type="pct"/>
            <w:tcBorders>
              <w:top w:val="nil"/>
              <w:left w:val="nil"/>
              <w:bottom w:val="single" w:sz="4" w:space="0" w:color="auto"/>
              <w:right w:val="single" w:sz="4" w:space="0" w:color="auto"/>
            </w:tcBorders>
            <w:noWrap/>
            <w:vAlign w:val="center"/>
            <w:hideMark/>
          </w:tcPr>
          <w:p w14:paraId="53E045D6"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2.00 </w:t>
            </w:r>
          </w:p>
        </w:tc>
        <w:tc>
          <w:tcPr>
            <w:tcW w:w="940" w:type="pct"/>
            <w:tcBorders>
              <w:top w:val="nil"/>
              <w:left w:val="nil"/>
              <w:bottom w:val="nil"/>
              <w:right w:val="single" w:sz="4" w:space="0" w:color="auto"/>
            </w:tcBorders>
            <w:noWrap/>
            <w:vAlign w:val="bottom"/>
            <w:hideMark/>
          </w:tcPr>
          <w:p w14:paraId="5DE40D5D"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12AAC1FE" w14:textId="77777777" w:rsidTr="005F6C2F">
        <w:trPr>
          <w:trHeight w:val="312"/>
          <w:jc w:val="center"/>
        </w:trPr>
        <w:tc>
          <w:tcPr>
            <w:tcW w:w="3045" w:type="pct"/>
            <w:gridSpan w:val="3"/>
            <w:tcBorders>
              <w:top w:val="single" w:sz="4" w:space="0" w:color="auto"/>
              <w:left w:val="single" w:sz="4" w:space="0" w:color="auto"/>
              <w:bottom w:val="single" w:sz="4" w:space="0" w:color="auto"/>
              <w:right w:val="single" w:sz="4" w:space="0" w:color="000000"/>
            </w:tcBorders>
            <w:vAlign w:val="center"/>
            <w:hideMark/>
          </w:tcPr>
          <w:p w14:paraId="3917865F"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 xml:space="preserve">"Accounting Rate of Return (ARR) of Project A" </w:t>
            </w:r>
          </w:p>
        </w:tc>
        <w:tc>
          <w:tcPr>
            <w:tcW w:w="1015" w:type="pct"/>
            <w:tcBorders>
              <w:top w:val="nil"/>
              <w:left w:val="nil"/>
              <w:bottom w:val="single" w:sz="4" w:space="0" w:color="auto"/>
              <w:right w:val="single" w:sz="4" w:space="0" w:color="auto"/>
            </w:tcBorders>
            <w:vAlign w:val="center"/>
            <w:hideMark/>
          </w:tcPr>
          <w:p w14:paraId="568ABFEE"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1.60%</w:t>
            </w:r>
          </w:p>
        </w:tc>
        <w:tc>
          <w:tcPr>
            <w:tcW w:w="940" w:type="pct"/>
            <w:tcBorders>
              <w:top w:val="nil"/>
              <w:left w:val="nil"/>
              <w:bottom w:val="single" w:sz="4" w:space="0" w:color="auto"/>
              <w:right w:val="single" w:sz="4" w:space="0" w:color="auto"/>
            </w:tcBorders>
            <w:noWrap/>
            <w:vAlign w:val="bottom"/>
            <w:hideMark/>
          </w:tcPr>
          <w:p w14:paraId="23F1EA00" w14:textId="77777777" w:rsidR="005F6C2F" w:rsidRPr="005F6C2F" w:rsidRDefault="005F6C2F" w:rsidP="005F6C2F">
            <w:pPr>
              <w:spacing w:before="0" w:after="0" w:line="240" w:lineRule="auto"/>
              <w:jc w:val="center"/>
              <w:rPr>
                <w:rFonts w:ascii="Arial" w:hAnsi="Arial" w:cs="Arial"/>
                <w:b/>
                <w:bCs/>
                <w:color w:val="000000"/>
                <w:lang w:val="en-IN"/>
              </w:rPr>
            </w:pPr>
          </w:p>
        </w:tc>
      </w:tr>
    </w:tbl>
    <w:p w14:paraId="45904C62" w14:textId="4E2B8492" w:rsidR="005D57A3" w:rsidRDefault="005F6C2F" w:rsidP="005F6C2F">
      <w:pPr>
        <w:spacing w:before="200" w:after="200"/>
        <w:jc w:val="center"/>
        <w:rPr>
          <w:rFonts w:ascii="Arial" w:eastAsia="Arial" w:hAnsi="Arial" w:cs="Arial"/>
        </w:rPr>
      </w:pPr>
      <w:r>
        <w:rPr>
          <w:rFonts w:ascii="Arial" w:eastAsia="Arial" w:hAnsi="Arial" w:cs="Arial"/>
        </w:rPr>
        <w:t>(Source: Excel)</w:t>
      </w:r>
    </w:p>
    <w:p w14:paraId="4BCF3626" w14:textId="77777777" w:rsidR="005D57A3" w:rsidRDefault="00000000">
      <w:pPr>
        <w:pStyle w:val="Heading3"/>
      </w:pPr>
      <w:bookmarkStart w:id="56" w:name="_Toc227879002"/>
      <w:r>
        <w:t>Project B</w:t>
      </w:r>
      <w:bookmarkEnd w:id="56"/>
    </w:p>
    <w:tbl>
      <w:tblPr>
        <w:tblW w:w="5000" w:type="pct"/>
        <w:jc w:val="center"/>
        <w:tblLook w:val="04A0" w:firstRow="1" w:lastRow="0" w:firstColumn="1" w:lastColumn="0" w:noHBand="0" w:noVBand="1"/>
      </w:tblPr>
      <w:tblGrid>
        <w:gridCol w:w="907"/>
        <w:gridCol w:w="1890"/>
        <w:gridCol w:w="1767"/>
        <w:gridCol w:w="2689"/>
        <w:gridCol w:w="1766"/>
      </w:tblGrid>
      <w:tr w:rsidR="005F6C2F" w:rsidRPr="005F6C2F" w14:paraId="4A8BBEDC" w14:textId="77777777" w:rsidTr="005F6C2F">
        <w:trPr>
          <w:trHeight w:val="624"/>
          <w:jc w:val="center"/>
        </w:trPr>
        <w:tc>
          <w:tcPr>
            <w:tcW w:w="451" w:type="pct"/>
            <w:tcBorders>
              <w:top w:val="single" w:sz="4" w:space="0" w:color="auto"/>
              <w:left w:val="single" w:sz="4" w:space="0" w:color="auto"/>
              <w:bottom w:val="single" w:sz="4" w:space="0" w:color="000000"/>
              <w:right w:val="single" w:sz="4" w:space="0" w:color="000000"/>
            </w:tcBorders>
            <w:vAlign w:val="center"/>
            <w:hideMark/>
          </w:tcPr>
          <w:p w14:paraId="5D881E36"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"Year"</w:t>
            </w:r>
          </w:p>
        </w:tc>
        <w:tc>
          <w:tcPr>
            <w:tcW w:w="981" w:type="pct"/>
            <w:tcBorders>
              <w:top w:val="single" w:sz="4" w:space="0" w:color="auto"/>
              <w:left w:val="nil"/>
              <w:bottom w:val="single" w:sz="4" w:space="0" w:color="000000"/>
              <w:right w:val="single" w:sz="4" w:space="0" w:color="000000"/>
            </w:tcBorders>
            <w:vAlign w:val="center"/>
            <w:hideMark/>
          </w:tcPr>
          <w:p w14:paraId="49FBE6D1"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"Cash Flow"</w:t>
            </w:r>
          </w:p>
        </w:tc>
        <w:tc>
          <w:tcPr>
            <w:tcW w:w="1242" w:type="pct"/>
            <w:tcBorders>
              <w:top w:val="single" w:sz="4" w:space="0" w:color="auto"/>
              <w:left w:val="nil"/>
              <w:bottom w:val="single" w:sz="4" w:space="0" w:color="000000"/>
              <w:right w:val="single" w:sz="4" w:space="0" w:color="000000"/>
            </w:tcBorders>
            <w:vAlign w:val="center"/>
            <w:hideMark/>
          </w:tcPr>
          <w:p w14:paraId="5FD2BAAA"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"Discounting Factor @10%"</w:t>
            </w:r>
          </w:p>
        </w:tc>
        <w:tc>
          <w:tcPr>
            <w:tcW w:w="1411" w:type="pct"/>
            <w:tcBorders>
              <w:top w:val="single" w:sz="4" w:space="0" w:color="auto"/>
              <w:left w:val="nil"/>
              <w:bottom w:val="single" w:sz="4" w:space="0" w:color="000000"/>
              <w:right w:val="single" w:sz="4" w:space="0" w:color="000000"/>
            </w:tcBorders>
            <w:vAlign w:val="center"/>
            <w:hideMark/>
          </w:tcPr>
          <w:p w14:paraId="324FE453"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"Present Value"</w:t>
            </w:r>
          </w:p>
        </w:tc>
        <w:tc>
          <w:tcPr>
            <w:tcW w:w="915" w:type="pct"/>
            <w:tcBorders>
              <w:top w:val="single" w:sz="4" w:space="0" w:color="auto"/>
              <w:left w:val="nil"/>
              <w:bottom w:val="nil"/>
              <w:right w:val="single" w:sz="4" w:space="0" w:color="auto"/>
            </w:tcBorders>
            <w:noWrap/>
            <w:vAlign w:val="bottom"/>
            <w:hideMark/>
          </w:tcPr>
          <w:p w14:paraId="3DF71274" w14:textId="77777777" w:rsidR="005F6C2F" w:rsidRPr="005F6C2F" w:rsidRDefault="005F6C2F" w:rsidP="005F6C2F">
            <w:pPr>
              <w:spacing w:before="0" w:after="0" w:line="240" w:lineRule="auto"/>
              <w:jc w:val="center"/>
              <w:rPr>
                <w:rFonts w:ascii="Arial" w:hAnsi="Arial" w:cs="Arial"/>
                <w:b/>
                <w:bCs/>
                <w:color w:val="000000"/>
                <w:lang w:val="en-IN"/>
              </w:rPr>
            </w:pPr>
          </w:p>
        </w:tc>
      </w:tr>
      <w:tr w:rsidR="005F6C2F" w:rsidRPr="005F6C2F" w14:paraId="3DA19F7D" w14:textId="77777777" w:rsidTr="005F6C2F">
        <w:trPr>
          <w:trHeight w:val="312"/>
          <w:jc w:val="center"/>
        </w:trPr>
        <w:tc>
          <w:tcPr>
            <w:tcW w:w="451" w:type="pct"/>
            <w:tcBorders>
              <w:top w:val="nil"/>
              <w:left w:val="single" w:sz="4" w:space="0" w:color="auto"/>
              <w:bottom w:val="single" w:sz="4" w:space="0" w:color="000000"/>
              <w:right w:val="single" w:sz="4" w:space="0" w:color="000000"/>
            </w:tcBorders>
            <w:noWrap/>
            <w:vAlign w:val="bottom"/>
            <w:hideMark/>
          </w:tcPr>
          <w:p w14:paraId="6E25EC24"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w:t>
            </w:r>
          </w:p>
        </w:tc>
        <w:tc>
          <w:tcPr>
            <w:tcW w:w="981" w:type="pct"/>
            <w:tcBorders>
              <w:top w:val="nil"/>
              <w:left w:val="nil"/>
              <w:bottom w:val="single" w:sz="4" w:space="0" w:color="000000"/>
              <w:right w:val="single" w:sz="4" w:space="0" w:color="000000"/>
            </w:tcBorders>
            <w:noWrap/>
            <w:vAlign w:val="bottom"/>
            <w:hideMark/>
          </w:tcPr>
          <w:p w14:paraId="3FE10256"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1242" w:type="pct"/>
            <w:tcBorders>
              <w:top w:val="nil"/>
              <w:left w:val="nil"/>
              <w:bottom w:val="single" w:sz="4" w:space="0" w:color="000000"/>
              <w:right w:val="single" w:sz="4" w:space="0" w:color="000000"/>
            </w:tcBorders>
            <w:noWrap/>
            <w:vAlign w:val="bottom"/>
            <w:hideMark/>
          </w:tcPr>
          <w:p w14:paraId="36236E64"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1.000</w:t>
            </w:r>
          </w:p>
        </w:tc>
        <w:tc>
          <w:tcPr>
            <w:tcW w:w="1411" w:type="pct"/>
            <w:tcBorders>
              <w:top w:val="nil"/>
              <w:left w:val="nil"/>
              <w:bottom w:val="single" w:sz="4" w:space="0" w:color="000000"/>
              <w:right w:val="single" w:sz="4" w:space="0" w:color="000000"/>
            </w:tcBorders>
            <w:noWrap/>
            <w:vAlign w:val="bottom"/>
            <w:hideMark/>
          </w:tcPr>
          <w:p w14:paraId="084EC14E"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915" w:type="pct"/>
            <w:tcBorders>
              <w:top w:val="nil"/>
              <w:left w:val="nil"/>
              <w:bottom w:val="nil"/>
              <w:right w:val="single" w:sz="4" w:space="0" w:color="auto"/>
            </w:tcBorders>
            <w:noWrap/>
            <w:vAlign w:val="bottom"/>
            <w:hideMark/>
          </w:tcPr>
          <w:p w14:paraId="505A920B"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7C115513" w14:textId="77777777" w:rsidTr="005F6C2F">
        <w:trPr>
          <w:trHeight w:val="312"/>
          <w:jc w:val="center"/>
        </w:trPr>
        <w:tc>
          <w:tcPr>
            <w:tcW w:w="451" w:type="pct"/>
            <w:tcBorders>
              <w:top w:val="nil"/>
              <w:left w:val="single" w:sz="4" w:space="0" w:color="auto"/>
              <w:bottom w:val="single" w:sz="4" w:space="0" w:color="000000"/>
              <w:right w:val="single" w:sz="4" w:space="0" w:color="000000"/>
            </w:tcBorders>
            <w:noWrap/>
            <w:vAlign w:val="bottom"/>
            <w:hideMark/>
          </w:tcPr>
          <w:p w14:paraId="7C706309"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1</w:t>
            </w:r>
          </w:p>
        </w:tc>
        <w:tc>
          <w:tcPr>
            <w:tcW w:w="981" w:type="pct"/>
            <w:tcBorders>
              <w:top w:val="nil"/>
              <w:left w:val="nil"/>
              <w:bottom w:val="single" w:sz="4" w:space="0" w:color="000000"/>
              <w:right w:val="single" w:sz="4" w:space="0" w:color="000000"/>
            </w:tcBorders>
            <w:noWrap/>
            <w:vAlign w:val="bottom"/>
            <w:hideMark/>
          </w:tcPr>
          <w:p w14:paraId="7E944E4C"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11.00 </w:t>
            </w:r>
          </w:p>
        </w:tc>
        <w:tc>
          <w:tcPr>
            <w:tcW w:w="1242" w:type="pct"/>
            <w:tcBorders>
              <w:top w:val="nil"/>
              <w:left w:val="nil"/>
              <w:bottom w:val="single" w:sz="4" w:space="0" w:color="000000"/>
              <w:right w:val="single" w:sz="4" w:space="0" w:color="000000"/>
            </w:tcBorders>
            <w:noWrap/>
            <w:vAlign w:val="bottom"/>
            <w:hideMark/>
          </w:tcPr>
          <w:p w14:paraId="1A8CA788"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0.909</w:t>
            </w:r>
          </w:p>
        </w:tc>
        <w:tc>
          <w:tcPr>
            <w:tcW w:w="1411" w:type="pct"/>
            <w:tcBorders>
              <w:top w:val="nil"/>
              <w:left w:val="nil"/>
              <w:bottom w:val="single" w:sz="4" w:space="0" w:color="000000"/>
              <w:right w:val="single" w:sz="4" w:space="0" w:color="000000"/>
            </w:tcBorders>
            <w:noWrap/>
            <w:vAlign w:val="bottom"/>
            <w:hideMark/>
          </w:tcPr>
          <w:p w14:paraId="2103D1DE"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10.00 </w:t>
            </w:r>
          </w:p>
        </w:tc>
        <w:tc>
          <w:tcPr>
            <w:tcW w:w="915" w:type="pct"/>
            <w:tcBorders>
              <w:top w:val="nil"/>
              <w:left w:val="nil"/>
              <w:bottom w:val="nil"/>
              <w:right w:val="single" w:sz="4" w:space="0" w:color="auto"/>
            </w:tcBorders>
            <w:noWrap/>
            <w:vAlign w:val="bottom"/>
            <w:hideMark/>
          </w:tcPr>
          <w:p w14:paraId="2A96F3BD"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45F69109" w14:textId="77777777" w:rsidTr="005F6C2F">
        <w:trPr>
          <w:trHeight w:val="312"/>
          <w:jc w:val="center"/>
        </w:trPr>
        <w:tc>
          <w:tcPr>
            <w:tcW w:w="451" w:type="pct"/>
            <w:tcBorders>
              <w:top w:val="nil"/>
              <w:left w:val="single" w:sz="4" w:space="0" w:color="auto"/>
              <w:bottom w:val="single" w:sz="4" w:space="0" w:color="000000"/>
              <w:right w:val="single" w:sz="4" w:space="0" w:color="000000"/>
            </w:tcBorders>
            <w:noWrap/>
            <w:vAlign w:val="bottom"/>
            <w:hideMark/>
          </w:tcPr>
          <w:p w14:paraId="3FF9BBAE"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2</w:t>
            </w:r>
          </w:p>
        </w:tc>
        <w:tc>
          <w:tcPr>
            <w:tcW w:w="981" w:type="pct"/>
            <w:tcBorders>
              <w:top w:val="nil"/>
              <w:left w:val="nil"/>
              <w:bottom w:val="single" w:sz="4" w:space="0" w:color="000000"/>
              <w:right w:val="single" w:sz="4" w:space="0" w:color="000000"/>
            </w:tcBorders>
            <w:noWrap/>
            <w:vAlign w:val="bottom"/>
            <w:hideMark/>
          </w:tcPr>
          <w:p w14:paraId="6AA1CCC3"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11.00 </w:t>
            </w:r>
          </w:p>
        </w:tc>
        <w:tc>
          <w:tcPr>
            <w:tcW w:w="1242" w:type="pct"/>
            <w:tcBorders>
              <w:top w:val="nil"/>
              <w:left w:val="nil"/>
              <w:bottom w:val="single" w:sz="4" w:space="0" w:color="000000"/>
              <w:right w:val="single" w:sz="4" w:space="0" w:color="000000"/>
            </w:tcBorders>
            <w:noWrap/>
            <w:vAlign w:val="bottom"/>
            <w:hideMark/>
          </w:tcPr>
          <w:p w14:paraId="5C394AC7"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0.826</w:t>
            </w:r>
          </w:p>
        </w:tc>
        <w:tc>
          <w:tcPr>
            <w:tcW w:w="1411" w:type="pct"/>
            <w:tcBorders>
              <w:top w:val="nil"/>
              <w:left w:val="nil"/>
              <w:bottom w:val="single" w:sz="4" w:space="0" w:color="000000"/>
              <w:right w:val="single" w:sz="4" w:space="0" w:color="000000"/>
            </w:tcBorders>
            <w:noWrap/>
            <w:vAlign w:val="bottom"/>
            <w:hideMark/>
          </w:tcPr>
          <w:p w14:paraId="1CF68A63"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9.09 </w:t>
            </w:r>
          </w:p>
        </w:tc>
        <w:tc>
          <w:tcPr>
            <w:tcW w:w="915" w:type="pct"/>
            <w:tcBorders>
              <w:top w:val="nil"/>
              <w:left w:val="nil"/>
              <w:bottom w:val="nil"/>
              <w:right w:val="single" w:sz="4" w:space="0" w:color="auto"/>
            </w:tcBorders>
            <w:noWrap/>
            <w:vAlign w:val="bottom"/>
            <w:hideMark/>
          </w:tcPr>
          <w:p w14:paraId="3927C67E"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72B3F5EA" w14:textId="77777777" w:rsidTr="005F6C2F">
        <w:trPr>
          <w:trHeight w:val="312"/>
          <w:jc w:val="center"/>
        </w:trPr>
        <w:tc>
          <w:tcPr>
            <w:tcW w:w="451" w:type="pct"/>
            <w:tcBorders>
              <w:top w:val="nil"/>
              <w:left w:val="single" w:sz="4" w:space="0" w:color="auto"/>
              <w:bottom w:val="single" w:sz="4" w:space="0" w:color="000000"/>
              <w:right w:val="single" w:sz="4" w:space="0" w:color="000000"/>
            </w:tcBorders>
            <w:noWrap/>
            <w:vAlign w:val="bottom"/>
            <w:hideMark/>
          </w:tcPr>
          <w:p w14:paraId="1F26E821"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3</w:t>
            </w:r>
          </w:p>
        </w:tc>
        <w:tc>
          <w:tcPr>
            <w:tcW w:w="981" w:type="pct"/>
            <w:tcBorders>
              <w:top w:val="nil"/>
              <w:left w:val="nil"/>
              <w:bottom w:val="single" w:sz="4" w:space="0" w:color="000000"/>
              <w:right w:val="single" w:sz="4" w:space="0" w:color="000000"/>
            </w:tcBorders>
            <w:noWrap/>
            <w:vAlign w:val="bottom"/>
            <w:hideMark/>
          </w:tcPr>
          <w:p w14:paraId="32A3F602"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11.00 </w:t>
            </w:r>
          </w:p>
        </w:tc>
        <w:tc>
          <w:tcPr>
            <w:tcW w:w="1242" w:type="pct"/>
            <w:tcBorders>
              <w:top w:val="nil"/>
              <w:left w:val="nil"/>
              <w:bottom w:val="single" w:sz="4" w:space="0" w:color="000000"/>
              <w:right w:val="single" w:sz="4" w:space="0" w:color="000000"/>
            </w:tcBorders>
            <w:noWrap/>
            <w:vAlign w:val="bottom"/>
            <w:hideMark/>
          </w:tcPr>
          <w:p w14:paraId="57217128"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0.751</w:t>
            </w:r>
          </w:p>
        </w:tc>
        <w:tc>
          <w:tcPr>
            <w:tcW w:w="1411" w:type="pct"/>
            <w:tcBorders>
              <w:top w:val="nil"/>
              <w:left w:val="nil"/>
              <w:bottom w:val="single" w:sz="4" w:space="0" w:color="000000"/>
              <w:right w:val="single" w:sz="4" w:space="0" w:color="000000"/>
            </w:tcBorders>
            <w:noWrap/>
            <w:vAlign w:val="bottom"/>
            <w:hideMark/>
          </w:tcPr>
          <w:p w14:paraId="38FF01D8"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8.26 </w:t>
            </w:r>
          </w:p>
        </w:tc>
        <w:tc>
          <w:tcPr>
            <w:tcW w:w="915" w:type="pct"/>
            <w:tcBorders>
              <w:top w:val="nil"/>
              <w:left w:val="nil"/>
              <w:bottom w:val="nil"/>
              <w:right w:val="single" w:sz="4" w:space="0" w:color="auto"/>
            </w:tcBorders>
            <w:noWrap/>
            <w:vAlign w:val="bottom"/>
            <w:hideMark/>
          </w:tcPr>
          <w:p w14:paraId="29F68E0B"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4419988C" w14:textId="77777777" w:rsidTr="005F6C2F">
        <w:trPr>
          <w:trHeight w:val="312"/>
          <w:jc w:val="center"/>
        </w:trPr>
        <w:tc>
          <w:tcPr>
            <w:tcW w:w="451" w:type="pct"/>
            <w:tcBorders>
              <w:top w:val="nil"/>
              <w:left w:val="single" w:sz="4" w:space="0" w:color="auto"/>
              <w:bottom w:val="single" w:sz="4" w:space="0" w:color="000000"/>
              <w:right w:val="single" w:sz="4" w:space="0" w:color="000000"/>
            </w:tcBorders>
            <w:noWrap/>
            <w:vAlign w:val="bottom"/>
            <w:hideMark/>
          </w:tcPr>
          <w:p w14:paraId="7CEDFB81"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4</w:t>
            </w:r>
          </w:p>
        </w:tc>
        <w:tc>
          <w:tcPr>
            <w:tcW w:w="981" w:type="pct"/>
            <w:tcBorders>
              <w:top w:val="nil"/>
              <w:left w:val="nil"/>
              <w:bottom w:val="single" w:sz="4" w:space="0" w:color="000000"/>
              <w:right w:val="single" w:sz="4" w:space="0" w:color="000000"/>
            </w:tcBorders>
            <w:noWrap/>
            <w:vAlign w:val="bottom"/>
            <w:hideMark/>
          </w:tcPr>
          <w:p w14:paraId="50D67A79"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11.00 </w:t>
            </w:r>
          </w:p>
        </w:tc>
        <w:tc>
          <w:tcPr>
            <w:tcW w:w="1242" w:type="pct"/>
            <w:tcBorders>
              <w:top w:val="nil"/>
              <w:left w:val="nil"/>
              <w:bottom w:val="single" w:sz="4" w:space="0" w:color="000000"/>
              <w:right w:val="single" w:sz="4" w:space="0" w:color="000000"/>
            </w:tcBorders>
            <w:noWrap/>
            <w:vAlign w:val="bottom"/>
            <w:hideMark/>
          </w:tcPr>
          <w:p w14:paraId="4F25627A"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0.683</w:t>
            </w:r>
          </w:p>
        </w:tc>
        <w:tc>
          <w:tcPr>
            <w:tcW w:w="1411" w:type="pct"/>
            <w:tcBorders>
              <w:top w:val="nil"/>
              <w:left w:val="nil"/>
              <w:bottom w:val="single" w:sz="4" w:space="0" w:color="000000"/>
              <w:right w:val="single" w:sz="4" w:space="0" w:color="000000"/>
            </w:tcBorders>
            <w:noWrap/>
            <w:vAlign w:val="bottom"/>
            <w:hideMark/>
          </w:tcPr>
          <w:p w14:paraId="683FB916"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7.51 </w:t>
            </w:r>
          </w:p>
        </w:tc>
        <w:tc>
          <w:tcPr>
            <w:tcW w:w="915" w:type="pct"/>
            <w:tcBorders>
              <w:top w:val="nil"/>
              <w:left w:val="nil"/>
              <w:bottom w:val="nil"/>
              <w:right w:val="single" w:sz="4" w:space="0" w:color="auto"/>
            </w:tcBorders>
            <w:noWrap/>
            <w:vAlign w:val="bottom"/>
            <w:hideMark/>
          </w:tcPr>
          <w:p w14:paraId="6FAC67DE"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3F42E480" w14:textId="77777777" w:rsidTr="005F6C2F">
        <w:trPr>
          <w:trHeight w:val="312"/>
          <w:jc w:val="center"/>
        </w:trPr>
        <w:tc>
          <w:tcPr>
            <w:tcW w:w="451" w:type="pct"/>
            <w:tcBorders>
              <w:top w:val="nil"/>
              <w:left w:val="single" w:sz="4" w:space="0" w:color="auto"/>
              <w:bottom w:val="single" w:sz="4" w:space="0" w:color="000000"/>
              <w:right w:val="single" w:sz="4" w:space="0" w:color="000000"/>
            </w:tcBorders>
            <w:noWrap/>
            <w:vAlign w:val="bottom"/>
            <w:hideMark/>
          </w:tcPr>
          <w:p w14:paraId="24FE1817"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5</w:t>
            </w:r>
          </w:p>
        </w:tc>
        <w:tc>
          <w:tcPr>
            <w:tcW w:w="981" w:type="pct"/>
            <w:tcBorders>
              <w:top w:val="nil"/>
              <w:left w:val="nil"/>
              <w:bottom w:val="single" w:sz="4" w:space="0" w:color="000000"/>
              <w:right w:val="single" w:sz="4" w:space="0" w:color="000000"/>
            </w:tcBorders>
            <w:noWrap/>
            <w:vAlign w:val="bottom"/>
            <w:hideMark/>
          </w:tcPr>
          <w:p w14:paraId="42EEED0B"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11.00 </w:t>
            </w:r>
          </w:p>
        </w:tc>
        <w:tc>
          <w:tcPr>
            <w:tcW w:w="1242" w:type="pct"/>
            <w:tcBorders>
              <w:top w:val="nil"/>
              <w:left w:val="nil"/>
              <w:bottom w:val="single" w:sz="4" w:space="0" w:color="000000"/>
              <w:right w:val="single" w:sz="4" w:space="0" w:color="000000"/>
            </w:tcBorders>
            <w:noWrap/>
            <w:vAlign w:val="bottom"/>
            <w:hideMark/>
          </w:tcPr>
          <w:p w14:paraId="63088BCC"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0.621</w:t>
            </w:r>
          </w:p>
        </w:tc>
        <w:tc>
          <w:tcPr>
            <w:tcW w:w="1411" w:type="pct"/>
            <w:tcBorders>
              <w:top w:val="nil"/>
              <w:left w:val="nil"/>
              <w:bottom w:val="single" w:sz="4" w:space="0" w:color="000000"/>
              <w:right w:val="single" w:sz="4" w:space="0" w:color="000000"/>
            </w:tcBorders>
            <w:noWrap/>
            <w:vAlign w:val="bottom"/>
            <w:hideMark/>
          </w:tcPr>
          <w:p w14:paraId="59E7F1EA"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6.83 </w:t>
            </w:r>
          </w:p>
        </w:tc>
        <w:tc>
          <w:tcPr>
            <w:tcW w:w="915" w:type="pct"/>
            <w:tcBorders>
              <w:top w:val="nil"/>
              <w:left w:val="nil"/>
              <w:bottom w:val="nil"/>
              <w:right w:val="single" w:sz="4" w:space="0" w:color="auto"/>
            </w:tcBorders>
            <w:noWrap/>
            <w:vAlign w:val="bottom"/>
            <w:hideMark/>
          </w:tcPr>
          <w:p w14:paraId="323891EC"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4D273857" w14:textId="77777777" w:rsidTr="005F6C2F">
        <w:trPr>
          <w:trHeight w:val="312"/>
          <w:jc w:val="center"/>
        </w:trPr>
        <w:tc>
          <w:tcPr>
            <w:tcW w:w="2674" w:type="pct"/>
            <w:gridSpan w:val="3"/>
            <w:vMerge w:val="restart"/>
            <w:tcBorders>
              <w:top w:val="single" w:sz="4" w:space="0" w:color="000000"/>
              <w:left w:val="single" w:sz="4" w:space="0" w:color="auto"/>
              <w:bottom w:val="nil"/>
              <w:right w:val="single" w:sz="4" w:space="0" w:color="000000"/>
            </w:tcBorders>
            <w:vAlign w:val="center"/>
            <w:hideMark/>
          </w:tcPr>
          <w:p w14:paraId="0444CD35"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"Net Present Value (NPV) of Project B"</w:t>
            </w:r>
          </w:p>
        </w:tc>
        <w:tc>
          <w:tcPr>
            <w:tcW w:w="1411" w:type="pct"/>
            <w:vMerge w:val="restart"/>
            <w:tcBorders>
              <w:top w:val="nil"/>
              <w:left w:val="single" w:sz="4" w:space="0" w:color="000000"/>
              <w:bottom w:val="nil"/>
              <w:right w:val="single" w:sz="4" w:space="0" w:color="000000"/>
            </w:tcBorders>
            <w:vAlign w:val="center"/>
            <w:hideMark/>
          </w:tcPr>
          <w:p w14:paraId="5E812166"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 xml:space="preserve">-£                              8.30 </w:t>
            </w:r>
          </w:p>
        </w:tc>
        <w:tc>
          <w:tcPr>
            <w:tcW w:w="915" w:type="pct"/>
            <w:tcBorders>
              <w:top w:val="nil"/>
              <w:left w:val="nil"/>
              <w:bottom w:val="nil"/>
              <w:right w:val="single" w:sz="4" w:space="0" w:color="auto"/>
            </w:tcBorders>
            <w:noWrap/>
            <w:vAlign w:val="bottom"/>
            <w:hideMark/>
          </w:tcPr>
          <w:p w14:paraId="1AEB3A45" w14:textId="77777777" w:rsidR="005F6C2F" w:rsidRPr="005F6C2F" w:rsidRDefault="005F6C2F" w:rsidP="005F6C2F">
            <w:pPr>
              <w:spacing w:before="0" w:after="0" w:line="240" w:lineRule="auto"/>
              <w:jc w:val="center"/>
              <w:rPr>
                <w:rFonts w:ascii="Arial" w:hAnsi="Arial" w:cs="Arial"/>
                <w:b/>
                <w:bCs/>
                <w:color w:val="000000"/>
                <w:lang w:val="en-IN"/>
              </w:rPr>
            </w:pPr>
          </w:p>
        </w:tc>
      </w:tr>
      <w:tr w:rsidR="005F6C2F" w:rsidRPr="005F6C2F" w14:paraId="53B6A713" w14:textId="77777777" w:rsidTr="005F6C2F">
        <w:trPr>
          <w:trHeight w:val="312"/>
          <w:jc w:val="center"/>
        </w:trPr>
        <w:tc>
          <w:tcPr>
            <w:tcW w:w="2674" w:type="pct"/>
            <w:gridSpan w:val="3"/>
            <w:vMerge/>
            <w:tcBorders>
              <w:top w:val="single" w:sz="4" w:space="0" w:color="000000"/>
              <w:left w:val="single" w:sz="4" w:space="0" w:color="auto"/>
              <w:bottom w:val="nil"/>
              <w:right w:val="single" w:sz="4" w:space="0" w:color="000000"/>
            </w:tcBorders>
            <w:vAlign w:val="center"/>
            <w:hideMark/>
          </w:tcPr>
          <w:p w14:paraId="74A9422F" w14:textId="77777777" w:rsidR="005F6C2F" w:rsidRPr="005F6C2F" w:rsidRDefault="005F6C2F" w:rsidP="005F6C2F">
            <w:pPr>
              <w:spacing w:before="0" w:after="0" w:line="240" w:lineRule="auto"/>
              <w:jc w:val="left"/>
              <w:rPr>
                <w:rFonts w:ascii="Arial" w:hAnsi="Arial" w:cs="Arial"/>
                <w:b/>
                <w:bCs/>
                <w:color w:val="000000"/>
                <w:lang w:val="en-IN"/>
              </w:rPr>
            </w:pPr>
          </w:p>
        </w:tc>
        <w:tc>
          <w:tcPr>
            <w:tcW w:w="1411" w:type="pct"/>
            <w:vMerge/>
            <w:tcBorders>
              <w:top w:val="nil"/>
              <w:left w:val="single" w:sz="4" w:space="0" w:color="000000"/>
              <w:bottom w:val="nil"/>
              <w:right w:val="single" w:sz="4" w:space="0" w:color="000000"/>
            </w:tcBorders>
            <w:vAlign w:val="center"/>
            <w:hideMark/>
          </w:tcPr>
          <w:p w14:paraId="1C5D0A73" w14:textId="77777777" w:rsidR="005F6C2F" w:rsidRPr="005F6C2F" w:rsidRDefault="005F6C2F" w:rsidP="005F6C2F">
            <w:pPr>
              <w:spacing w:before="0" w:after="0" w:line="240" w:lineRule="auto"/>
              <w:jc w:val="left"/>
              <w:rPr>
                <w:rFonts w:ascii="Arial" w:hAnsi="Arial" w:cs="Arial"/>
                <w:b/>
                <w:bCs/>
                <w:color w:val="000000"/>
                <w:lang w:val="en-IN"/>
              </w:rPr>
            </w:pPr>
          </w:p>
        </w:tc>
        <w:tc>
          <w:tcPr>
            <w:tcW w:w="915" w:type="pct"/>
            <w:tcBorders>
              <w:top w:val="nil"/>
              <w:left w:val="nil"/>
              <w:bottom w:val="nil"/>
              <w:right w:val="single" w:sz="4" w:space="0" w:color="auto"/>
            </w:tcBorders>
            <w:noWrap/>
            <w:vAlign w:val="bottom"/>
            <w:hideMark/>
          </w:tcPr>
          <w:p w14:paraId="38669D8B" w14:textId="77777777" w:rsidR="005F6C2F" w:rsidRPr="005F6C2F" w:rsidRDefault="005F6C2F" w:rsidP="005F6C2F">
            <w:pPr>
              <w:spacing w:before="0" w:after="0" w:line="240" w:lineRule="auto"/>
              <w:jc w:val="left"/>
              <w:rPr>
                <w:sz w:val="20"/>
                <w:szCs w:val="20"/>
                <w:lang w:val="en-IN"/>
              </w:rPr>
            </w:pPr>
          </w:p>
        </w:tc>
      </w:tr>
      <w:tr w:rsidR="005F6C2F" w:rsidRPr="005F6C2F" w14:paraId="03AD06EA" w14:textId="77777777" w:rsidTr="005F6C2F">
        <w:trPr>
          <w:trHeight w:val="312"/>
          <w:jc w:val="center"/>
        </w:trPr>
        <w:tc>
          <w:tcPr>
            <w:tcW w:w="2674" w:type="pct"/>
            <w:gridSpan w:val="3"/>
            <w:tcBorders>
              <w:top w:val="single" w:sz="4" w:space="0" w:color="auto"/>
              <w:left w:val="single" w:sz="4" w:space="0" w:color="auto"/>
              <w:bottom w:val="single" w:sz="4" w:space="0" w:color="auto"/>
              <w:right w:val="single" w:sz="4" w:space="0" w:color="auto"/>
            </w:tcBorders>
            <w:noWrap/>
            <w:vAlign w:val="bottom"/>
            <w:hideMark/>
          </w:tcPr>
          <w:p w14:paraId="21346BFB"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"Profitability Index (PI) of Project B"</w:t>
            </w:r>
          </w:p>
        </w:tc>
        <w:tc>
          <w:tcPr>
            <w:tcW w:w="1411" w:type="pct"/>
            <w:tcBorders>
              <w:top w:val="single" w:sz="4" w:space="0" w:color="auto"/>
              <w:left w:val="nil"/>
              <w:bottom w:val="single" w:sz="4" w:space="0" w:color="auto"/>
              <w:right w:val="single" w:sz="4" w:space="0" w:color="auto"/>
            </w:tcBorders>
            <w:noWrap/>
            <w:vAlign w:val="bottom"/>
            <w:hideMark/>
          </w:tcPr>
          <w:p w14:paraId="731F3B1F" w14:textId="77777777" w:rsidR="005F6C2F" w:rsidRPr="005F6C2F" w:rsidRDefault="005F6C2F" w:rsidP="005F6C2F">
            <w:pPr>
              <w:spacing w:before="0" w:after="0" w:line="240" w:lineRule="auto"/>
              <w:jc w:val="right"/>
              <w:rPr>
                <w:rFonts w:ascii="Arial" w:hAnsi="Arial" w:cs="Arial"/>
                <w:b/>
                <w:bCs/>
                <w:color w:val="000000"/>
                <w:lang w:val="en-IN"/>
              </w:rPr>
            </w:pPr>
            <w:r w:rsidRPr="005F6C2F">
              <w:rPr>
                <w:rFonts w:ascii="Arial" w:hAnsi="Arial" w:cs="Arial"/>
                <w:b/>
                <w:bCs/>
                <w:color w:val="000000"/>
                <w:lang w:val="en-IN"/>
              </w:rPr>
              <w:t>1.17</w:t>
            </w:r>
          </w:p>
        </w:tc>
        <w:tc>
          <w:tcPr>
            <w:tcW w:w="915" w:type="pct"/>
            <w:tcBorders>
              <w:top w:val="nil"/>
              <w:left w:val="nil"/>
              <w:bottom w:val="nil"/>
              <w:right w:val="single" w:sz="4" w:space="0" w:color="auto"/>
            </w:tcBorders>
            <w:noWrap/>
            <w:vAlign w:val="bottom"/>
            <w:hideMark/>
          </w:tcPr>
          <w:p w14:paraId="102C0448" w14:textId="77777777" w:rsidR="005F6C2F" w:rsidRPr="005F6C2F" w:rsidRDefault="005F6C2F" w:rsidP="005F6C2F">
            <w:pPr>
              <w:spacing w:before="0" w:after="0" w:line="240" w:lineRule="auto"/>
              <w:jc w:val="right"/>
              <w:rPr>
                <w:rFonts w:ascii="Arial" w:hAnsi="Arial" w:cs="Arial"/>
                <w:b/>
                <w:bCs/>
                <w:color w:val="000000"/>
                <w:lang w:val="en-IN"/>
              </w:rPr>
            </w:pPr>
          </w:p>
        </w:tc>
      </w:tr>
      <w:tr w:rsidR="005F6C2F" w:rsidRPr="005F6C2F" w14:paraId="383C4CCE" w14:textId="77777777" w:rsidTr="005F6C2F">
        <w:trPr>
          <w:trHeight w:val="312"/>
          <w:jc w:val="center"/>
        </w:trPr>
        <w:tc>
          <w:tcPr>
            <w:tcW w:w="451" w:type="pct"/>
            <w:tcBorders>
              <w:top w:val="nil"/>
              <w:left w:val="single" w:sz="4" w:space="0" w:color="auto"/>
              <w:bottom w:val="nil"/>
              <w:right w:val="nil"/>
            </w:tcBorders>
            <w:noWrap/>
            <w:vAlign w:val="bottom"/>
            <w:hideMark/>
          </w:tcPr>
          <w:p w14:paraId="1FEF00CC" w14:textId="77777777" w:rsidR="005F6C2F" w:rsidRPr="005F6C2F" w:rsidRDefault="005F6C2F" w:rsidP="005F6C2F">
            <w:pPr>
              <w:spacing w:before="0" w:after="0" w:line="240" w:lineRule="auto"/>
              <w:jc w:val="left"/>
              <w:rPr>
                <w:sz w:val="20"/>
                <w:szCs w:val="20"/>
                <w:lang w:val="en-IN"/>
              </w:rPr>
            </w:pPr>
          </w:p>
        </w:tc>
        <w:tc>
          <w:tcPr>
            <w:tcW w:w="981" w:type="pct"/>
            <w:tcBorders>
              <w:top w:val="nil"/>
              <w:left w:val="nil"/>
              <w:bottom w:val="nil"/>
              <w:right w:val="nil"/>
            </w:tcBorders>
            <w:noWrap/>
            <w:vAlign w:val="bottom"/>
            <w:hideMark/>
          </w:tcPr>
          <w:p w14:paraId="2EFE5805" w14:textId="77777777" w:rsidR="005F6C2F" w:rsidRPr="005F6C2F" w:rsidRDefault="005F6C2F" w:rsidP="005F6C2F">
            <w:pPr>
              <w:spacing w:before="0" w:after="0" w:line="240" w:lineRule="auto"/>
              <w:jc w:val="left"/>
              <w:rPr>
                <w:sz w:val="20"/>
                <w:szCs w:val="20"/>
                <w:lang w:val="en-IN"/>
              </w:rPr>
            </w:pPr>
          </w:p>
        </w:tc>
        <w:tc>
          <w:tcPr>
            <w:tcW w:w="1242" w:type="pct"/>
            <w:tcBorders>
              <w:top w:val="nil"/>
              <w:left w:val="nil"/>
              <w:bottom w:val="nil"/>
              <w:right w:val="nil"/>
            </w:tcBorders>
            <w:noWrap/>
            <w:vAlign w:val="bottom"/>
            <w:hideMark/>
          </w:tcPr>
          <w:p w14:paraId="6E837D59" w14:textId="77777777" w:rsidR="005F6C2F" w:rsidRPr="005F6C2F" w:rsidRDefault="005F6C2F" w:rsidP="005F6C2F">
            <w:pPr>
              <w:spacing w:before="0" w:after="0" w:line="240" w:lineRule="auto"/>
              <w:jc w:val="left"/>
              <w:rPr>
                <w:sz w:val="20"/>
                <w:szCs w:val="20"/>
                <w:lang w:val="en-IN"/>
              </w:rPr>
            </w:pPr>
          </w:p>
        </w:tc>
        <w:tc>
          <w:tcPr>
            <w:tcW w:w="1411" w:type="pct"/>
            <w:tcBorders>
              <w:top w:val="nil"/>
              <w:left w:val="nil"/>
              <w:bottom w:val="nil"/>
              <w:right w:val="nil"/>
            </w:tcBorders>
            <w:noWrap/>
            <w:vAlign w:val="bottom"/>
            <w:hideMark/>
          </w:tcPr>
          <w:p w14:paraId="456CAEC0" w14:textId="77777777" w:rsidR="005F6C2F" w:rsidRPr="005F6C2F" w:rsidRDefault="005F6C2F" w:rsidP="005F6C2F">
            <w:pPr>
              <w:spacing w:before="0" w:after="0" w:line="240" w:lineRule="auto"/>
              <w:jc w:val="left"/>
              <w:rPr>
                <w:sz w:val="20"/>
                <w:szCs w:val="20"/>
                <w:lang w:val="en-IN"/>
              </w:rPr>
            </w:pPr>
          </w:p>
        </w:tc>
        <w:tc>
          <w:tcPr>
            <w:tcW w:w="915" w:type="pct"/>
            <w:tcBorders>
              <w:top w:val="nil"/>
              <w:left w:val="nil"/>
              <w:bottom w:val="nil"/>
              <w:right w:val="single" w:sz="4" w:space="0" w:color="auto"/>
            </w:tcBorders>
            <w:noWrap/>
            <w:vAlign w:val="bottom"/>
            <w:hideMark/>
          </w:tcPr>
          <w:p w14:paraId="7578D97B" w14:textId="77777777" w:rsidR="005F6C2F" w:rsidRPr="005F6C2F" w:rsidRDefault="005F6C2F" w:rsidP="005F6C2F">
            <w:pPr>
              <w:spacing w:before="0" w:after="0" w:line="240" w:lineRule="auto"/>
              <w:jc w:val="left"/>
              <w:rPr>
                <w:sz w:val="20"/>
                <w:szCs w:val="20"/>
                <w:lang w:val="en-IN"/>
              </w:rPr>
            </w:pPr>
          </w:p>
        </w:tc>
      </w:tr>
      <w:tr w:rsidR="005F6C2F" w:rsidRPr="005F6C2F" w14:paraId="17D79D84" w14:textId="77777777" w:rsidTr="005F6C2F">
        <w:trPr>
          <w:trHeight w:val="624"/>
          <w:jc w:val="center"/>
        </w:trPr>
        <w:tc>
          <w:tcPr>
            <w:tcW w:w="451" w:type="pct"/>
            <w:tcBorders>
              <w:top w:val="single" w:sz="4" w:space="0" w:color="000000"/>
              <w:left w:val="single" w:sz="4" w:space="0" w:color="auto"/>
              <w:bottom w:val="single" w:sz="4" w:space="0" w:color="000000"/>
              <w:right w:val="single" w:sz="4" w:space="0" w:color="000000"/>
            </w:tcBorders>
            <w:vAlign w:val="center"/>
            <w:hideMark/>
          </w:tcPr>
          <w:p w14:paraId="7C5B3DE5"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"Year"</w:t>
            </w:r>
          </w:p>
        </w:tc>
        <w:tc>
          <w:tcPr>
            <w:tcW w:w="981" w:type="pct"/>
            <w:tcBorders>
              <w:top w:val="single" w:sz="4" w:space="0" w:color="000000"/>
              <w:left w:val="nil"/>
              <w:bottom w:val="single" w:sz="4" w:space="0" w:color="000000"/>
              <w:right w:val="single" w:sz="4" w:space="0" w:color="000000"/>
            </w:tcBorders>
            <w:vAlign w:val="center"/>
            <w:hideMark/>
          </w:tcPr>
          <w:p w14:paraId="536269D5"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"Cash Flow"</w:t>
            </w:r>
          </w:p>
        </w:tc>
        <w:tc>
          <w:tcPr>
            <w:tcW w:w="1242" w:type="pct"/>
            <w:tcBorders>
              <w:top w:val="single" w:sz="4" w:space="0" w:color="000000"/>
              <w:left w:val="nil"/>
              <w:bottom w:val="single" w:sz="4" w:space="0" w:color="000000"/>
              <w:right w:val="single" w:sz="4" w:space="0" w:color="000000"/>
            </w:tcBorders>
            <w:vAlign w:val="center"/>
            <w:hideMark/>
          </w:tcPr>
          <w:p w14:paraId="01830319"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"Discounting Factor @10%"</w:t>
            </w:r>
          </w:p>
        </w:tc>
        <w:tc>
          <w:tcPr>
            <w:tcW w:w="1411" w:type="pct"/>
            <w:tcBorders>
              <w:top w:val="single" w:sz="4" w:space="0" w:color="000000"/>
              <w:left w:val="nil"/>
              <w:bottom w:val="single" w:sz="4" w:space="0" w:color="000000"/>
              <w:right w:val="single" w:sz="4" w:space="0" w:color="000000"/>
            </w:tcBorders>
            <w:vAlign w:val="center"/>
            <w:hideMark/>
          </w:tcPr>
          <w:p w14:paraId="1A1A8D15"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"Present Value"</w:t>
            </w:r>
          </w:p>
        </w:tc>
        <w:tc>
          <w:tcPr>
            <w:tcW w:w="915" w:type="pct"/>
            <w:tcBorders>
              <w:top w:val="single" w:sz="4" w:space="0" w:color="000000"/>
              <w:left w:val="nil"/>
              <w:bottom w:val="single" w:sz="4" w:space="0" w:color="000000"/>
              <w:right w:val="single" w:sz="4" w:space="0" w:color="auto"/>
            </w:tcBorders>
            <w:vAlign w:val="center"/>
            <w:hideMark/>
          </w:tcPr>
          <w:p w14:paraId="07A31E8C" w14:textId="77777777" w:rsidR="005F6C2F" w:rsidRPr="005F6C2F" w:rsidRDefault="005F6C2F" w:rsidP="005F6C2F">
            <w:pPr>
              <w:spacing w:before="0" w:after="0" w:line="240" w:lineRule="auto"/>
              <w:jc w:val="left"/>
              <w:rPr>
                <w:rFonts w:ascii="Arial" w:hAnsi="Arial" w:cs="Arial"/>
                <w:b/>
                <w:bCs/>
                <w:color w:val="000000"/>
                <w:lang w:val="en-IN"/>
              </w:rPr>
            </w:pPr>
            <w:r w:rsidRPr="005F6C2F">
              <w:rPr>
                <w:rFonts w:ascii="Arial" w:hAnsi="Arial" w:cs="Arial"/>
                <w:b/>
                <w:bCs/>
                <w:color w:val="000000"/>
                <w:lang w:val="en-IN"/>
              </w:rPr>
              <w:t>Cumulative</w:t>
            </w:r>
          </w:p>
        </w:tc>
      </w:tr>
      <w:tr w:rsidR="005F6C2F" w:rsidRPr="005F6C2F" w14:paraId="64DC2F76" w14:textId="77777777" w:rsidTr="005F6C2F">
        <w:trPr>
          <w:trHeight w:val="312"/>
          <w:jc w:val="center"/>
        </w:trPr>
        <w:tc>
          <w:tcPr>
            <w:tcW w:w="451" w:type="pct"/>
            <w:tcBorders>
              <w:top w:val="nil"/>
              <w:left w:val="single" w:sz="4" w:space="0" w:color="auto"/>
              <w:bottom w:val="single" w:sz="4" w:space="0" w:color="000000"/>
              <w:right w:val="single" w:sz="4" w:space="0" w:color="000000"/>
            </w:tcBorders>
            <w:noWrap/>
            <w:vAlign w:val="bottom"/>
            <w:hideMark/>
          </w:tcPr>
          <w:p w14:paraId="45C29912"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w:t>
            </w:r>
          </w:p>
        </w:tc>
        <w:tc>
          <w:tcPr>
            <w:tcW w:w="981" w:type="pct"/>
            <w:tcBorders>
              <w:top w:val="nil"/>
              <w:left w:val="nil"/>
              <w:bottom w:val="single" w:sz="4" w:space="0" w:color="000000"/>
              <w:right w:val="single" w:sz="4" w:space="0" w:color="000000"/>
            </w:tcBorders>
            <w:noWrap/>
            <w:vAlign w:val="bottom"/>
            <w:hideMark/>
          </w:tcPr>
          <w:p w14:paraId="55772E01"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1242" w:type="pct"/>
            <w:tcBorders>
              <w:top w:val="nil"/>
              <w:left w:val="nil"/>
              <w:bottom w:val="single" w:sz="4" w:space="0" w:color="000000"/>
              <w:right w:val="single" w:sz="4" w:space="0" w:color="000000"/>
            </w:tcBorders>
            <w:noWrap/>
            <w:vAlign w:val="bottom"/>
            <w:hideMark/>
          </w:tcPr>
          <w:p w14:paraId="582CB215"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1.000</w:t>
            </w:r>
          </w:p>
        </w:tc>
        <w:tc>
          <w:tcPr>
            <w:tcW w:w="1411" w:type="pct"/>
            <w:tcBorders>
              <w:top w:val="nil"/>
              <w:left w:val="nil"/>
              <w:bottom w:val="single" w:sz="4" w:space="0" w:color="000000"/>
              <w:right w:val="single" w:sz="4" w:space="0" w:color="000000"/>
            </w:tcBorders>
            <w:noWrap/>
            <w:vAlign w:val="bottom"/>
            <w:hideMark/>
          </w:tcPr>
          <w:p w14:paraId="45B8A1AD"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915" w:type="pct"/>
            <w:tcBorders>
              <w:top w:val="nil"/>
              <w:left w:val="nil"/>
              <w:bottom w:val="single" w:sz="4" w:space="0" w:color="000000"/>
              <w:right w:val="single" w:sz="4" w:space="0" w:color="auto"/>
            </w:tcBorders>
            <w:noWrap/>
            <w:vAlign w:val="bottom"/>
            <w:hideMark/>
          </w:tcPr>
          <w:p w14:paraId="571F3FB7" w14:textId="77777777" w:rsidR="005F6C2F" w:rsidRPr="005F6C2F" w:rsidRDefault="005F6C2F" w:rsidP="005F6C2F">
            <w:pPr>
              <w:spacing w:before="0" w:after="0" w:line="240" w:lineRule="auto"/>
              <w:jc w:val="left"/>
              <w:rPr>
                <w:rFonts w:ascii="Arial" w:hAnsi="Arial" w:cs="Arial"/>
                <w:color w:val="000000"/>
                <w:lang w:val="en-IN"/>
              </w:rPr>
            </w:pPr>
            <w:r w:rsidRPr="005F6C2F">
              <w:rPr>
                <w:rFonts w:ascii="Arial" w:hAnsi="Arial" w:cs="Arial"/>
                <w:color w:val="000000"/>
                <w:lang w:val="en-IN"/>
              </w:rPr>
              <w:t xml:space="preserve">-£             50.00 </w:t>
            </w:r>
          </w:p>
        </w:tc>
      </w:tr>
      <w:tr w:rsidR="005F6C2F" w:rsidRPr="005F6C2F" w14:paraId="26718E20" w14:textId="77777777" w:rsidTr="005F6C2F">
        <w:trPr>
          <w:trHeight w:val="312"/>
          <w:jc w:val="center"/>
        </w:trPr>
        <w:tc>
          <w:tcPr>
            <w:tcW w:w="451" w:type="pct"/>
            <w:tcBorders>
              <w:top w:val="nil"/>
              <w:left w:val="single" w:sz="4" w:space="0" w:color="auto"/>
              <w:bottom w:val="single" w:sz="4" w:space="0" w:color="000000"/>
              <w:right w:val="single" w:sz="4" w:space="0" w:color="000000"/>
            </w:tcBorders>
            <w:noWrap/>
            <w:vAlign w:val="bottom"/>
            <w:hideMark/>
          </w:tcPr>
          <w:p w14:paraId="6E15B5DB"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1</w:t>
            </w:r>
          </w:p>
        </w:tc>
        <w:tc>
          <w:tcPr>
            <w:tcW w:w="981" w:type="pct"/>
            <w:tcBorders>
              <w:top w:val="nil"/>
              <w:left w:val="nil"/>
              <w:bottom w:val="single" w:sz="4" w:space="0" w:color="000000"/>
              <w:right w:val="single" w:sz="4" w:space="0" w:color="000000"/>
            </w:tcBorders>
            <w:noWrap/>
            <w:vAlign w:val="bottom"/>
            <w:hideMark/>
          </w:tcPr>
          <w:p w14:paraId="51EE734A"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11.00 </w:t>
            </w:r>
          </w:p>
        </w:tc>
        <w:tc>
          <w:tcPr>
            <w:tcW w:w="1242" w:type="pct"/>
            <w:tcBorders>
              <w:top w:val="nil"/>
              <w:left w:val="nil"/>
              <w:bottom w:val="single" w:sz="4" w:space="0" w:color="000000"/>
              <w:right w:val="single" w:sz="4" w:space="0" w:color="000000"/>
            </w:tcBorders>
            <w:noWrap/>
            <w:vAlign w:val="bottom"/>
            <w:hideMark/>
          </w:tcPr>
          <w:p w14:paraId="43C9CAE7"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0.909</w:t>
            </w:r>
          </w:p>
        </w:tc>
        <w:tc>
          <w:tcPr>
            <w:tcW w:w="1411" w:type="pct"/>
            <w:tcBorders>
              <w:top w:val="nil"/>
              <w:left w:val="nil"/>
              <w:bottom w:val="single" w:sz="4" w:space="0" w:color="000000"/>
              <w:right w:val="single" w:sz="4" w:space="0" w:color="000000"/>
            </w:tcBorders>
            <w:noWrap/>
            <w:vAlign w:val="bottom"/>
            <w:hideMark/>
          </w:tcPr>
          <w:p w14:paraId="2F79E4C6"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10.00 </w:t>
            </w:r>
          </w:p>
        </w:tc>
        <w:tc>
          <w:tcPr>
            <w:tcW w:w="915" w:type="pct"/>
            <w:tcBorders>
              <w:top w:val="nil"/>
              <w:left w:val="nil"/>
              <w:bottom w:val="single" w:sz="4" w:space="0" w:color="000000"/>
              <w:right w:val="single" w:sz="4" w:space="0" w:color="auto"/>
            </w:tcBorders>
            <w:noWrap/>
            <w:vAlign w:val="bottom"/>
            <w:hideMark/>
          </w:tcPr>
          <w:p w14:paraId="724A4622" w14:textId="77777777" w:rsidR="005F6C2F" w:rsidRPr="005F6C2F" w:rsidRDefault="005F6C2F" w:rsidP="005F6C2F">
            <w:pPr>
              <w:spacing w:before="0" w:after="0" w:line="240" w:lineRule="auto"/>
              <w:jc w:val="left"/>
              <w:rPr>
                <w:rFonts w:ascii="Arial" w:hAnsi="Arial" w:cs="Arial"/>
                <w:color w:val="000000"/>
                <w:lang w:val="en-IN"/>
              </w:rPr>
            </w:pPr>
            <w:r w:rsidRPr="005F6C2F">
              <w:rPr>
                <w:rFonts w:ascii="Arial" w:hAnsi="Arial" w:cs="Arial"/>
                <w:color w:val="000000"/>
                <w:lang w:val="en-IN"/>
              </w:rPr>
              <w:t xml:space="preserve">-£             40.00 </w:t>
            </w:r>
          </w:p>
        </w:tc>
      </w:tr>
      <w:tr w:rsidR="005F6C2F" w:rsidRPr="005F6C2F" w14:paraId="5184384E" w14:textId="77777777" w:rsidTr="005F6C2F">
        <w:trPr>
          <w:trHeight w:val="312"/>
          <w:jc w:val="center"/>
        </w:trPr>
        <w:tc>
          <w:tcPr>
            <w:tcW w:w="451" w:type="pct"/>
            <w:tcBorders>
              <w:top w:val="nil"/>
              <w:left w:val="single" w:sz="4" w:space="0" w:color="auto"/>
              <w:bottom w:val="single" w:sz="4" w:space="0" w:color="000000"/>
              <w:right w:val="single" w:sz="4" w:space="0" w:color="000000"/>
            </w:tcBorders>
            <w:noWrap/>
            <w:vAlign w:val="bottom"/>
            <w:hideMark/>
          </w:tcPr>
          <w:p w14:paraId="6D661A32"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2</w:t>
            </w:r>
          </w:p>
        </w:tc>
        <w:tc>
          <w:tcPr>
            <w:tcW w:w="981" w:type="pct"/>
            <w:tcBorders>
              <w:top w:val="nil"/>
              <w:left w:val="nil"/>
              <w:bottom w:val="single" w:sz="4" w:space="0" w:color="000000"/>
              <w:right w:val="single" w:sz="4" w:space="0" w:color="000000"/>
            </w:tcBorders>
            <w:noWrap/>
            <w:vAlign w:val="bottom"/>
            <w:hideMark/>
          </w:tcPr>
          <w:p w14:paraId="0107CF54"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11.00 </w:t>
            </w:r>
          </w:p>
        </w:tc>
        <w:tc>
          <w:tcPr>
            <w:tcW w:w="1242" w:type="pct"/>
            <w:tcBorders>
              <w:top w:val="nil"/>
              <w:left w:val="nil"/>
              <w:bottom w:val="single" w:sz="4" w:space="0" w:color="000000"/>
              <w:right w:val="single" w:sz="4" w:space="0" w:color="000000"/>
            </w:tcBorders>
            <w:noWrap/>
            <w:vAlign w:val="bottom"/>
            <w:hideMark/>
          </w:tcPr>
          <w:p w14:paraId="23A97101"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0.826</w:t>
            </w:r>
          </w:p>
        </w:tc>
        <w:tc>
          <w:tcPr>
            <w:tcW w:w="1411" w:type="pct"/>
            <w:tcBorders>
              <w:top w:val="nil"/>
              <w:left w:val="nil"/>
              <w:bottom w:val="single" w:sz="4" w:space="0" w:color="000000"/>
              <w:right w:val="single" w:sz="4" w:space="0" w:color="000000"/>
            </w:tcBorders>
            <w:noWrap/>
            <w:vAlign w:val="bottom"/>
            <w:hideMark/>
          </w:tcPr>
          <w:p w14:paraId="366102A4"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9.09 </w:t>
            </w:r>
          </w:p>
        </w:tc>
        <w:tc>
          <w:tcPr>
            <w:tcW w:w="915" w:type="pct"/>
            <w:tcBorders>
              <w:top w:val="nil"/>
              <w:left w:val="nil"/>
              <w:bottom w:val="single" w:sz="4" w:space="0" w:color="000000"/>
              <w:right w:val="single" w:sz="4" w:space="0" w:color="auto"/>
            </w:tcBorders>
            <w:noWrap/>
            <w:vAlign w:val="bottom"/>
            <w:hideMark/>
          </w:tcPr>
          <w:p w14:paraId="42AF134D" w14:textId="77777777" w:rsidR="005F6C2F" w:rsidRPr="005F6C2F" w:rsidRDefault="005F6C2F" w:rsidP="005F6C2F">
            <w:pPr>
              <w:spacing w:before="0" w:after="0" w:line="240" w:lineRule="auto"/>
              <w:jc w:val="left"/>
              <w:rPr>
                <w:rFonts w:ascii="Arial" w:hAnsi="Arial" w:cs="Arial"/>
                <w:color w:val="000000"/>
                <w:lang w:val="en-IN"/>
              </w:rPr>
            </w:pPr>
            <w:r w:rsidRPr="005F6C2F">
              <w:rPr>
                <w:rFonts w:ascii="Arial" w:hAnsi="Arial" w:cs="Arial"/>
                <w:color w:val="000000"/>
                <w:lang w:val="en-IN"/>
              </w:rPr>
              <w:t xml:space="preserve">-£             30.91 </w:t>
            </w:r>
          </w:p>
        </w:tc>
      </w:tr>
      <w:tr w:rsidR="005F6C2F" w:rsidRPr="005F6C2F" w14:paraId="69D8714C" w14:textId="77777777" w:rsidTr="005F6C2F">
        <w:trPr>
          <w:trHeight w:val="312"/>
          <w:jc w:val="center"/>
        </w:trPr>
        <w:tc>
          <w:tcPr>
            <w:tcW w:w="451" w:type="pct"/>
            <w:tcBorders>
              <w:top w:val="nil"/>
              <w:left w:val="single" w:sz="4" w:space="0" w:color="auto"/>
              <w:bottom w:val="single" w:sz="4" w:space="0" w:color="000000"/>
              <w:right w:val="single" w:sz="4" w:space="0" w:color="000000"/>
            </w:tcBorders>
            <w:noWrap/>
            <w:vAlign w:val="bottom"/>
            <w:hideMark/>
          </w:tcPr>
          <w:p w14:paraId="5870DF2D"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3</w:t>
            </w:r>
          </w:p>
        </w:tc>
        <w:tc>
          <w:tcPr>
            <w:tcW w:w="981" w:type="pct"/>
            <w:tcBorders>
              <w:top w:val="nil"/>
              <w:left w:val="nil"/>
              <w:bottom w:val="single" w:sz="4" w:space="0" w:color="000000"/>
              <w:right w:val="single" w:sz="4" w:space="0" w:color="000000"/>
            </w:tcBorders>
            <w:noWrap/>
            <w:vAlign w:val="bottom"/>
            <w:hideMark/>
          </w:tcPr>
          <w:p w14:paraId="7D2EAF30"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11.00 </w:t>
            </w:r>
          </w:p>
        </w:tc>
        <w:tc>
          <w:tcPr>
            <w:tcW w:w="1242" w:type="pct"/>
            <w:tcBorders>
              <w:top w:val="nil"/>
              <w:left w:val="nil"/>
              <w:bottom w:val="single" w:sz="4" w:space="0" w:color="000000"/>
              <w:right w:val="single" w:sz="4" w:space="0" w:color="000000"/>
            </w:tcBorders>
            <w:noWrap/>
            <w:vAlign w:val="bottom"/>
            <w:hideMark/>
          </w:tcPr>
          <w:p w14:paraId="0303CF95"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0.751</w:t>
            </w:r>
          </w:p>
        </w:tc>
        <w:tc>
          <w:tcPr>
            <w:tcW w:w="1411" w:type="pct"/>
            <w:tcBorders>
              <w:top w:val="nil"/>
              <w:left w:val="nil"/>
              <w:bottom w:val="single" w:sz="4" w:space="0" w:color="000000"/>
              <w:right w:val="single" w:sz="4" w:space="0" w:color="000000"/>
            </w:tcBorders>
            <w:noWrap/>
            <w:vAlign w:val="bottom"/>
            <w:hideMark/>
          </w:tcPr>
          <w:p w14:paraId="443F4672"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8.26 </w:t>
            </w:r>
          </w:p>
        </w:tc>
        <w:tc>
          <w:tcPr>
            <w:tcW w:w="915" w:type="pct"/>
            <w:tcBorders>
              <w:top w:val="nil"/>
              <w:left w:val="nil"/>
              <w:bottom w:val="single" w:sz="4" w:space="0" w:color="000000"/>
              <w:right w:val="single" w:sz="4" w:space="0" w:color="auto"/>
            </w:tcBorders>
            <w:noWrap/>
            <w:vAlign w:val="bottom"/>
            <w:hideMark/>
          </w:tcPr>
          <w:p w14:paraId="4A7E498D" w14:textId="77777777" w:rsidR="005F6C2F" w:rsidRPr="005F6C2F" w:rsidRDefault="005F6C2F" w:rsidP="005F6C2F">
            <w:pPr>
              <w:spacing w:before="0" w:after="0" w:line="240" w:lineRule="auto"/>
              <w:jc w:val="left"/>
              <w:rPr>
                <w:rFonts w:ascii="Arial" w:hAnsi="Arial" w:cs="Arial"/>
                <w:color w:val="000000"/>
                <w:lang w:val="en-IN"/>
              </w:rPr>
            </w:pPr>
            <w:r w:rsidRPr="005F6C2F">
              <w:rPr>
                <w:rFonts w:ascii="Arial" w:hAnsi="Arial" w:cs="Arial"/>
                <w:color w:val="000000"/>
                <w:lang w:val="en-IN"/>
              </w:rPr>
              <w:t xml:space="preserve">-£             22.64 </w:t>
            </w:r>
          </w:p>
        </w:tc>
      </w:tr>
      <w:tr w:rsidR="005F6C2F" w:rsidRPr="005F6C2F" w14:paraId="7B5CAB60" w14:textId="77777777" w:rsidTr="005F6C2F">
        <w:trPr>
          <w:trHeight w:val="312"/>
          <w:jc w:val="center"/>
        </w:trPr>
        <w:tc>
          <w:tcPr>
            <w:tcW w:w="451" w:type="pct"/>
            <w:tcBorders>
              <w:top w:val="nil"/>
              <w:left w:val="single" w:sz="4" w:space="0" w:color="auto"/>
              <w:bottom w:val="single" w:sz="4" w:space="0" w:color="000000"/>
              <w:right w:val="single" w:sz="4" w:space="0" w:color="000000"/>
            </w:tcBorders>
            <w:noWrap/>
            <w:vAlign w:val="bottom"/>
            <w:hideMark/>
          </w:tcPr>
          <w:p w14:paraId="2F7F70F6"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4</w:t>
            </w:r>
          </w:p>
        </w:tc>
        <w:tc>
          <w:tcPr>
            <w:tcW w:w="981" w:type="pct"/>
            <w:tcBorders>
              <w:top w:val="nil"/>
              <w:left w:val="nil"/>
              <w:bottom w:val="single" w:sz="4" w:space="0" w:color="000000"/>
              <w:right w:val="single" w:sz="4" w:space="0" w:color="000000"/>
            </w:tcBorders>
            <w:noWrap/>
            <w:vAlign w:val="bottom"/>
            <w:hideMark/>
          </w:tcPr>
          <w:p w14:paraId="471D6CFA"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11.00 </w:t>
            </w:r>
          </w:p>
        </w:tc>
        <w:tc>
          <w:tcPr>
            <w:tcW w:w="1242" w:type="pct"/>
            <w:tcBorders>
              <w:top w:val="nil"/>
              <w:left w:val="nil"/>
              <w:bottom w:val="single" w:sz="4" w:space="0" w:color="000000"/>
              <w:right w:val="single" w:sz="4" w:space="0" w:color="000000"/>
            </w:tcBorders>
            <w:noWrap/>
            <w:vAlign w:val="bottom"/>
            <w:hideMark/>
          </w:tcPr>
          <w:p w14:paraId="4EEA83F8"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0.683</w:t>
            </w:r>
          </w:p>
        </w:tc>
        <w:tc>
          <w:tcPr>
            <w:tcW w:w="1411" w:type="pct"/>
            <w:tcBorders>
              <w:top w:val="nil"/>
              <w:left w:val="nil"/>
              <w:bottom w:val="single" w:sz="4" w:space="0" w:color="000000"/>
              <w:right w:val="single" w:sz="4" w:space="0" w:color="000000"/>
            </w:tcBorders>
            <w:noWrap/>
            <w:vAlign w:val="bottom"/>
            <w:hideMark/>
          </w:tcPr>
          <w:p w14:paraId="15D59012"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7.51 </w:t>
            </w:r>
          </w:p>
        </w:tc>
        <w:tc>
          <w:tcPr>
            <w:tcW w:w="915" w:type="pct"/>
            <w:tcBorders>
              <w:top w:val="nil"/>
              <w:left w:val="nil"/>
              <w:bottom w:val="single" w:sz="4" w:space="0" w:color="000000"/>
              <w:right w:val="single" w:sz="4" w:space="0" w:color="auto"/>
            </w:tcBorders>
            <w:noWrap/>
            <w:vAlign w:val="bottom"/>
            <w:hideMark/>
          </w:tcPr>
          <w:p w14:paraId="3D04C740" w14:textId="77777777" w:rsidR="005F6C2F" w:rsidRPr="005F6C2F" w:rsidRDefault="005F6C2F" w:rsidP="005F6C2F">
            <w:pPr>
              <w:spacing w:before="0" w:after="0" w:line="240" w:lineRule="auto"/>
              <w:jc w:val="left"/>
              <w:rPr>
                <w:rFonts w:ascii="Arial" w:hAnsi="Arial" w:cs="Arial"/>
                <w:color w:val="000000"/>
                <w:lang w:val="en-IN"/>
              </w:rPr>
            </w:pPr>
            <w:r w:rsidRPr="005F6C2F">
              <w:rPr>
                <w:rFonts w:ascii="Arial" w:hAnsi="Arial" w:cs="Arial"/>
                <w:color w:val="000000"/>
                <w:lang w:val="en-IN"/>
              </w:rPr>
              <w:t xml:space="preserve">-£             15.13 </w:t>
            </w:r>
          </w:p>
        </w:tc>
      </w:tr>
      <w:tr w:rsidR="005F6C2F" w:rsidRPr="005F6C2F" w14:paraId="6C376B49" w14:textId="77777777" w:rsidTr="005F6C2F">
        <w:trPr>
          <w:trHeight w:val="312"/>
          <w:jc w:val="center"/>
        </w:trPr>
        <w:tc>
          <w:tcPr>
            <w:tcW w:w="451" w:type="pct"/>
            <w:tcBorders>
              <w:top w:val="nil"/>
              <w:left w:val="single" w:sz="4" w:space="0" w:color="auto"/>
              <w:bottom w:val="single" w:sz="4" w:space="0" w:color="000000"/>
              <w:right w:val="single" w:sz="4" w:space="0" w:color="000000"/>
            </w:tcBorders>
            <w:noWrap/>
            <w:vAlign w:val="bottom"/>
            <w:hideMark/>
          </w:tcPr>
          <w:p w14:paraId="2D278CDE"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5</w:t>
            </w:r>
          </w:p>
        </w:tc>
        <w:tc>
          <w:tcPr>
            <w:tcW w:w="981" w:type="pct"/>
            <w:tcBorders>
              <w:top w:val="nil"/>
              <w:left w:val="nil"/>
              <w:bottom w:val="single" w:sz="4" w:space="0" w:color="000000"/>
              <w:right w:val="single" w:sz="4" w:space="0" w:color="000000"/>
            </w:tcBorders>
            <w:noWrap/>
            <w:vAlign w:val="bottom"/>
            <w:hideMark/>
          </w:tcPr>
          <w:p w14:paraId="6153F863"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11.00 </w:t>
            </w:r>
          </w:p>
        </w:tc>
        <w:tc>
          <w:tcPr>
            <w:tcW w:w="1242" w:type="pct"/>
            <w:tcBorders>
              <w:top w:val="nil"/>
              <w:left w:val="nil"/>
              <w:bottom w:val="single" w:sz="4" w:space="0" w:color="000000"/>
              <w:right w:val="single" w:sz="4" w:space="0" w:color="000000"/>
            </w:tcBorders>
            <w:noWrap/>
            <w:vAlign w:val="bottom"/>
            <w:hideMark/>
          </w:tcPr>
          <w:p w14:paraId="6D6CE2B3"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0.621</w:t>
            </w:r>
          </w:p>
        </w:tc>
        <w:tc>
          <w:tcPr>
            <w:tcW w:w="1411" w:type="pct"/>
            <w:tcBorders>
              <w:top w:val="nil"/>
              <w:left w:val="nil"/>
              <w:bottom w:val="single" w:sz="4" w:space="0" w:color="000000"/>
              <w:right w:val="single" w:sz="4" w:space="0" w:color="000000"/>
            </w:tcBorders>
            <w:noWrap/>
            <w:vAlign w:val="bottom"/>
            <w:hideMark/>
          </w:tcPr>
          <w:p w14:paraId="0541ED15"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6.83 </w:t>
            </w:r>
          </w:p>
        </w:tc>
        <w:tc>
          <w:tcPr>
            <w:tcW w:w="915" w:type="pct"/>
            <w:tcBorders>
              <w:top w:val="nil"/>
              <w:left w:val="nil"/>
              <w:bottom w:val="single" w:sz="4" w:space="0" w:color="000000"/>
              <w:right w:val="single" w:sz="4" w:space="0" w:color="auto"/>
            </w:tcBorders>
            <w:noWrap/>
            <w:vAlign w:val="bottom"/>
            <w:hideMark/>
          </w:tcPr>
          <w:p w14:paraId="4D310270" w14:textId="77777777" w:rsidR="005F6C2F" w:rsidRPr="005F6C2F" w:rsidRDefault="005F6C2F" w:rsidP="005F6C2F">
            <w:pPr>
              <w:spacing w:before="0" w:after="0" w:line="240" w:lineRule="auto"/>
              <w:jc w:val="left"/>
              <w:rPr>
                <w:rFonts w:ascii="Arial" w:hAnsi="Arial" w:cs="Arial"/>
                <w:color w:val="000000"/>
                <w:lang w:val="en-IN"/>
              </w:rPr>
            </w:pPr>
            <w:r w:rsidRPr="005F6C2F">
              <w:rPr>
                <w:rFonts w:ascii="Arial" w:hAnsi="Arial" w:cs="Arial"/>
                <w:color w:val="000000"/>
                <w:lang w:val="en-IN"/>
              </w:rPr>
              <w:t xml:space="preserve">-£               8.30 </w:t>
            </w:r>
          </w:p>
        </w:tc>
      </w:tr>
      <w:tr w:rsidR="005F6C2F" w:rsidRPr="005F6C2F" w14:paraId="548D1A0D" w14:textId="77777777" w:rsidTr="005F6C2F">
        <w:trPr>
          <w:trHeight w:val="312"/>
          <w:jc w:val="center"/>
        </w:trPr>
        <w:tc>
          <w:tcPr>
            <w:tcW w:w="4085" w:type="pct"/>
            <w:gridSpan w:val="4"/>
            <w:tcBorders>
              <w:top w:val="single" w:sz="4" w:space="0" w:color="000000"/>
              <w:left w:val="single" w:sz="4" w:space="0" w:color="auto"/>
              <w:bottom w:val="single" w:sz="4" w:space="0" w:color="000000"/>
              <w:right w:val="single" w:sz="4" w:space="0" w:color="000000"/>
            </w:tcBorders>
            <w:vAlign w:val="center"/>
            <w:hideMark/>
          </w:tcPr>
          <w:p w14:paraId="251BBF3D"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"Payback Period (PBP) of Project B"</w:t>
            </w:r>
          </w:p>
        </w:tc>
        <w:tc>
          <w:tcPr>
            <w:tcW w:w="915" w:type="pct"/>
            <w:tcBorders>
              <w:top w:val="nil"/>
              <w:left w:val="nil"/>
              <w:bottom w:val="single" w:sz="4" w:space="0" w:color="000000"/>
              <w:right w:val="single" w:sz="4" w:space="0" w:color="auto"/>
            </w:tcBorders>
            <w:vAlign w:val="center"/>
            <w:hideMark/>
          </w:tcPr>
          <w:p w14:paraId="34845A68"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Not Recovered</w:t>
            </w:r>
          </w:p>
        </w:tc>
      </w:tr>
      <w:tr w:rsidR="005F6C2F" w:rsidRPr="005F6C2F" w14:paraId="3557B12C" w14:textId="77777777" w:rsidTr="005F6C2F">
        <w:trPr>
          <w:trHeight w:val="312"/>
          <w:jc w:val="center"/>
        </w:trPr>
        <w:tc>
          <w:tcPr>
            <w:tcW w:w="451" w:type="pct"/>
            <w:tcBorders>
              <w:top w:val="nil"/>
              <w:left w:val="single" w:sz="4" w:space="0" w:color="auto"/>
              <w:bottom w:val="nil"/>
              <w:right w:val="nil"/>
            </w:tcBorders>
            <w:noWrap/>
            <w:vAlign w:val="bottom"/>
            <w:hideMark/>
          </w:tcPr>
          <w:p w14:paraId="442D4F7F" w14:textId="77777777" w:rsidR="005F6C2F" w:rsidRPr="005F6C2F" w:rsidRDefault="005F6C2F" w:rsidP="005F6C2F">
            <w:pPr>
              <w:spacing w:before="0" w:after="0" w:line="240" w:lineRule="auto"/>
              <w:jc w:val="center"/>
              <w:rPr>
                <w:rFonts w:ascii="Arial" w:hAnsi="Arial" w:cs="Arial"/>
                <w:b/>
                <w:bCs/>
                <w:color w:val="000000"/>
                <w:lang w:val="en-IN"/>
              </w:rPr>
            </w:pPr>
          </w:p>
        </w:tc>
        <w:tc>
          <w:tcPr>
            <w:tcW w:w="981" w:type="pct"/>
            <w:tcBorders>
              <w:top w:val="nil"/>
              <w:left w:val="nil"/>
              <w:bottom w:val="nil"/>
              <w:right w:val="nil"/>
            </w:tcBorders>
            <w:noWrap/>
            <w:vAlign w:val="bottom"/>
            <w:hideMark/>
          </w:tcPr>
          <w:p w14:paraId="194F8EC2" w14:textId="77777777" w:rsidR="005F6C2F" w:rsidRPr="005F6C2F" w:rsidRDefault="005F6C2F" w:rsidP="005F6C2F">
            <w:pPr>
              <w:spacing w:before="0" w:after="0" w:line="240" w:lineRule="auto"/>
              <w:jc w:val="left"/>
              <w:rPr>
                <w:sz w:val="20"/>
                <w:szCs w:val="20"/>
                <w:lang w:val="en-IN"/>
              </w:rPr>
            </w:pPr>
          </w:p>
        </w:tc>
        <w:tc>
          <w:tcPr>
            <w:tcW w:w="1242" w:type="pct"/>
            <w:tcBorders>
              <w:top w:val="nil"/>
              <w:left w:val="nil"/>
              <w:bottom w:val="nil"/>
              <w:right w:val="nil"/>
            </w:tcBorders>
            <w:noWrap/>
            <w:vAlign w:val="bottom"/>
            <w:hideMark/>
          </w:tcPr>
          <w:p w14:paraId="1C24773B" w14:textId="77777777" w:rsidR="005F6C2F" w:rsidRPr="005F6C2F" w:rsidRDefault="005F6C2F" w:rsidP="005F6C2F">
            <w:pPr>
              <w:spacing w:before="0" w:after="0" w:line="240" w:lineRule="auto"/>
              <w:jc w:val="left"/>
              <w:rPr>
                <w:sz w:val="20"/>
                <w:szCs w:val="20"/>
                <w:lang w:val="en-IN"/>
              </w:rPr>
            </w:pPr>
          </w:p>
        </w:tc>
        <w:tc>
          <w:tcPr>
            <w:tcW w:w="1411" w:type="pct"/>
            <w:tcBorders>
              <w:top w:val="nil"/>
              <w:left w:val="nil"/>
              <w:bottom w:val="nil"/>
              <w:right w:val="nil"/>
            </w:tcBorders>
            <w:noWrap/>
            <w:vAlign w:val="bottom"/>
            <w:hideMark/>
          </w:tcPr>
          <w:p w14:paraId="3DFEC23D" w14:textId="77777777" w:rsidR="005F6C2F" w:rsidRPr="005F6C2F" w:rsidRDefault="005F6C2F" w:rsidP="005F6C2F">
            <w:pPr>
              <w:spacing w:before="0" w:after="0" w:line="240" w:lineRule="auto"/>
              <w:jc w:val="left"/>
              <w:rPr>
                <w:sz w:val="20"/>
                <w:szCs w:val="20"/>
                <w:lang w:val="en-IN"/>
              </w:rPr>
            </w:pPr>
          </w:p>
        </w:tc>
        <w:tc>
          <w:tcPr>
            <w:tcW w:w="915" w:type="pct"/>
            <w:tcBorders>
              <w:top w:val="nil"/>
              <w:left w:val="nil"/>
              <w:bottom w:val="nil"/>
              <w:right w:val="single" w:sz="4" w:space="0" w:color="auto"/>
            </w:tcBorders>
            <w:noWrap/>
            <w:vAlign w:val="bottom"/>
            <w:hideMark/>
          </w:tcPr>
          <w:p w14:paraId="716E73A7" w14:textId="77777777" w:rsidR="005F6C2F" w:rsidRPr="005F6C2F" w:rsidRDefault="005F6C2F" w:rsidP="005F6C2F">
            <w:pPr>
              <w:spacing w:before="0" w:after="0" w:line="240" w:lineRule="auto"/>
              <w:jc w:val="left"/>
              <w:rPr>
                <w:sz w:val="20"/>
                <w:szCs w:val="20"/>
                <w:lang w:val="en-IN"/>
              </w:rPr>
            </w:pPr>
          </w:p>
        </w:tc>
      </w:tr>
      <w:tr w:rsidR="005F6C2F" w:rsidRPr="005F6C2F" w14:paraId="5D9CE106" w14:textId="77777777" w:rsidTr="005F6C2F">
        <w:trPr>
          <w:trHeight w:val="624"/>
          <w:jc w:val="center"/>
        </w:trPr>
        <w:tc>
          <w:tcPr>
            <w:tcW w:w="451" w:type="pct"/>
            <w:tcBorders>
              <w:top w:val="single" w:sz="4" w:space="0" w:color="000000"/>
              <w:left w:val="single" w:sz="4" w:space="0" w:color="auto"/>
              <w:bottom w:val="single" w:sz="4" w:space="0" w:color="000000"/>
              <w:right w:val="single" w:sz="4" w:space="0" w:color="000000"/>
            </w:tcBorders>
            <w:vAlign w:val="center"/>
            <w:hideMark/>
          </w:tcPr>
          <w:p w14:paraId="0034C738"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Year</w:t>
            </w:r>
          </w:p>
        </w:tc>
        <w:tc>
          <w:tcPr>
            <w:tcW w:w="981" w:type="pct"/>
            <w:tcBorders>
              <w:top w:val="single" w:sz="4" w:space="0" w:color="000000"/>
              <w:left w:val="nil"/>
              <w:bottom w:val="single" w:sz="4" w:space="0" w:color="000000"/>
              <w:right w:val="single" w:sz="4" w:space="0" w:color="000000"/>
            </w:tcBorders>
            <w:vAlign w:val="center"/>
            <w:hideMark/>
          </w:tcPr>
          <w:p w14:paraId="03CB67D8"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Cashflow</w:t>
            </w:r>
          </w:p>
        </w:tc>
        <w:tc>
          <w:tcPr>
            <w:tcW w:w="1242" w:type="pct"/>
            <w:tcBorders>
              <w:top w:val="single" w:sz="4" w:space="0" w:color="000000"/>
              <w:left w:val="nil"/>
              <w:bottom w:val="single" w:sz="4" w:space="0" w:color="000000"/>
              <w:right w:val="single" w:sz="4" w:space="0" w:color="000000"/>
            </w:tcBorders>
            <w:vAlign w:val="center"/>
            <w:hideMark/>
          </w:tcPr>
          <w:p w14:paraId="2D5B7B4D"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"Discounting Factor @10%"</w:t>
            </w:r>
          </w:p>
        </w:tc>
        <w:tc>
          <w:tcPr>
            <w:tcW w:w="1411" w:type="pct"/>
            <w:tcBorders>
              <w:top w:val="single" w:sz="4" w:space="0" w:color="000000"/>
              <w:left w:val="nil"/>
              <w:bottom w:val="single" w:sz="4" w:space="0" w:color="000000"/>
              <w:right w:val="single" w:sz="4" w:space="0" w:color="000000"/>
            </w:tcBorders>
            <w:vAlign w:val="center"/>
            <w:hideMark/>
          </w:tcPr>
          <w:p w14:paraId="2995F2CE"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Present value</w:t>
            </w:r>
          </w:p>
        </w:tc>
        <w:tc>
          <w:tcPr>
            <w:tcW w:w="915" w:type="pct"/>
            <w:tcBorders>
              <w:top w:val="nil"/>
              <w:left w:val="nil"/>
              <w:bottom w:val="nil"/>
              <w:right w:val="single" w:sz="4" w:space="0" w:color="auto"/>
            </w:tcBorders>
            <w:noWrap/>
            <w:vAlign w:val="bottom"/>
            <w:hideMark/>
          </w:tcPr>
          <w:p w14:paraId="78909479" w14:textId="77777777" w:rsidR="005F6C2F" w:rsidRPr="005F6C2F" w:rsidRDefault="005F6C2F" w:rsidP="005F6C2F">
            <w:pPr>
              <w:spacing w:before="0" w:after="0" w:line="240" w:lineRule="auto"/>
              <w:jc w:val="center"/>
              <w:rPr>
                <w:rFonts w:ascii="Arial" w:hAnsi="Arial" w:cs="Arial"/>
                <w:b/>
                <w:bCs/>
                <w:color w:val="000000"/>
                <w:lang w:val="en-IN"/>
              </w:rPr>
            </w:pPr>
          </w:p>
        </w:tc>
      </w:tr>
      <w:tr w:rsidR="005F6C2F" w:rsidRPr="005F6C2F" w14:paraId="07FFCC08" w14:textId="77777777" w:rsidTr="005F6C2F">
        <w:trPr>
          <w:trHeight w:val="312"/>
          <w:jc w:val="center"/>
        </w:trPr>
        <w:tc>
          <w:tcPr>
            <w:tcW w:w="451" w:type="pct"/>
            <w:tcBorders>
              <w:top w:val="nil"/>
              <w:left w:val="single" w:sz="4" w:space="0" w:color="auto"/>
              <w:bottom w:val="single" w:sz="4" w:space="0" w:color="000000"/>
              <w:right w:val="single" w:sz="4" w:space="0" w:color="000000"/>
            </w:tcBorders>
            <w:noWrap/>
            <w:vAlign w:val="bottom"/>
            <w:hideMark/>
          </w:tcPr>
          <w:p w14:paraId="66719D89"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w:t>
            </w:r>
          </w:p>
        </w:tc>
        <w:tc>
          <w:tcPr>
            <w:tcW w:w="981" w:type="pct"/>
            <w:tcBorders>
              <w:top w:val="nil"/>
              <w:left w:val="nil"/>
              <w:bottom w:val="single" w:sz="4" w:space="0" w:color="000000"/>
              <w:right w:val="single" w:sz="4" w:space="0" w:color="000000"/>
            </w:tcBorders>
            <w:noWrap/>
            <w:vAlign w:val="bottom"/>
            <w:hideMark/>
          </w:tcPr>
          <w:p w14:paraId="2FB5825D"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1242" w:type="pct"/>
            <w:tcBorders>
              <w:top w:val="nil"/>
              <w:left w:val="nil"/>
              <w:bottom w:val="single" w:sz="4" w:space="0" w:color="000000"/>
              <w:right w:val="single" w:sz="4" w:space="0" w:color="000000"/>
            </w:tcBorders>
            <w:noWrap/>
            <w:vAlign w:val="bottom"/>
            <w:hideMark/>
          </w:tcPr>
          <w:p w14:paraId="6156EB59"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1.000</w:t>
            </w:r>
          </w:p>
        </w:tc>
        <w:tc>
          <w:tcPr>
            <w:tcW w:w="1411" w:type="pct"/>
            <w:tcBorders>
              <w:top w:val="nil"/>
              <w:left w:val="nil"/>
              <w:bottom w:val="single" w:sz="4" w:space="0" w:color="000000"/>
              <w:right w:val="single" w:sz="4" w:space="0" w:color="000000"/>
            </w:tcBorders>
            <w:noWrap/>
            <w:vAlign w:val="bottom"/>
            <w:hideMark/>
          </w:tcPr>
          <w:p w14:paraId="5E8F8CB2"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915" w:type="pct"/>
            <w:tcBorders>
              <w:top w:val="nil"/>
              <w:left w:val="nil"/>
              <w:bottom w:val="nil"/>
              <w:right w:val="single" w:sz="4" w:space="0" w:color="auto"/>
            </w:tcBorders>
            <w:noWrap/>
            <w:vAlign w:val="bottom"/>
            <w:hideMark/>
          </w:tcPr>
          <w:p w14:paraId="441580ED"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0411AFEB" w14:textId="77777777" w:rsidTr="005F6C2F">
        <w:trPr>
          <w:trHeight w:val="312"/>
          <w:jc w:val="center"/>
        </w:trPr>
        <w:tc>
          <w:tcPr>
            <w:tcW w:w="451" w:type="pct"/>
            <w:tcBorders>
              <w:top w:val="nil"/>
              <w:left w:val="single" w:sz="4" w:space="0" w:color="auto"/>
              <w:bottom w:val="single" w:sz="4" w:space="0" w:color="000000"/>
              <w:right w:val="single" w:sz="4" w:space="0" w:color="000000"/>
            </w:tcBorders>
            <w:noWrap/>
            <w:vAlign w:val="bottom"/>
            <w:hideMark/>
          </w:tcPr>
          <w:p w14:paraId="7B4310C4"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1</w:t>
            </w:r>
          </w:p>
        </w:tc>
        <w:tc>
          <w:tcPr>
            <w:tcW w:w="981" w:type="pct"/>
            <w:tcBorders>
              <w:top w:val="nil"/>
              <w:left w:val="nil"/>
              <w:bottom w:val="single" w:sz="4" w:space="0" w:color="000000"/>
              <w:right w:val="single" w:sz="4" w:space="0" w:color="000000"/>
            </w:tcBorders>
            <w:noWrap/>
            <w:vAlign w:val="bottom"/>
            <w:hideMark/>
          </w:tcPr>
          <w:p w14:paraId="56E72271"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11.00 </w:t>
            </w:r>
          </w:p>
        </w:tc>
        <w:tc>
          <w:tcPr>
            <w:tcW w:w="1242" w:type="pct"/>
            <w:tcBorders>
              <w:top w:val="nil"/>
              <w:left w:val="nil"/>
              <w:bottom w:val="single" w:sz="4" w:space="0" w:color="000000"/>
              <w:right w:val="single" w:sz="4" w:space="0" w:color="000000"/>
            </w:tcBorders>
            <w:noWrap/>
            <w:vAlign w:val="bottom"/>
            <w:hideMark/>
          </w:tcPr>
          <w:p w14:paraId="7C2130F9"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0.909</w:t>
            </w:r>
          </w:p>
        </w:tc>
        <w:tc>
          <w:tcPr>
            <w:tcW w:w="1411" w:type="pct"/>
            <w:tcBorders>
              <w:top w:val="nil"/>
              <w:left w:val="nil"/>
              <w:bottom w:val="single" w:sz="4" w:space="0" w:color="000000"/>
              <w:right w:val="single" w:sz="4" w:space="0" w:color="000000"/>
            </w:tcBorders>
            <w:noWrap/>
            <w:vAlign w:val="bottom"/>
            <w:hideMark/>
          </w:tcPr>
          <w:p w14:paraId="2060BE30"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10.00 </w:t>
            </w:r>
          </w:p>
        </w:tc>
        <w:tc>
          <w:tcPr>
            <w:tcW w:w="915" w:type="pct"/>
            <w:tcBorders>
              <w:top w:val="nil"/>
              <w:left w:val="nil"/>
              <w:bottom w:val="nil"/>
              <w:right w:val="single" w:sz="4" w:space="0" w:color="auto"/>
            </w:tcBorders>
            <w:noWrap/>
            <w:vAlign w:val="bottom"/>
            <w:hideMark/>
          </w:tcPr>
          <w:p w14:paraId="3A6D097C"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515F00F8" w14:textId="77777777" w:rsidTr="005F6C2F">
        <w:trPr>
          <w:trHeight w:val="312"/>
          <w:jc w:val="center"/>
        </w:trPr>
        <w:tc>
          <w:tcPr>
            <w:tcW w:w="451" w:type="pct"/>
            <w:tcBorders>
              <w:top w:val="nil"/>
              <w:left w:val="single" w:sz="4" w:space="0" w:color="auto"/>
              <w:bottom w:val="single" w:sz="4" w:space="0" w:color="000000"/>
              <w:right w:val="single" w:sz="4" w:space="0" w:color="000000"/>
            </w:tcBorders>
            <w:noWrap/>
            <w:vAlign w:val="bottom"/>
            <w:hideMark/>
          </w:tcPr>
          <w:p w14:paraId="359683FE"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2</w:t>
            </w:r>
          </w:p>
        </w:tc>
        <w:tc>
          <w:tcPr>
            <w:tcW w:w="981" w:type="pct"/>
            <w:tcBorders>
              <w:top w:val="nil"/>
              <w:left w:val="nil"/>
              <w:bottom w:val="single" w:sz="4" w:space="0" w:color="000000"/>
              <w:right w:val="single" w:sz="4" w:space="0" w:color="000000"/>
            </w:tcBorders>
            <w:noWrap/>
            <w:vAlign w:val="bottom"/>
            <w:hideMark/>
          </w:tcPr>
          <w:p w14:paraId="6A5274E6"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11.00 </w:t>
            </w:r>
          </w:p>
        </w:tc>
        <w:tc>
          <w:tcPr>
            <w:tcW w:w="1242" w:type="pct"/>
            <w:tcBorders>
              <w:top w:val="nil"/>
              <w:left w:val="nil"/>
              <w:bottom w:val="single" w:sz="4" w:space="0" w:color="000000"/>
              <w:right w:val="single" w:sz="4" w:space="0" w:color="000000"/>
            </w:tcBorders>
            <w:noWrap/>
            <w:vAlign w:val="bottom"/>
            <w:hideMark/>
          </w:tcPr>
          <w:p w14:paraId="785B7C49"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0.826</w:t>
            </w:r>
          </w:p>
        </w:tc>
        <w:tc>
          <w:tcPr>
            <w:tcW w:w="1411" w:type="pct"/>
            <w:tcBorders>
              <w:top w:val="nil"/>
              <w:left w:val="nil"/>
              <w:bottom w:val="single" w:sz="4" w:space="0" w:color="000000"/>
              <w:right w:val="single" w:sz="4" w:space="0" w:color="000000"/>
            </w:tcBorders>
            <w:noWrap/>
            <w:vAlign w:val="bottom"/>
            <w:hideMark/>
          </w:tcPr>
          <w:p w14:paraId="68BBE977"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9.09 </w:t>
            </w:r>
          </w:p>
        </w:tc>
        <w:tc>
          <w:tcPr>
            <w:tcW w:w="915" w:type="pct"/>
            <w:tcBorders>
              <w:top w:val="nil"/>
              <w:left w:val="nil"/>
              <w:bottom w:val="nil"/>
              <w:right w:val="single" w:sz="4" w:space="0" w:color="auto"/>
            </w:tcBorders>
            <w:noWrap/>
            <w:vAlign w:val="bottom"/>
            <w:hideMark/>
          </w:tcPr>
          <w:p w14:paraId="0BF85845"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3BF7BE57" w14:textId="77777777" w:rsidTr="005F6C2F">
        <w:trPr>
          <w:trHeight w:val="312"/>
          <w:jc w:val="center"/>
        </w:trPr>
        <w:tc>
          <w:tcPr>
            <w:tcW w:w="451" w:type="pct"/>
            <w:tcBorders>
              <w:top w:val="nil"/>
              <w:left w:val="single" w:sz="4" w:space="0" w:color="auto"/>
              <w:bottom w:val="single" w:sz="4" w:space="0" w:color="000000"/>
              <w:right w:val="single" w:sz="4" w:space="0" w:color="000000"/>
            </w:tcBorders>
            <w:noWrap/>
            <w:vAlign w:val="bottom"/>
            <w:hideMark/>
          </w:tcPr>
          <w:p w14:paraId="44B502E2"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3</w:t>
            </w:r>
          </w:p>
        </w:tc>
        <w:tc>
          <w:tcPr>
            <w:tcW w:w="981" w:type="pct"/>
            <w:tcBorders>
              <w:top w:val="nil"/>
              <w:left w:val="nil"/>
              <w:bottom w:val="single" w:sz="4" w:space="0" w:color="000000"/>
              <w:right w:val="single" w:sz="4" w:space="0" w:color="000000"/>
            </w:tcBorders>
            <w:noWrap/>
            <w:vAlign w:val="bottom"/>
            <w:hideMark/>
          </w:tcPr>
          <w:p w14:paraId="6F3C7B4E"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11.00 </w:t>
            </w:r>
          </w:p>
        </w:tc>
        <w:tc>
          <w:tcPr>
            <w:tcW w:w="1242" w:type="pct"/>
            <w:tcBorders>
              <w:top w:val="nil"/>
              <w:left w:val="nil"/>
              <w:bottom w:val="single" w:sz="4" w:space="0" w:color="000000"/>
              <w:right w:val="single" w:sz="4" w:space="0" w:color="000000"/>
            </w:tcBorders>
            <w:noWrap/>
            <w:vAlign w:val="bottom"/>
            <w:hideMark/>
          </w:tcPr>
          <w:p w14:paraId="7E534C0E"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0.751</w:t>
            </w:r>
          </w:p>
        </w:tc>
        <w:tc>
          <w:tcPr>
            <w:tcW w:w="1411" w:type="pct"/>
            <w:tcBorders>
              <w:top w:val="nil"/>
              <w:left w:val="nil"/>
              <w:bottom w:val="single" w:sz="4" w:space="0" w:color="000000"/>
              <w:right w:val="single" w:sz="4" w:space="0" w:color="000000"/>
            </w:tcBorders>
            <w:noWrap/>
            <w:vAlign w:val="bottom"/>
            <w:hideMark/>
          </w:tcPr>
          <w:p w14:paraId="5C99A481"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8.26 </w:t>
            </w:r>
          </w:p>
        </w:tc>
        <w:tc>
          <w:tcPr>
            <w:tcW w:w="915" w:type="pct"/>
            <w:tcBorders>
              <w:top w:val="nil"/>
              <w:left w:val="nil"/>
              <w:bottom w:val="nil"/>
              <w:right w:val="single" w:sz="4" w:space="0" w:color="auto"/>
            </w:tcBorders>
            <w:noWrap/>
            <w:vAlign w:val="bottom"/>
            <w:hideMark/>
          </w:tcPr>
          <w:p w14:paraId="0D48C69A"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522CD22C" w14:textId="77777777" w:rsidTr="005F6C2F">
        <w:trPr>
          <w:trHeight w:val="312"/>
          <w:jc w:val="center"/>
        </w:trPr>
        <w:tc>
          <w:tcPr>
            <w:tcW w:w="451" w:type="pct"/>
            <w:tcBorders>
              <w:top w:val="nil"/>
              <w:left w:val="single" w:sz="4" w:space="0" w:color="auto"/>
              <w:bottom w:val="single" w:sz="4" w:space="0" w:color="000000"/>
              <w:right w:val="single" w:sz="4" w:space="0" w:color="000000"/>
            </w:tcBorders>
            <w:noWrap/>
            <w:vAlign w:val="bottom"/>
            <w:hideMark/>
          </w:tcPr>
          <w:p w14:paraId="2A4DD285"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4</w:t>
            </w:r>
          </w:p>
        </w:tc>
        <w:tc>
          <w:tcPr>
            <w:tcW w:w="981" w:type="pct"/>
            <w:tcBorders>
              <w:top w:val="nil"/>
              <w:left w:val="nil"/>
              <w:bottom w:val="single" w:sz="4" w:space="0" w:color="000000"/>
              <w:right w:val="single" w:sz="4" w:space="0" w:color="000000"/>
            </w:tcBorders>
            <w:noWrap/>
            <w:vAlign w:val="bottom"/>
            <w:hideMark/>
          </w:tcPr>
          <w:p w14:paraId="0691F3AA"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11.00 </w:t>
            </w:r>
          </w:p>
        </w:tc>
        <w:tc>
          <w:tcPr>
            <w:tcW w:w="1242" w:type="pct"/>
            <w:tcBorders>
              <w:top w:val="nil"/>
              <w:left w:val="nil"/>
              <w:bottom w:val="single" w:sz="4" w:space="0" w:color="000000"/>
              <w:right w:val="single" w:sz="4" w:space="0" w:color="000000"/>
            </w:tcBorders>
            <w:noWrap/>
            <w:vAlign w:val="bottom"/>
            <w:hideMark/>
          </w:tcPr>
          <w:p w14:paraId="283D6ED7"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0.683</w:t>
            </w:r>
          </w:p>
        </w:tc>
        <w:tc>
          <w:tcPr>
            <w:tcW w:w="1411" w:type="pct"/>
            <w:tcBorders>
              <w:top w:val="nil"/>
              <w:left w:val="nil"/>
              <w:bottom w:val="single" w:sz="4" w:space="0" w:color="000000"/>
              <w:right w:val="single" w:sz="4" w:space="0" w:color="000000"/>
            </w:tcBorders>
            <w:noWrap/>
            <w:vAlign w:val="bottom"/>
            <w:hideMark/>
          </w:tcPr>
          <w:p w14:paraId="57D1FCC7"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7.51 </w:t>
            </w:r>
          </w:p>
        </w:tc>
        <w:tc>
          <w:tcPr>
            <w:tcW w:w="915" w:type="pct"/>
            <w:tcBorders>
              <w:top w:val="nil"/>
              <w:left w:val="nil"/>
              <w:bottom w:val="nil"/>
              <w:right w:val="single" w:sz="4" w:space="0" w:color="auto"/>
            </w:tcBorders>
            <w:noWrap/>
            <w:vAlign w:val="bottom"/>
            <w:hideMark/>
          </w:tcPr>
          <w:p w14:paraId="2DDB53DB"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42E633BE" w14:textId="77777777" w:rsidTr="005F6C2F">
        <w:trPr>
          <w:trHeight w:val="312"/>
          <w:jc w:val="center"/>
        </w:trPr>
        <w:tc>
          <w:tcPr>
            <w:tcW w:w="451" w:type="pct"/>
            <w:tcBorders>
              <w:top w:val="nil"/>
              <w:left w:val="single" w:sz="4" w:space="0" w:color="auto"/>
              <w:bottom w:val="single" w:sz="4" w:space="0" w:color="000000"/>
              <w:right w:val="single" w:sz="4" w:space="0" w:color="000000"/>
            </w:tcBorders>
            <w:noWrap/>
            <w:vAlign w:val="bottom"/>
            <w:hideMark/>
          </w:tcPr>
          <w:p w14:paraId="1C87C51E"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5</w:t>
            </w:r>
          </w:p>
        </w:tc>
        <w:tc>
          <w:tcPr>
            <w:tcW w:w="981" w:type="pct"/>
            <w:tcBorders>
              <w:top w:val="nil"/>
              <w:left w:val="nil"/>
              <w:bottom w:val="single" w:sz="4" w:space="0" w:color="000000"/>
              <w:right w:val="single" w:sz="4" w:space="0" w:color="000000"/>
            </w:tcBorders>
            <w:noWrap/>
            <w:vAlign w:val="bottom"/>
            <w:hideMark/>
          </w:tcPr>
          <w:p w14:paraId="1FA1CF4A"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11.00 </w:t>
            </w:r>
          </w:p>
        </w:tc>
        <w:tc>
          <w:tcPr>
            <w:tcW w:w="1242" w:type="pct"/>
            <w:tcBorders>
              <w:top w:val="nil"/>
              <w:left w:val="nil"/>
              <w:bottom w:val="single" w:sz="4" w:space="0" w:color="000000"/>
              <w:right w:val="single" w:sz="4" w:space="0" w:color="000000"/>
            </w:tcBorders>
            <w:noWrap/>
            <w:vAlign w:val="bottom"/>
            <w:hideMark/>
          </w:tcPr>
          <w:p w14:paraId="1D9A16FD"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0.621</w:t>
            </w:r>
          </w:p>
        </w:tc>
        <w:tc>
          <w:tcPr>
            <w:tcW w:w="1411" w:type="pct"/>
            <w:tcBorders>
              <w:top w:val="nil"/>
              <w:left w:val="nil"/>
              <w:bottom w:val="single" w:sz="4" w:space="0" w:color="000000"/>
              <w:right w:val="single" w:sz="4" w:space="0" w:color="000000"/>
            </w:tcBorders>
            <w:noWrap/>
            <w:vAlign w:val="bottom"/>
            <w:hideMark/>
          </w:tcPr>
          <w:p w14:paraId="3B7097DD"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6.83 </w:t>
            </w:r>
          </w:p>
        </w:tc>
        <w:tc>
          <w:tcPr>
            <w:tcW w:w="915" w:type="pct"/>
            <w:tcBorders>
              <w:top w:val="nil"/>
              <w:left w:val="nil"/>
              <w:bottom w:val="nil"/>
              <w:right w:val="single" w:sz="4" w:space="0" w:color="auto"/>
            </w:tcBorders>
            <w:noWrap/>
            <w:vAlign w:val="bottom"/>
            <w:hideMark/>
          </w:tcPr>
          <w:p w14:paraId="697EDCB6"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7DB25DA7" w14:textId="77777777" w:rsidTr="005F6C2F">
        <w:trPr>
          <w:trHeight w:val="312"/>
          <w:jc w:val="center"/>
        </w:trPr>
        <w:tc>
          <w:tcPr>
            <w:tcW w:w="2674" w:type="pct"/>
            <w:gridSpan w:val="3"/>
            <w:tcBorders>
              <w:top w:val="single" w:sz="4" w:space="0" w:color="000000"/>
              <w:left w:val="single" w:sz="4" w:space="0" w:color="auto"/>
              <w:bottom w:val="single" w:sz="4" w:space="0" w:color="000000"/>
              <w:right w:val="single" w:sz="4" w:space="0" w:color="000000"/>
            </w:tcBorders>
            <w:vAlign w:val="center"/>
            <w:hideMark/>
          </w:tcPr>
          <w:p w14:paraId="145BE302"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"Internal Rate of Return (IRR) of Project B"</w:t>
            </w:r>
          </w:p>
        </w:tc>
        <w:tc>
          <w:tcPr>
            <w:tcW w:w="1411" w:type="pct"/>
            <w:tcBorders>
              <w:top w:val="nil"/>
              <w:left w:val="nil"/>
              <w:bottom w:val="single" w:sz="4" w:space="0" w:color="000000"/>
              <w:right w:val="single" w:sz="4" w:space="0" w:color="000000"/>
            </w:tcBorders>
            <w:vAlign w:val="center"/>
            <w:hideMark/>
          </w:tcPr>
          <w:p w14:paraId="2420752E"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3.26%</w:t>
            </w:r>
          </w:p>
        </w:tc>
        <w:tc>
          <w:tcPr>
            <w:tcW w:w="915" w:type="pct"/>
            <w:tcBorders>
              <w:top w:val="nil"/>
              <w:left w:val="nil"/>
              <w:bottom w:val="nil"/>
              <w:right w:val="single" w:sz="4" w:space="0" w:color="auto"/>
            </w:tcBorders>
            <w:noWrap/>
            <w:vAlign w:val="bottom"/>
            <w:hideMark/>
          </w:tcPr>
          <w:p w14:paraId="0C3C3B0F" w14:textId="77777777" w:rsidR="005F6C2F" w:rsidRPr="005F6C2F" w:rsidRDefault="005F6C2F" w:rsidP="005F6C2F">
            <w:pPr>
              <w:spacing w:before="0" w:after="0" w:line="240" w:lineRule="auto"/>
              <w:jc w:val="center"/>
              <w:rPr>
                <w:rFonts w:ascii="Arial" w:hAnsi="Arial" w:cs="Arial"/>
                <w:b/>
                <w:bCs/>
                <w:color w:val="000000"/>
                <w:lang w:val="en-IN"/>
              </w:rPr>
            </w:pPr>
          </w:p>
        </w:tc>
      </w:tr>
      <w:tr w:rsidR="005F6C2F" w:rsidRPr="005F6C2F" w14:paraId="3CF236F5" w14:textId="77777777" w:rsidTr="005F6C2F">
        <w:trPr>
          <w:trHeight w:val="312"/>
          <w:jc w:val="center"/>
        </w:trPr>
        <w:tc>
          <w:tcPr>
            <w:tcW w:w="451" w:type="pct"/>
            <w:tcBorders>
              <w:top w:val="nil"/>
              <w:left w:val="single" w:sz="4" w:space="0" w:color="auto"/>
              <w:bottom w:val="nil"/>
              <w:right w:val="nil"/>
            </w:tcBorders>
            <w:noWrap/>
            <w:vAlign w:val="bottom"/>
            <w:hideMark/>
          </w:tcPr>
          <w:p w14:paraId="3EBFBA24" w14:textId="77777777" w:rsidR="005F6C2F" w:rsidRPr="005F6C2F" w:rsidRDefault="005F6C2F" w:rsidP="005F6C2F">
            <w:pPr>
              <w:spacing w:before="0" w:after="0" w:line="240" w:lineRule="auto"/>
              <w:jc w:val="left"/>
              <w:rPr>
                <w:sz w:val="20"/>
                <w:szCs w:val="20"/>
                <w:lang w:val="en-IN"/>
              </w:rPr>
            </w:pPr>
          </w:p>
        </w:tc>
        <w:tc>
          <w:tcPr>
            <w:tcW w:w="981" w:type="pct"/>
            <w:tcBorders>
              <w:top w:val="nil"/>
              <w:left w:val="nil"/>
              <w:bottom w:val="nil"/>
              <w:right w:val="nil"/>
            </w:tcBorders>
            <w:noWrap/>
            <w:vAlign w:val="bottom"/>
            <w:hideMark/>
          </w:tcPr>
          <w:p w14:paraId="5C54D543" w14:textId="77777777" w:rsidR="005F6C2F" w:rsidRPr="005F6C2F" w:rsidRDefault="005F6C2F" w:rsidP="005F6C2F">
            <w:pPr>
              <w:spacing w:before="0" w:after="0" w:line="240" w:lineRule="auto"/>
              <w:jc w:val="left"/>
              <w:rPr>
                <w:sz w:val="20"/>
                <w:szCs w:val="20"/>
                <w:lang w:val="en-IN"/>
              </w:rPr>
            </w:pPr>
          </w:p>
        </w:tc>
        <w:tc>
          <w:tcPr>
            <w:tcW w:w="1242" w:type="pct"/>
            <w:tcBorders>
              <w:top w:val="nil"/>
              <w:left w:val="nil"/>
              <w:bottom w:val="nil"/>
              <w:right w:val="nil"/>
            </w:tcBorders>
            <w:noWrap/>
            <w:vAlign w:val="bottom"/>
            <w:hideMark/>
          </w:tcPr>
          <w:p w14:paraId="3D86518B" w14:textId="77777777" w:rsidR="005F6C2F" w:rsidRPr="005F6C2F" w:rsidRDefault="005F6C2F" w:rsidP="005F6C2F">
            <w:pPr>
              <w:spacing w:before="0" w:after="0" w:line="240" w:lineRule="auto"/>
              <w:jc w:val="left"/>
              <w:rPr>
                <w:sz w:val="20"/>
                <w:szCs w:val="20"/>
                <w:lang w:val="en-IN"/>
              </w:rPr>
            </w:pPr>
          </w:p>
        </w:tc>
        <w:tc>
          <w:tcPr>
            <w:tcW w:w="1411" w:type="pct"/>
            <w:tcBorders>
              <w:top w:val="nil"/>
              <w:left w:val="nil"/>
              <w:bottom w:val="nil"/>
              <w:right w:val="nil"/>
            </w:tcBorders>
            <w:noWrap/>
            <w:vAlign w:val="bottom"/>
            <w:hideMark/>
          </w:tcPr>
          <w:p w14:paraId="64F3120B" w14:textId="77777777" w:rsidR="005F6C2F" w:rsidRPr="005F6C2F" w:rsidRDefault="005F6C2F" w:rsidP="005F6C2F">
            <w:pPr>
              <w:spacing w:before="0" w:after="0" w:line="240" w:lineRule="auto"/>
              <w:jc w:val="left"/>
              <w:rPr>
                <w:sz w:val="20"/>
                <w:szCs w:val="20"/>
                <w:lang w:val="en-IN"/>
              </w:rPr>
            </w:pPr>
          </w:p>
        </w:tc>
        <w:tc>
          <w:tcPr>
            <w:tcW w:w="915" w:type="pct"/>
            <w:tcBorders>
              <w:top w:val="nil"/>
              <w:left w:val="nil"/>
              <w:bottom w:val="nil"/>
              <w:right w:val="single" w:sz="4" w:space="0" w:color="auto"/>
            </w:tcBorders>
            <w:noWrap/>
            <w:vAlign w:val="bottom"/>
            <w:hideMark/>
          </w:tcPr>
          <w:p w14:paraId="5C0813F3" w14:textId="77777777" w:rsidR="005F6C2F" w:rsidRPr="005F6C2F" w:rsidRDefault="005F6C2F" w:rsidP="005F6C2F">
            <w:pPr>
              <w:spacing w:before="0" w:after="0" w:line="240" w:lineRule="auto"/>
              <w:jc w:val="left"/>
              <w:rPr>
                <w:sz w:val="20"/>
                <w:szCs w:val="20"/>
                <w:lang w:val="en-IN"/>
              </w:rPr>
            </w:pPr>
          </w:p>
        </w:tc>
      </w:tr>
      <w:tr w:rsidR="005F6C2F" w:rsidRPr="005F6C2F" w14:paraId="27E63695" w14:textId="77777777" w:rsidTr="005F6C2F">
        <w:trPr>
          <w:trHeight w:val="312"/>
          <w:jc w:val="center"/>
        </w:trPr>
        <w:tc>
          <w:tcPr>
            <w:tcW w:w="451" w:type="pct"/>
            <w:tcBorders>
              <w:top w:val="nil"/>
              <w:left w:val="single" w:sz="4" w:space="0" w:color="auto"/>
              <w:bottom w:val="nil"/>
              <w:right w:val="nil"/>
            </w:tcBorders>
            <w:noWrap/>
            <w:vAlign w:val="bottom"/>
            <w:hideMark/>
          </w:tcPr>
          <w:p w14:paraId="33331B23" w14:textId="77777777" w:rsidR="005F6C2F" w:rsidRPr="005F6C2F" w:rsidRDefault="005F6C2F" w:rsidP="005F6C2F">
            <w:pPr>
              <w:spacing w:before="0" w:after="0" w:line="240" w:lineRule="auto"/>
              <w:jc w:val="left"/>
              <w:rPr>
                <w:sz w:val="20"/>
                <w:szCs w:val="20"/>
                <w:lang w:val="en-IN"/>
              </w:rPr>
            </w:pPr>
          </w:p>
        </w:tc>
        <w:tc>
          <w:tcPr>
            <w:tcW w:w="981" w:type="pct"/>
            <w:tcBorders>
              <w:top w:val="nil"/>
              <w:left w:val="nil"/>
              <w:bottom w:val="nil"/>
              <w:right w:val="nil"/>
            </w:tcBorders>
            <w:noWrap/>
            <w:vAlign w:val="bottom"/>
            <w:hideMark/>
          </w:tcPr>
          <w:p w14:paraId="4AA4E827" w14:textId="77777777" w:rsidR="005F6C2F" w:rsidRPr="005F6C2F" w:rsidRDefault="005F6C2F" w:rsidP="005F6C2F">
            <w:pPr>
              <w:spacing w:before="0" w:after="0" w:line="240" w:lineRule="auto"/>
              <w:jc w:val="left"/>
              <w:rPr>
                <w:sz w:val="20"/>
                <w:szCs w:val="20"/>
                <w:lang w:val="en-IN"/>
              </w:rPr>
            </w:pPr>
          </w:p>
        </w:tc>
        <w:tc>
          <w:tcPr>
            <w:tcW w:w="1242" w:type="pct"/>
            <w:tcBorders>
              <w:top w:val="nil"/>
              <w:left w:val="nil"/>
              <w:bottom w:val="nil"/>
              <w:right w:val="nil"/>
            </w:tcBorders>
            <w:noWrap/>
            <w:vAlign w:val="bottom"/>
            <w:hideMark/>
          </w:tcPr>
          <w:p w14:paraId="336B0339" w14:textId="77777777" w:rsidR="005F6C2F" w:rsidRPr="005F6C2F" w:rsidRDefault="005F6C2F" w:rsidP="005F6C2F">
            <w:pPr>
              <w:spacing w:before="0" w:after="0" w:line="240" w:lineRule="auto"/>
              <w:jc w:val="left"/>
              <w:rPr>
                <w:sz w:val="20"/>
                <w:szCs w:val="20"/>
                <w:lang w:val="en-IN"/>
              </w:rPr>
            </w:pPr>
          </w:p>
        </w:tc>
        <w:tc>
          <w:tcPr>
            <w:tcW w:w="1411" w:type="pct"/>
            <w:tcBorders>
              <w:top w:val="nil"/>
              <w:left w:val="nil"/>
              <w:bottom w:val="nil"/>
              <w:right w:val="nil"/>
            </w:tcBorders>
            <w:noWrap/>
            <w:vAlign w:val="bottom"/>
            <w:hideMark/>
          </w:tcPr>
          <w:p w14:paraId="2B67807E" w14:textId="77777777" w:rsidR="005F6C2F" w:rsidRPr="005F6C2F" w:rsidRDefault="005F6C2F" w:rsidP="005F6C2F">
            <w:pPr>
              <w:spacing w:before="0" w:after="0" w:line="240" w:lineRule="auto"/>
              <w:jc w:val="left"/>
              <w:rPr>
                <w:sz w:val="20"/>
                <w:szCs w:val="20"/>
                <w:lang w:val="en-IN"/>
              </w:rPr>
            </w:pPr>
          </w:p>
        </w:tc>
        <w:tc>
          <w:tcPr>
            <w:tcW w:w="915" w:type="pct"/>
            <w:tcBorders>
              <w:top w:val="nil"/>
              <w:left w:val="nil"/>
              <w:bottom w:val="nil"/>
              <w:right w:val="single" w:sz="4" w:space="0" w:color="auto"/>
            </w:tcBorders>
            <w:noWrap/>
            <w:vAlign w:val="bottom"/>
            <w:hideMark/>
          </w:tcPr>
          <w:p w14:paraId="3CB932FF" w14:textId="77777777" w:rsidR="005F6C2F" w:rsidRPr="005F6C2F" w:rsidRDefault="005F6C2F" w:rsidP="005F6C2F">
            <w:pPr>
              <w:spacing w:before="0" w:after="0" w:line="240" w:lineRule="auto"/>
              <w:jc w:val="left"/>
              <w:rPr>
                <w:sz w:val="20"/>
                <w:szCs w:val="20"/>
                <w:lang w:val="en-IN"/>
              </w:rPr>
            </w:pPr>
          </w:p>
        </w:tc>
      </w:tr>
      <w:tr w:rsidR="005F6C2F" w:rsidRPr="005F6C2F" w14:paraId="39FCD647" w14:textId="77777777" w:rsidTr="005F6C2F">
        <w:trPr>
          <w:trHeight w:val="312"/>
          <w:jc w:val="center"/>
        </w:trPr>
        <w:tc>
          <w:tcPr>
            <w:tcW w:w="451" w:type="pct"/>
            <w:tcBorders>
              <w:top w:val="single" w:sz="4" w:space="0" w:color="auto"/>
              <w:left w:val="single" w:sz="4" w:space="0" w:color="auto"/>
              <w:bottom w:val="single" w:sz="4" w:space="0" w:color="auto"/>
              <w:right w:val="single" w:sz="4" w:space="0" w:color="auto"/>
            </w:tcBorders>
            <w:vAlign w:val="center"/>
            <w:hideMark/>
          </w:tcPr>
          <w:p w14:paraId="45C8B2B8"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"Year"</w:t>
            </w:r>
          </w:p>
        </w:tc>
        <w:tc>
          <w:tcPr>
            <w:tcW w:w="981" w:type="pct"/>
            <w:tcBorders>
              <w:top w:val="single" w:sz="4" w:space="0" w:color="auto"/>
              <w:left w:val="nil"/>
              <w:bottom w:val="single" w:sz="4" w:space="0" w:color="auto"/>
              <w:right w:val="single" w:sz="4" w:space="0" w:color="auto"/>
            </w:tcBorders>
            <w:vAlign w:val="center"/>
            <w:hideMark/>
          </w:tcPr>
          <w:p w14:paraId="3F7D0659"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"Cash Flow"</w:t>
            </w:r>
          </w:p>
        </w:tc>
        <w:tc>
          <w:tcPr>
            <w:tcW w:w="1242" w:type="pct"/>
            <w:tcBorders>
              <w:top w:val="single" w:sz="4" w:space="0" w:color="auto"/>
              <w:left w:val="nil"/>
              <w:bottom w:val="single" w:sz="4" w:space="0" w:color="auto"/>
              <w:right w:val="single" w:sz="4" w:space="0" w:color="auto"/>
            </w:tcBorders>
            <w:vAlign w:val="center"/>
            <w:hideMark/>
          </w:tcPr>
          <w:p w14:paraId="3A696571"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 xml:space="preserve">"Depreciation" </w:t>
            </w:r>
          </w:p>
        </w:tc>
        <w:tc>
          <w:tcPr>
            <w:tcW w:w="1411" w:type="pct"/>
            <w:tcBorders>
              <w:top w:val="single" w:sz="4" w:space="0" w:color="auto"/>
              <w:left w:val="nil"/>
              <w:bottom w:val="single" w:sz="4" w:space="0" w:color="auto"/>
              <w:right w:val="single" w:sz="4" w:space="0" w:color="auto"/>
            </w:tcBorders>
            <w:vAlign w:val="center"/>
            <w:hideMark/>
          </w:tcPr>
          <w:p w14:paraId="7865631C"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"Present Value"</w:t>
            </w:r>
          </w:p>
        </w:tc>
        <w:tc>
          <w:tcPr>
            <w:tcW w:w="915" w:type="pct"/>
            <w:tcBorders>
              <w:top w:val="nil"/>
              <w:left w:val="nil"/>
              <w:bottom w:val="nil"/>
              <w:right w:val="single" w:sz="4" w:space="0" w:color="auto"/>
            </w:tcBorders>
            <w:noWrap/>
            <w:vAlign w:val="bottom"/>
            <w:hideMark/>
          </w:tcPr>
          <w:p w14:paraId="649818D0" w14:textId="77777777" w:rsidR="005F6C2F" w:rsidRPr="005F6C2F" w:rsidRDefault="005F6C2F" w:rsidP="005F6C2F">
            <w:pPr>
              <w:spacing w:before="0" w:after="0" w:line="240" w:lineRule="auto"/>
              <w:jc w:val="center"/>
              <w:rPr>
                <w:rFonts w:ascii="Arial" w:hAnsi="Arial" w:cs="Arial"/>
                <w:b/>
                <w:bCs/>
                <w:color w:val="000000"/>
                <w:lang w:val="en-IN"/>
              </w:rPr>
            </w:pPr>
          </w:p>
        </w:tc>
      </w:tr>
      <w:tr w:rsidR="005F6C2F" w:rsidRPr="005F6C2F" w14:paraId="48D16A95" w14:textId="77777777" w:rsidTr="005F6C2F">
        <w:trPr>
          <w:trHeight w:val="312"/>
          <w:jc w:val="center"/>
        </w:trPr>
        <w:tc>
          <w:tcPr>
            <w:tcW w:w="451" w:type="pct"/>
            <w:tcBorders>
              <w:top w:val="nil"/>
              <w:left w:val="single" w:sz="4" w:space="0" w:color="auto"/>
              <w:bottom w:val="single" w:sz="4" w:space="0" w:color="auto"/>
              <w:right w:val="single" w:sz="4" w:space="0" w:color="auto"/>
            </w:tcBorders>
            <w:noWrap/>
            <w:vAlign w:val="center"/>
            <w:hideMark/>
          </w:tcPr>
          <w:p w14:paraId="33B53F28"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w:t>
            </w:r>
          </w:p>
        </w:tc>
        <w:tc>
          <w:tcPr>
            <w:tcW w:w="981" w:type="pct"/>
            <w:tcBorders>
              <w:top w:val="nil"/>
              <w:left w:val="nil"/>
              <w:bottom w:val="single" w:sz="4" w:space="0" w:color="auto"/>
              <w:right w:val="single" w:sz="4" w:space="0" w:color="auto"/>
            </w:tcBorders>
            <w:noWrap/>
            <w:vAlign w:val="center"/>
            <w:hideMark/>
          </w:tcPr>
          <w:p w14:paraId="4B44A172"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1242" w:type="pct"/>
            <w:tcBorders>
              <w:top w:val="nil"/>
              <w:left w:val="nil"/>
              <w:bottom w:val="single" w:sz="4" w:space="0" w:color="auto"/>
              <w:right w:val="single" w:sz="4" w:space="0" w:color="auto"/>
            </w:tcBorders>
            <w:noWrap/>
            <w:vAlign w:val="center"/>
            <w:hideMark/>
          </w:tcPr>
          <w:p w14:paraId="22F269EF" w14:textId="77777777" w:rsidR="005F6C2F" w:rsidRPr="005F6C2F" w:rsidRDefault="005F6C2F" w:rsidP="005F6C2F">
            <w:pPr>
              <w:spacing w:before="0" w:after="0" w:line="240" w:lineRule="auto"/>
              <w:jc w:val="right"/>
              <w:rPr>
                <w:rFonts w:ascii="Arial" w:hAnsi="Arial" w:cs="Arial"/>
                <w:color w:val="000000"/>
                <w:lang w:val="en-IN"/>
              </w:rPr>
            </w:pPr>
            <w:r w:rsidRPr="005F6C2F">
              <w:rPr>
                <w:rFonts w:ascii="Arial" w:hAnsi="Arial" w:cs="Arial"/>
                <w:color w:val="000000"/>
                <w:lang w:val="en-IN"/>
              </w:rPr>
              <w:t>0.00</w:t>
            </w:r>
          </w:p>
        </w:tc>
        <w:tc>
          <w:tcPr>
            <w:tcW w:w="1411" w:type="pct"/>
            <w:tcBorders>
              <w:top w:val="nil"/>
              <w:left w:val="nil"/>
              <w:bottom w:val="single" w:sz="4" w:space="0" w:color="auto"/>
              <w:right w:val="single" w:sz="4" w:space="0" w:color="auto"/>
            </w:tcBorders>
            <w:noWrap/>
            <w:vAlign w:val="center"/>
            <w:hideMark/>
          </w:tcPr>
          <w:p w14:paraId="48D6AF4B"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915" w:type="pct"/>
            <w:tcBorders>
              <w:top w:val="nil"/>
              <w:left w:val="nil"/>
              <w:bottom w:val="nil"/>
              <w:right w:val="single" w:sz="4" w:space="0" w:color="auto"/>
            </w:tcBorders>
            <w:noWrap/>
            <w:vAlign w:val="bottom"/>
            <w:hideMark/>
          </w:tcPr>
          <w:p w14:paraId="6F0FB64C"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701748A8" w14:textId="77777777" w:rsidTr="005F6C2F">
        <w:trPr>
          <w:trHeight w:val="312"/>
          <w:jc w:val="center"/>
        </w:trPr>
        <w:tc>
          <w:tcPr>
            <w:tcW w:w="451" w:type="pct"/>
            <w:tcBorders>
              <w:top w:val="nil"/>
              <w:left w:val="single" w:sz="4" w:space="0" w:color="auto"/>
              <w:bottom w:val="single" w:sz="4" w:space="0" w:color="auto"/>
              <w:right w:val="single" w:sz="4" w:space="0" w:color="auto"/>
            </w:tcBorders>
            <w:noWrap/>
            <w:vAlign w:val="center"/>
            <w:hideMark/>
          </w:tcPr>
          <w:p w14:paraId="24F2C267"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1</w:t>
            </w:r>
          </w:p>
        </w:tc>
        <w:tc>
          <w:tcPr>
            <w:tcW w:w="981" w:type="pct"/>
            <w:tcBorders>
              <w:top w:val="nil"/>
              <w:left w:val="nil"/>
              <w:bottom w:val="single" w:sz="4" w:space="0" w:color="auto"/>
              <w:right w:val="single" w:sz="4" w:space="0" w:color="auto"/>
            </w:tcBorders>
            <w:noWrap/>
            <w:vAlign w:val="center"/>
            <w:hideMark/>
          </w:tcPr>
          <w:p w14:paraId="1018AEF4"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11.00 </w:t>
            </w:r>
          </w:p>
        </w:tc>
        <w:tc>
          <w:tcPr>
            <w:tcW w:w="1242" w:type="pct"/>
            <w:tcBorders>
              <w:top w:val="nil"/>
              <w:left w:val="nil"/>
              <w:bottom w:val="single" w:sz="4" w:space="0" w:color="auto"/>
              <w:right w:val="single" w:sz="4" w:space="0" w:color="auto"/>
            </w:tcBorders>
            <w:noWrap/>
            <w:vAlign w:val="center"/>
            <w:hideMark/>
          </w:tcPr>
          <w:p w14:paraId="1DFC8FB3" w14:textId="77777777" w:rsidR="005F6C2F" w:rsidRPr="005F6C2F" w:rsidRDefault="005F6C2F" w:rsidP="005F6C2F">
            <w:pPr>
              <w:spacing w:before="0" w:after="0" w:line="240" w:lineRule="auto"/>
              <w:jc w:val="right"/>
              <w:rPr>
                <w:rFonts w:ascii="Arial" w:hAnsi="Arial" w:cs="Arial"/>
                <w:color w:val="000000"/>
                <w:lang w:val="en-IN"/>
              </w:rPr>
            </w:pPr>
            <w:r w:rsidRPr="005F6C2F">
              <w:rPr>
                <w:rFonts w:ascii="Arial" w:hAnsi="Arial" w:cs="Arial"/>
                <w:color w:val="000000"/>
                <w:lang w:val="en-IN"/>
              </w:rPr>
              <w:t>10.00</w:t>
            </w:r>
          </w:p>
        </w:tc>
        <w:tc>
          <w:tcPr>
            <w:tcW w:w="1411" w:type="pct"/>
            <w:tcBorders>
              <w:top w:val="nil"/>
              <w:left w:val="nil"/>
              <w:bottom w:val="single" w:sz="4" w:space="0" w:color="auto"/>
              <w:right w:val="single" w:sz="4" w:space="0" w:color="auto"/>
            </w:tcBorders>
            <w:noWrap/>
            <w:vAlign w:val="center"/>
            <w:hideMark/>
          </w:tcPr>
          <w:p w14:paraId="7D217D52"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1.00 </w:t>
            </w:r>
          </w:p>
        </w:tc>
        <w:tc>
          <w:tcPr>
            <w:tcW w:w="915" w:type="pct"/>
            <w:tcBorders>
              <w:top w:val="nil"/>
              <w:left w:val="nil"/>
              <w:bottom w:val="nil"/>
              <w:right w:val="single" w:sz="4" w:space="0" w:color="auto"/>
            </w:tcBorders>
            <w:noWrap/>
            <w:vAlign w:val="bottom"/>
            <w:hideMark/>
          </w:tcPr>
          <w:p w14:paraId="08D1B4F1"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110C8E66" w14:textId="77777777" w:rsidTr="005F6C2F">
        <w:trPr>
          <w:trHeight w:val="312"/>
          <w:jc w:val="center"/>
        </w:trPr>
        <w:tc>
          <w:tcPr>
            <w:tcW w:w="451" w:type="pct"/>
            <w:tcBorders>
              <w:top w:val="nil"/>
              <w:left w:val="single" w:sz="4" w:space="0" w:color="auto"/>
              <w:bottom w:val="single" w:sz="4" w:space="0" w:color="auto"/>
              <w:right w:val="single" w:sz="4" w:space="0" w:color="auto"/>
            </w:tcBorders>
            <w:noWrap/>
            <w:vAlign w:val="center"/>
            <w:hideMark/>
          </w:tcPr>
          <w:p w14:paraId="484B3D55"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2</w:t>
            </w:r>
          </w:p>
        </w:tc>
        <w:tc>
          <w:tcPr>
            <w:tcW w:w="981" w:type="pct"/>
            <w:tcBorders>
              <w:top w:val="nil"/>
              <w:left w:val="nil"/>
              <w:bottom w:val="single" w:sz="4" w:space="0" w:color="auto"/>
              <w:right w:val="single" w:sz="4" w:space="0" w:color="auto"/>
            </w:tcBorders>
            <w:noWrap/>
            <w:vAlign w:val="center"/>
            <w:hideMark/>
          </w:tcPr>
          <w:p w14:paraId="097CB9BA"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11.00 </w:t>
            </w:r>
          </w:p>
        </w:tc>
        <w:tc>
          <w:tcPr>
            <w:tcW w:w="1242" w:type="pct"/>
            <w:tcBorders>
              <w:top w:val="nil"/>
              <w:left w:val="nil"/>
              <w:bottom w:val="single" w:sz="4" w:space="0" w:color="auto"/>
              <w:right w:val="single" w:sz="4" w:space="0" w:color="auto"/>
            </w:tcBorders>
            <w:noWrap/>
            <w:vAlign w:val="center"/>
            <w:hideMark/>
          </w:tcPr>
          <w:p w14:paraId="10EDD1DD" w14:textId="77777777" w:rsidR="005F6C2F" w:rsidRPr="005F6C2F" w:rsidRDefault="005F6C2F" w:rsidP="005F6C2F">
            <w:pPr>
              <w:spacing w:before="0" w:after="0" w:line="240" w:lineRule="auto"/>
              <w:jc w:val="right"/>
              <w:rPr>
                <w:rFonts w:ascii="Arial" w:hAnsi="Arial" w:cs="Arial"/>
                <w:color w:val="000000"/>
                <w:lang w:val="en-IN"/>
              </w:rPr>
            </w:pPr>
            <w:r w:rsidRPr="005F6C2F">
              <w:rPr>
                <w:rFonts w:ascii="Arial" w:hAnsi="Arial" w:cs="Arial"/>
                <w:color w:val="000000"/>
                <w:lang w:val="en-IN"/>
              </w:rPr>
              <w:t>10.00</w:t>
            </w:r>
          </w:p>
        </w:tc>
        <w:tc>
          <w:tcPr>
            <w:tcW w:w="1411" w:type="pct"/>
            <w:tcBorders>
              <w:top w:val="nil"/>
              <w:left w:val="nil"/>
              <w:bottom w:val="single" w:sz="4" w:space="0" w:color="auto"/>
              <w:right w:val="single" w:sz="4" w:space="0" w:color="auto"/>
            </w:tcBorders>
            <w:noWrap/>
            <w:vAlign w:val="center"/>
            <w:hideMark/>
          </w:tcPr>
          <w:p w14:paraId="0E98D518"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1.00 </w:t>
            </w:r>
          </w:p>
        </w:tc>
        <w:tc>
          <w:tcPr>
            <w:tcW w:w="915" w:type="pct"/>
            <w:tcBorders>
              <w:top w:val="nil"/>
              <w:left w:val="nil"/>
              <w:bottom w:val="nil"/>
              <w:right w:val="single" w:sz="4" w:space="0" w:color="auto"/>
            </w:tcBorders>
            <w:noWrap/>
            <w:vAlign w:val="bottom"/>
            <w:hideMark/>
          </w:tcPr>
          <w:p w14:paraId="1833A9FA"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4800A4C2" w14:textId="77777777" w:rsidTr="005F6C2F">
        <w:trPr>
          <w:trHeight w:val="312"/>
          <w:jc w:val="center"/>
        </w:trPr>
        <w:tc>
          <w:tcPr>
            <w:tcW w:w="451" w:type="pct"/>
            <w:tcBorders>
              <w:top w:val="nil"/>
              <w:left w:val="single" w:sz="4" w:space="0" w:color="auto"/>
              <w:bottom w:val="single" w:sz="4" w:space="0" w:color="auto"/>
              <w:right w:val="single" w:sz="4" w:space="0" w:color="auto"/>
            </w:tcBorders>
            <w:noWrap/>
            <w:vAlign w:val="center"/>
            <w:hideMark/>
          </w:tcPr>
          <w:p w14:paraId="29BFA9D6"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3</w:t>
            </w:r>
          </w:p>
        </w:tc>
        <w:tc>
          <w:tcPr>
            <w:tcW w:w="981" w:type="pct"/>
            <w:tcBorders>
              <w:top w:val="nil"/>
              <w:left w:val="nil"/>
              <w:bottom w:val="single" w:sz="4" w:space="0" w:color="auto"/>
              <w:right w:val="single" w:sz="4" w:space="0" w:color="auto"/>
            </w:tcBorders>
            <w:noWrap/>
            <w:vAlign w:val="center"/>
            <w:hideMark/>
          </w:tcPr>
          <w:p w14:paraId="38E334DC"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11.00 </w:t>
            </w:r>
          </w:p>
        </w:tc>
        <w:tc>
          <w:tcPr>
            <w:tcW w:w="1242" w:type="pct"/>
            <w:tcBorders>
              <w:top w:val="nil"/>
              <w:left w:val="nil"/>
              <w:bottom w:val="single" w:sz="4" w:space="0" w:color="auto"/>
              <w:right w:val="single" w:sz="4" w:space="0" w:color="auto"/>
            </w:tcBorders>
            <w:noWrap/>
            <w:vAlign w:val="center"/>
            <w:hideMark/>
          </w:tcPr>
          <w:p w14:paraId="7F6FA5A6" w14:textId="77777777" w:rsidR="005F6C2F" w:rsidRPr="005F6C2F" w:rsidRDefault="005F6C2F" w:rsidP="005F6C2F">
            <w:pPr>
              <w:spacing w:before="0" w:after="0" w:line="240" w:lineRule="auto"/>
              <w:jc w:val="right"/>
              <w:rPr>
                <w:rFonts w:ascii="Arial" w:hAnsi="Arial" w:cs="Arial"/>
                <w:color w:val="000000"/>
                <w:lang w:val="en-IN"/>
              </w:rPr>
            </w:pPr>
            <w:r w:rsidRPr="005F6C2F">
              <w:rPr>
                <w:rFonts w:ascii="Arial" w:hAnsi="Arial" w:cs="Arial"/>
                <w:color w:val="000000"/>
                <w:lang w:val="en-IN"/>
              </w:rPr>
              <w:t>10.00</w:t>
            </w:r>
          </w:p>
        </w:tc>
        <w:tc>
          <w:tcPr>
            <w:tcW w:w="1411" w:type="pct"/>
            <w:tcBorders>
              <w:top w:val="nil"/>
              <w:left w:val="nil"/>
              <w:bottom w:val="single" w:sz="4" w:space="0" w:color="auto"/>
              <w:right w:val="single" w:sz="4" w:space="0" w:color="auto"/>
            </w:tcBorders>
            <w:noWrap/>
            <w:vAlign w:val="center"/>
            <w:hideMark/>
          </w:tcPr>
          <w:p w14:paraId="7932C750"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1.00 </w:t>
            </w:r>
          </w:p>
        </w:tc>
        <w:tc>
          <w:tcPr>
            <w:tcW w:w="915" w:type="pct"/>
            <w:tcBorders>
              <w:top w:val="nil"/>
              <w:left w:val="nil"/>
              <w:bottom w:val="nil"/>
              <w:right w:val="single" w:sz="4" w:space="0" w:color="auto"/>
            </w:tcBorders>
            <w:noWrap/>
            <w:vAlign w:val="bottom"/>
            <w:hideMark/>
          </w:tcPr>
          <w:p w14:paraId="2C154B90"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70C28FC1" w14:textId="77777777" w:rsidTr="005F6C2F">
        <w:trPr>
          <w:trHeight w:val="312"/>
          <w:jc w:val="center"/>
        </w:trPr>
        <w:tc>
          <w:tcPr>
            <w:tcW w:w="451" w:type="pct"/>
            <w:tcBorders>
              <w:top w:val="nil"/>
              <w:left w:val="single" w:sz="4" w:space="0" w:color="auto"/>
              <w:bottom w:val="single" w:sz="4" w:space="0" w:color="auto"/>
              <w:right w:val="single" w:sz="4" w:space="0" w:color="auto"/>
            </w:tcBorders>
            <w:noWrap/>
            <w:vAlign w:val="center"/>
            <w:hideMark/>
          </w:tcPr>
          <w:p w14:paraId="5BBD9153"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4</w:t>
            </w:r>
          </w:p>
        </w:tc>
        <w:tc>
          <w:tcPr>
            <w:tcW w:w="981" w:type="pct"/>
            <w:tcBorders>
              <w:top w:val="nil"/>
              <w:left w:val="nil"/>
              <w:bottom w:val="single" w:sz="4" w:space="0" w:color="auto"/>
              <w:right w:val="single" w:sz="4" w:space="0" w:color="auto"/>
            </w:tcBorders>
            <w:noWrap/>
            <w:vAlign w:val="center"/>
            <w:hideMark/>
          </w:tcPr>
          <w:p w14:paraId="127CF7BE"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11.00 </w:t>
            </w:r>
          </w:p>
        </w:tc>
        <w:tc>
          <w:tcPr>
            <w:tcW w:w="1242" w:type="pct"/>
            <w:tcBorders>
              <w:top w:val="nil"/>
              <w:left w:val="nil"/>
              <w:bottom w:val="single" w:sz="4" w:space="0" w:color="auto"/>
              <w:right w:val="single" w:sz="4" w:space="0" w:color="auto"/>
            </w:tcBorders>
            <w:noWrap/>
            <w:vAlign w:val="center"/>
            <w:hideMark/>
          </w:tcPr>
          <w:p w14:paraId="5F38FEA7" w14:textId="77777777" w:rsidR="005F6C2F" w:rsidRPr="005F6C2F" w:rsidRDefault="005F6C2F" w:rsidP="005F6C2F">
            <w:pPr>
              <w:spacing w:before="0" w:after="0" w:line="240" w:lineRule="auto"/>
              <w:jc w:val="right"/>
              <w:rPr>
                <w:rFonts w:ascii="Arial" w:hAnsi="Arial" w:cs="Arial"/>
                <w:color w:val="000000"/>
                <w:lang w:val="en-IN"/>
              </w:rPr>
            </w:pPr>
            <w:r w:rsidRPr="005F6C2F">
              <w:rPr>
                <w:rFonts w:ascii="Arial" w:hAnsi="Arial" w:cs="Arial"/>
                <w:color w:val="000000"/>
                <w:lang w:val="en-IN"/>
              </w:rPr>
              <w:t>10.00</w:t>
            </w:r>
          </w:p>
        </w:tc>
        <w:tc>
          <w:tcPr>
            <w:tcW w:w="1411" w:type="pct"/>
            <w:tcBorders>
              <w:top w:val="nil"/>
              <w:left w:val="nil"/>
              <w:bottom w:val="single" w:sz="4" w:space="0" w:color="auto"/>
              <w:right w:val="single" w:sz="4" w:space="0" w:color="auto"/>
            </w:tcBorders>
            <w:noWrap/>
            <w:vAlign w:val="center"/>
            <w:hideMark/>
          </w:tcPr>
          <w:p w14:paraId="288E2336"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1.00 </w:t>
            </w:r>
          </w:p>
        </w:tc>
        <w:tc>
          <w:tcPr>
            <w:tcW w:w="915" w:type="pct"/>
            <w:tcBorders>
              <w:top w:val="nil"/>
              <w:left w:val="nil"/>
              <w:bottom w:val="nil"/>
              <w:right w:val="single" w:sz="4" w:space="0" w:color="auto"/>
            </w:tcBorders>
            <w:noWrap/>
            <w:vAlign w:val="bottom"/>
            <w:hideMark/>
          </w:tcPr>
          <w:p w14:paraId="6FE9A096"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237C978F" w14:textId="77777777" w:rsidTr="005F6C2F">
        <w:trPr>
          <w:trHeight w:val="312"/>
          <w:jc w:val="center"/>
        </w:trPr>
        <w:tc>
          <w:tcPr>
            <w:tcW w:w="451" w:type="pct"/>
            <w:tcBorders>
              <w:top w:val="nil"/>
              <w:left w:val="single" w:sz="4" w:space="0" w:color="auto"/>
              <w:bottom w:val="single" w:sz="4" w:space="0" w:color="auto"/>
              <w:right w:val="single" w:sz="4" w:space="0" w:color="auto"/>
            </w:tcBorders>
            <w:noWrap/>
            <w:vAlign w:val="center"/>
            <w:hideMark/>
          </w:tcPr>
          <w:p w14:paraId="7311C34A"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5</w:t>
            </w:r>
          </w:p>
        </w:tc>
        <w:tc>
          <w:tcPr>
            <w:tcW w:w="981" w:type="pct"/>
            <w:tcBorders>
              <w:top w:val="nil"/>
              <w:left w:val="nil"/>
              <w:bottom w:val="single" w:sz="4" w:space="0" w:color="auto"/>
              <w:right w:val="single" w:sz="4" w:space="0" w:color="auto"/>
            </w:tcBorders>
            <w:noWrap/>
            <w:vAlign w:val="center"/>
            <w:hideMark/>
          </w:tcPr>
          <w:p w14:paraId="0B7DE88B"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11.00 </w:t>
            </w:r>
          </w:p>
        </w:tc>
        <w:tc>
          <w:tcPr>
            <w:tcW w:w="1242" w:type="pct"/>
            <w:tcBorders>
              <w:top w:val="nil"/>
              <w:left w:val="nil"/>
              <w:bottom w:val="single" w:sz="4" w:space="0" w:color="auto"/>
              <w:right w:val="single" w:sz="4" w:space="0" w:color="auto"/>
            </w:tcBorders>
            <w:noWrap/>
            <w:vAlign w:val="center"/>
            <w:hideMark/>
          </w:tcPr>
          <w:p w14:paraId="784EDD4E" w14:textId="77777777" w:rsidR="005F6C2F" w:rsidRPr="005F6C2F" w:rsidRDefault="005F6C2F" w:rsidP="005F6C2F">
            <w:pPr>
              <w:spacing w:before="0" w:after="0" w:line="240" w:lineRule="auto"/>
              <w:jc w:val="right"/>
              <w:rPr>
                <w:rFonts w:ascii="Arial" w:hAnsi="Arial" w:cs="Arial"/>
                <w:color w:val="000000"/>
                <w:lang w:val="en-IN"/>
              </w:rPr>
            </w:pPr>
            <w:r w:rsidRPr="005F6C2F">
              <w:rPr>
                <w:rFonts w:ascii="Arial" w:hAnsi="Arial" w:cs="Arial"/>
                <w:color w:val="000000"/>
                <w:lang w:val="en-IN"/>
              </w:rPr>
              <w:t>10.00</w:t>
            </w:r>
          </w:p>
        </w:tc>
        <w:tc>
          <w:tcPr>
            <w:tcW w:w="1411" w:type="pct"/>
            <w:tcBorders>
              <w:top w:val="nil"/>
              <w:left w:val="nil"/>
              <w:bottom w:val="single" w:sz="4" w:space="0" w:color="auto"/>
              <w:right w:val="single" w:sz="4" w:space="0" w:color="auto"/>
            </w:tcBorders>
            <w:noWrap/>
            <w:vAlign w:val="center"/>
            <w:hideMark/>
          </w:tcPr>
          <w:p w14:paraId="048CFE1D"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1.00 </w:t>
            </w:r>
          </w:p>
        </w:tc>
        <w:tc>
          <w:tcPr>
            <w:tcW w:w="915" w:type="pct"/>
            <w:tcBorders>
              <w:top w:val="nil"/>
              <w:left w:val="nil"/>
              <w:bottom w:val="nil"/>
              <w:right w:val="single" w:sz="4" w:space="0" w:color="auto"/>
            </w:tcBorders>
            <w:noWrap/>
            <w:vAlign w:val="bottom"/>
            <w:hideMark/>
          </w:tcPr>
          <w:p w14:paraId="2FFD4CEB"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18FB5026" w14:textId="77777777" w:rsidTr="005F6C2F">
        <w:trPr>
          <w:trHeight w:val="312"/>
          <w:jc w:val="center"/>
        </w:trPr>
        <w:tc>
          <w:tcPr>
            <w:tcW w:w="2674" w:type="pct"/>
            <w:gridSpan w:val="3"/>
            <w:tcBorders>
              <w:top w:val="single" w:sz="4" w:space="0" w:color="auto"/>
              <w:left w:val="single" w:sz="4" w:space="0" w:color="auto"/>
              <w:bottom w:val="single" w:sz="4" w:space="0" w:color="auto"/>
              <w:right w:val="single" w:sz="4" w:space="0" w:color="000000"/>
            </w:tcBorders>
            <w:vAlign w:val="center"/>
            <w:hideMark/>
          </w:tcPr>
          <w:p w14:paraId="7DCF07A9"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 xml:space="preserve">"Accounting Rate of Return (ARR) of Project B" </w:t>
            </w:r>
          </w:p>
        </w:tc>
        <w:tc>
          <w:tcPr>
            <w:tcW w:w="1411" w:type="pct"/>
            <w:tcBorders>
              <w:top w:val="nil"/>
              <w:left w:val="nil"/>
              <w:bottom w:val="single" w:sz="4" w:space="0" w:color="auto"/>
              <w:right w:val="single" w:sz="4" w:space="0" w:color="auto"/>
            </w:tcBorders>
            <w:vAlign w:val="center"/>
            <w:hideMark/>
          </w:tcPr>
          <w:p w14:paraId="0A65DFE0"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2.00%</w:t>
            </w:r>
          </w:p>
        </w:tc>
        <w:tc>
          <w:tcPr>
            <w:tcW w:w="915" w:type="pct"/>
            <w:tcBorders>
              <w:top w:val="nil"/>
              <w:left w:val="nil"/>
              <w:bottom w:val="single" w:sz="4" w:space="0" w:color="auto"/>
              <w:right w:val="single" w:sz="4" w:space="0" w:color="auto"/>
            </w:tcBorders>
            <w:noWrap/>
            <w:vAlign w:val="bottom"/>
            <w:hideMark/>
          </w:tcPr>
          <w:p w14:paraId="014A430F" w14:textId="77777777" w:rsidR="005F6C2F" w:rsidRPr="005F6C2F" w:rsidRDefault="005F6C2F" w:rsidP="005F6C2F">
            <w:pPr>
              <w:spacing w:before="0" w:after="0" w:line="240" w:lineRule="auto"/>
              <w:jc w:val="center"/>
              <w:rPr>
                <w:rFonts w:ascii="Arial" w:hAnsi="Arial" w:cs="Arial"/>
                <w:b/>
                <w:bCs/>
                <w:color w:val="000000"/>
                <w:lang w:val="en-IN"/>
              </w:rPr>
            </w:pPr>
          </w:p>
        </w:tc>
      </w:tr>
    </w:tbl>
    <w:p w14:paraId="675D4058" w14:textId="5F04F7B8" w:rsidR="005D57A3" w:rsidRDefault="005F6C2F" w:rsidP="005F6C2F">
      <w:pPr>
        <w:spacing w:before="200" w:after="200"/>
        <w:jc w:val="center"/>
        <w:rPr>
          <w:rFonts w:ascii="Arial" w:eastAsia="Arial" w:hAnsi="Arial" w:cs="Arial"/>
        </w:rPr>
      </w:pPr>
      <w:r>
        <w:rPr>
          <w:rFonts w:ascii="Arial" w:eastAsia="Arial" w:hAnsi="Arial" w:cs="Arial"/>
        </w:rPr>
        <w:t>(Source: Excel)</w:t>
      </w:r>
    </w:p>
    <w:p w14:paraId="7F7A696D" w14:textId="77777777" w:rsidR="005D57A3" w:rsidRDefault="00000000">
      <w:pPr>
        <w:pStyle w:val="Heading3"/>
      </w:pPr>
      <w:bookmarkStart w:id="57" w:name="_Toc227879003"/>
      <w:r>
        <w:t>Project C</w:t>
      </w:r>
      <w:bookmarkEnd w:id="57"/>
    </w:p>
    <w:tbl>
      <w:tblPr>
        <w:tblW w:w="5000" w:type="pct"/>
        <w:jc w:val="center"/>
        <w:tblLook w:val="04A0" w:firstRow="1" w:lastRow="0" w:firstColumn="1" w:lastColumn="0" w:noHBand="0" w:noVBand="1"/>
      </w:tblPr>
      <w:tblGrid>
        <w:gridCol w:w="907"/>
        <w:gridCol w:w="1890"/>
        <w:gridCol w:w="1767"/>
        <w:gridCol w:w="2689"/>
        <w:gridCol w:w="1766"/>
      </w:tblGrid>
      <w:tr w:rsidR="005F6C2F" w:rsidRPr="005F6C2F" w14:paraId="768A997C" w14:textId="77777777" w:rsidTr="005F6C2F">
        <w:trPr>
          <w:trHeight w:val="624"/>
          <w:jc w:val="center"/>
        </w:trPr>
        <w:tc>
          <w:tcPr>
            <w:tcW w:w="456" w:type="pct"/>
            <w:tcBorders>
              <w:top w:val="single" w:sz="4" w:space="0" w:color="auto"/>
              <w:left w:val="single" w:sz="4" w:space="0" w:color="auto"/>
              <w:bottom w:val="single" w:sz="4" w:space="0" w:color="000000"/>
              <w:right w:val="single" w:sz="4" w:space="0" w:color="000000"/>
            </w:tcBorders>
            <w:vAlign w:val="center"/>
            <w:hideMark/>
          </w:tcPr>
          <w:p w14:paraId="41603DBE"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"Year"</w:t>
            </w:r>
          </w:p>
        </w:tc>
        <w:tc>
          <w:tcPr>
            <w:tcW w:w="992" w:type="pct"/>
            <w:tcBorders>
              <w:top w:val="single" w:sz="4" w:space="0" w:color="auto"/>
              <w:left w:val="nil"/>
              <w:bottom w:val="single" w:sz="4" w:space="0" w:color="000000"/>
              <w:right w:val="single" w:sz="4" w:space="0" w:color="000000"/>
            </w:tcBorders>
            <w:vAlign w:val="center"/>
            <w:hideMark/>
          </w:tcPr>
          <w:p w14:paraId="242D89F3"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"Cash Flow"</w:t>
            </w:r>
          </w:p>
        </w:tc>
        <w:tc>
          <w:tcPr>
            <w:tcW w:w="1200" w:type="pct"/>
            <w:tcBorders>
              <w:top w:val="single" w:sz="4" w:space="0" w:color="auto"/>
              <w:left w:val="nil"/>
              <w:bottom w:val="single" w:sz="4" w:space="0" w:color="000000"/>
              <w:right w:val="single" w:sz="4" w:space="0" w:color="000000"/>
            </w:tcBorders>
            <w:vAlign w:val="center"/>
            <w:hideMark/>
          </w:tcPr>
          <w:p w14:paraId="021206A6"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"Discounting Factor @10%"</w:t>
            </w:r>
          </w:p>
        </w:tc>
        <w:tc>
          <w:tcPr>
            <w:tcW w:w="1427" w:type="pct"/>
            <w:tcBorders>
              <w:top w:val="single" w:sz="4" w:space="0" w:color="auto"/>
              <w:left w:val="nil"/>
              <w:bottom w:val="single" w:sz="4" w:space="0" w:color="000000"/>
              <w:right w:val="single" w:sz="4" w:space="0" w:color="000000"/>
            </w:tcBorders>
            <w:vAlign w:val="center"/>
            <w:hideMark/>
          </w:tcPr>
          <w:p w14:paraId="0895B9D7"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"Present Value"</w:t>
            </w:r>
          </w:p>
        </w:tc>
        <w:tc>
          <w:tcPr>
            <w:tcW w:w="926" w:type="pct"/>
            <w:tcBorders>
              <w:top w:val="single" w:sz="4" w:space="0" w:color="auto"/>
              <w:left w:val="nil"/>
              <w:bottom w:val="nil"/>
              <w:right w:val="single" w:sz="4" w:space="0" w:color="auto"/>
            </w:tcBorders>
            <w:noWrap/>
            <w:vAlign w:val="bottom"/>
            <w:hideMark/>
          </w:tcPr>
          <w:p w14:paraId="73073509" w14:textId="77777777" w:rsidR="005F6C2F" w:rsidRPr="005F6C2F" w:rsidRDefault="005F6C2F" w:rsidP="005F6C2F">
            <w:pPr>
              <w:spacing w:before="0" w:after="0" w:line="240" w:lineRule="auto"/>
              <w:jc w:val="center"/>
              <w:rPr>
                <w:rFonts w:ascii="Arial" w:hAnsi="Arial" w:cs="Arial"/>
                <w:b/>
                <w:bCs/>
                <w:color w:val="000000"/>
                <w:lang w:val="en-IN"/>
              </w:rPr>
            </w:pPr>
          </w:p>
        </w:tc>
      </w:tr>
      <w:tr w:rsidR="005F6C2F" w:rsidRPr="005F6C2F" w14:paraId="16921821" w14:textId="77777777" w:rsidTr="005F6C2F">
        <w:trPr>
          <w:trHeight w:val="312"/>
          <w:jc w:val="center"/>
        </w:trPr>
        <w:tc>
          <w:tcPr>
            <w:tcW w:w="456" w:type="pct"/>
            <w:tcBorders>
              <w:top w:val="nil"/>
              <w:left w:val="single" w:sz="4" w:space="0" w:color="auto"/>
              <w:bottom w:val="single" w:sz="4" w:space="0" w:color="000000"/>
              <w:right w:val="single" w:sz="4" w:space="0" w:color="000000"/>
            </w:tcBorders>
            <w:noWrap/>
            <w:vAlign w:val="bottom"/>
            <w:hideMark/>
          </w:tcPr>
          <w:p w14:paraId="3E2F2B73"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w:t>
            </w:r>
          </w:p>
        </w:tc>
        <w:tc>
          <w:tcPr>
            <w:tcW w:w="992" w:type="pct"/>
            <w:tcBorders>
              <w:top w:val="nil"/>
              <w:left w:val="nil"/>
              <w:bottom w:val="single" w:sz="4" w:space="0" w:color="000000"/>
              <w:right w:val="single" w:sz="4" w:space="0" w:color="000000"/>
            </w:tcBorders>
            <w:noWrap/>
            <w:vAlign w:val="bottom"/>
            <w:hideMark/>
          </w:tcPr>
          <w:p w14:paraId="32A2A8EE"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1200" w:type="pct"/>
            <w:tcBorders>
              <w:top w:val="nil"/>
              <w:left w:val="nil"/>
              <w:bottom w:val="single" w:sz="4" w:space="0" w:color="000000"/>
              <w:right w:val="single" w:sz="4" w:space="0" w:color="000000"/>
            </w:tcBorders>
            <w:noWrap/>
            <w:vAlign w:val="bottom"/>
            <w:hideMark/>
          </w:tcPr>
          <w:p w14:paraId="2537773F"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1.000</w:t>
            </w:r>
          </w:p>
        </w:tc>
        <w:tc>
          <w:tcPr>
            <w:tcW w:w="1427" w:type="pct"/>
            <w:tcBorders>
              <w:top w:val="nil"/>
              <w:left w:val="nil"/>
              <w:bottom w:val="single" w:sz="4" w:space="0" w:color="000000"/>
              <w:right w:val="single" w:sz="4" w:space="0" w:color="000000"/>
            </w:tcBorders>
            <w:noWrap/>
            <w:vAlign w:val="bottom"/>
            <w:hideMark/>
          </w:tcPr>
          <w:p w14:paraId="5BE67BFC"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926" w:type="pct"/>
            <w:tcBorders>
              <w:top w:val="nil"/>
              <w:left w:val="nil"/>
              <w:bottom w:val="nil"/>
              <w:right w:val="single" w:sz="4" w:space="0" w:color="auto"/>
            </w:tcBorders>
            <w:noWrap/>
            <w:vAlign w:val="bottom"/>
            <w:hideMark/>
          </w:tcPr>
          <w:p w14:paraId="342F530E"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62A36CE2" w14:textId="77777777" w:rsidTr="005F6C2F">
        <w:trPr>
          <w:trHeight w:val="312"/>
          <w:jc w:val="center"/>
        </w:trPr>
        <w:tc>
          <w:tcPr>
            <w:tcW w:w="456" w:type="pct"/>
            <w:tcBorders>
              <w:top w:val="nil"/>
              <w:left w:val="single" w:sz="4" w:space="0" w:color="auto"/>
              <w:bottom w:val="single" w:sz="4" w:space="0" w:color="000000"/>
              <w:right w:val="single" w:sz="4" w:space="0" w:color="000000"/>
            </w:tcBorders>
            <w:noWrap/>
            <w:vAlign w:val="bottom"/>
            <w:hideMark/>
          </w:tcPr>
          <w:p w14:paraId="7DB46DDF"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1</w:t>
            </w:r>
          </w:p>
        </w:tc>
        <w:tc>
          <w:tcPr>
            <w:tcW w:w="992" w:type="pct"/>
            <w:tcBorders>
              <w:top w:val="nil"/>
              <w:left w:val="nil"/>
              <w:bottom w:val="single" w:sz="4" w:space="0" w:color="000000"/>
              <w:right w:val="single" w:sz="4" w:space="0" w:color="000000"/>
            </w:tcBorders>
            <w:noWrap/>
            <w:vAlign w:val="bottom"/>
            <w:hideMark/>
          </w:tcPr>
          <w:p w14:paraId="0DE7F395"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5.00 </w:t>
            </w:r>
          </w:p>
        </w:tc>
        <w:tc>
          <w:tcPr>
            <w:tcW w:w="1200" w:type="pct"/>
            <w:tcBorders>
              <w:top w:val="nil"/>
              <w:left w:val="nil"/>
              <w:bottom w:val="single" w:sz="4" w:space="0" w:color="000000"/>
              <w:right w:val="single" w:sz="4" w:space="0" w:color="000000"/>
            </w:tcBorders>
            <w:noWrap/>
            <w:vAlign w:val="bottom"/>
            <w:hideMark/>
          </w:tcPr>
          <w:p w14:paraId="16786071"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0.909</w:t>
            </w:r>
          </w:p>
        </w:tc>
        <w:tc>
          <w:tcPr>
            <w:tcW w:w="1427" w:type="pct"/>
            <w:tcBorders>
              <w:top w:val="nil"/>
              <w:left w:val="nil"/>
              <w:bottom w:val="single" w:sz="4" w:space="0" w:color="000000"/>
              <w:right w:val="single" w:sz="4" w:space="0" w:color="000000"/>
            </w:tcBorders>
            <w:noWrap/>
            <w:vAlign w:val="bottom"/>
            <w:hideMark/>
          </w:tcPr>
          <w:p w14:paraId="23188334"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4.55 </w:t>
            </w:r>
          </w:p>
        </w:tc>
        <w:tc>
          <w:tcPr>
            <w:tcW w:w="926" w:type="pct"/>
            <w:tcBorders>
              <w:top w:val="nil"/>
              <w:left w:val="nil"/>
              <w:bottom w:val="nil"/>
              <w:right w:val="single" w:sz="4" w:space="0" w:color="auto"/>
            </w:tcBorders>
            <w:noWrap/>
            <w:vAlign w:val="bottom"/>
            <w:hideMark/>
          </w:tcPr>
          <w:p w14:paraId="7E6E258C"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54965D52" w14:textId="77777777" w:rsidTr="005F6C2F">
        <w:trPr>
          <w:trHeight w:val="312"/>
          <w:jc w:val="center"/>
        </w:trPr>
        <w:tc>
          <w:tcPr>
            <w:tcW w:w="456" w:type="pct"/>
            <w:tcBorders>
              <w:top w:val="nil"/>
              <w:left w:val="single" w:sz="4" w:space="0" w:color="auto"/>
              <w:bottom w:val="single" w:sz="4" w:space="0" w:color="000000"/>
              <w:right w:val="single" w:sz="4" w:space="0" w:color="000000"/>
            </w:tcBorders>
            <w:noWrap/>
            <w:vAlign w:val="bottom"/>
            <w:hideMark/>
          </w:tcPr>
          <w:p w14:paraId="32951236"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lastRenderedPageBreak/>
              <w:t>2</w:t>
            </w:r>
          </w:p>
        </w:tc>
        <w:tc>
          <w:tcPr>
            <w:tcW w:w="992" w:type="pct"/>
            <w:tcBorders>
              <w:top w:val="nil"/>
              <w:left w:val="nil"/>
              <w:bottom w:val="single" w:sz="4" w:space="0" w:color="000000"/>
              <w:right w:val="single" w:sz="4" w:space="0" w:color="000000"/>
            </w:tcBorders>
            <w:noWrap/>
            <w:vAlign w:val="bottom"/>
            <w:hideMark/>
          </w:tcPr>
          <w:p w14:paraId="1BE881FA"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10.00 </w:t>
            </w:r>
          </w:p>
        </w:tc>
        <w:tc>
          <w:tcPr>
            <w:tcW w:w="1200" w:type="pct"/>
            <w:tcBorders>
              <w:top w:val="nil"/>
              <w:left w:val="nil"/>
              <w:bottom w:val="single" w:sz="4" w:space="0" w:color="000000"/>
              <w:right w:val="single" w:sz="4" w:space="0" w:color="000000"/>
            </w:tcBorders>
            <w:noWrap/>
            <w:vAlign w:val="bottom"/>
            <w:hideMark/>
          </w:tcPr>
          <w:p w14:paraId="41CF1DED"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0.826</w:t>
            </w:r>
          </w:p>
        </w:tc>
        <w:tc>
          <w:tcPr>
            <w:tcW w:w="1427" w:type="pct"/>
            <w:tcBorders>
              <w:top w:val="nil"/>
              <w:left w:val="nil"/>
              <w:bottom w:val="single" w:sz="4" w:space="0" w:color="000000"/>
              <w:right w:val="single" w:sz="4" w:space="0" w:color="000000"/>
            </w:tcBorders>
            <w:noWrap/>
            <w:vAlign w:val="bottom"/>
            <w:hideMark/>
          </w:tcPr>
          <w:p w14:paraId="41BBD93A"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8.26 </w:t>
            </w:r>
          </w:p>
        </w:tc>
        <w:tc>
          <w:tcPr>
            <w:tcW w:w="926" w:type="pct"/>
            <w:tcBorders>
              <w:top w:val="nil"/>
              <w:left w:val="nil"/>
              <w:bottom w:val="nil"/>
              <w:right w:val="single" w:sz="4" w:space="0" w:color="auto"/>
            </w:tcBorders>
            <w:noWrap/>
            <w:vAlign w:val="bottom"/>
            <w:hideMark/>
          </w:tcPr>
          <w:p w14:paraId="5E894E86"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2D5FA641" w14:textId="77777777" w:rsidTr="005F6C2F">
        <w:trPr>
          <w:trHeight w:val="312"/>
          <w:jc w:val="center"/>
        </w:trPr>
        <w:tc>
          <w:tcPr>
            <w:tcW w:w="456" w:type="pct"/>
            <w:tcBorders>
              <w:top w:val="nil"/>
              <w:left w:val="single" w:sz="4" w:space="0" w:color="auto"/>
              <w:bottom w:val="single" w:sz="4" w:space="0" w:color="000000"/>
              <w:right w:val="single" w:sz="4" w:space="0" w:color="000000"/>
            </w:tcBorders>
            <w:noWrap/>
            <w:vAlign w:val="bottom"/>
            <w:hideMark/>
          </w:tcPr>
          <w:p w14:paraId="2786E92F"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3</w:t>
            </w:r>
          </w:p>
        </w:tc>
        <w:tc>
          <w:tcPr>
            <w:tcW w:w="992" w:type="pct"/>
            <w:tcBorders>
              <w:top w:val="nil"/>
              <w:left w:val="nil"/>
              <w:bottom w:val="single" w:sz="4" w:space="0" w:color="000000"/>
              <w:right w:val="single" w:sz="4" w:space="0" w:color="000000"/>
            </w:tcBorders>
            <w:noWrap/>
            <w:vAlign w:val="bottom"/>
            <w:hideMark/>
          </w:tcPr>
          <w:p w14:paraId="7DAC741B"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20.00 </w:t>
            </w:r>
          </w:p>
        </w:tc>
        <w:tc>
          <w:tcPr>
            <w:tcW w:w="1200" w:type="pct"/>
            <w:tcBorders>
              <w:top w:val="nil"/>
              <w:left w:val="nil"/>
              <w:bottom w:val="single" w:sz="4" w:space="0" w:color="000000"/>
              <w:right w:val="single" w:sz="4" w:space="0" w:color="000000"/>
            </w:tcBorders>
            <w:noWrap/>
            <w:vAlign w:val="bottom"/>
            <w:hideMark/>
          </w:tcPr>
          <w:p w14:paraId="5BEF2D50"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0.751</w:t>
            </w:r>
          </w:p>
        </w:tc>
        <w:tc>
          <w:tcPr>
            <w:tcW w:w="1427" w:type="pct"/>
            <w:tcBorders>
              <w:top w:val="nil"/>
              <w:left w:val="nil"/>
              <w:bottom w:val="single" w:sz="4" w:space="0" w:color="000000"/>
              <w:right w:val="single" w:sz="4" w:space="0" w:color="000000"/>
            </w:tcBorders>
            <w:noWrap/>
            <w:vAlign w:val="bottom"/>
            <w:hideMark/>
          </w:tcPr>
          <w:p w14:paraId="01AA397F"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15.03 </w:t>
            </w:r>
          </w:p>
        </w:tc>
        <w:tc>
          <w:tcPr>
            <w:tcW w:w="926" w:type="pct"/>
            <w:tcBorders>
              <w:top w:val="nil"/>
              <w:left w:val="nil"/>
              <w:bottom w:val="nil"/>
              <w:right w:val="single" w:sz="4" w:space="0" w:color="auto"/>
            </w:tcBorders>
            <w:noWrap/>
            <w:vAlign w:val="bottom"/>
            <w:hideMark/>
          </w:tcPr>
          <w:p w14:paraId="7A6C7208"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372A3553" w14:textId="77777777" w:rsidTr="005F6C2F">
        <w:trPr>
          <w:trHeight w:val="312"/>
          <w:jc w:val="center"/>
        </w:trPr>
        <w:tc>
          <w:tcPr>
            <w:tcW w:w="456" w:type="pct"/>
            <w:tcBorders>
              <w:top w:val="nil"/>
              <w:left w:val="single" w:sz="4" w:space="0" w:color="auto"/>
              <w:bottom w:val="single" w:sz="4" w:space="0" w:color="000000"/>
              <w:right w:val="single" w:sz="4" w:space="0" w:color="000000"/>
            </w:tcBorders>
            <w:noWrap/>
            <w:vAlign w:val="bottom"/>
            <w:hideMark/>
          </w:tcPr>
          <w:p w14:paraId="4979C8AE"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4</w:t>
            </w:r>
          </w:p>
        </w:tc>
        <w:tc>
          <w:tcPr>
            <w:tcW w:w="992" w:type="pct"/>
            <w:tcBorders>
              <w:top w:val="nil"/>
              <w:left w:val="nil"/>
              <w:bottom w:val="single" w:sz="4" w:space="0" w:color="000000"/>
              <w:right w:val="single" w:sz="4" w:space="0" w:color="000000"/>
            </w:tcBorders>
            <w:noWrap/>
            <w:vAlign w:val="bottom"/>
            <w:hideMark/>
          </w:tcPr>
          <w:p w14:paraId="60149679"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25.00 </w:t>
            </w:r>
          </w:p>
        </w:tc>
        <w:tc>
          <w:tcPr>
            <w:tcW w:w="1200" w:type="pct"/>
            <w:tcBorders>
              <w:top w:val="nil"/>
              <w:left w:val="nil"/>
              <w:bottom w:val="single" w:sz="4" w:space="0" w:color="000000"/>
              <w:right w:val="single" w:sz="4" w:space="0" w:color="000000"/>
            </w:tcBorders>
            <w:noWrap/>
            <w:vAlign w:val="bottom"/>
            <w:hideMark/>
          </w:tcPr>
          <w:p w14:paraId="10DD82F1"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0.683</w:t>
            </w:r>
          </w:p>
        </w:tc>
        <w:tc>
          <w:tcPr>
            <w:tcW w:w="1427" w:type="pct"/>
            <w:tcBorders>
              <w:top w:val="nil"/>
              <w:left w:val="nil"/>
              <w:bottom w:val="single" w:sz="4" w:space="0" w:color="000000"/>
              <w:right w:val="single" w:sz="4" w:space="0" w:color="000000"/>
            </w:tcBorders>
            <w:noWrap/>
            <w:vAlign w:val="bottom"/>
            <w:hideMark/>
          </w:tcPr>
          <w:p w14:paraId="1CF50902"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17.08 </w:t>
            </w:r>
          </w:p>
        </w:tc>
        <w:tc>
          <w:tcPr>
            <w:tcW w:w="926" w:type="pct"/>
            <w:tcBorders>
              <w:top w:val="nil"/>
              <w:left w:val="nil"/>
              <w:bottom w:val="nil"/>
              <w:right w:val="single" w:sz="4" w:space="0" w:color="auto"/>
            </w:tcBorders>
            <w:noWrap/>
            <w:vAlign w:val="bottom"/>
            <w:hideMark/>
          </w:tcPr>
          <w:p w14:paraId="7F6740B4"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12E3E52D" w14:textId="77777777" w:rsidTr="005F6C2F">
        <w:trPr>
          <w:trHeight w:val="312"/>
          <w:jc w:val="center"/>
        </w:trPr>
        <w:tc>
          <w:tcPr>
            <w:tcW w:w="456" w:type="pct"/>
            <w:tcBorders>
              <w:top w:val="nil"/>
              <w:left w:val="single" w:sz="4" w:space="0" w:color="auto"/>
              <w:bottom w:val="single" w:sz="4" w:space="0" w:color="000000"/>
              <w:right w:val="single" w:sz="4" w:space="0" w:color="000000"/>
            </w:tcBorders>
            <w:noWrap/>
            <w:vAlign w:val="bottom"/>
            <w:hideMark/>
          </w:tcPr>
          <w:p w14:paraId="694C7569"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5</w:t>
            </w:r>
          </w:p>
        </w:tc>
        <w:tc>
          <w:tcPr>
            <w:tcW w:w="992" w:type="pct"/>
            <w:tcBorders>
              <w:top w:val="nil"/>
              <w:left w:val="nil"/>
              <w:bottom w:val="single" w:sz="4" w:space="0" w:color="000000"/>
              <w:right w:val="single" w:sz="4" w:space="0" w:color="000000"/>
            </w:tcBorders>
            <w:noWrap/>
            <w:vAlign w:val="bottom"/>
            <w:hideMark/>
          </w:tcPr>
          <w:p w14:paraId="35412931"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5.00 </w:t>
            </w:r>
          </w:p>
        </w:tc>
        <w:tc>
          <w:tcPr>
            <w:tcW w:w="1200" w:type="pct"/>
            <w:tcBorders>
              <w:top w:val="nil"/>
              <w:left w:val="nil"/>
              <w:bottom w:val="single" w:sz="4" w:space="0" w:color="000000"/>
              <w:right w:val="single" w:sz="4" w:space="0" w:color="000000"/>
            </w:tcBorders>
            <w:noWrap/>
            <w:vAlign w:val="bottom"/>
            <w:hideMark/>
          </w:tcPr>
          <w:p w14:paraId="1FD613CB"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0.621</w:t>
            </w:r>
          </w:p>
        </w:tc>
        <w:tc>
          <w:tcPr>
            <w:tcW w:w="1427" w:type="pct"/>
            <w:tcBorders>
              <w:top w:val="nil"/>
              <w:left w:val="nil"/>
              <w:bottom w:val="single" w:sz="4" w:space="0" w:color="000000"/>
              <w:right w:val="single" w:sz="4" w:space="0" w:color="000000"/>
            </w:tcBorders>
            <w:noWrap/>
            <w:vAlign w:val="bottom"/>
            <w:hideMark/>
          </w:tcPr>
          <w:p w14:paraId="72C22829"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3.10 </w:t>
            </w:r>
          </w:p>
        </w:tc>
        <w:tc>
          <w:tcPr>
            <w:tcW w:w="926" w:type="pct"/>
            <w:tcBorders>
              <w:top w:val="nil"/>
              <w:left w:val="nil"/>
              <w:bottom w:val="nil"/>
              <w:right w:val="single" w:sz="4" w:space="0" w:color="auto"/>
            </w:tcBorders>
            <w:noWrap/>
            <w:vAlign w:val="bottom"/>
            <w:hideMark/>
          </w:tcPr>
          <w:p w14:paraId="1D8BAFCC"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7FC9D125" w14:textId="77777777" w:rsidTr="005F6C2F">
        <w:trPr>
          <w:trHeight w:val="312"/>
          <w:jc w:val="center"/>
        </w:trPr>
        <w:tc>
          <w:tcPr>
            <w:tcW w:w="2648" w:type="pct"/>
            <w:gridSpan w:val="3"/>
            <w:vMerge w:val="restart"/>
            <w:tcBorders>
              <w:top w:val="single" w:sz="4" w:space="0" w:color="000000"/>
              <w:left w:val="single" w:sz="4" w:space="0" w:color="auto"/>
              <w:bottom w:val="nil"/>
              <w:right w:val="single" w:sz="4" w:space="0" w:color="000000"/>
            </w:tcBorders>
            <w:vAlign w:val="center"/>
            <w:hideMark/>
          </w:tcPr>
          <w:p w14:paraId="4BDBAE70"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"Net Present Value (NPV) of Project C"</w:t>
            </w:r>
          </w:p>
        </w:tc>
        <w:tc>
          <w:tcPr>
            <w:tcW w:w="1427" w:type="pct"/>
            <w:vMerge w:val="restart"/>
            <w:tcBorders>
              <w:top w:val="nil"/>
              <w:left w:val="single" w:sz="4" w:space="0" w:color="000000"/>
              <w:bottom w:val="nil"/>
              <w:right w:val="single" w:sz="4" w:space="0" w:color="000000"/>
            </w:tcBorders>
            <w:vAlign w:val="center"/>
            <w:hideMark/>
          </w:tcPr>
          <w:p w14:paraId="45BFD647"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 xml:space="preserve">-£                              1.98 </w:t>
            </w:r>
          </w:p>
        </w:tc>
        <w:tc>
          <w:tcPr>
            <w:tcW w:w="926" w:type="pct"/>
            <w:tcBorders>
              <w:top w:val="nil"/>
              <w:left w:val="nil"/>
              <w:bottom w:val="nil"/>
              <w:right w:val="single" w:sz="4" w:space="0" w:color="auto"/>
            </w:tcBorders>
            <w:noWrap/>
            <w:vAlign w:val="bottom"/>
            <w:hideMark/>
          </w:tcPr>
          <w:p w14:paraId="6B8C4898" w14:textId="77777777" w:rsidR="005F6C2F" w:rsidRPr="005F6C2F" w:rsidRDefault="005F6C2F" w:rsidP="005F6C2F">
            <w:pPr>
              <w:spacing w:before="0" w:after="0" w:line="240" w:lineRule="auto"/>
              <w:jc w:val="center"/>
              <w:rPr>
                <w:rFonts w:ascii="Arial" w:hAnsi="Arial" w:cs="Arial"/>
                <w:b/>
                <w:bCs/>
                <w:color w:val="000000"/>
                <w:lang w:val="en-IN"/>
              </w:rPr>
            </w:pPr>
          </w:p>
        </w:tc>
      </w:tr>
      <w:tr w:rsidR="005F6C2F" w:rsidRPr="005F6C2F" w14:paraId="72C6F2D5" w14:textId="77777777" w:rsidTr="005F6C2F">
        <w:trPr>
          <w:trHeight w:val="312"/>
          <w:jc w:val="center"/>
        </w:trPr>
        <w:tc>
          <w:tcPr>
            <w:tcW w:w="2648" w:type="pct"/>
            <w:gridSpan w:val="3"/>
            <w:vMerge/>
            <w:tcBorders>
              <w:top w:val="single" w:sz="4" w:space="0" w:color="000000"/>
              <w:left w:val="single" w:sz="4" w:space="0" w:color="auto"/>
              <w:bottom w:val="nil"/>
              <w:right w:val="single" w:sz="4" w:space="0" w:color="000000"/>
            </w:tcBorders>
            <w:vAlign w:val="center"/>
            <w:hideMark/>
          </w:tcPr>
          <w:p w14:paraId="7C69883A" w14:textId="77777777" w:rsidR="005F6C2F" w:rsidRPr="005F6C2F" w:rsidRDefault="005F6C2F" w:rsidP="005F6C2F">
            <w:pPr>
              <w:spacing w:before="0" w:after="0" w:line="240" w:lineRule="auto"/>
              <w:jc w:val="left"/>
              <w:rPr>
                <w:rFonts w:ascii="Arial" w:hAnsi="Arial" w:cs="Arial"/>
                <w:b/>
                <w:bCs/>
                <w:color w:val="000000"/>
                <w:lang w:val="en-IN"/>
              </w:rPr>
            </w:pPr>
          </w:p>
        </w:tc>
        <w:tc>
          <w:tcPr>
            <w:tcW w:w="1427" w:type="pct"/>
            <w:vMerge/>
            <w:tcBorders>
              <w:top w:val="nil"/>
              <w:left w:val="single" w:sz="4" w:space="0" w:color="000000"/>
              <w:bottom w:val="nil"/>
              <w:right w:val="single" w:sz="4" w:space="0" w:color="000000"/>
            </w:tcBorders>
            <w:vAlign w:val="center"/>
            <w:hideMark/>
          </w:tcPr>
          <w:p w14:paraId="779C08C9" w14:textId="77777777" w:rsidR="005F6C2F" w:rsidRPr="005F6C2F" w:rsidRDefault="005F6C2F" w:rsidP="005F6C2F">
            <w:pPr>
              <w:spacing w:before="0" w:after="0" w:line="240" w:lineRule="auto"/>
              <w:jc w:val="left"/>
              <w:rPr>
                <w:rFonts w:ascii="Arial" w:hAnsi="Arial" w:cs="Arial"/>
                <w:b/>
                <w:bCs/>
                <w:color w:val="000000"/>
                <w:lang w:val="en-IN"/>
              </w:rPr>
            </w:pPr>
          </w:p>
        </w:tc>
        <w:tc>
          <w:tcPr>
            <w:tcW w:w="926" w:type="pct"/>
            <w:tcBorders>
              <w:top w:val="nil"/>
              <w:left w:val="nil"/>
              <w:bottom w:val="nil"/>
              <w:right w:val="single" w:sz="4" w:space="0" w:color="auto"/>
            </w:tcBorders>
            <w:noWrap/>
            <w:vAlign w:val="bottom"/>
            <w:hideMark/>
          </w:tcPr>
          <w:p w14:paraId="380A00A1" w14:textId="77777777" w:rsidR="005F6C2F" w:rsidRPr="005F6C2F" w:rsidRDefault="005F6C2F" w:rsidP="005F6C2F">
            <w:pPr>
              <w:spacing w:before="0" w:after="0" w:line="240" w:lineRule="auto"/>
              <w:jc w:val="left"/>
              <w:rPr>
                <w:sz w:val="20"/>
                <w:szCs w:val="20"/>
                <w:lang w:val="en-IN"/>
              </w:rPr>
            </w:pPr>
          </w:p>
        </w:tc>
      </w:tr>
      <w:tr w:rsidR="005F6C2F" w:rsidRPr="005F6C2F" w14:paraId="7DB72C27" w14:textId="77777777" w:rsidTr="005F6C2F">
        <w:trPr>
          <w:trHeight w:val="312"/>
          <w:jc w:val="center"/>
        </w:trPr>
        <w:tc>
          <w:tcPr>
            <w:tcW w:w="2648" w:type="pct"/>
            <w:gridSpan w:val="3"/>
            <w:tcBorders>
              <w:top w:val="single" w:sz="4" w:space="0" w:color="auto"/>
              <w:left w:val="single" w:sz="4" w:space="0" w:color="auto"/>
              <w:bottom w:val="single" w:sz="4" w:space="0" w:color="auto"/>
              <w:right w:val="single" w:sz="4" w:space="0" w:color="auto"/>
            </w:tcBorders>
            <w:noWrap/>
            <w:vAlign w:val="bottom"/>
            <w:hideMark/>
          </w:tcPr>
          <w:p w14:paraId="555EC71E"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"Profitability Index (PI) of Project C"</w:t>
            </w:r>
          </w:p>
        </w:tc>
        <w:tc>
          <w:tcPr>
            <w:tcW w:w="1427" w:type="pct"/>
            <w:tcBorders>
              <w:top w:val="single" w:sz="4" w:space="0" w:color="auto"/>
              <w:left w:val="nil"/>
              <w:bottom w:val="single" w:sz="4" w:space="0" w:color="auto"/>
              <w:right w:val="single" w:sz="4" w:space="0" w:color="auto"/>
            </w:tcBorders>
            <w:noWrap/>
            <w:vAlign w:val="bottom"/>
            <w:hideMark/>
          </w:tcPr>
          <w:p w14:paraId="3009BFE9" w14:textId="77777777" w:rsidR="005F6C2F" w:rsidRPr="005F6C2F" w:rsidRDefault="005F6C2F" w:rsidP="005F6C2F">
            <w:pPr>
              <w:spacing w:before="0" w:after="0" w:line="240" w:lineRule="auto"/>
              <w:jc w:val="right"/>
              <w:rPr>
                <w:rFonts w:ascii="Arial" w:hAnsi="Arial" w:cs="Arial"/>
                <w:b/>
                <w:bCs/>
                <w:color w:val="000000"/>
                <w:lang w:val="en-IN"/>
              </w:rPr>
            </w:pPr>
            <w:r w:rsidRPr="005F6C2F">
              <w:rPr>
                <w:rFonts w:ascii="Arial" w:hAnsi="Arial" w:cs="Arial"/>
                <w:b/>
                <w:bCs/>
                <w:color w:val="000000"/>
                <w:lang w:val="en-IN"/>
              </w:rPr>
              <w:t>1.04</w:t>
            </w:r>
          </w:p>
        </w:tc>
        <w:tc>
          <w:tcPr>
            <w:tcW w:w="926" w:type="pct"/>
            <w:tcBorders>
              <w:top w:val="nil"/>
              <w:left w:val="nil"/>
              <w:bottom w:val="nil"/>
              <w:right w:val="single" w:sz="4" w:space="0" w:color="auto"/>
            </w:tcBorders>
            <w:noWrap/>
            <w:vAlign w:val="bottom"/>
            <w:hideMark/>
          </w:tcPr>
          <w:p w14:paraId="01142AB6" w14:textId="77777777" w:rsidR="005F6C2F" w:rsidRPr="005F6C2F" w:rsidRDefault="005F6C2F" w:rsidP="005F6C2F">
            <w:pPr>
              <w:spacing w:before="0" w:after="0" w:line="240" w:lineRule="auto"/>
              <w:jc w:val="right"/>
              <w:rPr>
                <w:rFonts w:ascii="Arial" w:hAnsi="Arial" w:cs="Arial"/>
                <w:b/>
                <w:bCs/>
                <w:color w:val="000000"/>
                <w:lang w:val="en-IN"/>
              </w:rPr>
            </w:pPr>
          </w:p>
        </w:tc>
      </w:tr>
      <w:tr w:rsidR="005F6C2F" w:rsidRPr="005F6C2F" w14:paraId="5E76995F" w14:textId="77777777" w:rsidTr="005F6C2F">
        <w:trPr>
          <w:trHeight w:val="312"/>
          <w:jc w:val="center"/>
        </w:trPr>
        <w:tc>
          <w:tcPr>
            <w:tcW w:w="456" w:type="pct"/>
            <w:tcBorders>
              <w:top w:val="nil"/>
              <w:left w:val="single" w:sz="4" w:space="0" w:color="auto"/>
              <w:bottom w:val="nil"/>
              <w:right w:val="nil"/>
            </w:tcBorders>
            <w:noWrap/>
            <w:vAlign w:val="bottom"/>
            <w:hideMark/>
          </w:tcPr>
          <w:p w14:paraId="7725E288" w14:textId="77777777" w:rsidR="005F6C2F" w:rsidRPr="005F6C2F" w:rsidRDefault="005F6C2F" w:rsidP="005F6C2F">
            <w:pPr>
              <w:spacing w:before="0" w:after="0" w:line="240" w:lineRule="auto"/>
              <w:jc w:val="left"/>
              <w:rPr>
                <w:sz w:val="20"/>
                <w:szCs w:val="20"/>
                <w:lang w:val="en-IN"/>
              </w:rPr>
            </w:pPr>
          </w:p>
        </w:tc>
        <w:tc>
          <w:tcPr>
            <w:tcW w:w="992" w:type="pct"/>
            <w:tcBorders>
              <w:top w:val="nil"/>
              <w:left w:val="nil"/>
              <w:bottom w:val="nil"/>
              <w:right w:val="nil"/>
            </w:tcBorders>
            <w:noWrap/>
            <w:vAlign w:val="bottom"/>
            <w:hideMark/>
          </w:tcPr>
          <w:p w14:paraId="03706549" w14:textId="77777777" w:rsidR="005F6C2F" w:rsidRPr="005F6C2F" w:rsidRDefault="005F6C2F" w:rsidP="005F6C2F">
            <w:pPr>
              <w:spacing w:before="0" w:after="0" w:line="240" w:lineRule="auto"/>
              <w:jc w:val="left"/>
              <w:rPr>
                <w:sz w:val="20"/>
                <w:szCs w:val="20"/>
                <w:lang w:val="en-IN"/>
              </w:rPr>
            </w:pPr>
          </w:p>
        </w:tc>
        <w:tc>
          <w:tcPr>
            <w:tcW w:w="1200" w:type="pct"/>
            <w:tcBorders>
              <w:top w:val="nil"/>
              <w:left w:val="nil"/>
              <w:bottom w:val="nil"/>
              <w:right w:val="nil"/>
            </w:tcBorders>
            <w:noWrap/>
            <w:vAlign w:val="bottom"/>
            <w:hideMark/>
          </w:tcPr>
          <w:p w14:paraId="09EA47F6" w14:textId="77777777" w:rsidR="005F6C2F" w:rsidRPr="005F6C2F" w:rsidRDefault="005F6C2F" w:rsidP="005F6C2F">
            <w:pPr>
              <w:spacing w:before="0" w:after="0" w:line="240" w:lineRule="auto"/>
              <w:jc w:val="left"/>
              <w:rPr>
                <w:sz w:val="20"/>
                <w:szCs w:val="20"/>
                <w:lang w:val="en-IN"/>
              </w:rPr>
            </w:pPr>
          </w:p>
        </w:tc>
        <w:tc>
          <w:tcPr>
            <w:tcW w:w="1427" w:type="pct"/>
            <w:tcBorders>
              <w:top w:val="nil"/>
              <w:left w:val="nil"/>
              <w:bottom w:val="nil"/>
              <w:right w:val="nil"/>
            </w:tcBorders>
            <w:noWrap/>
            <w:vAlign w:val="bottom"/>
            <w:hideMark/>
          </w:tcPr>
          <w:p w14:paraId="7BD762CF" w14:textId="77777777" w:rsidR="005F6C2F" w:rsidRPr="005F6C2F" w:rsidRDefault="005F6C2F" w:rsidP="005F6C2F">
            <w:pPr>
              <w:spacing w:before="0" w:after="0" w:line="240" w:lineRule="auto"/>
              <w:jc w:val="left"/>
              <w:rPr>
                <w:sz w:val="20"/>
                <w:szCs w:val="20"/>
                <w:lang w:val="en-IN"/>
              </w:rPr>
            </w:pPr>
          </w:p>
        </w:tc>
        <w:tc>
          <w:tcPr>
            <w:tcW w:w="926" w:type="pct"/>
            <w:tcBorders>
              <w:top w:val="nil"/>
              <w:left w:val="nil"/>
              <w:bottom w:val="nil"/>
              <w:right w:val="single" w:sz="4" w:space="0" w:color="auto"/>
            </w:tcBorders>
            <w:noWrap/>
            <w:vAlign w:val="bottom"/>
            <w:hideMark/>
          </w:tcPr>
          <w:p w14:paraId="10F6931E" w14:textId="77777777" w:rsidR="005F6C2F" w:rsidRPr="005F6C2F" w:rsidRDefault="005F6C2F" w:rsidP="005F6C2F">
            <w:pPr>
              <w:spacing w:before="0" w:after="0" w:line="240" w:lineRule="auto"/>
              <w:jc w:val="left"/>
              <w:rPr>
                <w:sz w:val="20"/>
                <w:szCs w:val="20"/>
                <w:lang w:val="en-IN"/>
              </w:rPr>
            </w:pPr>
          </w:p>
        </w:tc>
      </w:tr>
      <w:tr w:rsidR="005F6C2F" w:rsidRPr="005F6C2F" w14:paraId="70E6029E" w14:textId="77777777" w:rsidTr="005F6C2F">
        <w:trPr>
          <w:trHeight w:val="624"/>
          <w:jc w:val="center"/>
        </w:trPr>
        <w:tc>
          <w:tcPr>
            <w:tcW w:w="456" w:type="pct"/>
            <w:tcBorders>
              <w:top w:val="single" w:sz="4" w:space="0" w:color="000000"/>
              <w:left w:val="single" w:sz="4" w:space="0" w:color="auto"/>
              <w:bottom w:val="single" w:sz="4" w:space="0" w:color="000000"/>
              <w:right w:val="single" w:sz="4" w:space="0" w:color="000000"/>
            </w:tcBorders>
            <w:vAlign w:val="center"/>
            <w:hideMark/>
          </w:tcPr>
          <w:p w14:paraId="06E6C98D"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"Year"</w:t>
            </w:r>
          </w:p>
        </w:tc>
        <w:tc>
          <w:tcPr>
            <w:tcW w:w="992" w:type="pct"/>
            <w:tcBorders>
              <w:top w:val="single" w:sz="4" w:space="0" w:color="000000"/>
              <w:left w:val="nil"/>
              <w:bottom w:val="single" w:sz="4" w:space="0" w:color="000000"/>
              <w:right w:val="single" w:sz="4" w:space="0" w:color="000000"/>
            </w:tcBorders>
            <w:vAlign w:val="center"/>
            <w:hideMark/>
          </w:tcPr>
          <w:p w14:paraId="5ECED93F"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"Cash Flow"</w:t>
            </w:r>
          </w:p>
        </w:tc>
        <w:tc>
          <w:tcPr>
            <w:tcW w:w="1200" w:type="pct"/>
            <w:tcBorders>
              <w:top w:val="single" w:sz="4" w:space="0" w:color="000000"/>
              <w:left w:val="nil"/>
              <w:bottom w:val="single" w:sz="4" w:space="0" w:color="000000"/>
              <w:right w:val="single" w:sz="4" w:space="0" w:color="000000"/>
            </w:tcBorders>
            <w:vAlign w:val="center"/>
            <w:hideMark/>
          </w:tcPr>
          <w:p w14:paraId="40713A7A"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"Discounting Factor @10%"</w:t>
            </w:r>
          </w:p>
        </w:tc>
        <w:tc>
          <w:tcPr>
            <w:tcW w:w="1427" w:type="pct"/>
            <w:tcBorders>
              <w:top w:val="single" w:sz="4" w:space="0" w:color="000000"/>
              <w:left w:val="nil"/>
              <w:bottom w:val="single" w:sz="4" w:space="0" w:color="000000"/>
              <w:right w:val="single" w:sz="4" w:space="0" w:color="000000"/>
            </w:tcBorders>
            <w:vAlign w:val="center"/>
            <w:hideMark/>
          </w:tcPr>
          <w:p w14:paraId="52DD2612"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"Present Value"</w:t>
            </w:r>
          </w:p>
        </w:tc>
        <w:tc>
          <w:tcPr>
            <w:tcW w:w="926" w:type="pct"/>
            <w:tcBorders>
              <w:top w:val="single" w:sz="4" w:space="0" w:color="000000"/>
              <w:left w:val="nil"/>
              <w:bottom w:val="single" w:sz="4" w:space="0" w:color="000000"/>
              <w:right w:val="single" w:sz="4" w:space="0" w:color="auto"/>
            </w:tcBorders>
            <w:vAlign w:val="center"/>
            <w:hideMark/>
          </w:tcPr>
          <w:p w14:paraId="090A72E2" w14:textId="77777777" w:rsidR="005F6C2F" w:rsidRPr="005F6C2F" w:rsidRDefault="005F6C2F" w:rsidP="005F6C2F">
            <w:pPr>
              <w:spacing w:before="0" w:after="0" w:line="240" w:lineRule="auto"/>
              <w:jc w:val="left"/>
              <w:rPr>
                <w:rFonts w:ascii="Arial" w:hAnsi="Arial" w:cs="Arial"/>
                <w:b/>
                <w:bCs/>
                <w:color w:val="000000"/>
                <w:lang w:val="en-IN"/>
              </w:rPr>
            </w:pPr>
            <w:r w:rsidRPr="005F6C2F">
              <w:rPr>
                <w:rFonts w:ascii="Arial" w:hAnsi="Arial" w:cs="Arial"/>
                <w:b/>
                <w:bCs/>
                <w:color w:val="000000"/>
                <w:lang w:val="en-IN"/>
              </w:rPr>
              <w:t>Cumulative</w:t>
            </w:r>
          </w:p>
        </w:tc>
      </w:tr>
      <w:tr w:rsidR="005F6C2F" w:rsidRPr="005F6C2F" w14:paraId="64336837" w14:textId="77777777" w:rsidTr="005F6C2F">
        <w:trPr>
          <w:trHeight w:val="312"/>
          <w:jc w:val="center"/>
        </w:trPr>
        <w:tc>
          <w:tcPr>
            <w:tcW w:w="456" w:type="pct"/>
            <w:tcBorders>
              <w:top w:val="nil"/>
              <w:left w:val="single" w:sz="4" w:space="0" w:color="auto"/>
              <w:bottom w:val="single" w:sz="4" w:space="0" w:color="000000"/>
              <w:right w:val="single" w:sz="4" w:space="0" w:color="000000"/>
            </w:tcBorders>
            <w:noWrap/>
            <w:vAlign w:val="bottom"/>
            <w:hideMark/>
          </w:tcPr>
          <w:p w14:paraId="42FF6248"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w:t>
            </w:r>
          </w:p>
        </w:tc>
        <w:tc>
          <w:tcPr>
            <w:tcW w:w="992" w:type="pct"/>
            <w:tcBorders>
              <w:top w:val="nil"/>
              <w:left w:val="nil"/>
              <w:bottom w:val="single" w:sz="4" w:space="0" w:color="000000"/>
              <w:right w:val="single" w:sz="4" w:space="0" w:color="000000"/>
            </w:tcBorders>
            <w:noWrap/>
            <w:vAlign w:val="bottom"/>
            <w:hideMark/>
          </w:tcPr>
          <w:p w14:paraId="5A6A39CC"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1200" w:type="pct"/>
            <w:tcBorders>
              <w:top w:val="nil"/>
              <w:left w:val="nil"/>
              <w:bottom w:val="single" w:sz="4" w:space="0" w:color="000000"/>
              <w:right w:val="single" w:sz="4" w:space="0" w:color="000000"/>
            </w:tcBorders>
            <w:noWrap/>
            <w:vAlign w:val="bottom"/>
            <w:hideMark/>
          </w:tcPr>
          <w:p w14:paraId="3838388D"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1.000</w:t>
            </w:r>
          </w:p>
        </w:tc>
        <w:tc>
          <w:tcPr>
            <w:tcW w:w="1427" w:type="pct"/>
            <w:tcBorders>
              <w:top w:val="nil"/>
              <w:left w:val="nil"/>
              <w:bottom w:val="single" w:sz="4" w:space="0" w:color="000000"/>
              <w:right w:val="single" w:sz="4" w:space="0" w:color="000000"/>
            </w:tcBorders>
            <w:noWrap/>
            <w:vAlign w:val="bottom"/>
            <w:hideMark/>
          </w:tcPr>
          <w:p w14:paraId="5FDE5336"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926" w:type="pct"/>
            <w:tcBorders>
              <w:top w:val="nil"/>
              <w:left w:val="nil"/>
              <w:bottom w:val="single" w:sz="4" w:space="0" w:color="000000"/>
              <w:right w:val="single" w:sz="4" w:space="0" w:color="auto"/>
            </w:tcBorders>
            <w:noWrap/>
            <w:vAlign w:val="bottom"/>
            <w:hideMark/>
          </w:tcPr>
          <w:p w14:paraId="6F2B1E39" w14:textId="77777777" w:rsidR="005F6C2F" w:rsidRPr="005F6C2F" w:rsidRDefault="005F6C2F" w:rsidP="005F6C2F">
            <w:pPr>
              <w:spacing w:before="0" w:after="0" w:line="240" w:lineRule="auto"/>
              <w:jc w:val="left"/>
              <w:rPr>
                <w:rFonts w:ascii="Arial" w:hAnsi="Arial" w:cs="Arial"/>
                <w:color w:val="000000"/>
                <w:lang w:val="en-IN"/>
              </w:rPr>
            </w:pPr>
            <w:r w:rsidRPr="005F6C2F">
              <w:rPr>
                <w:rFonts w:ascii="Arial" w:hAnsi="Arial" w:cs="Arial"/>
                <w:color w:val="000000"/>
                <w:lang w:val="en-IN"/>
              </w:rPr>
              <w:t xml:space="preserve">-£             50.00 </w:t>
            </w:r>
          </w:p>
        </w:tc>
      </w:tr>
      <w:tr w:rsidR="005F6C2F" w:rsidRPr="005F6C2F" w14:paraId="18A28FFE" w14:textId="77777777" w:rsidTr="005F6C2F">
        <w:trPr>
          <w:trHeight w:val="312"/>
          <w:jc w:val="center"/>
        </w:trPr>
        <w:tc>
          <w:tcPr>
            <w:tcW w:w="456" w:type="pct"/>
            <w:tcBorders>
              <w:top w:val="nil"/>
              <w:left w:val="single" w:sz="4" w:space="0" w:color="auto"/>
              <w:bottom w:val="single" w:sz="4" w:space="0" w:color="000000"/>
              <w:right w:val="single" w:sz="4" w:space="0" w:color="000000"/>
            </w:tcBorders>
            <w:noWrap/>
            <w:vAlign w:val="bottom"/>
            <w:hideMark/>
          </w:tcPr>
          <w:p w14:paraId="2331FB65"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1</w:t>
            </w:r>
          </w:p>
        </w:tc>
        <w:tc>
          <w:tcPr>
            <w:tcW w:w="992" w:type="pct"/>
            <w:tcBorders>
              <w:top w:val="nil"/>
              <w:left w:val="nil"/>
              <w:bottom w:val="single" w:sz="4" w:space="0" w:color="000000"/>
              <w:right w:val="single" w:sz="4" w:space="0" w:color="000000"/>
            </w:tcBorders>
            <w:noWrap/>
            <w:vAlign w:val="bottom"/>
            <w:hideMark/>
          </w:tcPr>
          <w:p w14:paraId="4F861D5E"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5.00 </w:t>
            </w:r>
          </w:p>
        </w:tc>
        <w:tc>
          <w:tcPr>
            <w:tcW w:w="1200" w:type="pct"/>
            <w:tcBorders>
              <w:top w:val="nil"/>
              <w:left w:val="nil"/>
              <w:bottom w:val="single" w:sz="4" w:space="0" w:color="000000"/>
              <w:right w:val="single" w:sz="4" w:space="0" w:color="000000"/>
            </w:tcBorders>
            <w:noWrap/>
            <w:vAlign w:val="bottom"/>
            <w:hideMark/>
          </w:tcPr>
          <w:p w14:paraId="67218A85"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0.909</w:t>
            </w:r>
          </w:p>
        </w:tc>
        <w:tc>
          <w:tcPr>
            <w:tcW w:w="1427" w:type="pct"/>
            <w:tcBorders>
              <w:top w:val="nil"/>
              <w:left w:val="nil"/>
              <w:bottom w:val="single" w:sz="4" w:space="0" w:color="000000"/>
              <w:right w:val="single" w:sz="4" w:space="0" w:color="000000"/>
            </w:tcBorders>
            <w:noWrap/>
            <w:vAlign w:val="bottom"/>
            <w:hideMark/>
          </w:tcPr>
          <w:p w14:paraId="0CCBF553"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4.55 </w:t>
            </w:r>
          </w:p>
        </w:tc>
        <w:tc>
          <w:tcPr>
            <w:tcW w:w="926" w:type="pct"/>
            <w:tcBorders>
              <w:top w:val="nil"/>
              <w:left w:val="nil"/>
              <w:bottom w:val="single" w:sz="4" w:space="0" w:color="000000"/>
              <w:right w:val="single" w:sz="4" w:space="0" w:color="auto"/>
            </w:tcBorders>
            <w:noWrap/>
            <w:vAlign w:val="bottom"/>
            <w:hideMark/>
          </w:tcPr>
          <w:p w14:paraId="078F1EF0" w14:textId="77777777" w:rsidR="005F6C2F" w:rsidRPr="005F6C2F" w:rsidRDefault="005F6C2F" w:rsidP="005F6C2F">
            <w:pPr>
              <w:spacing w:before="0" w:after="0" w:line="240" w:lineRule="auto"/>
              <w:jc w:val="left"/>
              <w:rPr>
                <w:rFonts w:ascii="Arial" w:hAnsi="Arial" w:cs="Arial"/>
                <w:color w:val="000000"/>
                <w:lang w:val="en-IN"/>
              </w:rPr>
            </w:pPr>
            <w:r w:rsidRPr="005F6C2F">
              <w:rPr>
                <w:rFonts w:ascii="Arial" w:hAnsi="Arial" w:cs="Arial"/>
                <w:color w:val="000000"/>
                <w:lang w:val="en-IN"/>
              </w:rPr>
              <w:t xml:space="preserve">-£             45.45 </w:t>
            </w:r>
          </w:p>
        </w:tc>
      </w:tr>
      <w:tr w:rsidR="005F6C2F" w:rsidRPr="005F6C2F" w14:paraId="75D48774" w14:textId="77777777" w:rsidTr="005F6C2F">
        <w:trPr>
          <w:trHeight w:val="312"/>
          <w:jc w:val="center"/>
        </w:trPr>
        <w:tc>
          <w:tcPr>
            <w:tcW w:w="456" w:type="pct"/>
            <w:tcBorders>
              <w:top w:val="nil"/>
              <w:left w:val="single" w:sz="4" w:space="0" w:color="auto"/>
              <w:bottom w:val="single" w:sz="4" w:space="0" w:color="000000"/>
              <w:right w:val="single" w:sz="4" w:space="0" w:color="000000"/>
            </w:tcBorders>
            <w:noWrap/>
            <w:vAlign w:val="bottom"/>
            <w:hideMark/>
          </w:tcPr>
          <w:p w14:paraId="2F7ABC98"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2</w:t>
            </w:r>
          </w:p>
        </w:tc>
        <w:tc>
          <w:tcPr>
            <w:tcW w:w="992" w:type="pct"/>
            <w:tcBorders>
              <w:top w:val="nil"/>
              <w:left w:val="nil"/>
              <w:bottom w:val="single" w:sz="4" w:space="0" w:color="000000"/>
              <w:right w:val="single" w:sz="4" w:space="0" w:color="000000"/>
            </w:tcBorders>
            <w:noWrap/>
            <w:vAlign w:val="bottom"/>
            <w:hideMark/>
          </w:tcPr>
          <w:p w14:paraId="12A1EB56"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10.00 </w:t>
            </w:r>
          </w:p>
        </w:tc>
        <w:tc>
          <w:tcPr>
            <w:tcW w:w="1200" w:type="pct"/>
            <w:tcBorders>
              <w:top w:val="nil"/>
              <w:left w:val="nil"/>
              <w:bottom w:val="single" w:sz="4" w:space="0" w:color="000000"/>
              <w:right w:val="single" w:sz="4" w:space="0" w:color="000000"/>
            </w:tcBorders>
            <w:noWrap/>
            <w:vAlign w:val="bottom"/>
            <w:hideMark/>
          </w:tcPr>
          <w:p w14:paraId="68CE0D18"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0.826</w:t>
            </w:r>
          </w:p>
        </w:tc>
        <w:tc>
          <w:tcPr>
            <w:tcW w:w="1427" w:type="pct"/>
            <w:tcBorders>
              <w:top w:val="nil"/>
              <w:left w:val="nil"/>
              <w:bottom w:val="single" w:sz="4" w:space="0" w:color="000000"/>
              <w:right w:val="single" w:sz="4" w:space="0" w:color="000000"/>
            </w:tcBorders>
            <w:noWrap/>
            <w:vAlign w:val="bottom"/>
            <w:hideMark/>
          </w:tcPr>
          <w:p w14:paraId="43D93D2A"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8.26 </w:t>
            </w:r>
          </w:p>
        </w:tc>
        <w:tc>
          <w:tcPr>
            <w:tcW w:w="926" w:type="pct"/>
            <w:tcBorders>
              <w:top w:val="nil"/>
              <w:left w:val="nil"/>
              <w:bottom w:val="single" w:sz="4" w:space="0" w:color="000000"/>
              <w:right w:val="single" w:sz="4" w:space="0" w:color="auto"/>
            </w:tcBorders>
            <w:noWrap/>
            <w:vAlign w:val="bottom"/>
            <w:hideMark/>
          </w:tcPr>
          <w:p w14:paraId="000C603C" w14:textId="77777777" w:rsidR="005F6C2F" w:rsidRPr="005F6C2F" w:rsidRDefault="005F6C2F" w:rsidP="005F6C2F">
            <w:pPr>
              <w:spacing w:before="0" w:after="0" w:line="240" w:lineRule="auto"/>
              <w:jc w:val="left"/>
              <w:rPr>
                <w:rFonts w:ascii="Arial" w:hAnsi="Arial" w:cs="Arial"/>
                <w:color w:val="000000"/>
                <w:lang w:val="en-IN"/>
              </w:rPr>
            </w:pPr>
            <w:r w:rsidRPr="005F6C2F">
              <w:rPr>
                <w:rFonts w:ascii="Arial" w:hAnsi="Arial" w:cs="Arial"/>
                <w:color w:val="000000"/>
                <w:lang w:val="en-IN"/>
              </w:rPr>
              <w:t xml:space="preserve">-£             37.19 </w:t>
            </w:r>
          </w:p>
        </w:tc>
      </w:tr>
      <w:tr w:rsidR="005F6C2F" w:rsidRPr="005F6C2F" w14:paraId="69A40893" w14:textId="77777777" w:rsidTr="005F6C2F">
        <w:trPr>
          <w:trHeight w:val="312"/>
          <w:jc w:val="center"/>
        </w:trPr>
        <w:tc>
          <w:tcPr>
            <w:tcW w:w="456" w:type="pct"/>
            <w:tcBorders>
              <w:top w:val="nil"/>
              <w:left w:val="single" w:sz="4" w:space="0" w:color="auto"/>
              <w:bottom w:val="single" w:sz="4" w:space="0" w:color="000000"/>
              <w:right w:val="single" w:sz="4" w:space="0" w:color="000000"/>
            </w:tcBorders>
            <w:noWrap/>
            <w:vAlign w:val="bottom"/>
            <w:hideMark/>
          </w:tcPr>
          <w:p w14:paraId="755D6D0B"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3</w:t>
            </w:r>
          </w:p>
        </w:tc>
        <w:tc>
          <w:tcPr>
            <w:tcW w:w="992" w:type="pct"/>
            <w:tcBorders>
              <w:top w:val="nil"/>
              <w:left w:val="nil"/>
              <w:bottom w:val="single" w:sz="4" w:space="0" w:color="000000"/>
              <w:right w:val="single" w:sz="4" w:space="0" w:color="000000"/>
            </w:tcBorders>
            <w:noWrap/>
            <w:vAlign w:val="bottom"/>
            <w:hideMark/>
          </w:tcPr>
          <w:p w14:paraId="1C2D28DF"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20.00 </w:t>
            </w:r>
          </w:p>
        </w:tc>
        <w:tc>
          <w:tcPr>
            <w:tcW w:w="1200" w:type="pct"/>
            <w:tcBorders>
              <w:top w:val="nil"/>
              <w:left w:val="nil"/>
              <w:bottom w:val="single" w:sz="4" w:space="0" w:color="000000"/>
              <w:right w:val="single" w:sz="4" w:space="0" w:color="000000"/>
            </w:tcBorders>
            <w:noWrap/>
            <w:vAlign w:val="bottom"/>
            <w:hideMark/>
          </w:tcPr>
          <w:p w14:paraId="0B85BFD1"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0.751</w:t>
            </w:r>
          </w:p>
        </w:tc>
        <w:tc>
          <w:tcPr>
            <w:tcW w:w="1427" w:type="pct"/>
            <w:tcBorders>
              <w:top w:val="nil"/>
              <w:left w:val="nil"/>
              <w:bottom w:val="single" w:sz="4" w:space="0" w:color="000000"/>
              <w:right w:val="single" w:sz="4" w:space="0" w:color="000000"/>
            </w:tcBorders>
            <w:noWrap/>
            <w:vAlign w:val="bottom"/>
            <w:hideMark/>
          </w:tcPr>
          <w:p w14:paraId="251C6F5F"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15.03 </w:t>
            </w:r>
          </w:p>
        </w:tc>
        <w:tc>
          <w:tcPr>
            <w:tcW w:w="926" w:type="pct"/>
            <w:tcBorders>
              <w:top w:val="nil"/>
              <w:left w:val="nil"/>
              <w:bottom w:val="single" w:sz="4" w:space="0" w:color="000000"/>
              <w:right w:val="single" w:sz="4" w:space="0" w:color="auto"/>
            </w:tcBorders>
            <w:noWrap/>
            <w:vAlign w:val="bottom"/>
            <w:hideMark/>
          </w:tcPr>
          <w:p w14:paraId="4EE95D10" w14:textId="77777777" w:rsidR="005F6C2F" w:rsidRPr="005F6C2F" w:rsidRDefault="005F6C2F" w:rsidP="005F6C2F">
            <w:pPr>
              <w:spacing w:before="0" w:after="0" w:line="240" w:lineRule="auto"/>
              <w:jc w:val="left"/>
              <w:rPr>
                <w:rFonts w:ascii="Arial" w:hAnsi="Arial" w:cs="Arial"/>
                <w:color w:val="000000"/>
                <w:lang w:val="en-IN"/>
              </w:rPr>
            </w:pPr>
            <w:r w:rsidRPr="005F6C2F">
              <w:rPr>
                <w:rFonts w:ascii="Arial" w:hAnsi="Arial" w:cs="Arial"/>
                <w:color w:val="000000"/>
                <w:lang w:val="en-IN"/>
              </w:rPr>
              <w:t xml:space="preserve">-£             22.16 </w:t>
            </w:r>
          </w:p>
        </w:tc>
      </w:tr>
      <w:tr w:rsidR="005F6C2F" w:rsidRPr="005F6C2F" w14:paraId="5B939024" w14:textId="77777777" w:rsidTr="005F6C2F">
        <w:trPr>
          <w:trHeight w:val="312"/>
          <w:jc w:val="center"/>
        </w:trPr>
        <w:tc>
          <w:tcPr>
            <w:tcW w:w="456" w:type="pct"/>
            <w:tcBorders>
              <w:top w:val="nil"/>
              <w:left w:val="single" w:sz="4" w:space="0" w:color="auto"/>
              <w:bottom w:val="single" w:sz="4" w:space="0" w:color="000000"/>
              <w:right w:val="single" w:sz="4" w:space="0" w:color="000000"/>
            </w:tcBorders>
            <w:noWrap/>
            <w:vAlign w:val="bottom"/>
            <w:hideMark/>
          </w:tcPr>
          <w:p w14:paraId="54E9E078"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4</w:t>
            </w:r>
          </w:p>
        </w:tc>
        <w:tc>
          <w:tcPr>
            <w:tcW w:w="992" w:type="pct"/>
            <w:tcBorders>
              <w:top w:val="nil"/>
              <w:left w:val="nil"/>
              <w:bottom w:val="single" w:sz="4" w:space="0" w:color="000000"/>
              <w:right w:val="single" w:sz="4" w:space="0" w:color="000000"/>
            </w:tcBorders>
            <w:noWrap/>
            <w:vAlign w:val="bottom"/>
            <w:hideMark/>
          </w:tcPr>
          <w:p w14:paraId="2B55391B"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25.00 </w:t>
            </w:r>
          </w:p>
        </w:tc>
        <w:tc>
          <w:tcPr>
            <w:tcW w:w="1200" w:type="pct"/>
            <w:tcBorders>
              <w:top w:val="nil"/>
              <w:left w:val="nil"/>
              <w:bottom w:val="single" w:sz="4" w:space="0" w:color="000000"/>
              <w:right w:val="single" w:sz="4" w:space="0" w:color="000000"/>
            </w:tcBorders>
            <w:noWrap/>
            <w:vAlign w:val="bottom"/>
            <w:hideMark/>
          </w:tcPr>
          <w:p w14:paraId="7F7C8EA8"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0.683</w:t>
            </w:r>
          </w:p>
        </w:tc>
        <w:tc>
          <w:tcPr>
            <w:tcW w:w="1427" w:type="pct"/>
            <w:tcBorders>
              <w:top w:val="nil"/>
              <w:left w:val="nil"/>
              <w:bottom w:val="single" w:sz="4" w:space="0" w:color="000000"/>
              <w:right w:val="single" w:sz="4" w:space="0" w:color="000000"/>
            </w:tcBorders>
            <w:noWrap/>
            <w:vAlign w:val="bottom"/>
            <w:hideMark/>
          </w:tcPr>
          <w:p w14:paraId="6879B8AB"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17.08 </w:t>
            </w:r>
          </w:p>
        </w:tc>
        <w:tc>
          <w:tcPr>
            <w:tcW w:w="926" w:type="pct"/>
            <w:tcBorders>
              <w:top w:val="nil"/>
              <w:left w:val="nil"/>
              <w:bottom w:val="single" w:sz="4" w:space="0" w:color="000000"/>
              <w:right w:val="single" w:sz="4" w:space="0" w:color="auto"/>
            </w:tcBorders>
            <w:noWrap/>
            <w:vAlign w:val="bottom"/>
            <w:hideMark/>
          </w:tcPr>
          <w:p w14:paraId="20AE58DB" w14:textId="77777777" w:rsidR="005F6C2F" w:rsidRPr="005F6C2F" w:rsidRDefault="005F6C2F" w:rsidP="005F6C2F">
            <w:pPr>
              <w:spacing w:before="0" w:after="0" w:line="240" w:lineRule="auto"/>
              <w:jc w:val="left"/>
              <w:rPr>
                <w:rFonts w:ascii="Arial" w:hAnsi="Arial" w:cs="Arial"/>
                <w:color w:val="000000"/>
                <w:lang w:val="en-IN"/>
              </w:rPr>
            </w:pPr>
            <w:r w:rsidRPr="005F6C2F">
              <w:rPr>
                <w:rFonts w:ascii="Arial" w:hAnsi="Arial" w:cs="Arial"/>
                <w:color w:val="000000"/>
                <w:lang w:val="en-IN"/>
              </w:rPr>
              <w:t xml:space="preserve">-£               5.09 </w:t>
            </w:r>
          </w:p>
        </w:tc>
      </w:tr>
      <w:tr w:rsidR="005F6C2F" w:rsidRPr="005F6C2F" w14:paraId="1C705F67" w14:textId="77777777" w:rsidTr="005F6C2F">
        <w:trPr>
          <w:trHeight w:val="312"/>
          <w:jc w:val="center"/>
        </w:trPr>
        <w:tc>
          <w:tcPr>
            <w:tcW w:w="456" w:type="pct"/>
            <w:tcBorders>
              <w:top w:val="nil"/>
              <w:left w:val="single" w:sz="4" w:space="0" w:color="auto"/>
              <w:bottom w:val="single" w:sz="4" w:space="0" w:color="000000"/>
              <w:right w:val="single" w:sz="4" w:space="0" w:color="000000"/>
            </w:tcBorders>
            <w:noWrap/>
            <w:vAlign w:val="bottom"/>
            <w:hideMark/>
          </w:tcPr>
          <w:p w14:paraId="470D92F7"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5</w:t>
            </w:r>
          </w:p>
        </w:tc>
        <w:tc>
          <w:tcPr>
            <w:tcW w:w="992" w:type="pct"/>
            <w:tcBorders>
              <w:top w:val="nil"/>
              <w:left w:val="nil"/>
              <w:bottom w:val="single" w:sz="4" w:space="0" w:color="000000"/>
              <w:right w:val="single" w:sz="4" w:space="0" w:color="000000"/>
            </w:tcBorders>
            <w:noWrap/>
            <w:vAlign w:val="bottom"/>
            <w:hideMark/>
          </w:tcPr>
          <w:p w14:paraId="6ECBD80F"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5.00 </w:t>
            </w:r>
          </w:p>
        </w:tc>
        <w:tc>
          <w:tcPr>
            <w:tcW w:w="1200" w:type="pct"/>
            <w:tcBorders>
              <w:top w:val="nil"/>
              <w:left w:val="nil"/>
              <w:bottom w:val="single" w:sz="4" w:space="0" w:color="000000"/>
              <w:right w:val="single" w:sz="4" w:space="0" w:color="000000"/>
            </w:tcBorders>
            <w:noWrap/>
            <w:vAlign w:val="bottom"/>
            <w:hideMark/>
          </w:tcPr>
          <w:p w14:paraId="1D2C987C"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0.621</w:t>
            </w:r>
          </w:p>
        </w:tc>
        <w:tc>
          <w:tcPr>
            <w:tcW w:w="1427" w:type="pct"/>
            <w:tcBorders>
              <w:top w:val="nil"/>
              <w:left w:val="nil"/>
              <w:bottom w:val="single" w:sz="4" w:space="0" w:color="000000"/>
              <w:right w:val="single" w:sz="4" w:space="0" w:color="000000"/>
            </w:tcBorders>
            <w:noWrap/>
            <w:vAlign w:val="bottom"/>
            <w:hideMark/>
          </w:tcPr>
          <w:p w14:paraId="52E28937"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3.10 </w:t>
            </w:r>
          </w:p>
        </w:tc>
        <w:tc>
          <w:tcPr>
            <w:tcW w:w="926" w:type="pct"/>
            <w:tcBorders>
              <w:top w:val="nil"/>
              <w:left w:val="nil"/>
              <w:bottom w:val="single" w:sz="4" w:space="0" w:color="000000"/>
              <w:right w:val="single" w:sz="4" w:space="0" w:color="auto"/>
            </w:tcBorders>
            <w:noWrap/>
            <w:vAlign w:val="bottom"/>
            <w:hideMark/>
          </w:tcPr>
          <w:p w14:paraId="57B6D759" w14:textId="77777777" w:rsidR="005F6C2F" w:rsidRPr="005F6C2F" w:rsidRDefault="005F6C2F" w:rsidP="005F6C2F">
            <w:pPr>
              <w:spacing w:before="0" w:after="0" w:line="240" w:lineRule="auto"/>
              <w:jc w:val="left"/>
              <w:rPr>
                <w:rFonts w:ascii="Arial" w:hAnsi="Arial" w:cs="Arial"/>
                <w:color w:val="000000"/>
                <w:lang w:val="en-IN"/>
              </w:rPr>
            </w:pPr>
            <w:r w:rsidRPr="005F6C2F">
              <w:rPr>
                <w:rFonts w:ascii="Arial" w:hAnsi="Arial" w:cs="Arial"/>
                <w:color w:val="000000"/>
                <w:lang w:val="en-IN"/>
              </w:rPr>
              <w:t xml:space="preserve">-£               1.98 </w:t>
            </w:r>
          </w:p>
        </w:tc>
      </w:tr>
      <w:tr w:rsidR="005F6C2F" w:rsidRPr="005F6C2F" w14:paraId="1ED9AA35" w14:textId="77777777" w:rsidTr="005F6C2F">
        <w:trPr>
          <w:trHeight w:val="312"/>
          <w:jc w:val="center"/>
        </w:trPr>
        <w:tc>
          <w:tcPr>
            <w:tcW w:w="4074" w:type="pct"/>
            <w:gridSpan w:val="4"/>
            <w:tcBorders>
              <w:top w:val="single" w:sz="4" w:space="0" w:color="000000"/>
              <w:left w:val="single" w:sz="4" w:space="0" w:color="auto"/>
              <w:bottom w:val="single" w:sz="4" w:space="0" w:color="000000"/>
              <w:right w:val="single" w:sz="4" w:space="0" w:color="000000"/>
            </w:tcBorders>
            <w:vAlign w:val="center"/>
            <w:hideMark/>
          </w:tcPr>
          <w:p w14:paraId="1E08C5BE"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"Payback Period (PBP) of Project C"</w:t>
            </w:r>
          </w:p>
        </w:tc>
        <w:tc>
          <w:tcPr>
            <w:tcW w:w="926" w:type="pct"/>
            <w:tcBorders>
              <w:top w:val="nil"/>
              <w:left w:val="nil"/>
              <w:bottom w:val="single" w:sz="4" w:space="0" w:color="000000"/>
              <w:right w:val="single" w:sz="4" w:space="0" w:color="auto"/>
            </w:tcBorders>
            <w:vAlign w:val="center"/>
            <w:hideMark/>
          </w:tcPr>
          <w:p w14:paraId="5196BCE6"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Not Recovered</w:t>
            </w:r>
          </w:p>
        </w:tc>
      </w:tr>
      <w:tr w:rsidR="005F6C2F" w:rsidRPr="005F6C2F" w14:paraId="774AD185" w14:textId="77777777" w:rsidTr="005F6C2F">
        <w:trPr>
          <w:trHeight w:val="312"/>
          <w:jc w:val="center"/>
        </w:trPr>
        <w:tc>
          <w:tcPr>
            <w:tcW w:w="456" w:type="pct"/>
            <w:tcBorders>
              <w:top w:val="nil"/>
              <w:left w:val="single" w:sz="4" w:space="0" w:color="auto"/>
              <w:bottom w:val="nil"/>
              <w:right w:val="nil"/>
            </w:tcBorders>
            <w:noWrap/>
            <w:vAlign w:val="bottom"/>
            <w:hideMark/>
          </w:tcPr>
          <w:p w14:paraId="1F638740" w14:textId="77777777" w:rsidR="005F6C2F" w:rsidRPr="005F6C2F" w:rsidRDefault="005F6C2F" w:rsidP="005F6C2F">
            <w:pPr>
              <w:spacing w:before="0" w:after="0" w:line="240" w:lineRule="auto"/>
              <w:jc w:val="center"/>
              <w:rPr>
                <w:rFonts w:ascii="Arial" w:hAnsi="Arial" w:cs="Arial"/>
                <w:b/>
                <w:bCs/>
                <w:color w:val="000000"/>
                <w:lang w:val="en-IN"/>
              </w:rPr>
            </w:pPr>
          </w:p>
        </w:tc>
        <w:tc>
          <w:tcPr>
            <w:tcW w:w="992" w:type="pct"/>
            <w:tcBorders>
              <w:top w:val="nil"/>
              <w:left w:val="nil"/>
              <w:bottom w:val="nil"/>
              <w:right w:val="nil"/>
            </w:tcBorders>
            <w:noWrap/>
            <w:vAlign w:val="bottom"/>
            <w:hideMark/>
          </w:tcPr>
          <w:p w14:paraId="48486D7A" w14:textId="77777777" w:rsidR="005F6C2F" w:rsidRPr="005F6C2F" w:rsidRDefault="005F6C2F" w:rsidP="005F6C2F">
            <w:pPr>
              <w:spacing w:before="0" w:after="0" w:line="240" w:lineRule="auto"/>
              <w:jc w:val="left"/>
              <w:rPr>
                <w:sz w:val="20"/>
                <w:szCs w:val="20"/>
                <w:lang w:val="en-IN"/>
              </w:rPr>
            </w:pPr>
          </w:p>
        </w:tc>
        <w:tc>
          <w:tcPr>
            <w:tcW w:w="1200" w:type="pct"/>
            <w:tcBorders>
              <w:top w:val="nil"/>
              <w:left w:val="nil"/>
              <w:bottom w:val="nil"/>
              <w:right w:val="nil"/>
            </w:tcBorders>
            <w:noWrap/>
            <w:vAlign w:val="bottom"/>
            <w:hideMark/>
          </w:tcPr>
          <w:p w14:paraId="1D9CC940" w14:textId="77777777" w:rsidR="005F6C2F" w:rsidRPr="005F6C2F" w:rsidRDefault="005F6C2F" w:rsidP="005F6C2F">
            <w:pPr>
              <w:spacing w:before="0" w:after="0" w:line="240" w:lineRule="auto"/>
              <w:jc w:val="left"/>
              <w:rPr>
                <w:sz w:val="20"/>
                <w:szCs w:val="20"/>
                <w:lang w:val="en-IN"/>
              </w:rPr>
            </w:pPr>
          </w:p>
        </w:tc>
        <w:tc>
          <w:tcPr>
            <w:tcW w:w="1427" w:type="pct"/>
            <w:tcBorders>
              <w:top w:val="nil"/>
              <w:left w:val="nil"/>
              <w:bottom w:val="nil"/>
              <w:right w:val="nil"/>
            </w:tcBorders>
            <w:noWrap/>
            <w:vAlign w:val="bottom"/>
            <w:hideMark/>
          </w:tcPr>
          <w:p w14:paraId="22E14D41" w14:textId="77777777" w:rsidR="005F6C2F" w:rsidRPr="005F6C2F" w:rsidRDefault="005F6C2F" w:rsidP="005F6C2F">
            <w:pPr>
              <w:spacing w:before="0" w:after="0" w:line="240" w:lineRule="auto"/>
              <w:jc w:val="left"/>
              <w:rPr>
                <w:sz w:val="20"/>
                <w:szCs w:val="20"/>
                <w:lang w:val="en-IN"/>
              </w:rPr>
            </w:pPr>
          </w:p>
        </w:tc>
        <w:tc>
          <w:tcPr>
            <w:tcW w:w="926" w:type="pct"/>
            <w:tcBorders>
              <w:top w:val="nil"/>
              <w:left w:val="nil"/>
              <w:bottom w:val="nil"/>
              <w:right w:val="single" w:sz="4" w:space="0" w:color="auto"/>
            </w:tcBorders>
            <w:noWrap/>
            <w:vAlign w:val="bottom"/>
            <w:hideMark/>
          </w:tcPr>
          <w:p w14:paraId="385D8883" w14:textId="77777777" w:rsidR="005F6C2F" w:rsidRPr="005F6C2F" w:rsidRDefault="005F6C2F" w:rsidP="005F6C2F">
            <w:pPr>
              <w:spacing w:before="0" w:after="0" w:line="240" w:lineRule="auto"/>
              <w:jc w:val="left"/>
              <w:rPr>
                <w:sz w:val="20"/>
                <w:szCs w:val="20"/>
                <w:lang w:val="en-IN"/>
              </w:rPr>
            </w:pPr>
          </w:p>
        </w:tc>
      </w:tr>
      <w:tr w:rsidR="005F6C2F" w:rsidRPr="005F6C2F" w14:paraId="19541072" w14:textId="77777777" w:rsidTr="005F6C2F">
        <w:trPr>
          <w:trHeight w:val="624"/>
          <w:jc w:val="center"/>
        </w:trPr>
        <w:tc>
          <w:tcPr>
            <w:tcW w:w="456" w:type="pct"/>
            <w:tcBorders>
              <w:top w:val="single" w:sz="4" w:space="0" w:color="000000"/>
              <w:left w:val="single" w:sz="4" w:space="0" w:color="auto"/>
              <w:bottom w:val="single" w:sz="4" w:space="0" w:color="000000"/>
              <w:right w:val="single" w:sz="4" w:space="0" w:color="000000"/>
            </w:tcBorders>
            <w:vAlign w:val="center"/>
            <w:hideMark/>
          </w:tcPr>
          <w:p w14:paraId="0C54C38C"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Year</w:t>
            </w:r>
          </w:p>
        </w:tc>
        <w:tc>
          <w:tcPr>
            <w:tcW w:w="992" w:type="pct"/>
            <w:tcBorders>
              <w:top w:val="single" w:sz="4" w:space="0" w:color="000000"/>
              <w:left w:val="nil"/>
              <w:bottom w:val="single" w:sz="4" w:space="0" w:color="000000"/>
              <w:right w:val="single" w:sz="4" w:space="0" w:color="000000"/>
            </w:tcBorders>
            <w:vAlign w:val="center"/>
            <w:hideMark/>
          </w:tcPr>
          <w:p w14:paraId="2ADE7873"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Cashflow</w:t>
            </w:r>
          </w:p>
        </w:tc>
        <w:tc>
          <w:tcPr>
            <w:tcW w:w="1200" w:type="pct"/>
            <w:tcBorders>
              <w:top w:val="single" w:sz="4" w:space="0" w:color="000000"/>
              <w:left w:val="nil"/>
              <w:bottom w:val="single" w:sz="4" w:space="0" w:color="000000"/>
              <w:right w:val="single" w:sz="4" w:space="0" w:color="000000"/>
            </w:tcBorders>
            <w:vAlign w:val="center"/>
            <w:hideMark/>
          </w:tcPr>
          <w:p w14:paraId="33BF9C29"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"Discounting Factor @10%"</w:t>
            </w:r>
          </w:p>
        </w:tc>
        <w:tc>
          <w:tcPr>
            <w:tcW w:w="1427" w:type="pct"/>
            <w:tcBorders>
              <w:top w:val="single" w:sz="4" w:space="0" w:color="000000"/>
              <w:left w:val="nil"/>
              <w:bottom w:val="single" w:sz="4" w:space="0" w:color="000000"/>
              <w:right w:val="single" w:sz="4" w:space="0" w:color="000000"/>
            </w:tcBorders>
            <w:vAlign w:val="center"/>
            <w:hideMark/>
          </w:tcPr>
          <w:p w14:paraId="58D69634"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Present value</w:t>
            </w:r>
          </w:p>
        </w:tc>
        <w:tc>
          <w:tcPr>
            <w:tcW w:w="926" w:type="pct"/>
            <w:tcBorders>
              <w:top w:val="nil"/>
              <w:left w:val="nil"/>
              <w:bottom w:val="nil"/>
              <w:right w:val="single" w:sz="4" w:space="0" w:color="auto"/>
            </w:tcBorders>
            <w:noWrap/>
            <w:vAlign w:val="bottom"/>
            <w:hideMark/>
          </w:tcPr>
          <w:p w14:paraId="3B4D2368" w14:textId="77777777" w:rsidR="005F6C2F" w:rsidRPr="005F6C2F" w:rsidRDefault="005F6C2F" w:rsidP="005F6C2F">
            <w:pPr>
              <w:spacing w:before="0" w:after="0" w:line="240" w:lineRule="auto"/>
              <w:jc w:val="center"/>
              <w:rPr>
                <w:rFonts w:ascii="Arial" w:hAnsi="Arial" w:cs="Arial"/>
                <w:b/>
                <w:bCs/>
                <w:color w:val="000000"/>
                <w:lang w:val="en-IN"/>
              </w:rPr>
            </w:pPr>
          </w:p>
        </w:tc>
      </w:tr>
      <w:tr w:rsidR="005F6C2F" w:rsidRPr="005F6C2F" w14:paraId="7908D00D" w14:textId="77777777" w:rsidTr="005F6C2F">
        <w:trPr>
          <w:trHeight w:val="312"/>
          <w:jc w:val="center"/>
        </w:trPr>
        <w:tc>
          <w:tcPr>
            <w:tcW w:w="456" w:type="pct"/>
            <w:tcBorders>
              <w:top w:val="nil"/>
              <w:left w:val="single" w:sz="4" w:space="0" w:color="auto"/>
              <w:bottom w:val="single" w:sz="4" w:space="0" w:color="000000"/>
              <w:right w:val="single" w:sz="4" w:space="0" w:color="000000"/>
            </w:tcBorders>
            <w:noWrap/>
            <w:vAlign w:val="bottom"/>
            <w:hideMark/>
          </w:tcPr>
          <w:p w14:paraId="490799B7"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w:t>
            </w:r>
          </w:p>
        </w:tc>
        <w:tc>
          <w:tcPr>
            <w:tcW w:w="992" w:type="pct"/>
            <w:tcBorders>
              <w:top w:val="nil"/>
              <w:left w:val="nil"/>
              <w:bottom w:val="single" w:sz="4" w:space="0" w:color="000000"/>
              <w:right w:val="single" w:sz="4" w:space="0" w:color="000000"/>
            </w:tcBorders>
            <w:noWrap/>
            <w:vAlign w:val="bottom"/>
            <w:hideMark/>
          </w:tcPr>
          <w:p w14:paraId="43A0D314"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1200" w:type="pct"/>
            <w:tcBorders>
              <w:top w:val="nil"/>
              <w:left w:val="nil"/>
              <w:bottom w:val="single" w:sz="4" w:space="0" w:color="000000"/>
              <w:right w:val="single" w:sz="4" w:space="0" w:color="000000"/>
            </w:tcBorders>
            <w:noWrap/>
            <w:vAlign w:val="bottom"/>
            <w:hideMark/>
          </w:tcPr>
          <w:p w14:paraId="0BCE78B1"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1.000</w:t>
            </w:r>
          </w:p>
        </w:tc>
        <w:tc>
          <w:tcPr>
            <w:tcW w:w="1427" w:type="pct"/>
            <w:tcBorders>
              <w:top w:val="nil"/>
              <w:left w:val="nil"/>
              <w:bottom w:val="single" w:sz="4" w:space="0" w:color="000000"/>
              <w:right w:val="single" w:sz="4" w:space="0" w:color="000000"/>
            </w:tcBorders>
            <w:noWrap/>
            <w:vAlign w:val="bottom"/>
            <w:hideMark/>
          </w:tcPr>
          <w:p w14:paraId="0AF8CA4A"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926" w:type="pct"/>
            <w:tcBorders>
              <w:top w:val="nil"/>
              <w:left w:val="nil"/>
              <w:bottom w:val="nil"/>
              <w:right w:val="single" w:sz="4" w:space="0" w:color="auto"/>
            </w:tcBorders>
            <w:noWrap/>
            <w:vAlign w:val="bottom"/>
            <w:hideMark/>
          </w:tcPr>
          <w:p w14:paraId="05751DE7"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486BD6CB" w14:textId="77777777" w:rsidTr="005F6C2F">
        <w:trPr>
          <w:trHeight w:val="312"/>
          <w:jc w:val="center"/>
        </w:trPr>
        <w:tc>
          <w:tcPr>
            <w:tcW w:w="456" w:type="pct"/>
            <w:tcBorders>
              <w:top w:val="nil"/>
              <w:left w:val="single" w:sz="4" w:space="0" w:color="auto"/>
              <w:bottom w:val="single" w:sz="4" w:space="0" w:color="000000"/>
              <w:right w:val="single" w:sz="4" w:space="0" w:color="000000"/>
            </w:tcBorders>
            <w:noWrap/>
            <w:vAlign w:val="bottom"/>
            <w:hideMark/>
          </w:tcPr>
          <w:p w14:paraId="62227835"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1</w:t>
            </w:r>
          </w:p>
        </w:tc>
        <w:tc>
          <w:tcPr>
            <w:tcW w:w="992" w:type="pct"/>
            <w:tcBorders>
              <w:top w:val="nil"/>
              <w:left w:val="nil"/>
              <w:bottom w:val="single" w:sz="4" w:space="0" w:color="000000"/>
              <w:right w:val="single" w:sz="4" w:space="0" w:color="000000"/>
            </w:tcBorders>
            <w:noWrap/>
            <w:vAlign w:val="bottom"/>
            <w:hideMark/>
          </w:tcPr>
          <w:p w14:paraId="5F6A8243"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5.00 </w:t>
            </w:r>
          </w:p>
        </w:tc>
        <w:tc>
          <w:tcPr>
            <w:tcW w:w="1200" w:type="pct"/>
            <w:tcBorders>
              <w:top w:val="nil"/>
              <w:left w:val="nil"/>
              <w:bottom w:val="single" w:sz="4" w:space="0" w:color="000000"/>
              <w:right w:val="single" w:sz="4" w:space="0" w:color="000000"/>
            </w:tcBorders>
            <w:noWrap/>
            <w:vAlign w:val="bottom"/>
            <w:hideMark/>
          </w:tcPr>
          <w:p w14:paraId="14142B98"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0.909</w:t>
            </w:r>
          </w:p>
        </w:tc>
        <w:tc>
          <w:tcPr>
            <w:tcW w:w="1427" w:type="pct"/>
            <w:tcBorders>
              <w:top w:val="nil"/>
              <w:left w:val="nil"/>
              <w:bottom w:val="single" w:sz="4" w:space="0" w:color="000000"/>
              <w:right w:val="single" w:sz="4" w:space="0" w:color="000000"/>
            </w:tcBorders>
            <w:noWrap/>
            <w:vAlign w:val="bottom"/>
            <w:hideMark/>
          </w:tcPr>
          <w:p w14:paraId="64D9253B"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4.55 </w:t>
            </w:r>
          </w:p>
        </w:tc>
        <w:tc>
          <w:tcPr>
            <w:tcW w:w="926" w:type="pct"/>
            <w:tcBorders>
              <w:top w:val="nil"/>
              <w:left w:val="nil"/>
              <w:bottom w:val="nil"/>
              <w:right w:val="single" w:sz="4" w:space="0" w:color="auto"/>
            </w:tcBorders>
            <w:noWrap/>
            <w:vAlign w:val="bottom"/>
            <w:hideMark/>
          </w:tcPr>
          <w:p w14:paraId="79763F6B"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7C053D8B" w14:textId="77777777" w:rsidTr="005F6C2F">
        <w:trPr>
          <w:trHeight w:val="312"/>
          <w:jc w:val="center"/>
        </w:trPr>
        <w:tc>
          <w:tcPr>
            <w:tcW w:w="456" w:type="pct"/>
            <w:tcBorders>
              <w:top w:val="nil"/>
              <w:left w:val="single" w:sz="4" w:space="0" w:color="auto"/>
              <w:bottom w:val="single" w:sz="4" w:space="0" w:color="000000"/>
              <w:right w:val="single" w:sz="4" w:space="0" w:color="000000"/>
            </w:tcBorders>
            <w:noWrap/>
            <w:vAlign w:val="bottom"/>
            <w:hideMark/>
          </w:tcPr>
          <w:p w14:paraId="6C1C0B60"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2</w:t>
            </w:r>
          </w:p>
        </w:tc>
        <w:tc>
          <w:tcPr>
            <w:tcW w:w="992" w:type="pct"/>
            <w:tcBorders>
              <w:top w:val="nil"/>
              <w:left w:val="nil"/>
              <w:bottom w:val="single" w:sz="4" w:space="0" w:color="000000"/>
              <w:right w:val="single" w:sz="4" w:space="0" w:color="000000"/>
            </w:tcBorders>
            <w:noWrap/>
            <w:vAlign w:val="bottom"/>
            <w:hideMark/>
          </w:tcPr>
          <w:p w14:paraId="0AED55B8"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10.00 </w:t>
            </w:r>
          </w:p>
        </w:tc>
        <w:tc>
          <w:tcPr>
            <w:tcW w:w="1200" w:type="pct"/>
            <w:tcBorders>
              <w:top w:val="nil"/>
              <w:left w:val="nil"/>
              <w:bottom w:val="single" w:sz="4" w:space="0" w:color="000000"/>
              <w:right w:val="single" w:sz="4" w:space="0" w:color="000000"/>
            </w:tcBorders>
            <w:noWrap/>
            <w:vAlign w:val="bottom"/>
            <w:hideMark/>
          </w:tcPr>
          <w:p w14:paraId="4DFE206D"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0.826</w:t>
            </w:r>
          </w:p>
        </w:tc>
        <w:tc>
          <w:tcPr>
            <w:tcW w:w="1427" w:type="pct"/>
            <w:tcBorders>
              <w:top w:val="nil"/>
              <w:left w:val="nil"/>
              <w:bottom w:val="single" w:sz="4" w:space="0" w:color="000000"/>
              <w:right w:val="single" w:sz="4" w:space="0" w:color="000000"/>
            </w:tcBorders>
            <w:noWrap/>
            <w:vAlign w:val="bottom"/>
            <w:hideMark/>
          </w:tcPr>
          <w:p w14:paraId="292ED25C"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8.26 </w:t>
            </w:r>
          </w:p>
        </w:tc>
        <w:tc>
          <w:tcPr>
            <w:tcW w:w="926" w:type="pct"/>
            <w:tcBorders>
              <w:top w:val="nil"/>
              <w:left w:val="nil"/>
              <w:bottom w:val="nil"/>
              <w:right w:val="single" w:sz="4" w:space="0" w:color="auto"/>
            </w:tcBorders>
            <w:noWrap/>
            <w:vAlign w:val="bottom"/>
            <w:hideMark/>
          </w:tcPr>
          <w:p w14:paraId="0448E852"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4185E3A0" w14:textId="77777777" w:rsidTr="005F6C2F">
        <w:trPr>
          <w:trHeight w:val="312"/>
          <w:jc w:val="center"/>
        </w:trPr>
        <w:tc>
          <w:tcPr>
            <w:tcW w:w="456" w:type="pct"/>
            <w:tcBorders>
              <w:top w:val="nil"/>
              <w:left w:val="single" w:sz="4" w:space="0" w:color="auto"/>
              <w:bottom w:val="single" w:sz="4" w:space="0" w:color="000000"/>
              <w:right w:val="single" w:sz="4" w:space="0" w:color="000000"/>
            </w:tcBorders>
            <w:noWrap/>
            <w:vAlign w:val="bottom"/>
            <w:hideMark/>
          </w:tcPr>
          <w:p w14:paraId="701700B1"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3</w:t>
            </w:r>
          </w:p>
        </w:tc>
        <w:tc>
          <w:tcPr>
            <w:tcW w:w="992" w:type="pct"/>
            <w:tcBorders>
              <w:top w:val="nil"/>
              <w:left w:val="nil"/>
              <w:bottom w:val="single" w:sz="4" w:space="0" w:color="000000"/>
              <w:right w:val="single" w:sz="4" w:space="0" w:color="000000"/>
            </w:tcBorders>
            <w:noWrap/>
            <w:vAlign w:val="bottom"/>
            <w:hideMark/>
          </w:tcPr>
          <w:p w14:paraId="3D82889A"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20.00 </w:t>
            </w:r>
          </w:p>
        </w:tc>
        <w:tc>
          <w:tcPr>
            <w:tcW w:w="1200" w:type="pct"/>
            <w:tcBorders>
              <w:top w:val="nil"/>
              <w:left w:val="nil"/>
              <w:bottom w:val="single" w:sz="4" w:space="0" w:color="000000"/>
              <w:right w:val="single" w:sz="4" w:space="0" w:color="000000"/>
            </w:tcBorders>
            <w:noWrap/>
            <w:vAlign w:val="bottom"/>
            <w:hideMark/>
          </w:tcPr>
          <w:p w14:paraId="53BF50FD"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0.751</w:t>
            </w:r>
          </w:p>
        </w:tc>
        <w:tc>
          <w:tcPr>
            <w:tcW w:w="1427" w:type="pct"/>
            <w:tcBorders>
              <w:top w:val="nil"/>
              <w:left w:val="nil"/>
              <w:bottom w:val="single" w:sz="4" w:space="0" w:color="000000"/>
              <w:right w:val="single" w:sz="4" w:space="0" w:color="000000"/>
            </w:tcBorders>
            <w:noWrap/>
            <w:vAlign w:val="bottom"/>
            <w:hideMark/>
          </w:tcPr>
          <w:p w14:paraId="6D92D9F7"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15.03 </w:t>
            </w:r>
          </w:p>
        </w:tc>
        <w:tc>
          <w:tcPr>
            <w:tcW w:w="926" w:type="pct"/>
            <w:tcBorders>
              <w:top w:val="nil"/>
              <w:left w:val="nil"/>
              <w:bottom w:val="nil"/>
              <w:right w:val="single" w:sz="4" w:space="0" w:color="auto"/>
            </w:tcBorders>
            <w:noWrap/>
            <w:vAlign w:val="bottom"/>
            <w:hideMark/>
          </w:tcPr>
          <w:p w14:paraId="35C0D3B0"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78FF318C" w14:textId="77777777" w:rsidTr="005F6C2F">
        <w:trPr>
          <w:trHeight w:val="312"/>
          <w:jc w:val="center"/>
        </w:trPr>
        <w:tc>
          <w:tcPr>
            <w:tcW w:w="456" w:type="pct"/>
            <w:tcBorders>
              <w:top w:val="nil"/>
              <w:left w:val="single" w:sz="4" w:space="0" w:color="auto"/>
              <w:bottom w:val="single" w:sz="4" w:space="0" w:color="000000"/>
              <w:right w:val="single" w:sz="4" w:space="0" w:color="000000"/>
            </w:tcBorders>
            <w:noWrap/>
            <w:vAlign w:val="bottom"/>
            <w:hideMark/>
          </w:tcPr>
          <w:p w14:paraId="487A3F0D"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4</w:t>
            </w:r>
          </w:p>
        </w:tc>
        <w:tc>
          <w:tcPr>
            <w:tcW w:w="992" w:type="pct"/>
            <w:tcBorders>
              <w:top w:val="nil"/>
              <w:left w:val="nil"/>
              <w:bottom w:val="single" w:sz="4" w:space="0" w:color="000000"/>
              <w:right w:val="single" w:sz="4" w:space="0" w:color="000000"/>
            </w:tcBorders>
            <w:noWrap/>
            <w:vAlign w:val="bottom"/>
            <w:hideMark/>
          </w:tcPr>
          <w:p w14:paraId="14D1ABF8"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25.00 </w:t>
            </w:r>
          </w:p>
        </w:tc>
        <w:tc>
          <w:tcPr>
            <w:tcW w:w="1200" w:type="pct"/>
            <w:tcBorders>
              <w:top w:val="nil"/>
              <w:left w:val="nil"/>
              <w:bottom w:val="single" w:sz="4" w:space="0" w:color="000000"/>
              <w:right w:val="single" w:sz="4" w:space="0" w:color="000000"/>
            </w:tcBorders>
            <w:noWrap/>
            <w:vAlign w:val="bottom"/>
            <w:hideMark/>
          </w:tcPr>
          <w:p w14:paraId="4ABEFF31"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0.683</w:t>
            </w:r>
          </w:p>
        </w:tc>
        <w:tc>
          <w:tcPr>
            <w:tcW w:w="1427" w:type="pct"/>
            <w:tcBorders>
              <w:top w:val="nil"/>
              <w:left w:val="nil"/>
              <w:bottom w:val="single" w:sz="4" w:space="0" w:color="000000"/>
              <w:right w:val="single" w:sz="4" w:space="0" w:color="000000"/>
            </w:tcBorders>
            <w:noWrap/>
            <w:vAlign w:val="bottom"/>
            <w:hideMark/>
          </w:tcPr>
          <w:p w14:paraId="1C50DA30"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17.08 </w:t>
            </w:r>
          </w:p>
        </w:tc>
        <w:tc>
          <w:tcPr>
            <w:tcW w:w="926" w:type="pct"/>
            <w:tcBorders>
              <w:top w:val="nil"/>
              <w:left w:val="nil"/>
              <w:bottom w:val="nil"/>
              <w:right w:val="single" w:sz="4" w:space="0" w:color="auto"/>
            </w:tcBorders>
            <w:noWrap/>
            <w:vAlign w:val="bottom"/>
            <w:hideMark/>
          </w:tcPr>
          <w:p w14:paraId="64CF1FAE"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42FDB570" w14:textId="77777777" w:rsidTr="005F6C2F">
        <w:trPr>
          <w:trHeight w:val="312"/>
          <w:jc w:val="center"/>
        </w:trPr>
        <w:tc>
          <w:tcPr>
            <w:tcW w:w="456" w:type="pct"/>
            <w:tcBorders>
              <w:top w:val="nil"/>
              <w:left w:val="single" w:sz="4" w:space="0" w:color="auto"/>
              <w:bottom w:val="single" w:sz="4" w:space="0" w:color="000000"/>
              <w:right w:val="single" w:sz="4" w:space="0" w:color="000000"/>
            </w:tcBorders>
            <w:noWrap/>
            <w:vAlign w:val="bottom"/>
            <w:hideMark/>
          </w:tcPr>
          <w:p w14:paraId="711CB1CE"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5</w:t>
            </w:r>
          </w:p>
        </w:tc>
        <w:tc>
          <w:tcPr>
            <w:tcW w:w="992" w:type="pct"/>
            <w:tcBorders>
              <w:top w:val="nil"/>
              <w:left w:val="nil"/>
              <w:bottom w:val="single" w:sz="4" w:space="0" w:color="000000"/>
              <w:right w:val="single" w:sz="4" w:space="0" w:color="000000"/>
            </w:tcBorders>
            <w:noWrap/>
            <w:vAlign w:val="bottom"/>
            <w:hideMark/>
          </w:tcPr>
          <w:p w14:paraId="74DE260B"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5.00 </w:t>
            </w:r>
          </w:p>
        </w:tc>
        <w:tc>
          <w:tcPr>
            <w:tcW w:w="1200" w:type="pct"/>
            <w:tcBorders>
              <w:top w:val="nil"/>
              <w:left w:val="nil"/>
              <w:bottom w:val="single" w:sz="4" w:space="0" w:color="000000"/>
              <w:right w:val="single" w:sz="4" w:space="0" w:color="000000"/>
            </w:tcBorders>
            <w:noWrap/>
            <w:vAlign w:val="bottom"/>
            <w:hideMark/>
          </w:tcPr>
          <w:p w14:paraId="096657BB"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0.621</w:t>
            </w:r>
          </w:p>
        </w:tc>
        <w:tc>
          <w:tcPr>
            <w:tcW w:w="1427" w:type="pct"/>
            <w:tcBorders>
              <w:top w:val="nil"/>
              <w:left w:val="nil"/>
              <w:bottom w:val="single" w:sz="4" w:space="0" w:color="000000"/>
              <w:right w:val="single" w:sz="4" w:space="0" w:color="000000"/>
            </w:tcBorders>
            <w:noWrap/>
            <w:vAlign w:val="bottom"/>
            <w:hideMark/>
          </w:tcPr>
          <w:p w14:paraId="36404B6B"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3.10 </w:t>
            </w:r>
          </w:p>
        </w:tc>
        <w:tc>
          <w:tcPr>
            <w:tcW w:w="926" w:type="pct"/>
            <w:tcBorders>
              <w:top w:val="nil"/>
              <w:left w:val="nil"/>
              <w:bottom w:val="nil"/>
              <w:right w:val="single" w:sz="4" w:space="0" w:color="auto"/>
            </w:tcBorders>
            <w:noWrap/>
            <w:vAlign w:val="bottom"/>
            <w:hideMark/>
          </w:tcPr>
          <w:p w14:paraId="5B9A2156"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118383F8" w14:textId="77777777" w:rsidTr="005F6C2F">
        <w:trPr>
          <w:trHeight w:val="312"/>
          <w:jc w:val="center"/>
        </w:trPr>
        <w:tc>
          <w:tcPr>
            <w:tcW w:w="2648" w:type="pct"/>
            <w:gridSpan w:val="3"/>
            <w:tcBorders>
              <w:top w:val="single" w:sz="4" w:space="0" w:color="000000"/>
              <w:left w:val="single" w:sz="4" w:space="0" w:color="auto"/>
              <w:bottom w:val="single" w:sz="4" w:space="0" w:color="000000"/>
              <w:right w:val="single" w:sz="4" w:space="0" w:color="000000"/>
            </w:tcBorders>
            <w:vAlign w:val="center"/>
            <w:hideMark/>
          </w:tcPr>
          <w:p w14:paraId="1A265152"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"Internal Rate of Return (IRR) of Project C"</w:t>
            </w:r>
          </w:p>
        </w:tc>
        <w:tc>
          <w:tcPr>
            <w:tcW w:w="1427" w:type="pct"/>
            <w:tcBorders>
              <w:top w:val="nil"/>
              <w:left w:val="nil"/>
              <w:bottom w:val="single" w:sz="4" w:space="0" w:color="000000"/>
              <w:right w:val="single" w:sz="4" w:space="0" w:color="000000"/>
            </w:tcBorders>
            <w:vAlign w:val="center"/>
            <w:hideMark/>
          </w:tcPr>
          <w:p w14:paraId="4B0A8324"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8.59%</w:t>
            </w:r>
          </w:p>
        </w:tc>
        <w:tc>
          <w:tcPr>
            <w:tcW w:w="926" w:type="pct"/>
            <w:tcBorders>
              <w:top w:val="nil"/>
              <w:left w:val="nil"/>
              <w:bottom w:val="nil"/>
              <w:right w:val="single" w:sz="4" w:space="0" w:color="auto"/>
            </w:tcBorders>
            <w:noWrap/>
            <w:vAlign w:val="bottom"/>
            <w:hideMark/>
          </w:tcPr>
          <w:p w14:paraId="6D55D970" w14:textId="77777777" w:rsidR="005F6C2F" w:rsidRPr="005F6C2F" w:rsidRDefault="005F6C2F" w:rsidP="005F6C2F">
            <w:pPr>
              <w:spacing w:before="0" w:after="0" w:line="240" w:lineRule="auto"/>
              <w:jc w:val="center"/>
              <w:rPr>
                <w:rFonts w:ascii="Arial" w:hAnsi="Arial" w:cs="Arial"/>
                <w:b/>
                <w:bCs/>
                <w:color w:val="000000"/>
                <w:lang w:val="en-IN"/>
              </w:rPr>
            </w:pPr>
          </w:p>
        </w:tc>
      </w:tr>
      <w:tr w:rsidR="005F6C2F" w:rsidRPr="005F6C2F" w14:paraId="660BAB04" w14:textId="77777777" w:rsidTr="005F6C2F">
        <w:trPr>
          <w:trHeight w:val="312"/>
          <w:jc w:val="center"/>
        </w:trPr>
        <w:tc>
          <w:tcPr>
            <w:tcW w:w="456" w:type="pct"/>
            <w:tcBorders>
              <w:top w:val="nil"/>
              <w:left w:val="single" w:sz="4" w:space="0" w:color="auto"/>
              <w:bottom w:val="nil"/>
              <w:right w:val="nil"/>
            </w:tcBorders>
            <w:noWrap/>
            <w:vAlign w:val="bottom"/>
            <w:hideMark/>
          </w:tcPr>
          <w:p w14:paraId="7D6A7251" w14:textId="77777777" w:rsidR="005F6C2F" w:rsidRPr="005F6C2F" w:rsidRDefault="005F6C2F" w:rsidP="005F6C2F">
            <w:pPr>
              <w:spacing w:before="0" w:after="0" w:line="240" w:lineRule="auto"/>
              <w:jc w:val="left"/>
              <w:rPr>
                <w:sz w:val="20"/>
                <w:szCs w:val="20"/>
                <w:lang w:val="en-IN"/>
              </w:rPr>
            </w:pPr>
          </w:p>
        </w:tc>
        <w:tc>
          <w:tcPr>
            <w:tcW w:w="992" w:type="pct"/>
            <w:tcBorders>
              <w:top w:val="nil"/>
              <w:left w:val="nil"/>
              <w:bottom w:val="nil"/>
              <w:right w:val="nil"/>
            </w:tcBorders>
            <w:noWrap/>
            <w:vAlign w:val="bottom"/>
            <w:hideMark/>
          </w:tcPr>
          <w:p w14:paraId="77B09A96" w14:textId="77777777" w:rsidR="005F6C2F" w:rsidRPr="005F6C2F" w:rsidRDefault="005F6C2F" w:rsidP="005F6C2F">
            <w:pPr>
              <w:spacing w:before="0" w:after="0" w:line="240" w:lineRule="auto"/>
              <w:jc w:val="left"/>
              <w:rPr>
                <w:sz w:val="20"/>
                <w:szCs w:val="20"/>
                <w:lang w:val="en-IN"/>
              </w:rPr>
            </w:pPr>
          </w:p>
        </w:tc>
        <w:tc>
          <w:tcPr>
            <w:tcW w:w="1200" w:type="pct"/>
            <w:tcBorders>
              <w:top w:val="nil"/>
              <w:left w:val="nil"/>
              <w:bottom w:val="nil"/>
              <w:right w:val="nil"/>
            </w:tcBorders>
            <w:noWrap/>
            <w:vAlign w:val="bottom"/>
            <w:hideMark/>
          </w:tcPr>
          <w:p w14:paraId="4D2774C9" w14:textId="77777777" w:rsidR="005F6C2F" w:rsidRPr="005F6C2F" w:rsidRDefault="005F6C2F" w:rsidP="005F6C2F">
            <w:pPr>
              <w:spacing w:before="0" w:after="0" w:line="240" w:lineRule="auto"/>
              <w:jc w:val="left"/>
              <w:rPr>
                <w:sz w:val="20"/>
                <w:szCs w:val="20"/>
                <w:lang w:val="en-IN"/>
              </w:rPr>
            </w:pPr>
          </w:p>
        </w:tc>
        <w:tc>
          <w:tcPr>
            <w:tcW w:w="1427" w:type="pct"/>
            <w:tcBorders>
              <w:top w:val="nil"/>
              <w:left w:val="nil"/>
              <w:bottom w:val="nil"/>
              <w:right w:val="nil"/>
            </w:tcBorders>
            <w:noWrap/>
            <w:vAlign w:val="bottom"/>
            <w:hideMark/>
          </w:tcPr>
          <w:p w14:paraId="7DB82C71" w14:textId="77777777" w:rsidR="005F6C2F" w:rsidRPr="005F6C2F" w:rsidRDefault="005F6C2F" w:rsidP="005F6C2F">
            <w:pPr>
              <w:spacing w:before="0" w:after="0" w:line="240" w:lineRule="auto"/>
              <w:jc w:val="left"/>
              <w:rPr>
                <w:sz w:val="20"/>
                <w:szCs w:val="20"/>
                <w:lang w:val="en-IN"/>
              </w:rPr>
            </w:pPr>
          </w:p>
        </w:tc>
        <w:tc>
          <w:tcPr>
            <w:tcW w:w="926" w:type="pct"/>
            <w:tcBorders>
              <w:top w:val="nil"/>
              <w:left w:val="nil"/>
              <w:bottom w:val="nil"/>
              <w:right w:val="single" w:sz="4" w:space="0" w:color="auto"/>
            </w:tcBorders>
            <w:noWrap/>
            <w:vAlign w:val="bottom"/>
            <w:hideMark/>
          </w:tcPr>
          <w:p w14:paraId="1D8DDAB2" w14:textId="77777777" w:rsidR="005F6C2F" w:rsidRPr="005F6C2F" w:rsidRDefault="005F6C2F" w:rsidP="005F6C2F">
            <w:pPr>
              <w:spacing w:before="0" w:after="0" w:line="240" w:lineRule="auto"/>
              <w:jc w:val="left"/>
              <w:rPr>
                <w:sz w:val="20"/>
                <w:szCs w:val="20"/>
                <w:lang w:val="en-IN"/>
              </w:rPr>
            </w:pPr>
          </w:p>
        </w:tc>
      </w:tr>
      <w:tr w:rsidR="005F6C2F" w:rsidRPr="005F6C2F" w14:paraId="454EC10A" w14:textId="77777777" w:rsidTr="005F6C2F">
        <w:trPr>
          <w:trHeight w:val="312"/>
          <w:jc w:val="center"/>
        </w:trPr>
        <w:tc>
          <w:tcPr>
            <w:tcW w:w="456" w:type="pct"/>
            <w:tcBorders>
              <w:top w:val="nil"/>
              <w:left w:val="single" w:sz="4" w:space="0" w:color="auto"/>
              <w:bottom w:val="nil"/>
              <w:right w:val="nil"/>
            </w:tcBorders>
            <w:noWrap/>
            <w:vAlign w:val="bottom"/>
            <w:hideMark/>
          </w:tcPr>
          <w:p w14:paraId="68AC95D0" w14:textId="77777777" w:rsidR="005F6C2F" w:rsidRPr="005F6C2F" w:rsidRDefault="005F6C2F" w:rsidP="005F6C2F">
            <w:pPr>
              <w:spacing w:before="0" w:after="0" w:line="240" w:lineRule="auto"/>
              <w:jc w:val="left"/>
              <w:rPr>
                <w:sz w:val="20"/>
                <w:szCs w:val="20"/>
                <w:lang w:val="en-IN"/>
              </w:rPr>
            </w:pPr>
          </w:p>
        </w:tc>
        <w:tc>
          <w:tcPr>
            <w:tcW w:w="992" w:type="pct"/>
            <w:tcBorders>
              <w:top w:val="nil"/>
              <w:left w:val="nil"/>
              <w:bottom w:val="nil"/>
              <w:right w:val="nil"/>
            </w:tcBorders>
            <w:noWrap/>
            <w:vAlign w:val="bottom"/>
            <w:hideMark/>
          </w:tcPr>
          <w:p w14:paraId="3FFC32D7" w14:textId="77777777" w:rsidR="005F6C2F" w:rsidRPr="005F6C2F" w:rsidRDefault="005F6C2F" w:rsidP="005F6C2F">
            <w:pPr>
              <w:spacing w:before="0" w:after="0" w:line="240" w:lineRule="auto"/>
              <w:jc w:val="left"/>
              <w:rPr>
                <w:sz w:val="20"/>
                <w:szCs w:val="20"/>
                <w:lang w:val="en-IN"/>
              </w:rPr>
            </w:pPr>
          </w:p>
        </w:tc>
        <w:tc>
          <w:tcPr>
            <w:tcW w:w="1200" w:type="pct"/>
            <w:tcBorders>
              <w:top w:val="nil"/>
              <w:left w:val="nil"/>
              <w:bottom w:val="nil"/>
              <w:right w:val="nil"/>
            </w:tcBorders>
            <w:noWrap/>
            <w:vAlign w:val="bottom"/>
            <w:hideMark/>
          </w:tcPr>
          <w:p w14:paraId="4937399F" w14:textId="77777777" w:rsidR="005F6C2F" w:rsidRPr="005F6C2F" w:rsidRDefault="005F6C2F" w:rsidP="005F6C2F">
            <w:pPr>
              <w:spacing w:before="0" w:after="0" w:line="240" w:lineRule="auto"/>
              <w:jc w:val="left"/>
              <w:rPr>
                <w:sz w:val="20"/>
                <w:szCs w:val="20"/>
                <w:lang w:val="en-IN"/>
              </w:rPr>
            </w:pPr>
          </w:p>
        </w:tc>
        <w:tc>
          <w:tcPr>
            <w:tcW w:w="1427" w:type="pct"/>
            <w:tcBorders>
              <w:top w:val="nil"/>
              <w:left w:val="nil"/>
              <w:bottom w:val="nil"/>
              <w:right w:val="nil"/>
            </w:tcBorders>
            <w:noWrap/>
            <w:vAlign w:val="bottom"/>
            <w:hideMark/>
          </w:tcPr>
          <w:p w14:paraId="66AA6898" w14:textId="77777777" w:rsidR="005F6C2F" w:rsidRPr="005F6C2F" w:rsidRDefault="005F6C2F" w:rsidP="005F6C2F">
            <w:pPr>
              <w:spacing w:before="0" w:after="0" w:line="240" w:lineRule="auto"/>
              <w:jc w:val="left"/>
              <w:rPr>
                <w:sz w:val="20"/>
                <w:szCs w:val="20"/>
                <w:lang w:val="en-IN"/>
              </w:rPr>
            </w:pPr>
          </w:p>
        </w:tc>
        <w:tc>
          <w:tcPr>
            <w:tcW w:w="926" w:type="pct"/>
            <w:tcBorders>
              <w:top w:val="nil"/>
              <w:left w:val="nil"/>
              <w:bottom w:val="nil"/>
              <w:right w:val="single" w:sz="4" w:space="0" w:color="auto"/>
            </w:tcBorders>
            <w:noWrap/>
            <w:vAlign w:val="bottom"/>
            <w:hideMark/>
          </w:tcPr>
          <w:p w14:paraId="327B7546" w14:textId="77777777" w:rsidR="005F6C2F" w:rsidRPr="005F6C2F" w:rsidRDefault="005F6C2F" w:rsidP="005F6C2F">
            <w:pPr>
              <w:spacing w:before="0" w:after="0" w:line="240" w:lineRule="auto"/>
              <w:jc w:val="left"/>
              <w:rPr>
                <w:sz w:val="20"/>
                <w:szCs w:val="20"/>
                <w:lang w:val="en-IN"/>
              </w:rPr>
            </w:pPr>
          </w:p>
        </w:tc>
      </w:tr>
      <w:tr w:rsidR="005F6C2F" w:rsidRPr="005F6C2F" w14:paraId="5042D74E" w14:textId="77777777" w:rsidTr="005F6C2F">
        <w:trPr>
          <w:trHeight w:val="312"/>
          <w:jc w:val="center"/>
        </w:trPr>
        <w:tc>
          <w:tcPr>
            <w:tcW w:w="456" w:type="pct"/>
            <w:tcBorders>
              <w:top w:val="single" w:sz="4" w:space="0" w:color="auto"/>
              <w:left w:val="single" w:sz="4" w:space="0" w:color="auto"/>
              <w:bottom w:val="single" w:sz="4" w:space="0" w:color="auto"/>
              <w:right w:val="single" w:sz="4" w:space="0" w:color="auto"/>
            </w:tcBorders>
            <w:vAlign w:val="center"/>
            <w:hideMark/>
          </w:tcPr>
          <w:p w14:paraId="795088D3"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"Year"</w:t>
            </w:r>
          </w:p>
        </w:tc>
        <w:tc>
          <w:tcPr>
            <w:tcW w:w="992" w:type="pct"/>
            <w:tcBorders>
              <w:top w:val="single" w:sz="4" w:space="0" w:color="auto"/>
              <w:left w:val="nil"/>
              <w:bottom w:val="single" w:sz="4" w:space="0" w:color="auto"/>
              <w:right w:val="single" w:sz="4" w:space="0" w:color="auto"/>
            </w:tcBorders>
            <w:vAlign w:val="center"/>
            <w:hideMark/>
          </w:tcPr>
          <w:p w14:paraId="219E11F2"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"Cash Flow"</w:t>
            </w:r>
          </w:p>
        </w:tc>
        <w:tc>
          <w:tcPr>
            <w:tcW w:w="1200" w:type="pct"/>
            <w:tcBorders>
              <w:top w:val="single" w:sz="4" w:space="0" w:color="auto"/>
              <w:left w:val="nil"/>
              <w:bottom w:val="single" w:sz="4" w:space="0" w:color="auto"/>
              <w:right w:val="single" w:sz="4" w:space="0" w:color="auto"/>
            </w:tcBorders>
            <w:vAlign w:val="center"/>
            <w:hideMark/>
          </w:tcPr>
          <w:p w14:paraId="48233E2A"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 xml:space="preserve">"Depreciation" </w:t>
            </w:r>
          </w:p>
        </w:tc>
        <w:tc>
          <w:tcPr>
            <w:tcW w:w="1427" w:type="pct"/>
            <w:tcBorders>
              <w:top w:val="single" w:sz="4" w:space="0" w:color="auto"/>
              <w:left w:val="nil"/>
              <w:bottom w:val="single" w:sz="4" w:space="0" w:color="auto"/>
              <w:right w:val="single" w:sz="4" w:space="0" w:color="auto"/>
            </w:tcBorders>
            <w:vAlign w:val="center"/>
            <w:hideMark/>
          </w:tcPr>
          <w:p w14:paraId="0B14B584"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"Present Value"</w:t>
            </w:r>
          </w:p>
        </w:tc>
        <w:tc>
          <w:tcPr>
            <w:tcW w:w="926" w:type="pct"/>
            <w:tcBorders>
              <w:top w:val="nil"/>
              <w:left w:val="nil"/>
              <w:bottom w:val="nil"/>
              <w:right w:val="single" w:sz="4" w:space="0" w:color="auto"/>
            </w:tcBorders>
            <w:noWrap/>
            <w:vAlign w:val="bottom"/>
            <w:hideMark/>
          </w:tcPr>
          <w:p w14:paraId="34843DC7" w14:textId="77777777" w:rsidR="005F6C2F" w:rsidRPr="005F6C2F" w:rsidRDefault="005F6C2F" w:rsidP="005F6C2F">
            <w:pPr>
              <w:spacing w:before="0" w:after="0" w:line="240" w:lineRule="auto"/>
              <w:jc w:val="center"/>
              <w:rPr>
                <w:rFonts w:ascii="Arial" w:hAnsi="Arial" w:cs="Arial"/>
                <w:b/>
                <w:bCs/>
                <w:color w:val="000000"/>
                <w:lang w:val="en-IN"/>
              </w:rPr>
            </w:pPr>
          </w:p>
        </w:tc>
      </w:tr>
      <w:tr w:rsidR="005F6C2F" w:rsidRPr="005F6C2F" w14:paraId="13893D0C" w14:textId="77777777" w:rsidTr="005F6C2F">
        <w:trPr>
          <w:trHeight w:val="312"/>
          <w:jc w:val="center"/>
        </w:trPr>
        <w:tc>
          <w:tcPr>
            <w:tcW w:w="456" w:type="pct"/>
            <w:tcBorders>
              <w:top w:val="nil"/>
              <w:left w:val="single" w:sz="4" w:space="0" w:color="auto"/>
              <w:bottom w:val="single" w:sz="4" w:space="0" w:color="auto"/>
              <w:right w:val="single" w:sz="4" w:space="0" w:color="auto"/>
            </w:tcBorders>
            <w:noWrap/>
            <w:vAlign w:val="center"/>
            <w:hideMark/>
          </w:tcPr>
          <w:p w14:paraId="2F4AA746"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0</w:t>
            </w:r>
          </w:p>
        </w:tc>
        <w:tc>
          <w:tcPr>
            <w:tcW w:w="992" w:type="pct"/>
            <w:tcBorders>
              <w:top w:val="nil"/>
              <w:left w:val="nil"/>
              <w:bottom w:val="single" w:sz="4" w:space="0" w:color="auto"/>
              <w:right w:val="single" w:sz="4" w:space="0" w:color="auto"/>
            </w:tcBorders>
            <w:noWrap/>
            <w:vAlign w:val="center"/>
            <w:hideMark/>
          </w:tcPr>
          <w:p w14:paraId="5DFFFD66"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1200" w:type="pct"/>
            <w:tcBorders>
              <w:top w:val="nil"/>
              <w:left w:val="nil"/>
              <w:bottom w:val="single" w:sz="4" w:space="0" w:color="auto"/>
              <w:right w:val="single" w:sz="4" w:space="0" w:color="auto"/>
            </w:tcBorders>
            <w:noWrap/>
            <w:vAlign w:val="center"/>
            <w:hideMark/>
          </w:tcPr>
          <w:p w14:paraId="40A90B25" w14:textId="77777777" w:rsidR="005F6C2F" w:rsidRPr="005F6C2F" w:rsidRDefault="005F6C2F" w:rsidP="005F6C2F">
            <w:pPr>
              <w:spacing w:before="0" w:after="0" w:line="240" w:lineRule="auto"/>
              <w:jc w:val="right"/>
              <w:rPr>
                <w:rFonts w:ascii="Arial" w:hAnsi="Arial" w:cs="Arial"/>
                <w:color w:val="000000"/>
                <w:lang w:val="en-IN"/>
              </w:rPr>
            </w:pPr>
            <w:r w:rsidRPr="005F6C2F">
              <w:rPr>
                <w:rFonts w:ascii="Arial" w:hAnsi="Arial" w:cs="Arial"/>
                <w:color w:val="000000"/>
                <w:lang w:val="en-IN"/>
              </w:rPr>
              <w:t>0.00</w:t>
            </w:r>
          </w:p>
        </w:tc>
        <w:tc>
          <w:tcPr>
            <w:tcW w:w="1427" w:type="pct"/>
            <w:tcBorders>
              <w:top w:val="nil"/>
              <w:left w:val="nil"/>
              <w:bottom w:val="single" w:sz="4" w:space="0" w:color="auto"/>
              <w:right w:val="single" w:sz="4" w:space="0" w:color="auto"/>
            </w:tcBorders>
            <w:noWrap/>
            <w:vAlign w:val="center"/>
            <w:hideMark/>
          </w:tcPr>
          <w:p w14:paraId="301D6328"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50.00 </w:t>
            </w:r>
          </w:p>
        </w:tc>
        <w:tc>
          <w:tcPr>
            <w:tcW w:w="926" w:type="pct"/>
            <w:tcBorders>
              <w:top w:val="nil"/>
              <w:left w:val="nil"/>
              <w:bottom w:val="nil"/>
              <w:right w:val="single" w:sz="4" w:space="0" w:color="auto"/>
            </w:tcBorders>
            <w:noWrap/>
            <w:vAlign w:val="bottom"/>
            <w:hideMark/>
          </w:tcPr>
          <w:p w14:paraId="7271D1C4"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3586A48D" w14:textId="77777777" w:rsidTr="005F6C2F">
        <w:trPr>
          <w:trHeight w:val="312"/>
          <w:jc w:val="center"/>
        </w:trPr>
        <w:tc>
          <w:tcPr>
            <w:tcW w:w="456" w:type="pct"/>
            <w:tcBorders>
              <w:top w:val="nil"/>
              <w:left w:val="single" w:sz="4" w:space="0" w:color="auto"/>
              <w:bottom w:val="single" w:sz="4" w:space="0" w:color="auto"/>
              <w:right w:val="single" w:sz="4" w:space="0" w:color="auto"/>
            </w:tcBorders>
            <w:noWrap/>
            <w:vAlign w:val="center"/>
            <w:hideMark/>
          </w:tcPr>
          <w:p w14:paraId="12F7BE1E"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1</w:t>
            </w:r>
          </w:p>
        </w:tc>
        <w:tc>
          <w:tcPr>
            <w:tcW w:w="992" w:type="pct"/>
            <w:tcBorders>
              <w:top w:val="nil"/>
              <w:left w:val="nil"/>
              <w:bottom w:val="single" w:sz="4" w:space="0" w:color="auto"/>
              <w:right w:val="single" w:sz="4" w:space="0" w:color="auto"/>
            </w:tcBorders>
            <w:noWrap/>
            <w:vAlign w:val="center"/>
            <w:hideMark/>
          </w:tcPr>
          <w:p w14:paraId="454546AF"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5.00 </w:t>
            </w:r>
          </w:p>
        </w:tc>
        <w:tc>
          <w:tcPr>
            <w:tcW w:w="1200" w:type="pct"/>
            <w:tcBorders>
              <w:top w:val="nil"/>
              <w:left w:val="nil"/>
              <w:bottom w:val="single" w:sz="4" w:space="0" w:color="auto"/>
              <w:right w:val="single" w:sz="4" w:space="0" w:color="auto"/>
            </w:tcBorders>
            <w:noWrap/>
            <w:vAlign w:val="center"/>
            <w:hideMark/>
          </w:tcPr>
          <w:p w14:paraId="0DB593D9" w14:textId="77777777" w:rsidR="005F6C2F" w:rsidRPr="005F6C2F" w:rsidRDefault="005F6C2F" w:rsidP="005F6C2F">
            <w:pPr>
              <w:spacing w:before="0" w:after="0" w:line="240" w:lineRule="auto"/>
              <w:jc w:val="right"/>
              <w:rPr>
                <w:rFonts w:ascii="Arial" w:hAnsi="Arial" w:cs="Arial"/>
                <w:color w:val="000000"/>
                <w:lang w:val="en-IN"/>
              </w:rPr>
            </w:pPr>
            <w:r w:rsidRPr="005F6C2F">
              <w:rPr>
                <w:rFonts w:ascii="Arial" w:hAnsi="Arial" w:cs="Arial"/>
                <w:color w:val="000000"/>
                <w:lang w:val="en-IN"/>
              </w:rPr>
              <w:t>10.00</w:t>
            </w:r>
          </w:p>
        </w:tc>
        <w:tc>
          <w:tcPr>
            <w:tcW w:w="1427" w:type="pct"/>
            <w:tcBorders>
              <w:top w:val="nil"/>
              <w:left w:val="nil"/>
              <w:bottom w:val="single" w:sz="4" w:space="0" w:color="auto"/>
              <w:right w:val="single" w:sz="4" w:space="0" w:color="auto"/>
            </w:tcBorders>
            <w:noWrap/>
            <w:vAlign w:val="center"/>
            <w:hideMark/>
          </w:tcPr>
          <w:p w14:paraId="09F5B15E"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 </w:t>
            </w:r>
          </w:p>
        </w:tc>
        <w:tc>
          <w:tcPr>
            <w:tcW w:w="926" w:type="pct"/>
            <w:tcBorders>
              <w:top w:val="nil"/>
              <w:left w:val="nil"/>
              <w:bottom w:val="nil"/>
              <w:right w:val="single" w:sz="4" w:space="0" w:color="auto"/>
            </w:tcBorders>
            <w:noWrap/>
            <w:vAlign w:val="bottom"/>
            <w:hideMark/>
          </w:tcPr>
          <w:p w14:paraId="31A22C34"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52DFB220" w14:textId="77777777" w:rsidTr="005F6C2F">
        <w:trPr>
          <w:trHeight w:val="312"/>
          <w:jc w:val="center"/>
        </w:trPr>
        <w:tc>
          <w:tcPr>
            <w:tcW w:w="456" w:type="pct"/>
            <w:tcBorders>
              <w:top w:val="nil"/>
              <w:left w:val="single" w:sz="4" w:space="0" w:color="auto"/>
              <w:bottom w:val="single" w:sz="4" w:space="0" w:color="auto"/>
              <w:right w:val="single" w:sz="4" w:space="0" w:color="auto"/>
            </w:tcBorders>
            <w:noWrap/>
            <w:vAlign w:val="center"/>
            <w:hideMark/>
          </w:tcPr>
          <w:p w14:paraId="09639103"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2</w:t>
            </w:r>
          </w:p>
        </w:tc>
        <w:tc>
          <w:tcPr>
            <w:tcW w:w="992" w:type="pct"/>
            <w:tcBorders>
              <w:top w:val="nil"/>
              <w:left w:val="nil"/>
              <w:bottom w:val="single" w:sz="4" w:space="0" w:color="auto"/>
              <w:right w:val="single" w:sz="4" w:space="0" w:color="auto"/>
            </w:tcBorders>
            <w:noWrap/>
            <w:vAlign w:val="center"/>
            <w:hideMark/>
          </w:tcPr>
          <w:p w14:paraId="4BBEE71F"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10.00 </w:t>
            </w:r>
          </w:p>
        </w:tc>
        <w:tc>
          <w:tcPr>
            <w:tcW w:w="1200" w:type="pct"/>
            <w:tcBorders>
              <w:top w:val="nil"/>
              <w:left w:val="nil"/>
              <w:bottom w:val="single" w:sz="4" w:space="0" w:color="auto"/>
              <w:right w:val="single" w:sz="4" w:space="0" w:color="auto"/>
            </w:tcBorders>
            <w:noWrap/>
            <w:vAlign w:val="center"/>
            <w:hideMark/>
          </w:tcPr>
          <w:p w14:paraId="75B57197" w14:textId="77777777" w:rsidR="005F6C2F" w:rsidRPr="005F6C2F" w:rsidRDefault="005F6C2F" w:rsidP="005F6C2F">
            <w:pPr>
              <w:spacing w:before="0" w:after="0" w:line="240" w:lineRule="auto"/>
              <w:jc w:val="right"/>
              <w:rPr>
                <w:rFonts w:ascii="Arial" w:hAnsi="Arial" w:cs="Arial"/>
                <w:color w:val="000000"/>
                <w:lang w:val="en-IN"/>
              </w:rPr>
            </w:pPr>
            <w:r w:rsidRPr="005F6C2F">
              <w:rPr>
                <w:rFonts w:ascii="Arial" w:hAnsi="Arial" w:cs="Arial"/>
                <w:color w:val="000000"/>
                <w:lang w:val="en-IN"/>
              </w:rPr>
              <w:t>10.00</w:t>
            </w:r>
          </w:p>
        </w:tc>
        <w:tc>
          <w:tcPr>
            <w:tcW w:w="1427" w:type="pct"/>
            <w:tcBorders>
              <w:top w:val="nil"/>
              <w:left w:val="nil"/>
              <w:bottom w:val="single" w:sz="4" w:space="0" w:color="auto"/>
              <w:right w:val="single" w:sz="4" w:space="0" w:color="auto"/>
            </w:tcBorders>
            <w:noWrap/>
            <w:vAlign w:val="center"/>
            <w:hideMark/>
          </w:tcPr>
          <w:p w14:paraId="4CD3AC2F"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   </w:t>
            </w:r>
          </w:p>
        </w:tc>
        <w:tc>
          <w:tcPr>
            <w:tcW w:w="926" w:type="pct"/>
            <w:tcBorders>
              <w:top w:val="nil"/>
              <w:left w:val="nil"/>
              <w:bottom w:val="nil"/>
              <w:right w:val="single" w:sz="4" w:space="0" w:color="auto"/>
            </w:tcBorders>
            <w:noWrap/>
            <w:vAlign w:val="bottom"/>
            <w:hideMark/>
          </w:tcPr>
          <w:p w14:paraId="6F816A80"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74185292" w14:textId="77777777" w:rsidTr="005F6C2F">
        <w:trPr>
          <w:trHeight w:val="312"/>
          <w:jc w:val="center"/>
        </w:trPr>
        <w:tc>
          <w:tcPr>
            <w:tcW w:w="456" w:type="pct"/>
            <w:tcBorders>
              <w:top w:val="nil"/>
              <w:left w:val="single" w:sz="4" w:space="0" w:color="auto"/>
              <w:bottom w:val="single" w:sz="4" w:space="0" w:color="auto"/>
              <w:right w:val="single" w:sz="4" w:space="0" w:color="auto"/>
            </w:tcBorders>
            <w:noWrap/>
            <w:vAlign w:val="center"/>
            <w:hideMark/>
          </w:tcPr>
          <w:p w14:paraId="6AC158C1"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3</w:t>
            </w:r>
          </w:p>
        </w:tc>
        <w:tc>
          <w:tcPr>
            <w:tcW w:w="992" w:type="pct"/>
            <w:tcBorders>
              <w:top w:val="nil"/>
              <w:left w:val="nil"/>
              <w:bottom w:val="single" w:sz="4" w:space="0" w:color="auto"/>
              <w:right w:val="single" w:sz="4" w:space="0" w:color="auto"/>
            </w:tcBorders>
            <w:noWrap/>
            <w:vAlign w:val="center"/>
            <w:hideMark/>
          </w:tcPr>
          <w:p w14:paraId="1676C9DE"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20.00 </w:t>
            </w:r>
          </w:p>
        </w:tc>
        <w:tc>
          <w:tcPr>
            <w:tcW w:w="1200" w:type="pct"/>
            <w:tcBorders>
              <w:top w:val="nil"/>
              <w:left w:val="nil"/>
              <w:bottom w:val="single" w:sz="4" w:space="0" w:color="auto"/>
              <w:right w:val="single" w:sz="4" w:space="0" w:color="auto"/>
            </w:tcBorders>
            <w:noWrap/>
            <w:vAlign w:val="center"/>
            <w:hideMark/>
          </w:tcPr>
          <w:p w14:paraId="662B16BF" w14:textId="77777777" w:rsidR="005F6C2F" w:rsidRPr="005F6C2F" w:rsidRDefault="005F6C2F" w:rsidP="005F6C2F">
            <w:pPr>
              <w:spacing w:before="0" w:after="0" w:line="240" w:lineRule="auto"/>
              <w:jc w:val="right"/>
              <w:rPr>
                <w:rFonts w:ascii="Arial" w:hAnsi="Arial" w:cs="Arial"/>
                <w:color w:val="000000"/>
                <w:lang w:val="en-IN"/>
              </w:rPr>
            </w:pPr>
            <w:r w:rsidRPr="005F6C2F">
              <w:rPr>
                <w:rFonts w:ascii="Arial" w:hAnsi="Arial" w:cs="Arial"/>
                <w:color w:val="000000"/>
                <w:lang w:val="en-IN"/>
              </w:rPr>
              <w:t>10.00</w:t>
            </w:r>
          </w:p>
        </w:tc>
        <w:tc>
          <w:tcPr>
            <w:tcW w:w="1427" w:type="pct"/>
            <w:tcBorders>
              <w:top w:val="nil"/>
              <w:left w:val="nil"/>
              <w:bottom w:val="single" w:sz="4" w:space="0" w:color="auto"/>
              <w:right w:val="single" w:sz="4" w:space="0" w:color="auto"/>
            </w:tcBorders>
            <w:noWrap/>
            <w:vAlign w:val="center"/>
            <w:hideMark/>
          </w:tcPr>
          <w:p w14:paraId="1E149A12"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10.00 </w:t>
            </w:r>
          </w:p>
        </w:tc>
        <w:tc>
          <w:tcPr>
            <w:tcW w:w="926" w:type="pct"/>
            <w:tcBorders>
              <w:top w:val="nil"/>
              <w:left w:val="nil"/>
              <w:bottom w:val="nil"/>
              <w:right w:val="single" w:sz="4" w:space="0" w:color="auto"/>
            </w:tcBorders>
            <w:noWrap/>
            <w:vAlign w:val="bottom"/>
            <w:hideMark/>
          </w:tcPr>
          <w:p w14:paraId="1767619C"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5E0B0643" w14:textId="77777777" w:rsidTr="005F6C2F">
        <w:trPr>
          <w:trHeight w:val="312"/>
          <w:jc w:val="center"/>
        </w:trPr>
        <w:tc>
          <w:tcPr>
            <w:tcW w:w="456" w:type="pct"/>
            <w:tcBorders>
              <w:top w:val="nil"/>
              <w:left w:val="single" w:sz="4" w:space="0" w:color="auto"/>
              <w:bottom w:val="single" w:sz="4" w:space="0" w:color="auto"/>
              <w:right w:val="single" w:sz="4" w:space="0" w:color="auto"/>
            </w:tcBorders>
            <w:noWrap/>
            <w:vAlign w:val="center"/>
            <w:hideMark/>
          </w:tcPr>
          <w:p w14:paraId="64248E04"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4</w:t>
            </w:r>
          </w:p>
        </w:tc>
        <w:tc>
          <w:tcPr>
            <w:tcW w:w="992" w:type="pct"/>
            <w:tcBorders>
              <w:top w:val="nil"/>
              <w:left w:val="nil"/>
              <w:bottom w:val="single" w:sz="4" w:space="0" w:color="auto"/>
              <w:right w:val="single" w:sz="4" w:space="0" w:color="auto"/>
            </w:tcBorders>
            <w:noWrap/>
            <w:vAlign w:val="center"/>
            <w:hideMark/>
          </w:tcPr>
          <w:p w14:paraId="69692DB5"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25.00 </w:t>
            </w:r>
          </w:p>
        </w:tc>
        <w:tc>
          <w:tcPr>
            <w:tcW w:w="1200" w:type="pct"/>
            <w:tcBorders>
              <w:top w:val="nil"/>
              <w:left w:val="nil"/>
              <w:bottom w:val="single" w:sz="4" w:space="0" w:color="auto"/>
              <w:right w:val="single" w:sz="4" w:space="0" w:color="auto"/>
            </w:tcBorders>
            <w:noWrap/>
            <w:vAlign w:val="center"/>
            <w:hideMark/>
          </w:tcPr>
          <w:p w14:paraId="030B5512" w14:textId="77777777" w:rsidR="005F6C2F" w:rsidRPr="005F6C2F" w:rsidRDefault="005F6C2F" w:rsidP="005F6C2F">
            <w:pPr>
              <w:spacing w:before="0" w:after="0" w:line="240" w:lineRule="auto"/>
              <w:jc w:val="right"/>
              <w:rPr>
                <w:rFonts w:ascii="Arial" w:hAnsi="Arial" w:cs="Arial"/>
                <w:color w:val="000000"/>
                <w:lang w:val="en-IN"/>
              </w:rPr>
            </w:pPr>
            <w:r w:rsidRPr="005F6C2F">
              <w:rPr>
                <w:rFonts w:ascii="Arial" w:hAnsi="Arial" w:cs="Arial"/>
                <w:color w:val="000000"/>
                <w:lang w:val="en-IN"/>
              </w:rPr>
              <w:t>10.00</w:t>
            </w:r>
          </w:p>
        </w:tc>
        <w:tc>
          <w:tcPr>
            <w:tcW w:w="1427" w:type="pct"/>
            <w:tcBorders>
              <w:top w:val="nil"/>
              <w:left w:val="nil"/>
              <w:bottom w:val="single" w:sz="4" w:space="0" w:color="auto"/>
              <w:right w:val="single" w:sz="4" w:space="0" w:color="auto"/>
            </w:tcBorders>
            <w:noWrap/>
            <w:vAlign w:val="center"/>
            <w:hideMark/>
          </w:tcPr>
          <w:p w14:paraId="64CB3E9F"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15.00 </w:t>
            </w:r>
          </w:p>
        </w:tc>
        <w:tc>
          <w:tcPr>
            <w:tcW w:w="926" w:type="pct"/>
            <w:tcBorders>
              <w:top w:val="nil"/>
              <w:left w:val="nil"/>
              <w:bottom w:val="nil"/>
              <w:right w:val="single" w:sz="4" w:space="0" w:color="auto"/>
            </w:tcBorders>
            <w:noWrap/>
            <w:vAlign w:val="bottom"/>
            <w:hideMark/>
          </w:tcPr>
          <w:p w14:paraId="642E449C"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736FB400" w14:textId="77777777" w:rsidTr="005F6C2F">
        <w:trPr>
          <w:trHeight w:val="312"/>
          <w:jc w:val="center"/>
        </w:trPr>
        <w:tc>
          <w:tcPr>
            <w:tcW w:w="456" w:type="pct"/>
            <w:tcBorders>
              <w:top w:val="nil"/>
              <w:left w:val="single" w:sz="4" w:space="0" w:color="auto"/>
              <w:bottom w:val="single" w:sz="4" w:space="0" w:color="auto"/>
              <w:right w:val="single" w:sz="4" w:space="0" w:color="auto"/>
            </w:tcBorders>
            <w:noWrap/>
            <w:vAlign w:val="center"/>
            <w:hideMark/>
          </w:tcPr>
          <w:p w14:paraId="67FC2043"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5</w:t>
            </w:r>
          </w:p>
        </w:tc>
        <w:tc>
          <w:tcPr>
            <w:tcW w:w="992" w:type="pct"/>
            <w:tcBorders>
              <w:top w:val="nil"/>
              <w:left w:val="nil"/>
              <w:bottom w:val="single" w:sz="4" w:space="0" w:color="auto"/>
              <w:right w:val="single" w:sz="4" w:space="0" w:color="auto"/>
            </w:tcBorders>
            <w:noWrap/>
            <w:vAlign w:val="center"/>
            <w:hideMark/>
          </w:tcPr>
          <w:p w14:paraId="4E6EA812"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                 5.00 </w:t>
            </w:r>
          </w:p>
        </w:tc>
        <w:tc>
          <w:tcPr>
            <w:tcW w:w="1200" w:type="pct"/>
            <w:tcBorders>
              <w:top w:val="nil"/>
              <w:left w:val="nil"/>
              <w:bottom w:val="single" w:sz="4" w:space="0" w:color="auto"/>
              <w:right w:val="single" w:sz="4" w:space="0" w:color="auto"/>
            </w:tcBorders>
            <w:noWrap/>
            <w:vAlign w:val="center"/>
            <w:hideMark/>
          </w:tcPr>
          <w:p w14:paraId="06328C71" w14:textId="77777777" w:rsidR="005F6C2F" w:rsidRPr="005F6C2F" w:rsidRDefault="005F6C2F" w:rsidP="005F6C2F">
            <w:pPr>
              <w:spacing w:before="0" w:after="0" w:line="240" w:lineRule="auto"/>
              <w:jc w:val="right"/>
              <w:rPr>
                <w:rFonts w:ascii="Arial" w:hAnsi="Arial" w:cs="Arial"/>
                <w:color w:val="000000"/>
                <w:lang w:val="en-IN"/>
              </w:rPr>
            </w:pPr>
            <w:r w:rsidRPr="005F6C2F">
              <w:rPr>
                <w:rFonts w:ascii="Arial" w:hAnsi="Arial" w:cs="Arial"/>
                <w:color w:val="000000"/>
                <w:lang w:val="en-IN"/>
              </w:rPr>
              <w:t>10.00</w:t>
            </w:r>
          </w:p>
        </w:tc>
        <w:tc>
          <w:tcPr>
            <w:tcW w:w="1427" w:type="pct"/>
            <w:tcBorders>
              <w:top w:val="nil"/>
              <w:left w:val="nil"/>
              <w:bottom w:val="single" w:sz="4" w:space="0" w:color="auto"/>
              <w:right w:val="single" w:sz="4" w:space="0" w:color="auto"/>
            </w:tcBorders>
            <w:noWrap/>
            <w:vAlign w:val="center"/>
            <w:hideMark/>
          </w:tcPr>
          <w:p w14:paraId="5C426C9E" w14:textId="77777777" w:rsidR="005F6C2F" w:rsidRPr="005F6C2F" w:rsidRDefault="005F6C2F" w:rsidP="005F6C2F">
            <w:pPr>
              <w:spacing w:before="0" w:after="0" w:line="240" w:lineRule="auto"/>
              <w:jc w:val="center"/>
              <w:rPr>
                <w:rFonts w:ascii="Arial" w:hAnsi="Arial" w:cs="Arial"/>
                <w:color w:val="000000"/>
                <w:lang w:val="en-IN"/>
              </w:rPr>
            </w:pPr>
            <w:r w:rsidRPr="005F6C2F">
              <w:rPr>
                <w:rFonts w:ascii="Arial" w:hAnsi="Arial" w:cs="Arial"/>
                <w:color w:val="000000"/>
                <w:lang w:val="en-IN"/>
              </w:rPr>
              <w:t xml:space="preserve">-£                              5.00 </w:t>
            </w:r>
          </w:p>
        </w:tc>
        <w:tc>
          <w:tcPr>
            <w:tcW w:w="926" w:type="pct"/>
            <w:tcBorders>
              <w:top w:val="nil"/>
              <w:left w:val="nil"/>
              <w:bottom w:val="nil"/>
              <w:right w:val="single" w:sz="4" w:space="0" w:color="auto"/>
            </w:tcBorders>
            <w:noWrap/>
            <w:vAlign w:val="bottom"/>
            <w:hideMark/>
          </w:tcPr>
          <w:p w14:paraId="7B4DD19F" w14:textId="77777777" w:rsidR="005F6C2F" w:rsidRPr="005F6C2F" w:rsidRDefault="005F6C2F" w:rsidP="005F6C2F">
            <w:pPr>
              <w:spacing w:before="0" w:after="0" w:line="240" w:lineRule="auto"/>
              <w:jc w:val="center"/>
              <w:rPr>
                <w:rFonts w:ascii="Arial" w:hAnsi="Arial" w:cs="Arial"/>
                <w:color w:val="000000"/>
                <w:lang w:val="en-IN"/>
              </w:rPr>
            </w:pPr>
          </w:p>
        </w:tc>
      </w:tr>
      <w:tr w:rsidR="005F6C2F" w:rsidRPr="005F6C2F" w14:paraId="11C1B8D0" w14:textId="77777777" w:rsidTr="005F6C2F">
        <w:trPr>
          <w:trHeight w:val="312"/>
          <w:jc w:val="center"/>
        </w:trPr>
        <w:tc>
          <w:tcPr>
            <w:tcW w:w="2648" w:type="pct"/>
            <w:gridSpan w:val="3"/>
            <w:tcBorders>
              <w:top w:val="single" w:sz="4" w:space="0" w:color="auto"/>
              <w:left w:val="single" w:sz="4" w:space="0" w:color="auto"/>
              <w:bottom w:val="single" w:sz="4" w:space="0" w:color="auto"/>
              <w:right w:val="single" w:sz="4" w:space="0" w:color="000000"/>
            </w:tcBorders>
            <w:vAlign w:val="center"/>
            <w:hideMark/>
          </w:tcPr>
          <w:p w14:paraId="1F594BEE"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 xml:space="preserve">"Accounting Rate of Return (ARR) of Project C" </w:t>
            </w:r>
          </w:p>
        </w:tc>
        <w:tc>
          <w:tcPr>
            <w:tcW w:w="1427" w:type="pct"/>
            <w:tcBorders>
              <w:top w:val="nil"/>
              <w:left w:val="nil"/>
              <w:bottom w:val="single" w:sz="4" w:space="0" w:color="auto"/>
              <w:right w:val="single" w:sz="4" w:space="0" w:color="auto"/>
            </w:tcBorders>
            <w:vAlign w:val="center"/>
            <w:hideMark/>
          </w:tcPr>
          <w:p w14:paraId="3FC29A8A" w14:textId="77777777" w:rsidR="005F6C2F" w:rsidRPr="005F6C2F" w:rsidRDefault="005F6C2F" w:rsidP="005F6C2F">
            <w:pPr>
              <w:spacing w:before="0" w:after="0" w:line="240" w:lineRule="auto"/>
              <w:jc w:val="center"/>
              <w:rPr>
                <w:rFonts w:ascii="Arial" w:hAnsi="Arial" w:cs="Arial"/>
                <w:b/>
                <w:bCs/>
                <w:color w:val="000000"/>
                <w:lang w:val="en-IN"/>
              </w:rPr>
            </w:pPr>
            <w:r w:rsidRPr="005F6C2F">
              <w:rPr>
                <w:rFonts w:ascii="Arial" w:hAnsi="Arial" w:cs="Arial"/>
                <w:b/>
                <w:bCs/>
                <w:color w:val="000000"/>
                <w:lang w:val="en-IN"/>
              </w:rPr>
              <w:t>6.00%</w:t>
            </w:r>
          </w:p>
        </w:tc>
        <w:tc>
          <w:tcPr>
            <w:tcW w:w="926" w:type="pct"/>
            <w:tcBorders>
              <w:top w:val="nil"/>
              <w:left w:val="nil"/>
              <w:bottom w:val="single" w:sz="4" w:space="0" w:color="auto"/>
              <w:right w:val="single" w:sz="4" w:space="0" w:color="auto"/>
            </w:tcBorders>
            <w:noWrap/>
            <w:vAlign w:val="bottom"/>
            <w:hideMark/>
          </w:tcPr>
          <w:p w14:paraId="27AF7900" w14:textId="77777777" w:rsidR="005F6C2F" w:rsidRPr="005F6C2F" w:rsidRDefault="005F6C2F" w:rsidP="005F6C2F">
            <w:pPr>
              <w:spacing w:before="0" w:after="0" w:line="240" w:lineRule="auto"/>
              <w:jc w:val="center"/>
              <w:rPr>
                <w:rFonts w:ascii="Arial" w:hAnsi="Arial" w:cs="Arial"/>
                <w:b/>
                <w:bCs/>
                <w:color w:val="000000"/>
                <w:lang w:val="en-IN"/>
              </w:rPr>
            </w:pPr>
          </w:p>
        </w:tc>
      </w:tr>
    </w:tbl>
    <w:p w14:paraId="378DAC9A" w14:textId="77777777" w:rsidR="005F6C2F" w:rsidRDefault="005F6C2F" w:rsidP="005F6C2F">
      <w:pPr>
        <w:spacing w:before="200" w:after="200"/>
        <w:jc w:val="center"/>
        <w:rPr>
          <w:rFonts w:ascii="Arial" w:eastAsia="Arial" w:hAnsi="Arial" w:cs="Arial"/>
        </w:rPr>
      </w:pPr>
      <w:r>
        <w:rPr>
          <w:rFonts w:ascii="Arial" w:eastAsia="Arial" w:hAnsi="Arial" w:cs="Arial"/>
        </w:rPr>
        <w:t>(Source: Excel)</w:t>
      </w:r>
    </w:p>
    <w:p w14:paraId="55E1191F" w14:textId="58FF27EF" w:rsidR="005F6C2F" w:rsidRDefault="006D2E30" w:rsidP="006D2E30">
      <w:pPr>
        <w:pStyle w:val="Heading2"/>
      </w:pPr>
      <w:bookmarkStart w:id="58" w:name="_Toc227879004"/>
      <w:r>
        <w:lastRenderedPageBreak/>
        <w:t>Appendix 3: Graphs</w:t>
      </w:r>
      <w:bookmarkEnd w:id="58"/>
    </w:p>
    <w:p w14:paraId="0DA6B2A4" w14:textId="66BD6ACC" w:rsidR="006D2E30" w:rsidRDefault="006D2E30" w:rsidP="006D2E30">
      <w:pPr>
        <w:spacing w:before="200" w:after="200"/>
        <w:jc w:val="center"/>
        <w:rPr>
          <w:rFonts w:ascii="Arial" w:eastAsia="Arial" w:hAnsi="Arial" w:cs="Arial"/>
        </w:rPr>
      </w:pPr>
      <w:r>
        <w:rPr>
          <w:noProof/>
        </w:rPr>
        <w:drawing>
          <wp:inline distT="0" distB="0" distL="0" distR="0" wp14:anchorId="4FBDD811" wp14:editId="700CFC0D">
            <wp:extent cx="5072312" cy="3310415"/>
            <wp:effectExtent l="0" t="0" r="0" b="4445"/>
            <wp:docPr id="2" name="Picture 1">
              <a:extLst xmlns:a="http://schemas.openxmlformats.org/drawingml/2006/main">
                <a:ext uri="{FF2B5EF4-FFF2-40B4-BE49-F238E27FC236}">
                  <a16:creationId xmlns:a16="http://schemas.microsoft.com/office/drawing/2014/main" id="{0BE7EB2E-0442-23C7-EE77-FFCD7A82B4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0BE7EB2E-0442-23C7-EE77-FFCD7A82B4C4}"/>
                        </a:ext>
                      </a:extLst>
                    </pic:cNvPr>
                    <pic:cNvPicPr>
                      <a:picLocks noChangeAspect="1"/>
                    </pic:cNvPicPr>
                  </pic:nvPicPr>
                  <pic:blipFill>
                    <a:blip r:embed="rId41"/>
                    <a:stretch>
                      <a:fillRect/>
                    </a:stretch>
                  </pic:blipFill>
                  <pic:spPr>
                    <a:xfrm>
                      <a:off x="0" y="0"/>
                      <a:ext cx="5072312" cy="3310415"/>
                    </a:xfrm>
                    <a:prstGeom prst="rect">
                      <a:avLst/>
                    </a:prstGeom>
                  </pic:spPr>
                </pic:pic>
              </a:graphicData>
            </a:graphic>
          </wp:inline>
        </w:drawing>
      </w:r>
      <w:r>
        <w:rPr>
          <w:noProof/>
        </w:rPr>
        <w:drawing>
          <wp:inline distT="0" distB="0" distL="0" distR="0" wp14:anchorId="0EB98D53" wp14:editId="37637310">
            <wp:extent cx="5733415" cy="2470785"/>
            <wp:effectExtent l="0" t="0" r="635" b="5715"/>
            <wp:docPr id="29501989" name="Picture 2">
              <a:extLst xmlns:a="http://schemas.openxmlformats.org/drawingml/2006/main">
                <a:ext uri="{FF2B5EF4-FFF2-40B4-BE49-F238E27FC236}">
                  <a16:creationId xmlns:a16="http://schemas.microsoft.com/office/drawing/2014/main" id="{B9CC1274-FC20-EE46-FED5-107CB6DA13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B9CC1274-FC20-EE46-FED5-107CB6DA13EA}"/>
                        </a:ext>
                      </a:extLst>
                    </pic:cNvPr>
                    <pic:cNvPicPr>
                      <a:picLocks noChangeAspect="1"/>
                    </pic:cNvPicPr>
                  </pic:nvPicPr>
                  <pic:blipFill>
                    <a:blip r:embed="rId42"/>
                    <a:stretch>
                      <a:fillRect/>
                    </a:stretch>
                  </pic:blipFill>
                  <pic:spPr>
                    <a:xfrm>
                      <a:off x="0" y="0"/>
                      <a:ext cx="5733415" cy="2470785"/>
                    </a:xfrm>
                    <a:prstGeom prst="rect">
                      <a:avLst/>
                    </a:prstGeom>
                  </pic:spPr>
                </pic:pic>
              </a:graphicData>
            </a:graphic>
          </wp:inline>
        </w:drawing>
      </w:r>
      <w:r>
        <w:rPr>
          <w:noProof/>
        </w:rPr>
        <w:drawing>
          <wp:inline distT="0" distB="0" distL="0" distR="0" wp14:anchorId="35656EB1" wp14:editId="26040EDF">
            <wp:extent cx="5733415" cy="1900555"/>
            <wp:effectExtent l="0" t="0" r="635" b="4445"/>
            <wp:docPr id="4" name="Picture 3">
              <a:extLst xmlns:a="http://schemas.openxmlformats.org/drawingml/2006/main">
                <a:ext uri="{FF2B5EF4-FFF2-40B4-BE49-F238E27FC236}">
                  <a16:creationId xmlns:a16="http://schemas.microsoft.com/office/drawing/2014/main" id="{44C65943-5CC2-5A00-8B69-0769C7FC54C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4C65943-5CC2-5A00-8B69-0769C7FC54CD}"/>
                        </a:ext>
                      </a:extLst>
                    </pic:cNvPr>
                    <pic:cNvPicPr>
                      <a:picLocks noChangeAspect="1"/>
                    </pic:cNvPicPr>
                  </pic:nvPicPr>
                  <pic:blipFill>
                    <a:blip r:embed="rId43"/>
                    <a:stretch>
                      <a:fillRect/>
                    </a:stretch>
                  </pic:blipFill>
                  <pic:spPr>
                    <a:xfrm>
                      <a:off x="0" y="0"/>
                      <a:ext cx="5733415" cy="1900555"/>
                    </a:xfrm>
                    <a:prstGeom prst="rect">
                      <a:avLst/>
                    </a:prstGeom>
                  </pic:spPr>
                </pic:pic>
              </a:graphicData>
            </a:graphic>
          </wp:inline>
        </w:drawing>
      </w:r>
      <w:r>
        <w:rPr>
          <w:noProof/>
        </w:rPr>
        <w:lastRenderedPageBreak/>
        <w:drawing>
          <wp:inline distT="0" distB="0" distL="0" distR="0" wp14:anchorId="7EB79B07" wp14:editId="64C345B7">
            <wp:extent cx="4535817" cy="2859272"/>
            <wp:effectExtent l="0" t="0" r="0" b="0"/>
            <wp:docPr id="5" name="Picture 4">
              <a:extLst xmlns:a="http://schemas.openxmlformats.org/drawingml/2006/main">
                <a:ext uri="{FF2B5EF4-FFF2-40B4-BE49-F238E27FC236}">
                  <a16:creationId xmlns:a16="http://schemas.microsoft.com/office/drawing/2014/main" id="{F005BC43-4DF6-2FB0-ECB9-5C5888805D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F005BC43-4DF6-2FB0-ECB9-5C5888805D25}"/>
                        </a:ext>
                      </a:extLst>
                    </pic:cNvPr>
                    <pic:cNvPicPr>
                      <a:picLocks noChangeAspect="1"/>
                    </pic:cNvPicPr>
                  </pic:nvPicPr>
                  <pic:blipFill>
                    <a:blip r:embed="rId44"/>
                    <a:stretch>
                      <a:fillRect/>
                    </a:stretch>
                  </pic:blipFill>
                  <pic:spPr>
                    <a:xfrm>
                      <a:off x="0" y="0"/>
                      <a:ext cx="4535817" cy="2859272"/>
                    </a:xfrm>
                    <a:prstGeom prst="rect">
                      <a:avLst/>
                    </a:prstGeom>
                  </pic:spPr>
                </pic:pic>
              </a:graphicData>
            </a:graphic>
          </wp:inline>
        </w:drawing>
      </w:r>
      <w:r>
        <w:rPr>
          <w:noProof/>
        </w:rPr>
        <w:drawing>
          <wp:inline distT="0" distB="0" distL="0" distR="0" wp14:anchorId="3F59A88E" wp14:editId="6DA436E9">
            <wp:extent cx="5163760" cy="3316511"/>
            <wp:effectExtent l="0" t="0" r="0" b="0"/>
            <wp:docPr id="6" name="Picture 5">
              <a:extLst xmlns:a="http://schemas.openxmlformats.org/drawingml/2006/main">
                <a:ext uri="{FF2B5EF4-FFF2-40B4-BE49-F238E27FC236}">
                  <a16:creationId xmlns:a16="http://schemas.microsoft.com/office/drawing/2014/main" id="{E655E951-1F27-C123-924D-F0A252556E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655E951-1F27-C123-924D-F0A252556E33}"/>
                        </a:ext>
                      </a:extLst>
                    </pic:cNvPr>
                    <pic:cNvPicPr>
                      <a:picLocks noChangeAspect="1"/>
                    </pic:cNvPicPr>
                  </pic:nvPicPr>
                  <pic:blipFill>
                    <a:blip r:embed="rId45"/>
                    <a:stretch>
                      <a:fillRect/>
                    </a:stretch>
                  </pic:blipFill>
                  <pic:spPr>
                    <a:xfrm>
                      <a:off x="0" y="0"/>
                      <a:ext cx="5163760" cy="3316511"/>
                    </a:xfrm>
                    <a:prstGeom prst="rect">
                      <a:avLst/>
                    </a:prstGeom>
                  </pic:spPr>
                </pic:pic>
              </a:graphicData>
            </a:graphic>
          </wp:inline>
        </w:drawing>
      </w:r>
      <w:r>
        <w:rPr>
          <w:noProof/>
        </w:rPr>
        <w:lastRenderedPageBreak/>
        <w:drawing>
          <wp:inline distT="0" distB="0" distL="0" distR="0" wp14:anchorId="0BB70C73" wp14:editId="50DBE1F8">
            <wp:extent cx="5733415" cy="3046730"/>
            <wp:effectExtent l="0" t="0" r="635" b="1270"/>
            <wp:docPr id="13" name="Picture 12">
              <a:extLst xmlns:a="http://schemas.openxmlformats.org/drawingml/2006/main">
                <a:ext uri="{FF2B5EF4-FFF2-40B4-BE49-F238E27FC236}">
                  <a16:creationId xmlns:a16="http://schemas.microsoft.com/office/drawing/2014/main" id="{98041732-F2BF-F3F9-1ABF-D8AD216FDF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98041732-F2BF-F3F9-1ABF-D8AD216FDF68}"/>
                        </a:ext>
                      </a:extLst>
                    </pic:cNvPr>
                    <pic:cNvPicPr>
                      <a:picLocks noChangeAspect="1"/>
                    </pic:cNvPicPr>
                  </pic:nvPicPr>
                  <pic:blipFill>
                    <a:blip r:embed="rId46"/>
                    <a:stretch>
                      <a:fillRect/>
                    </a:stretch>
                  </pic:blipFill>
                  <pic:spPr>
                    <a:xfrm>
                      <a:off x="0" y="0"/>
                      <a:ext cx="5733415" cy="3046730"/>
                    </a:xfrm>
                    <a:prstGeom prst="rect">
                      <a:avLst/>
                    </a:prstGeom>
                  </pic:spPr>
                </pic:pic>
              </a:graphicData>
            </a:graphic>
          </wp:inline>
        </w:drawing>
      </w:r>
    </w:p>
    <w:p w14:paraId="20B90FE1" w14:textId="6A37A6D5" w:rsidR="004D6BE5" w:rsidRDefault="006D2E30" w:rsidP="006D2E30">
      <w:pPr>
        <w:spacing w:before="200" w:after="200"/>
        <w:jc w:val="center"/>
        <w:rPr>
          <w:rFonts w:ascii="Arial" w:eastAsia="Arial" w:hAnsi="Arial" w:cs="Arial"/>
        </w:rPr>
      </w:pPr>
      <w:r>
        <w:rPr>
          <w:rFonts w:ascii="Arial" w:eastAsia="Arial" w:hAnsi="Arial" w:cs="Arial"/>
        </w:rPr>
        <w:t>(Source: Excel)</w:t>
      </w:r>
    </w:p>
    <w:p w14:paraId="740824E6" w14:textId="77777777" w:rsidR="004D6BE5" w:rsidRDefault="004D6BE5">
      <w:pPr>
        <w:rPr>
          <w:rFonts w:ascii="Arial" w:eastAsia="Arial" w:hAnsi="Arial" w:cs="Arial"/>
        </w:rPr>
      </w:pPr>
      <w:r>
        <w:rPr>
          <w:rFonts w:ascii="Arial" w:eastAsia="Arial" w:hAnsi="Arial" w:cs="Arial"/>
        </w:rPr>
        <w:br w:type="page"/>
      </w:r>
    </w:p>
    <w:p w14:paraId="1FB12726" w14:textId="1EB8B52A" w:rsidR="006D2E30" w:rsidRDefault="004D6BE5" w:rsidP="004D6BE5">
      <w:pPr>
        <w:pStyle w:val="Heading1"/>
      </w:pPr>
      <w:bookmarkStart w:id="59" w:name="_Toc227879005"/>
      <w:r>
        <w:lastRenderedPageBreak/>
        <w:t>AI A</w:t>
      </w:r>
      <w:r w:rsidRPr="004D6BE5">
        <w:t>cknowledgement</w:t>
      </w:r>
      <w:bookmarkEnd w:id="59"/>
    </w:p>
    <w:p w14:paraId="51A7745B" w14:textId="2D340E22" w:rsidR="004D6BE5" w:rsidRDefault="004D6BE5" w:rsidP="004D6BE5">
      <w:pPr>
        <w:spacing w:before="200" w:after="200"/>
        <w:rPr>
          <w:rFonts w:ascii="Arial" w:eastAsia="Arial" w:hAnsi="Arial" w:cs="Arial"/>
        </w:rPr>
      </w:pPr>
      <w:r w:rsidRPr="004D6BE5">
        <w:rPr>
          <w:rFonts w:ascii="Arial" w:eastAsia="Arial" w:hAnsi="Arial" w:cs="Arial"/>
        </w:rPr>
        <w:t xml:space="preserve">AI tools </w:t>
      </w:r>
      <w:r>
        <w:rPr>
          <w:rFonts w:ascii="Arial" w:eastAsia="Arial" w:hAnsi="Arial" w:cs="Arial"/>
        </w:rPr>
        <w:t xml:space="preserve">like ChatGPT are used to </w:t>
      </w:r>
      <w:r w:rsidRPr="004D6BE5">
        <w:rPr>
          <w:rFonts w:ascii="Arial" w:eastAsia="Arial" w:hAnsi="Arial" w:cs="Arial"/>
        </w:rPr>
        <w:t>generate</w:t>
      </w:r>
      <w:r>
        <w:rPr>
          <w:rFonts w:ascii="Arial" w:eastAsia="Arial" w:hAnsi="Arial" w:cs="Arial"/>
        </w:rPr>
        <w:t xml:space="preserve"> the </w:t>
      </w:r>
      <w:r w:rsidRPr="004D6BE5">
        <w:rPr>
          <w:rFonts w:ascii="Arial" w:eastAsia="Arial" w:hAnsi="Arial" w:cs="Arial"/>
        </w:rPr>
        <w:t>content</w:t>
      </w:r>
      <w:r>
        <w:rPr>
          <w:rFonts w:ascii="Arial" w:eastAsia="Arial" w:hAnsi="Arial" w:cs="Arial"/>
        </w:rPr>
        <w:t>s</w:t>
      </w:r>
      <w:r w:rsidRPr="004D6BE5">
        <w:rPr>
          <w:rFonts w:ascii="Arial" w:eastAsia="Arial" w:hAnsi="Arial" w:cs="Arial"/>
        </w:rPr>
        <w:t xml:space="preserve">. </w:t>
      </w:r>
      <w:r>
        <w:rPr>
          <w:rFonts w:ascii="Arial" w:eastAsia="Arial" w:hAnsi="Arial" w:cs="Arial"/>
        </w:rPr>
        <w:t>G</w:t>
      </w:r>
      <w:r w:rsidRPr="004D6BE5">
        <w:rPr>
          <w:rFonts w:ascii="Arial" w:eastAsia="Arial" w:hAnsi="Arial" w:cs="Arial"/>
        </w:rPr>
        <w:t xml:space="preserve">enerated material that was </w:t>
      </w:r>
      <w:r>
        <w:rPr>
          <w:rFonts w:ascii="Arial" w:eastAsia="Arial" w:hAnsi="Arial" w:cs="Arial"/>
        </w:rPr>
        <w:t>checked</w:t>
      </w:r>
      <w:r w:rsidRPr="004D6BE5">
        <w:rPr>
          <w:rFonts w:ascii="Arial" w:eastAsia="Arial" w:hAnsi="Arial" w:cs="Arial"/>
        </w:rPr>
        <w:t xml:space="preserve"> </w:t>
      </w:r>
      <w:r>
        <w:rPr>
          <w:rFonts w:ascii="Arial" w:eastAsia="Arial" w:hAnsi="Arial" w:cs="Arial"/>
        </w:rPr>
        <w:t>clearly</w:t>
      </w:r>
      <w:r w:rsidRPr="004D6BE5">
        <w:rPr>
          <w:rFonts w:ascii="Arial" w:eastAsia="Arial" w:hAnsi="Arial" w:cs="Arial"/>
        </w:rPr>
        <w:t>, edited and validated to ensure that it was accurate</w:t>
      </w:r>
      <w:r>
        <w:rPr>
          <w:rFonts w:ascii="Arial" w:eastAsia="Arial" w:hAnsi="Arial" w:cs="Arial"/>
        </w:rPr>
        <w:t>.</w:t>
      </w:r>
    </w:p>
    <w:p w14:paraId="0AACC2C7" w14:textId="77777777" w:rsidR="006D2E30" w:rsidRDefault="006D2E30">
      <w:pPr>
        <w:spacing w:before="200" w:after="200"/>
        <w:rPr>
          <w:rFonts w:ascii="Arial" w:eastAsia="Arial" w:hAnsi="Arial" w:cs="Arial"/>
        </w:rPr>
      </w:pPr>
    </w:p>
    <w:sectPr w:rsidR="006D2E30" w:rsidSect="005F6C2F">
      <w:footerReference w:type="default" r:id="rId47"/>
      <w:footerReference w:type="first" r:id="rId4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F8616" w14:textId="77777777" w:rsidR="006F3B0B" w:rsidRDefault="006F3B0B">
      <w:pPr>
        <w:spacing w:before="0" w:after="0" w:line="240" w:lineRule="auto"/>
      </w:pPr>
      <w:r>
        <w:separator/>
      </w:r>
    </w:p>
  </w:endnote>
  <w:endnote w:type="continuationSeparator" w:id="0">
    <w:p w14:paraId="0E18C78C" w14:textId="77777777" w:rsidR="006F3B0B" w:rsidRDefault="006F3B0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53317E2-741E-4757-8E3D-6D6EE48D56A5}"/>
  </w:font>
  <w:font w:name="Shruti">
    <w:panose1 w:val="020B0502040204020203"/>
    <w:charset w:val="00"/>
    <w:family w:val="swiss"/>
    <w:pitch w:val="variable"/>
    <w:sig w:usb0="00040003" w:usb1="00000000" w:usb2="00000000" w:usb3="00000000" w:csb0="00000001" w:csb1="00000000"/>
    <w:embedRegular r:id="rId2" w:fontKey="{DC3BC073-9059-4990-A6CA-1A91D262ACDF}"/>
  </w:font>
  <w:font w:name="Cambria">
    <w:panose1 w:val="02040503050406030204"/>
    <w:charset w:val="00"/>
    <w:family w:val="roman"/>
    <w:pitch w:val="variable"/>
    <w:sig w:usb0="E00006FF" w:usb1="420024FF" w:usb2="02000000" w:usb3="00000000" w:csb0="0000019F" w:csb1="00000000"/>
    <w:embedRegular r:id="rId3" w:fontKey="{1B0D0C2C-F9B1-4104-9E08-109CC36F801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A1994" w14:textId="77777777" w:rsidR="005D57A3" w:rsidRDefault="00000000">
    <w:pPr>
      <w:jc w:val="right"/>
      <w:rPr>
        <w:rFonts w:ascii="Arial" w:eastAsia="Arial" w:hAnsi="Arial" w:cs="Arial"/>
        <w:sz w:val="20"/>
        <w:szCs w:val="20"/>
      </w:rPr>
    </w:pPr>
    <w:r>
      <w:rPr>
        <w:rFonts w:ascii="Arial" w:eastAsia="Arial" w:hAnsi="Arial" w:cs="Arial"/>
        <w:sz w:val="20"/>
        <w:szCs w:val="20"/>
      </w:rPr>
      <w:fldChar w:fldCharType="begin"/>
    </w:r>
    <w:r>
      <w:rPr>
        <w:rFonts w:ascii="Arial" w:eastAsia="Arial" w:hAnsi="Arial" w:cs="Arial"/>
        <w:sz w:val="20"/>
        <w:szCs w:val="20"/>
      </w:rPr>
      <w:instrText>PAGE</w:instrText>
    </w:r>
    <w:r>
      <w:rPr>
        <w:rFonts w:ascii="Arial" w:eastAsia="Arial" w:hAnsi="Arial" w:cs="Arial"/>
        <w:sz w:val="20"/>
        <w:szCs w:val="20"/>
      </w:rPr>
      <w:fldChar w:fldCharType="separate"/>
    </w:r>
    <w:r w:rsidR="005F6C2F">
      <w:rPr>
        <w:rFonts w:ascii="Arial" w:eastAsia="Arial" w:hAnsi="Arial" w:cs="Arial"/>
        <w:noProof/>
        <w:sz w:val="20"/>
        <w:szCs w:val="20"/>
      </w:rPr>
      <w:t>1</w:t>
    </w:r>
    <w:r>
      <w:rPr>
        <w:rFonts w:ascii="Arial" w:eastAsia="Arial" w:hAnsi="Arial" w:cs="Arial"/>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09975" w14:textId="77777777" w:rsidR="005D57A3" w:rsidRDefault="005D57A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94F301" w14:textId="77777777" w:rsidR="006F3B0B" w:rsidRDefault="006F3B0B">
      <w:pPr>
        <w:spacing w:before="0" w:after="0" w:line="240" w:lineRule="auto"/>
      </w:pPr>
      <w:r>
        <w:separator/>
      </w:r>
    </w:p>
  </w:footnote>
  <w:footnote w:type="continuationSeparator" w:id="0">
    <w:p w14:paraId="2FA04DA4" w14:textId="77777777" w:rsidR="006F3B0B" w:rsidRDefault="006F3B0B">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57A3"/>
    <w:rsid w:val="003B629B"/>
    <w:rsid w:val="003B75F7"/>
    <w:rsid w:val="004A7DA0"/>
    <w:rsid w:val="004D6BE5"/>
    <w:rsid w:val="00547C85"/>
    <w:rsid w:val="005D57A3"/>
    <w:rsid w:val="005F6C2F"/>
    <w:rsid w:val="00661623"/>
    <w:rsid w:val="006D2E30"/>
    <w:rsid w:val="006F3B0B"/>
    <w:rsid w:val="00876367"/>
    <w:rsid w:val="008F6407"/>
    <w:rsid w:val="00916A3C"/>
    <w:rsid w:val="009E205C"/>
    <w:rsid w:val="00A41EB0"/>
    <w:rsid w:val="00B37547"/>
    <w:rsid w:val="00B54041"/>
    <w:rsid w:val="00B86D9B"/>
    <w:rsid w:val="00BC44D3"/>
    <w:rsid w:val="00DB39CD"/>
    <w:rsid w:val="00DE0944"/>
    <w:rsid w:val="00DE45E0"/>
    <w:rsid w:val="00F15657"/>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BF26C"/>
  <w15:docId w15:val="{28264C2E-5B98-445C-B890-4504EDBE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outlineLvl w:val="0"/>
    </w:pPr>
    <w:rPr>
      <w:rFonts w:ascii="Arial" w:eastAsia="Arial" w:hAnsi="Arial" w:cs="Arial"/>
      <w:b/>
      <w:bCs/>
      <w:sz w:val="28"/>
      <w:szCs w:val="28"/>
    </w:rPr>
  </w:style>
  <w:style w:type="paragraph" w:styleId="Heading2">
    <w:name w:val="heading 2"/>
    <w:basedOn w:val="Normal"/>
    <w:next w:val="Normal"/>
    <w:uiPriority w:val="9"/>
    <w:unhideWhenUsed/>
    <w:qFormat/>
    <w:pPr>
      <w:keepNext/>
      <w:keepLines/>
      <w:spacing w:before="200" w:after="200"/>
      <w:outlineLvl w:val="1"/>
    </w:pPr>
    <w:rPr>
      <w:rFonts w:ascii="Arial" w:eastAsia="Arial" w:hAnsi="Arial" w:cs="Arial"/>
      <w:b/>
      <w:bCs/>
      <w:sz w:val="26"/>
      <w:szCs w:val="26"/>
    </w:rPr>
  </w:style>
  <w:style w:type="paragraph" w:styleId="Heading3">
    <w:name w:val="heading 3"/>
    <w:basedOn w:val="Normal"/>
    <w:next w:val="Normal"/>
    <w:uiPriority w:val="9"/>
    <w:unhideWhenUsed/>
    <w:qFormat/>
    <w:pPr>
      <w:keepNext/>
      <w:keepLines/>
      <w:spacing w:before="200" w:after="200"/>
      <w:outlineLvl w:val="2"/>
    </w:pPr>
    <w:rPr>
      <w:rFonts w:ascii="Arial" w:eastAsia="Arial" w:hAnsi="Arial" w:cs="Arial"/>
      <w:b/>
      <w:bCs/>
    </w:rPr>
  </w:style>
  <w:style w:type="paragraph" w:styleId="Heading4">
    <w:name w:val="heading 4"/>
    <w:basedOn w:val="Normal"/>
    <w:next w:val="Normal"/>
    <w:uiPriority w:val="9"/>
    <w:semiHidden/>
    <w:unhideWhenUsed/>
    <w:qFormat/>
    <w:pPr>
      <w:keepNext/>
      <w:keepLines/>
      <w:outlineLvl w:val="3"/>
    </w:pPr>
    <w:rPr>
      <w:b/>
      <w:bCs/>
    </w:rPr>
  </w:style>
  <w:style w:type="paragraph" w:styleId="Heading5">
    <w:name w:val="heading 5"/>
    <w:basedOn w:val="Normal"/>
    <w:next w:val="Normal"/>
    <w:uiPriority w:val="9"/>
    <w:semiHidden/>
    <w:unhideWhenUsed/>
    <w:qFormat/>
    <w:pPr>
      <w:keepNext/>
      <w:keepLines/>
      <w:jc w:val="center"/>
      <w:outlineLvl w:val="4"/>
    </w:pPr>
    <w:rPr>
      <w:b/>
      <w:bCs/>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5F6C2F"/>
    <w:pPr>
      <w:spacing w:after="100"/>
    </w:pPr>
  </w:style>
  <w:style w:type="paragraph" w:styleId="TOC2">
    <w:name w:val="toc 2"/>
    <w:basedOn w:val="Normal"/>
    <w:next w:val="Normal"/>
    <w:autoRedefine/>
    <w:uiPriority w:val="39"/>
    <w:unhideWhenUsed/>
    <w:rsid w:val="005F6C2F"/>
    <w:pPr>
      <w:spacing w:after="100"/>
      <w:ind w:left="240"/>
    </w:pPr>
  </w:style>
  <w:style w:type="paragraph" w:styleId="TOC3">
    <w:name w:val="toc 3"/>
    <w:basedOn w:val="Normal"/>
    <w:next w:val="Normal"/>
    <w:autoRedefine/>
    <w:uiPriority w:val="39"/>
    <w:unhideWhenUsed/>
    <w:rsid w:val="005F6C2F"/>
    <w:pPr>
      <w:spacing w:after="100"/>
      <w:ind w:left="480"/>
    </w:pPr>
  </w:style>
  <w:style w:type="character" w:styleId="Hyperlink">
    <w:name w:val="Hyperlink"/>
    <w:basedOn w:val="DefaultParagraphFont"/>
    <w:uiPriority w:val="99"/>
    <w:unhideWhenUsed/>
    <w:rsid w:val="005F6C2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academia.edu/download/106769993/cash-conversion-cycle-and-firms-performance.pdf" TargetMode="External"/><Relationship Id="rId18" Type="http://schemas.openxmlformats.org/officeDocument/2006/relationships/hyperlink" Target="https://jurnal.unismuhpalu.ac.id/index.php/IJHESS/article/download/3611/2789" TargetMode="External"/><Relationship Id="rId26" Type="http://schemas.openxmlformats.org/officeDocument/2006/relationships/hyperlink" Target="https://www.neliti.com/publications/620973/gearing-ratio-and-operating-cash-flow-performance-of-quoted-manufacturing-firms" TargetMode="External"/><Relationship Id="rId39" Type="http://schemas.openxmlformats.org/officeDocument/2006/relationships/hyperlink" Target="http://hbemdata.org/index.php/ojs/article/download/25/22" TargetMode="External"/><Relationship Id="rId21" Type="http://schemas.openxmlformats.org/officeDocument/2006/relationships/hyperlink" Target="https://research.vu.nl/files/383294522/Humanism_as_an_Institutional_Driver_of_Corporate_Social_Responsibility_CSR_Activities.pdf" TargetMode="External"/><Relationship Id="rId34" Type="http://schemas.openxmlformats.org/officeDocument/2006/relationships/hyperlink" Target="https://global.toyota/pages/global_toyota/ir/financial-results/2023_4q_summary_en.pdf" TargetMode="External"/><Relationship Id="rId42" Type="http://schemas.openxmlformats.org/officeDocument/2006/relationships/image" Target="media/image8.png"/><Relationship Id="rId47" Type="http://schemas.openxmlformats.org/officeDocument/2006/relationships/footer" Target="footer1.xml"/><Relationship Id="rId50"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companiesmarketcap.com/inr/toyota/marketcap/" TargetMode="External"/><Relationship Id="rId29" Type="http://schemas.openxmlformats.org/officeDocument/2006/relationships/hyperlink" Target="https://www.mdpi.com/2227-9091/13/4/62" TargetMode="External"/><Relationship Id="rId11" Type="http://schemas.openxmlformats.org/officeDocument/2006/relationships/image" Target="media/image6.png"/><Relationship Id="rId24" Type="http://schemas.openxmlformats.org/officeDocument/2006/relationships/hyperlink" Target="https://www.researchgate.net/profile/Marcin-Majka-2/publication/381402363_Understanding_Efficiency_Ratios/links/666b64b9de777205a32c2aa5/Understanding-Efficiency-Ratios.pdf" TargetMode="External"/><Relationship Id="rId32" Type="http://schemas.openxmlformats.org/officeDocument/2006/relationships/hyperlink" Target="https://global.toyota/pages/global_toyota/ir/financial-results/2020_4q_summary_en.pdf" TargetMode="External"/><Relationship Id="rId37" Type="http://schemas.openxmlformats.org/officeDocument/2006/relationships/hyperlink" Target="https://global.toyota/en/company/profile/overview/index.html" TargetMode="External"/><Relationship Id="rId40" Type="http://schemas.openxmlformats.org/officeDocument/2006/relationships/hyperlink" Target="https://mpra.ub.uni-muenchen.de/125289/1/Financial%20Ratio%20Analysis%20A%20literature%20Review%20Working%20Paper.pdf" TargetMode="External"/><Relationship Id="rId45" Type="http://schemas.openxmlformats.org/officeDocument/2006/relationships/image" Target="media/image11.png"/><Relationship Id="rId5" Type="http://schemas.openxmlformats.org/officeDocument/2006/relationships/endnotes" Target="endnotes.xml"/><Relationship Id="rId15" Type="http://schemas.openxmlformats.org/officeDocument/2006/relationships/hyperlink" Target="https://www.researchgate.net/profile/Suranjan-Bhattacheryay-2/publication/348843827_Multinational_working_capital_management_a_study_on_Toyota_Motor_Corporation/links/604d719a458515e529a7a20a/Multinational-working-capital-management-a-study-on-Toyota-Motor-Corporation.pdf" TargetMode="External"/><Relationship Id="rId23" Type="http://schemas.openxmlformats.org/officeDocument/2006/relationships/hyperlink" Target="https://www.shs-conferences.org/articles/shsconf/pdf/2024/27/shsconf_icdeba2024_03019.pdf" TargetMode="External"/><Relationship Id="rId28" Type="http://schemas.openxmlformats.org/officeDocument/2006/relationships/hyperlink" Target="https://papers.ssrn.com/sol3/Delivery.cfm?abstractid=5348941" TargetMode="External"/><Relationship Id="rId36" Type="http://schemas.openxmlformats.org/officeDocument/2006/relationships/hyperlink" Target="https://global.toyota/en/company/index.html" TargetMode="External"/><Relationship Id="rId49"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www.federalreserve.gov/econres/notes/feds-notes/firms-financing-choice-between-short-term-and-long-term-debts-are-they-substitutes-20240503.html" TargetMode="External"/><Relationship Id="rId31" Type="http://schemas.openxmlformats.org/officeDocument/2006/relationships/hyperlink" Target="https://stratfordjournalpublishers.org/journals/index.php/journal-of-strategic-management/article/download/1733/2251" TargetMode="External"/><Relationship Id="rId44" Type="http://schemas.openxmlformats.org/officeDocument/2006/relationships/image" Target="media/image10.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emerald.com/ajb/article-pdf/37/3/109/226512/ajb-06-2021-0070.pdf" TargetMode="External"/><Relationship Id="rId22" Type="http://schemas.openxmlformats.org/officeDocument/2006/relationships/hyperlink" Target="https://www.emerald.com/imr/article-pdf/41/3-4/827/9612448/imr-04-2022-0103.pdf" TargetMode="External"/><Relationship Id="rId27" Type="http://schemas.openxmlformats.org/officeDocument/2006/relationships/hyperlink" Target="https://www.researchgate.net/profile/Subharun-Pal/publication/378977234_Optimizing_Just-In-Time_Inventory_Management_A_Deep_Dive_into_AI-Enhanced_Demand_Forecasting/links/65f4a532286738732d4d4e90/Optimizing-Just-In-Time-Inventory-Management-A-Deep-Dive-into-AI-Enhanced-Demand-Forecasting.pdf" TargetMode="External"/><Relationship Id="rId30" Type="http://schemas.openxmlformats.org/officeDocument/2006/relationships/hyperlink" Target="https://journal.literasisainsnusantara.com/index.php/adman/article/download/4/31" TargetMode="External"/><Relationship Id="rId35" Type="http://schemas.openxmlformats.org/officeDocument/2006/relationships/hyperlink" Target="https://global.toyota/pages/global_toyota/ir/financial-results/2024_4q_summary_en.pdf" TargetMode="External"/><Relationship Id="rId43" Type="http://schemas.openxmlformats.org/officeDocument/2006/relationships/image" Target="media/image9.png"/><Relationship Id="rId48" Type="http://schemas.openxmlformats.org/officeDocument/2006/relationships/footer" Target="footer2.xm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hyperlink" Target="https://pdfs.semanticscholar.org/b297/a823988fa5f3b58516df9f08c16c2c20d0e5.pdf" TargetMode="External"/><Relationship Id="rId17" Type="http://schemas.openxmlformats.org/officeDocument/2006/relationships/hyperlink" Target="https://www.amity.edu/gwalior/naac/1_1_3/syllabus/1.1.3%20abs%20new.pdf" TargetMode="External"/><Relationship Id="rId25" Type="http://schemas.openxmlformats.org/officeDocument/2006/relationships/hyperlink" Target="https://proceeding.umsu.ac.id/index.php/Miceb/article/download/282/303" TargetMode="External"/><Relationship Id="rId33" Type="http://schemas.openxmlformats.org/officeDocument/2006/relationships/hyperlink" Target="https://global.toyota/pages/global_toyota/ir/financial-results/2022_4q_summary_en.pdf" TargetMode="External"/><Relationship Id="rId38" Type="http://schemas.openxmlformats.org/officeDocument/2006/relationships/hyperlink" Target="https://pubsonline.informs.org/doi/abs/10.1287/opre.2022.0196" TargetMode="External"/><Relationship Id="rId46" Type="http://schemas.openxmlformats.org/officeDocument/2006/relationships/image" Target="media/image12.png"/><Relationship Id="rId20" Type="http://schemas.openxmlformats.org/officeDocument/2006/relationships/hyperlink" Target="http://repository.iaincurup.ac.id/1725/6/1%20Korespondensi%20Economic%20Studies_Muhammad%20Istan_Versi%20Pedoman%20Terbaru.pdf" TargetMode="External"/><Relationship Id="rId41" Type="http://schemas.openxmlformats.org/officeDocument/2006/relationships/image" Target="media/image7.png"/><Relationship Id="rId1"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38</Pages>
  <Words>8407</Words>
  <Characters>47921</Characters>
  <Application>Microsoft Office Word</Application>
  <DocSecurity>0</DocSecurity>
  <Lines>399</Lines>
  <Paragraphs>112</Paragraphs>
  <ScaleCrop>false</ScaleCrop>
  <Company/>
  <LinksUpToDate>false</LinksUpToDate>
  <CharactersWithSpaces>56216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soyam</dc:creator>
  <cp:lastModifiedBy>ronak devani</cp:lastModifiedBy>
  <cp:revision>6</cp:revision>
  <dcterms:created xsi:type="dcterms:W3CDTF">2026-04-23T17:36:00Z</dcterms:created>
  <dcterms:modified xsi:type="dcterms:W3CDTF">2026-04-24T00:36:00Z</dcterms:modified>
</cp:coreProperties>
</file>