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10C06E10"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353BB2">
        <w:rPr>
          <w:rFonts w:ascii="Arial" w:hAnsi="Arial" w:cs="Arial"/>
          <w:sz w:val="28"/>
          <w:szCs w:val="28"/>
          <w:lang w:val="nl-NL"/>
        </w:rPr>
        <w:t xml:space="preserve"> Hazel Rodriguez</w:t>
      </w:r>
    </w:p>
    <w:p w14:paraId="18D88AE2" w14:textId="6F8B1225" w:rsidR="00C558B0"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353BB2">
        <w:rPr>
          <w:rFonts w:ascii="Arial" w:hAnsi="Arial" w:cs="Arial"/>
          <w:sz w:val="28"/>
          <w:szCs w:val="28"/>
          <w:lang w:val="nl-NL"/>
        </w:rPr>
        <w:t xml:space="preserve"> 2430331</w:t>
      </w:r>
    </w:p>
    <w:p w14:paraId="5D7B49A8" w14:textId="77777777" w:rsidR="00353BB2" w:rsidRPr="00594FAC" w:rsidRDefault="00353BB2" w:rsidP="00594FAC">
      <w:pPr>
        <w:tabs>
          <w:tab w:val="left" w:pos="6540"/>
        </w:tabs>
        <w:spacing w:line="360" w:lineRule="auto"/>
        <w:rPr>
          <w:rFonts w:ascii="Arial" w:hAnsi="Arial" w:cs="Arial"/>
          <w:sz w:val="28"/>
          <w:szCs w:val="28"/>
          <w:lang w:val="nl-NL"/>
        </w:rPr>
      </w:pP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Pr="002F34D0" w:rsidRDefault="00C558B0" w:rsidP="00594FAC">
      <w:pPr>
        <w:tabs>
          <w:tab w:val="left" w:pos="6540"/>
        </w:tabs>
        <w:spacing w:line="360" w:lineRule="auto"/>
        <w:rPr>
          <w:rFonts w:ascii="Arial" w:hAnsi="Arial" w:cs="Arial"/>
          <w:b/>
          <w:bCs/>
          <w:sz w:val="28"/>
          <w:szCs w:val="28"/>
        </w:rPr>
      </w:pPr>
      <w:r w:rsidRPr="002F34D0">
        <w:rPr>
          <w:rFonts w:ascii="Arial" w:hAnsi="Arial" w:cs="Arial"/>
          <w:b/>
          <w:bCs/>
          <w:sz w:val="28"/>
          <w:szCs w:val="28"/>
        </w:rPr>
        <w:t>Module name</w:t>
      </w:r>
      <w:r w:rsidRPr="002F34D0">
        <w:rPr>
          <w:rFonts w:ascii="Arial" w:hAnsi="Arial" w:cs="Arial"/>
          <w:sz w:val="28"/>
          <w:szCs w:val="28"/>
        </w:rPr>
        <w:t xml:space="preserve">: </w:t>
      </w:r>
      <w:r w:rsidR="00887FBB" w:rsidRPr="002F34D0">
        <w:rPr>
          <w:rFonts w:ascii="Arial" w:hAnsi="Arial" w:cs="Arial"/>
          <w:b/>
          <w:bCs/>
          <w:sz w:val="28"/>
          <w:szCs w:val="28"/>
        </w:rPr>
        <w:t>Principles of Health and Social Care Practice</w:t>
      </w:r>
    </w:p>
    <w:p w14:paraId="3E48CEF6" w14:textId="34265016" w:rsidR="00887FBB" w:rsidRPr="002F34D0" w:rsidRDefault="00887FBB" w:rsidP="00594FAC">
      <w:pPr>
        <w:tabs>
          <w:tab w:val="left" w:pos="6540"/>
        </w:tabs>
        <w:spacing w:line="360" w:lineRule="auto"/>
        <w:rPr>
          <w:rFonts w:ascii="Arial" w:hAnsi="Arial" w:cs="Arial"/>
          <w:sz w:val="28"/>
          <w:szCs w:val="28"/>
        </w:rPr>
      </w:pPr>
      <w:r w:rsidRPr="002F34D0">
        <w:rPr>
          <w:rFonts w:ascii="Arial" w:hAnsi="Arial" w:cs="Arial"/>
          <w:b/>
          <w:bCs/>
          <w:sz w:val="28"/>
          <w:szCs w:val="28"/>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3439E3E7"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353BB2">
        <w:rPr>
          <w:rFonts w:ascii="Arial" w:hAnsi="Arial" w:cs="Arial"/>
          <w:sz w:val="28"/>
          <w:szCs w:val="28"/>
        </w:rPr>
        <w:t xml:space="preserve"> Dr </w:t>
      </w:r>
      <w:proofErr w:type="spellStart"/>
      <w:r w:rsidR="00353BB2">
        <w:rPr>
          <w:rFonts w:ascii="Arial" w:hAnsi="Arial" w:cs="Arial"/>
          <w:sz w:val="28"/>
          <w:szCs w:val="28"/>
        </w:rPr>
        <w:t>Itse</w:t>
      </w:r>
      <w:proofErr w:type="spellEnd"/>
      <w:r w:rsidR="00353BB2">
        <w:rPr>
          <w:rFonts w:ascii="Arial" w:hAnsi="Arial" w:cs="Arial"/>
          <w:sz w:val="28"/>
          <w:szCs w:val="28"/>
        </w:rPr>
        <w:t xml:space="preserve"> </w:t>
      </w:r>
      <w:r w:rsidR="00353BB2" w:rsidRPr="00353BB2">
        <w:rPr>
          <w:rFonts w:ascii="Arial" w:hAnsi="Arial" w:cs="Arial"/>
          <w:sz w:val="28"/>
          <w:szCs w:val="28"/>
        </w:rPr>
        <w:t>Olaoye</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bookmarkStart w:id="0" w:name="_Toc236050996" w:displacedByCustomXml="next"/>
    <w:sdt>
      <w:sdtPr>
        <w:rPr>
          <w:rFonts w:ascii="Times New Roman" w:eastAsiaTheme="minorHAnsi" w:hAnsi="Times New Roman" w:cstheme="minorBidi"/>
          <w:color w:val="auto"/>
          <w:sz w:val="24"/>
          <w:szCs w:val="22"/>
        </w:rPr>
        <w:id w:val="-1526940474"/>
        <w:docPartObj>
          <w:docPartGallery w:val="Table of Contents"/>
          <w:docPartUnique/>
        </w:docPartObj>
      </w:sdtPr>
      <w:sdtEndPr>
        <w:rPr>
          <w:b/>
          <w:bCs/>
          <w:noProof/>
        </w:rPr>
      </w:sdtEndPr>
      <w:sdtContent>
        <w:p w14:paraId="6E9059F9" w14:textId="689C6293" w:rsidR="002071F0" w:rsidRPr="002071F0" w:rsidRDefault="002071F0" w:rsidP="002071F0">
          <w:pPr>
            <w:pStyle w:val="Heading1"/>
          </w:pPr>
          <w:r>
            <w:t>Table of Contents</w:t>
          </w:r>
          <w:bookmarkEnd w:id="0"/>
        </w:p>
        <w:p w14:paraId="23963649" w14:textId="00694349" w:rsidR="00F81230" w:rsidRDefault="002071F0">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36050996" w:history="1">
            <w:r w:rsidR="00F81230" w:rsidRPr="009E3366">
              <w:rPr>
                <w:rStyle w:val="Hyperlink"/>
                <w:noProof/>
              </w:rPr>
              <w:t>Table of Contents</w:t>
            </w:r>
            <w:r w:rsidR="00F81230">
              <w:rPr>
                <w:noProof/>
                <w:webHidden/>
              </w:rPr>
              <w:tab/>
            </w:r>
            <w:r w:rsidR="00F81230">
              <w:rPr>
                <w:noProof/>
                <w:webHidden/>
              </w:rPr>
              <w:fldChar w:fldCharType="begin"/>
            </w:r>
            <w:r w:rsidR="00F81230">
              <w:rPr>
                <w:noProof/>
                <w:webHidden/>
              </w:rPr>
              <w:instrText xml:space="preserve"> PAGEREF _Toc236050996 \h </w:instrText>
            </w:r>
            <w:r w:rsidR="00F81230">
              <w:rPr>
                <w:noProof/>
                <w:webHidden/>
              </w:rPr>
            </w:r>
            <w:r w:rsidR="00F81230">
              <w:rPr>
                <w:noProof/>
                <w:webHidden/>
              </w:rPr>
              <w:fldChar w:fldCharType="separate"/>
            </w:r>
            <w:r w:rsidR="00F81230">
              <w:rPr>
                <w:noProof/>
                <w:webHidden/>
              </w:rPr>
              <w:t>2</w:t>
            </w:r>
            <w:r w:rsidR="00F81230">
              <w:rPr>
                <w:noProof/>
                <w:webHidden/>
              </w:rPr>
              <w:fldChar w:fldCharType="end"/>
            </w:r>
          </w:hyperlink>
        </w:p>
        <w:p w14:paraId="54AD43A5" w14:textId="7A54631A" w:rsidR="00F81230" w:rsidRDefault="00F8123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050997" w:history="1">
            <w:r w:rsidRPr="009E3366">
              <w:rPr>
                <w:rStyle w:val="Hyperlink"/>
                <w:noProof/>
              </w:rPr>
              <w:t>Introduction:</w:t>
            </w:r>
            <w:r>
              <w:rPr>
                <w:noProof/>
                <w:webHidden/>
              </w:rPr>
              <w:tab/>
            </w:r>
            <w:r>
              <w:rPr>
                <w:noProof/>
                <w:webHidden/>
              </w:rPr>
              <w:fldChar w:fldCharType="begin"/>
            </w:r>
            <w:r>
              <w:rPr>
                <w:noProof/>
                <w:webHidden/>
              </w:rPr>
              <w:instrText xml:space="preserve"> PAGEREF _Toc236050997 \h </w:instrText>
            </w:r>
            <w:r>
              <w:rPr>
                <w:noProof/>
                <w:webHidden/>
              </w:rPr>
            </w:r>
            <w:r>
              <w:rPr>
                <w:noProof/>
                <w:webHidden/>
              </w:rPr>
              <w:fldChar w:fldCharType="separate"/>
            </w:r>
            <w:r>
              <w:rPr>
                <w:noProof/>
                <w:webHidden/>
              </w:rPr>
              <w:t>3</w:t>
            </w:r>
            <w:r>
              <w:rPr>
                <w:noProof/>
                <w:webHidden/>
              </w:rPr>
              <w:fldChar w:fldCharType="end"/>
            </w:r>
          </w:hyperlink>
        </w:p>
        <w:p w14:paraId="1608E277" w14:textId="26B6F40A" w:rsidR="00F81230" w:rsidRDefault="00F8123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050998" w:history="1">
            <w:r w:rsidRPr="009E3366">
              <w:rPr>
                <w:rStyle w:val="Hyperlink"/>
                <w:rFonts w:ascii="Arial" w:hAnsi="Arial" w:cs="Arial"/>
                <w:noProof/>
              </w:rPr>
              <w:t>Task 1:</w:t>
            </w:r>
            <w:r>
              <w:rPr>
                <w:noProof/>
                <w:webHidden/>
              </w:rPr>
              <w:tab/>
            </w:r>
            <w:r>
              <w:rPr>
                <w:noProof/>
                <w:webHidden/>
              </w:rPr>
              <w:fldChar w:fldCharType="begin"/>
            </w:r>
            <w:r>
              <w:rPr>
                <w:noProof/>
                <w:webHidden/>
              </w:rPr>
              <w:instrText xml:space="preserve"> PAGEREF _Toc236050998 \h </w:instrText>
            </w:r>
            <w:r>
              <w:rPr>
                <w:noProof/>
                <w:webHidden/>
              </w:rPr>
            </w:r>
            <w:r>
              <w:rPr>
                <w:noProof/>
                <w:webHidden/>
              </w:rPr>
              <w:fldChar w:fldCharType="separate"/>
            </w:r>
            <w:r>
              <w:rPr>
                <w:noProof/>
                <w:webHidden/>
              </w:rPr>
              <w:t>4</w:t>
            </w:r>
            <w:r>
              <w:rPr>
                <w:noProof/>
                <w:webHidden/>
              </w:rPr>
              <w:fldChar w:fldCharType="end"/>
            </w:r>
          </w:hyperlink>
        </w:p>
        <w:p w14:paraId="6DE4BAAE" w14:textId="11106244" w:rsidR="00F81230" w:rsidRDefault="00F8123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050999" w:history="1">
            <w:r w:rsidRPr="009E3366">
              <w:rPr>
                <w:rStyle w:val="Hyperlink"/>
                <w:rFonts w:ascii="Arial" w:hAnsi="Arial" w:cs="Arial"/>
                <w:noProof/>
              </w:rPr>
              <w:t>Task 2:</w:t>
            </w:r>
            <w:r>
              <w:rPr>
                <w:noProof/>
                <w:webHidden/>
              </w:rPr>
              <w:tab/>
            </w:r>
            <w:r>
              <w:rPr>
                <w:noProof/>
                <w:webHidden/>
              </w:rPr>
              <w:fldChar w:fldCharType="begin"/>
            </w:r>
            <w:r>
              <w:rPr>
                <w:noProof/>
                <w:webHidden/>
              </w:rPr>
              <w:instrText xml:space="preserve"> PAGEREF _Toc236050999 \h </w:instrText>
            </w:r>
            <w:r>
              <w:rPr>
                <w:noProof/>
                <w:webHidden/>
              </w:rPr>
            </w:r>
            <w:r>
              <w:rPr>
                <w:noProof/>
                <w:webHidden/>
              </w:rPr>
              <w:fldChar w:fldCharType="separate"/>
            </w:r>
            <w:r>
              <w:rPr>
                <w:noProof/>
                <w:webHidden/>
              </w:rPr>
              <w:t>6</w:t>
            </w:r>
            <w:r>
              <w:rPr>
                <w:noProof/>
                <w:webHidden/>
              </w:rPr>
              <w:fldChar w:fldCharType="end"/>
            </w:r>
          </w:hyperlink>
        </w:p>
        <w:p w14:paraId="7ADAA20A" w14:textId="75E08BF5" w:rsidR="00F81230" w:rsidRDefault="00F8123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051000" w:history="1">
            <w:r w:rsidRPr="009E3366">
              <w:rPr>
                <w:rStyle w:val="Hyperlink"/>
                <w:rFonts w:ascii="Arial" w:hAnsi="Arial" w:cs="Arial"/>
                <w:noProof/>
              </w:rPr>
              <w:t>Task 3: Self-Reflection as a Health and Social Care Professional</w:t>
            </w:r>
            <w:r>
              <w:rPr>
                <w:noProof/>
                <w:webHidden/>
              </w:rPr>
              <w:tab/>
            </w:r>
            <w:r>
              <w:rPr>
                <w:noProof/>
                <w:webHidden/>
              </w:rPr>
              <w:fldChar w:fldCharType="begin"/>
            </w:r>
            <w:r>
              <w:rPr>
                <w:noProof/>
                <w:webHidden/>
              </w:rPr>
              <w:instrText xml:space="preserve"> PAGEREF _Toc236051000 \h </w:instrText>
            </w:r>
            <w:r>
              <w:rPr>
                <w:noProof/>
                <w:webHidden/>
              </w:rPr>
            </w:r>
            <w:r>
              <w:rPr>
                <w:noProof/>
                <w:webHidden/>
              </w:rPr>
              <w:fldChar w:fldCharType="separate"/>
            </w:r>
            <w:r>
              <w:rPr>
                <w:noProof/>
                <w:webHidden/>
              </w:rPr>
              <w:t>8</w:t>
            </w:r>
            <w:r>
              <w:rPr>
                <w:noProof/>
                <w:webHidden/>
              </w:rPr>
              <w:fldChar w:fldCharType="end"/>
            </w:r>
          </w:hyperlink>
        </w:p>
        <w:p w14:paraId="30874B27" w14:textId="62776C40" w:rsidR="00F81230" w:rsidRDefault="00F8123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051001" w:history="1">
            <w:r w:rsidRPr="009E3366">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_Toc236051001 \h </w:instrText>
            </w:r>
            <w:r>
              <w:rPr>
                <w:noProof/>
                <w:webHidden/>
              </w:rPr>
            </w:r>
            <w:r>
              <w:rPr>
                <w:noProof/>
                <w:webHidden/>
              </w:rPr>
              <w:fldChar w:fldCharType="separate"/>
            </w:r>
            <w:r>
              <w:rPr>
                <w:noProof/>
                <w:webHidden/>
              </w:rPr>
              <w:t>8</w:t>
            </w:r>
            <w:r>
              <w:rPr>
                <w:noProof/>
                <w:webHidden/>
              </w:rPr>
              <w:fldChar w:fldCharType="end"/>
            </w:r>
          </w:hyperlink>
        </w:p>
        <w:p w14:paraId="2430E133" w14:textId="5557BEB5" w:rsidR="00F81230" w:rsidRDefault="00F8123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051003" w:history="1">
            <w:r w:rsidRPr="009E3366">
              <w:rPr>
                <w:rStyle w:val="Hyperlink"/>
                <w:rFonts w:ascii="Arial" w:hAnsi="Arial" w:cs="Arial"/>
                <w:noProof/>
              </w:rPr>
              <w:t>Feelings</w:t>
            </w:r>
            <w:r>
              <w:rPr>
                <w:noProof/>
                <w:webHidden/>
              </w:rPr>
              <w:tab/>
            </w:r>
            <w:r>
              <w:rPr>
                <w:noProof/>
                <w:webHidden/>
              </w:rPr>
              <w:fldChar w:fldCharType="begin"/>
            </w:r>
            <w:r>
              <w:rPr>
                <w:noProof/>
                <w:webHidden/>
              </w:rPr>
              <w:instrText xml:space="preserve"> PAGEREF _Toc236051003 \h </w:instrText>
            </w:r>
            <w:r>
              <w:rPr>
                <w:noProof/>
                <w:webHidden/>
              </w:rPr>
            </w:r>
            <w:r>
              <w:rPr>
                <w:noProof/>
                <w:webHidden/>
              </w:rPr>
              <w:fldChar w:fldCharType="separate"/>
            </w:r>
            <w:r>
              <w:rPr>
                <w:noProof/>
                <w:webHidden/>
              </w:rPr>
              <w:t>8</w:t>
            </w:r>
            <w:r>
              <w:rPr>
                <w:noProof/>
                <w:webHidden/>
              </w:rPr>
              <w:fldChar w:fldCharType="end"/>
            </w:r>
          </w:hyperlink>
        </w:p>
        <w:p w14:paraId="023C2EEF" w14:textId="74FF8269" w:rsidR="00F81230" w:rsidRDefault="00F8123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051004" w:history="1">
            <w:r w:rsidRPr="009E3366">
              <w:rPr>
                <w:rStyle w:val="Hyperlink"/>
                <w:rFonts w:ascii="Arial" w:hAnsi="Arial" w:cs="Arial"/>
                <w:noProof/>
              </w:rPr>
              <w:t>Evaluation</w:t>
            </w:r>
            <w:r>
              <w:rPr>
                <w:noProof/>
                <w:webHidden/>
              </w:rPr>
              <w:tab/>
            </w:r>
            <w:r>
              <w:rPr>
                <w:noProof/>
                <w:webHidden/>
              </w:rPr>
              <w:fldChar w:fldCharType="begin"/>
            </w:r>
            <w:r>
              <w:rPr>
                <w:noProof/>
                <w:webHidden/>
              </w:rPr>
              <w:instrText xml:space="preserve"> PAGEREF _Toc236051004 \h </w:instrText>
            </w:r>
            <w:r>
              <w:rPr>
                <w:noProof/>
                <w:webHidden/>
              </w:rPr>
            </w:r>
            <w:r>
              <w:rPr>
                <w:noProof/>
                <w:webHidden/>
              </w:rPr>
              <w:fldChar w:fldCharType="separate"/>
            </w:r>
            <w:r>
              <w:rPr>
                <w:noProof/>
                <w:webHidden/>
              </w:rPr>
              <w:t>9</w:t>
            </w:r>
            <w:r>
              <w:rPr>
                <w:noProof/>
                <w:webHidden/>
              </w:rPr>
              <w:fldChar w:fldCharType="end"/>
            </w:r>
          </w:hyperlink>
        </w:p>
        <w:p w14:paraId="59E12C4A" w14:textId="3509B1AA" w:rsidR="00F81230" w:rsidRDefault="00F8123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051005" w:history="1">
            <w:r w:rsidRPr="009E3366">
              <w:rPr>
                <w:rStyle w:val="Hyperlink"/>
                <w:rFonts w:ascii="Arial" w:hAnsi="Arial" w:cs="Arial"/>
                <w:noProof/>
              </w:rPr>
              <w:t>Analysis</w:t>
            </w:r>
            <w:r>
              <w:rPr>
                <w:noProof/>
                <w:webHidden/>
              </w:rPr>
              <w:tab/>
            </w:r>
            <w:r>
              <w:rPr>
                <w:noProof/>
                <w:webHidden/>
              </w:rPr>
              <w:fldChar w:fldCharType="begin"/>
            </w:r>
            <w:r>
              <w:rPr>
                <w:noProof/>
                <w:webHidden/>
              </w:rPr>
              <w:instrText xml:space="preserve"> PAGEREF _Toc236051005 \h </w:instrText>
            </w:r>
            <w:r>
              <w:rPr>
                <w:noProof/>
                <w:webHidden/>
              </w:rPr>
            </w:r>
            <w:r>
              <w:rPr>
                <w:noProof/>
                <w:webHidden/>
              </w:rPr>
              <w:fldChar w:fldCharType="separate"/>
            </w:r>
            <w:r>
              <w:rPr>
                <w:noProof/>
                <w:webHidden/>
              </w:rPr>
              <w:t>10</w:t>
            </w:r>
            <w:r>
              <w:rPr>
                <w:noProof/>
                <w:webHidden/>
              </w:rPr>
              <w:fldChar w:fldCharType="end"/>
            </w:r>
          </w:hyperlink>
        </w:p>
        <w:p w14:paraId="22B9E9C8" w14:textId="03298514" w:rsidR="00F81230" w:rsidRDefault="00F8123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051007" w:history="1">
            <w:r w:rsidRPr="009E336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_Toc236051007 \h </w:instrText>
            </w:r>
            <w:r>
              <w:rPr>
                <w:noProof/>
                <w:webHidden/>
              </w:rPr>
            </w:r>
            <w:r>
              <w:rPr>
                <w:noProof/>
                <w:webHidden/>
              </w:rPr>
              <w:fldChar w:fldCharType="separate"/>
            </w:r>
            <w:r>
              <w:rPr>
                <w:noProof/>
                <w:webHidden/>
              </w:rPr>
              <w:t>10</w:t>
            </w:r>
            <w:r>
              <w:rPr>
                <w:noProof/>
                <w:webHidden/>
              </w:rPr>
              <w:fldChar w:fldCharType="end"/>
            </w:r>
          </w:hyperlink>
        </w:p>
        <w:p w14:paraId="514A697C" w14:textId="210DCD78" w:rsidR="00F81230" w:rsidRDefault="00F81230">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051008" w:history="1">
            <w:r w:rsidRPr="009E3366">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_Toc236051008 \h </w:instrText>
            </w:r>
            <w:r>
              <w:rPr>
                <w:noProof/>
                <w:webHidden/>
              </w:rPr>
            </w:r>
            <w:r>
              <w:rPr>
                <w:noProof/>
                <w:webHidden/>
              </w:rPr>
              <w:fldChar w:fldCharType="separate"/>
            </w:r>
            <w:r>
              <w:rPr>
                <w:noProof/>
                <w:webHidden/>
              </w:rPr>
              <w:t>10</w:t>
            </w:r>
            <w:r>
              <w:rPr>
                <w:noProof/>
                <w:webHidden/>
              </w:rPr>
              <w:fldChar w:fldCharType="end"/>
            </w:r>
          </w:hyperlink>
        </w:p>
        <w:p w14:paraId="2EBD8CFE" w14:textId="1C74B429" w:rsidR="00F81230" w:rsidRDefault="00F8123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051009" w:history="1">
            <w:r w:rsidRPr="009E336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_Toc236051009 \h </w:instrText>
            </w:r>
            <w:r>
              <w:rPr>
                <w:noProof/>
                <w:webHidden/>
              </w:rPr>
            </w:r>
            <w:r>
              <w:rPr>
                <w:noProof/>
                <w:webHidden/>
              </w:rPr>
              <w:fldChar w:fldCharType="separate"/>
            </w:r>
            <w:r>
              <w:rPr>
                <w:noProof/>
                <w:webHidden/>
              </w:rPr>
              <w:t>11</w:t>
            </w:r>
            <w:r>
              <w:rPr>
                <w:noProof/>
                <w:webHidden/>
              </w:rPr>
              <w:fldChar w:fldCharType="end"/>
            </w:r>
          </w:hyperlink>
        </w:p>
        <w:p w14:paraId="38D6C909" w14:textId="099459AB" w:rsidR="00F81230" w:rsidRDefault="00F8123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051010" w:history="1">
            <w:r w:rsidRPr="009E3366">
              <w:rPr>
                <w:rStyle w:val="Hyperlink"/>
                <w:noProof/>
              </w:rPr>
              <w:t>References</w:t>
            </w:r>
            <w:r>
              <w:rPr>
                <w:noProof/>
                <w:webHidden/>
              </w:rPr>
              <w:tab/>
            </w:r>
            <w:r>
              <w:rPr>
                <w:noProof/>
                <w:webHidden/>
              </w:rPr>
              <w:fldChar w:fldCharType="begin"/>
            </w:r>
            <w:r>
              <w:rPr>
                <w:noProof/>
                <w:webHidden/>
              </w:rPr>
              <w:instrText xml:space="preserve"> PAGEREF _Toc236051010 \h </w:instrText>
            </w:r>
            <w:r>
              <w:rPr>
                <w:noProof/>
                <w:webHidden/>
              </w:rPr>
            </w:r>
            <w:r>
              <w:rPr>
                <w:noProof/>
                <w:webHidden/>
              </w:rPr>
              <w:fldChar w:fldCharType="separate"/>
            </w:r>
            <w:r>
              <w:rPr>
                <w:noProof/>
                <w:webHidden/>
              </w:rPr>
              <w:t>12</w:t>
            </w:r>
            <w:r>
              <w:rPr>
                <w:noProof/>
                <w:webHidden/>
              </w:rPr>
              <w:fldChar w:fldCharType="end"/>
            </w:r>
          </w:hyperlink>
        </w:p>
        <w:p w14:paraId="32D89793" w14:textId="22EB332A" w:rsidR="002071F0" w:rsidRDefault="002071F0">
          <w:r>
            <w:rPr>
              <w:b/>
              <w:bCs/>
              <w:noProof/>
            </w:rPr>
            <w:fldChar w:fldCharType="end"/>
          </w:r>
        </w:p>
      </w:sdtContent>
    </w:sdt>
    <w:p w14:paraId="16DAD34F" w14:textId="77777777" w:rsidR="002071F0" w:rsidRPr="00594FAC" w:rsidRDefault="002071F0" w:rsidP="00594FAC">
      <w:pPr>
        <w:spacing w:line="360" w:lineRule="auto"/>
        <w:rPr>
          <w:rFonts w:ascii="Arial" w:hAnsi="Arial" w:cs="Arial"/>
          <w:b/>
          <w:bCs/>
        </w:rPr>
      </w:pP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F81230"/>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48F7441A" w14:textId="715C193A" w:rsidR="00A82A6C" w:rsidRPr="00436843" w:rsidRDefault="0011498D" w:rsidP="00271E67">
      <w:pPr>
        <w:pStyle w:val="Heading1"/>
      </w:pPr>
      <w:bookmarkStart w:id="1" w:name="_Toc236050997"/>
      <w:r w:rsidRPr="00436843">
        <w:lastRenderedPageBreak/>
        <w:t>Introduction</w:t>
      </w:r>
      <w:r w:rsidR="00A11336" w:rsidRPr="00436843">
        <w:t>:</w:t>
      </w:r>
      <w:bookmarkEnd w:id="1"/>
      <w:r w:rsidR="00A11336" w:rsidRPr="00436843">
        <w:t xml:space="preserve"> </w:t>
      </w:r>
    </w:p>
    <w:p w14:paraId="30E09895" w14:textId="41AA01A1" w:rsidR="00A82A6C" w:rsidRPr="001226B2" w:rsidRDefault="003160A3" w:rsidP="001226B2">
      <w:pPr>
        <w:spacing w:after="0" w:line="360" w:lineRule="auto"/>
        <w:rPr>
          <w:rFonts w:ascii="Arial" w:eastAsia="Arial" w:hAnsi="Arial" w:cs="Arial"/>
          <w:sz w:val="22"/>
        </w:rPr>
      </w:pPr>
      <w:r w:rsidRPr="001226B2">
        <w:rPr>
          <w:rFonts w:ascii="Arial" w:eastAsia="Arial" w:hAnsi="Arial" w:cs="Arial"/>
          <w:sz w:val="22"/>
        </w:rPr>
        <w:t>Health and social care professionals play a vital role in promoting the physical, emotional, psychological and social wellbeing of individuals across a range of care settings. Delivering high-quality care involves more than meeting physical needs; it also requires respecting dignity, promoting independence, protecting individual rights and providing care tailored to each person's unique preferences and values. In the United Kingdom, effective health and social care practice is underpinned by three key principles: person-centred care, partnership working and ethical practice. These principles are supported by legislation, professional standards and national guidance to ensure safe, compassionate and effective care. Person-centred care recognises the individuality of each person, partnership working promotes collaboration between professionals, families and service users, and ethical practice guides decision-making while respecting autonomy, dignity and human rights. This reflective report explores the importance of these principles, examines their application within UK health and social care practice, and reflects on my professional experience using Gibbs' Reflective Cycle (1988) to identify learning and future development opportunities.</w:t>
      </w:r>
    </w:p>
    <w:p w14:paraId="5ADD7C81" w14:textId="77777777" w:rsidR="00436843" w:rsidRPr="001226B2" w:rsidRDefault="00436843" w:rsidP="001226B2">
      <w:pPr>
        <w:spacing w:after="0" w:line="360" w:lineRule="auto"/>
        <w:rPr>
          <w:rFonts w:ascii="Arial" w:eastAsia="Arial" w:hAnsi="Arial" w:cs="Arial"/>
          <w:sz w:val="22"/>
        </w:rPr>
      </w:pPr>
    </w:p>
    <w:p w14:paraId="1FB11F73" w14:textId="77777777" w:rsidR="00436843" w:rsidRPr="001226B2" w:rsidRDefault="00436843" w:rsidP="001226B2">
      <w:pPr>
        <w:spacing w:after="0" w:line="360" w:lineRule="auto"/>
        <w:rPr>
          <w:rFonts w:ascii="Arial" w:eastAsia="Arial" w:hAnsi="Arial" w:cs="Arial"/>
          <w:sz w:val="22"/>
        </w:rPr>
      </w:pPr>
    </w:p>
    <w:p w14:paraId="2FA39F6C" w14:textId="77777777" w:rsidR="00436843" w:rsidRPr="001226B2" w:rsidRDefault="00436843" w:rsidP="001226B2">
      <w:pPr>
        <w:spacing w:after="0" w:line="360" w:lineRule="auto"/>
        <w:rPr>
          <w:rFonts w:ascii="Arial" w:eastAsia="Arial" w:hAnsi="Arial" w:cs="Arial"/>
          <w:sz w:val="22"/>
        </w:rPr>
      </w:pPr>
    </w:p>
    <w:p w14:paraId="15F2A76D" w14:textId="77777777" w:rsidR="00436843" w:rsidRPr="001226B2" w:rsidRDefault="00436843" w:rsidP="001226B2">
      <w:pPr>
        <w:spacing w:after="0" w:line="360" w:lineRule="auto"/>
        <w:rPr>
          <w:rFonts w:ascii="Arial" w:eastAsia="Arial" w:hAnsi="Arial" w:cs="Arial"/>
          <w:sz w:val="22"/>
        </w:rPr>
      </w:pPr>
    </w:p>
    <w:p w14:paraId="3F547C78" w14:textId="77777777" w:rsidR="00436843" w:rsidRPr="001226B2" w:rsidRDefault="00436843" w:rsidP="001226B2">
      <w:pPr>
        <w:spacing w:after="0" w:line="360" w:lineRule="auto"/>
        <w:rPr>
          <w:rFonts w:ascii="Arial" w:eastAsia="Arial" w:hAnsi="Arial" w:cs="Arial"/>
          <w:sz w:val="22"/>
        </w:rPr>
      </w:pPr>
    </w:p>
    <w:p w14:paraId="2585745C" w14:textId="77777777" w:rsidR="00436843" w:rsidRPr="00F81230" w:rsidRDefault="00436843" w:rsidP="001226B2">
      <w:pPr>
        <w:spacing w:after="0" w:line="360" w:lineRule="auto"/>
        <w:rPr>
          <w:rFonts w:ascii="Arial" w:eastAsia="Arial" w:hAnsi="Arial" w:cs="Arial"/>
          <w:szCs w:val="24"/>
        </w:rPr>
      </w:pPr>
    </w:p>
    <w:p w14:paraId="6F20357E" w14:textId="77777777" w:rsidR="00436843" w:rsidRPr="001226B2" w:rsidRDefault="00436843" w:rsidP="001226B2">
      <w:pPr>
        <w:spacing w:after="0" w:line="360" w:lineRule="auto"/>
        <w:rPr>
          <w:rFonts w:ascii="Arial" w:eastAsia="Arial" w:hAnsi="Arial" w:cs="Arial"/>
          <w:sz w:val="22"/>
        </w:rPr>
      </w:pPr>
    </w:p>
    <w:p w14:paraId="5E9742C1" w14:textId="77777777" w:rsidR="00436843" w:rsidRPr="001226B2" w:rsidRDefault="00436843" w:rsidP="001226B2">
      <w:pPr>
        <w:spacing w:after="0" w:line="360" w:lineRule="auto"/>
        <w:rPr>
          <w:rFonts w:ascii="Arial" w:eastAsia="Arial" w:hAnsi="Arial" w:cs="Arial"/>
          <w:sz w:val="22"/>
        </w:rPr>
      </w:pPr>
    </w:p>
    <w:p w14:paraId="41E52554" w14:textId="77777777" w:rsidR="003160A3" w:rsidRPr="001226B2" w:rsidRDefault="003160A3" w:rsidP="001226B2">
      <w:pPr>
        <w:spacing w:after="0" w:line="360" w:lineRule="auto"/>
        <w:rPr>
          <w:rFonts w:ascii="Arial" w:eastAsia="Arial" w:hAnsi="Arial" w:cs="Arial"/>
          <w:sz w:val="22"/>
        </w:rPr>
      </w:pPr>
    </w:p>
    <w:p w14:paraId="4032DAB6" w14:textId="77777777" w:rsidR="003160A3" w:rsidRPr="001226B2" w:rsidRDefault="003160A3" w:rsidP="001226B2">
      <w:pPr>
        <w:spacing w:after="0" w:line="360" w:lineRule="auto"/>
        <w:rPr>
          <w:rFonts w:ascii="Arial" w:eastAsia="Arial" w:hAnsi="Arial" w:cs="Arial"/>
          <w:sz w:val="22"/>
        </w:rPr>
      </w:pPr>
    </w:p>
    <w:p w14:paraId="057A7E79" w14:textId="77777777" w:rsidR="003160A3" w:rsidRPr="001226B2" w:rsidRDefault="003160A3" w:rsidP="001226B2">
      <w:pPr>
        <w:spacing w:after="0" w:line="360" w:lineRule="auto"/>
        <w:rPr>
          <w:rFonts w:ascii="Arial" w:eastAsia="Arial" w:hAnsi="Arial" w:cs="Arial"/>
          <w:sz w:val="22"/>
        </w:rPr>
      </w:pPr>
    </w:p>
    <w:p w14:paraId="48D6AF57" w14:textId="77777777" w:rsidR="003160A3" w:rsidRPr="001226B2" w:rsidRDefault="003160A3" w:rsidP="001226B2">
      <w:pPr>
        <w:spacing w:after="0" w:line="360" w:lineRule="auto"/>
        <w:rPr>
          <w:rFonts w:ascii="Arial" w:eastAsia="Arial" w:hAnsi="Arial" w:cs="Arial"/>
          <w:sz w:val="22"/>
        </w:rPr>
      </w:pPr>
    </w:p>
    <w:p w14:paraId="0A059B98" w14:textId="77777777" w:rsidR="003160A3" w:rsidRPr="001226B2" w:rsidRDefault="003160A3" w:rsidP="001226B2">
      <w:pPr>
        <w:spacing w:after="0" w:line="360" w:lineRule="auto"/>
        <w:rPr>
          <w:rFonts w:ascii="Arial" w:eastAsia="Arial" w:hAnsi="Arial" w:cs="Arial"/>
          <w:sz w:val="22"/>
        </w:rPr>
      </w:pPr>
    </w:p>
    <w:p w14:paraId="6025188B" w14:textId="77777777" w:rsidR="003160A3" w:rsidRPr="001226B2" w:rsidRDefault="003160A3" w:rsidP="001226B2">
      <w:pPr>
        <w:spacing w:after="0" w:line="360" w:lineRule="auto"/>
        <w:rPr>
          <w:rFonts w:ascii="Arial" w:eastAsia="Arial" w:hAnsi="Arial" w:cs="Arial"/>
          <w:sz w:val="22"/>
        </w:rPr>
      </w:pPr>
    </w:p>
    <w:p w14:paraId="417CDAD3" w14:textId="77777777" w:rsidR="003160A3" w:rsidRPr="001226B2" w:rsidRDefault="003160A3" w:rsidP="001226B2">
      <w:pPr>
        <w:spacing w:after="0" w:line="360" w:lineRule="auto"/>
        <w:rPr>
          <w:rFonts w:ascii="Arial" w:eastAsia="Arial" w:hAnsi="Arial" w:cs="Arial"/>
          <w:sz w:val="22"/>
        </w:rPr>
      </w:pPr>
    </w:p>
    <w:p w14:paraId="50448A23" w14:textId="77777777" w:rsidR="003160A3" w:rsidRPr="001226B2" w:rsidRDefault="003160A3" w:rsidP="001226B2">
      <w:pPr>
        <w:spacing w:after="0" w:line="360" w:lineRule="auto"/>
        <w:rPr>
          <w:rFonts w:ascii="Arial" w:eastAsia="Arial" w:hAnsi="Arial" w:cs="Arial"/>
          <w:sz w:val="22"/>
        </w:rPr>
      </w:pPr>
    </w:p>
    <w:p w14:paraId="36FF9F5C" w14:textId="77777777" w:rsidR="003160A3" w:rsidRPr="001226B2" w:rsidRDefault="003160A3" w:rsidP="001226B2">
      <w:pPr>
        <w:spacing w:after="0" w:line="360" w:lineRule="auto"/>
        <w:rPr>
          <w:rFonts w:ascii="Arial" w:eastAsia="Arial" w:hAnsi="Arial" w:cs="Arial"/>
          <w:sz w:val="22"/>
        </w:rPr>
      </w:pPr>
    </w:p>
    <w:p w14:paraId="70ADE2C4" w14:textId="77777777" w:rsidR="003160A3" w:rsidRPr="001226B2" w:rsidRDefault="003160A3" w:rsidP="001226B2">
      <w:pPr>
        <w:spacing w:after="0" w:line="360" w:lineRule="auto"/>
        <w:rPr>
          <w:rFonts w:ascii="Arial" w:eastAsia="Arial" w:hAnsi="Arial" w:cs="Arial"/>
          <w:sz w:val="22"/>
        </w:rPr>
      </w:pPr>
    </w:p>
    <w:p w14:paraId="5B410380" w14:textId="77777777" w:rsidR="00436843" w:rsidRPr="001226B2" w:rsidRDefault="00436843" w:rsidP="001226B2">
      <w:pPr>
        <w:spacing w:after="0" w:line="360" w:lineRule="auto"/>
        <w:rPr>
          <w:rFonts w:ascii="Arial" w:eastAsia="Arial" w:hAnsi="Arial" w:cs="Arial"/>
          <w:sz w:val="22"/>
        </w:rPr>
      </w:pPr>
    </w:p>
    <w:p w14:paraId="1BF7FE35" w14:textId="77777777" w:rsidR="00436843" w:rsidRPr="001226B2" w:rsidRDefault="00436843" w:rsidP="001226B2">
      <w:pPr>
        <w:spacing w:after="0" w:line="360" w:lineRule="auto"/>
        <w:rPr>
          <w:rFonts w:ascii="Arial" w:eastAsia="Arial" w:hAnsi="Arial" w:cs="Arial"/>
          <w:sz w:val="22"/>
        </w:rPr>
      </w:pPr>
    </w:p>
    <w:p w14:paraId="1B4289E7" w14:textId="52266DD8" w:rsidR="00A11336" w:rsidRPr="001226B2" w:rsidRDefault="00A11336" w:rsidP="001226B2">
      <w:pPr>
        <w:pStyle w:val="Heading1"/>
        <w:spacing w:line="360" w:lineRule="auto"/>
        <w:rPr>
          <w:rFonts w:ascii="Arial" w:hAnsi="Arial" w:cs="Arial"/>
          <w:sz w:val="22"/>
          <w:szCs w:val="22"/>
        </w:rPr>
      </w:pPr>
      <w:bookmarkStart w:id="2" w:name="_Toc236050998"/>
      <w:r w:rsidRPr="001226B2">
        <w:rPr>
          <w:rFonts w:ascii="Arial" w:hAnsi="Arial" w:cs="Arial"/>
          <w:sz w:val="22"/>
          <w:szCs w:val="22"/>
        </w:rPr>
        <w:lastRenderedPageBreak/>
        <w:t xml:space="preserve">Task </w:t>
      </w:r>
      <w:r w:rsidR="0011498D" w:rsidRPr="001226B2">
        <w:rPr>
          <w:rFonts w:ascii="Arial" w:hAnsi="Arial" w:cs="Arial"/>
          <w:sz w:val="22"/>
          <w:szCs w:val="22"/>
        </w:rPr>
        <w:t>1</w:t>
      </w:r>
      <w:r w:rsidRPr="001226B2">
        <w:rPr>
          <w:rFonts w:ascii="Arial" w:hAnsi="Arial" w:cs="Arial"/>
          <w:sz w:val="22"/>
          <w:szCs w:val="22"/>
        </w:rPr>
        <w:t>:</w:t>
      </w:r>
      <w:bookmarkEnd w:id="2"/>
      <w:r w:rsidRPr="001226B2">
        <w:rPr>
          <w:rFonts w:ascii="Arial" w:hAnsi="Arial" w:cs="Arial"/>
          <w:sz w:val="22"/>
          <w:szCs w:val="22"/>
        </w:rPr>
        <w:t xml:space="preserve"> </w:t>
      </w:r>
    </w:p>
    <w:p w14:paraId="7F545C24" w14:textId="77777777" w:rsidR="00A82A6C" w:rsidRPr="001226B2" w:rsidRDefault="00A82A6C" w:rsidP="001226B2">
      <w:pPr>
        <w:spacing w:after="0" w:line="360" w:lineRule="auto"/>
        <w:rPr>
          <w:rFonts w:ascii="Arial" w:eastAsia="Arial" w:hAnsi="Arial" w:cs="Arial"/>
          <w:b/>
          <w:bCs/>
          <w:sz w:val="22"/>
        </w:rPr>
      </w:pPr>
    </w:p>
    <w:p w14:paraId="4CCCA080" w14:textId="77777777" w:rsidR="003160A3" w:rsidRPr="001226B2" w:rsidRDefault="003160A3" w:rsidP="001226B2">
      <w:pPr>
        <w:spacing w:after="0" w:line="360" w:lineRule="auto"/>
        <w:rPr>
          <w:rFonts w:ascii="Arial" w:eastAsia="Arial" w:hAnsi="Arial" w:cs="Arial"/>
          <w:sz w:val="22"/>
        </w:rPr>
      </w:pPr>
      <w:r w:rsidRPr="001226B2">
        <w:rPr>
          <w:rFonts w:ascii="Arial" w:eastAsia="Arial" w:hAnsi="Arial" w:cs="Arial"/>
          <w:sz w:val="22"/>
        </w:rPr>
        <w:t xml:space="preserve">Providing high-quality health and social care requires professionals to apply the principles of person-centred care, partnership working and ethical practice in every aspect of their work. These principles ensure that care is delivered safely, respectfully and according to </w:t>
      </w:r>
      <w:proofErr w:type="gramStart"/>
      <w:r w:rsidRPr="001226B2">
        <w:rPr>
          <w:rFonts w:ascii="Arial" w:eastAsia="Arial" w:hAnsi="Arial" w:cs="Arial"/>
          <w:sz w:val="22"/>
        </w:rPr>
        <w:t>each individual's</w:t>
      </w:r>
      <w:proofErr w:type="gramEnd"/>
      <w:r w:rsidRPr="001226B2">
        <w:rPr>
          <w:rFonts w:ascii="Arial" w:eastAsia="Arial" w:hAnsi="Arial" w:cs="Arial"/>
          <w:sz w:val="22"/>
        </w:rPr>
        <w:t xml:space="preserve"> unique physical, emotional, psychological and social needs. They also promote dignity, independence and positive health outcomes while supporting professionals to make informed and ethical decisions. In the United Kingdom, these principles are embedded within legislation, professional standards and national guidance, ensuring that care is delivered consistently and effectively across all health and social care settings.</w:t>
      </w:r>
    </w:p>
    <w:p w14:paraId="61361C33" w14:textId="77777777" w:rsidR="003160A3" w:rsidRPr="001226B2" w:rsidRDefault="003160A3" w:rsidP="001226B2">
      <w:pPr>
        <w:spacing w:after="0" w:line="360" w:lineRule="auto"/>
        <w:rPr>
          <w:rFonts w:ascii="Arial" w:eastAsia="Arial" w:hAnsi="Arial" w:cs="Arial"/>
          <w:sz w:val="22"/>
        </w:rPr>
      </w:pPr>
    </w:p>
    <w:p w14:paraId="73E4B83A" w14:textId="77777777" w:rsidR="003160A3" w:rsidRPr="001226B2" w:rsidRDefault="003160A3" w:rsidP="001226B2">
      <w:pPr>
        <w:spacing w:after="0" w:line="360" w:lineRule="auto"/>
        <w:rPr>
          <w:rFonts w:ascii="Arial" w:eastAsia="Arial" w:hAnsi="Arial" w:cs="Arial"/>
          <w:sz w:val="22"/>
        </w:rPr>
      </w:pPr>
      <w:r w:rsidRPr="001226B2">
        <w:rPr>
          <w:rFonts w:ascii="Arial" w:eastAsia="Arial" w:hAnsi="Arial" w:cs="Arial"/>
          <w:sz w:val="22"/>
        </w:rPr>
        <w:t xml:space="preserve">Person-centred care is recognised as one of the fundamental principles of health and social care. According to the Health Foundation (2016), person-centred care means placing the individual at the centre of all decisions regarding their care by respecting their values, preferences and personal goals. Rather than focusing solely on a person's illness or diagnosis, professionals should understand the </w:t>
      </w:r>
      <w:proofErr w:type="gramStart"/>
      <w:r w:rsidRPr="001226B2">
        <w:rPr>
          <w:rFonts w:ascii="Arial" w:eastAsia="Arial" w:hAnsi="Arial" w:cs="Arial"/>
          <w:sz w:val="22"/>
        </w:rPr>
        <w:t>individual as a whole, considering</w:t>
      </w:r>
      <w:proofErr w:type="gramEnd"/>
      <w:r w:rsidRPr="001226B2">
        <w:rPr>
          <w:rFonts w:ascii="Arial" w:eastAsia="Arial" w:hAnsi="Arial" w:cs="Arial"/>
          <w:sz w:val="22"/>
        </w:rPr>
        <w:t xml:space="preserve"> their emotional, cultural, psychological and social needs. This approach enables professionals to build trusting relationships and provide care that reflects each person's unique circumstances.</w:t>
      </w:r>
    </w:p>
    <w:p w14:paraId="287C71E6" w14:textId="77777777" w:rsidR="003160A3" w:rsidRPr="001226B2" w:rsidRDefault="003160A3" w:rsidP="001226B2">
      <w:pPr>
        <w:spacing w:after="0" w:line="360" w:lineRule="auto"/>
        <w:rPr>
          <w:rFonts w:ascii="Arial" w:eastAsia="Arial" w:hAnsi="Arial" w:cs="Arial"/>
          <w:sz w:val="22"/>
        </w:rPr>
      </w:pPr>
    </w:p>
    <w:p w14:paraId="492A3C87" w14:textId="77777777" w:rsidR="003160A3" w:rsidRPr="001226B2" w:rsidRDefault="003160A3" w:rsidP="001226B2">
      <w:pPr>
        <w:spacing w:after="0" w:line="360" w:lineRule="auto"/>
        <w:rPr>
          <w:rFonts w:ascii="Arial" w:eastAsia="Arial" w:hAnsi="Arial" w:cs="Arial"/>
          <w:sz w:val="22"/>
        </w:rPr>
      </w:pPr>
      <w:r w:rsidRPr="001226B2">
        <w:rPr>
          <w:rFonts w:ascii="Arial" w:eastAsia="Arial" w:hAnsi="Arial" w:cs="Arial"/>
          <w:sz w:val="22"/>
        </w:rPr>
        <w:t xml:space="preserve">The importance of person-centred care is particularly evident when supporting people living with dementia. </w:t>
      </w:r>
      <w:proofErr w:type="spellStart"/>
      <w:r w:rsidRPr="001226B2">
        <w:rPr>
          <w:rFonts w:ascii="Arial" w:eastAsia="Arial" w:hAnsi="Arial" w:cs="Arial"/>
          <w:sz w:val="22"/>
        </w:rPr>
        <w:t>Kitwood</w:t>
      </w:r>
      <w:proofErr w:type="spellEnd"/>
      <w:r w:rsidRPr="001226B2">
        <w:rPr>
          <w:rFonts w:ascii="Arial" w:eastAsia="Arial" w:hAnsi="Arial" w:cs="Arial"/>
          <w:sz w:val="22"/>
        </w:rPr>
        <w:t xml:space="preserve"> (1997) argued that people with dementia should not be defined by their diagnosis but recognised as individuals with their own identity, experiences and emotional needs. Understanding a person's life history, routines and interests can reduce distress, improve wellbeing and preserve dignity. Similarly, Maslow's Hierarchy of Needs (1943) highlights that emotional needs such as safety, belonging, esteem and security are as important as physical needs. Therefore, professionals must support the whole person rather than concentrating only on medical treatment.</w:t>
      </w:r>
    </w:p>
    <w:p w14:paraId="7460D4D1" w14:textId="77777777" w:rsidR="003160A3" w:rsidRPr="001226B2" w:rsidRDefault="003160A3" w:rsidP="001226B2">
      <w:pPr>
        <w:spacing w:after="0" w:line="360" w:lineRule="auto"/>
        <w:rPr>
          <w:rFonts w:ascii="Arial" w:eastAsia="Arial" w:hAnsi="Arial" w:cs="Arial"/>
          <w:sz w:val="22"/>
        </w:rPr>
      </w:pPr>
    </w:p>
    <w:p w14:paraId="41D14498" w14:textId="77777777" w:rsidR="003160A3" w:rsidRPr="001226B2" w:rsidRDefault="003160A3" w:rsidP="001226B2">
      <w:pPr>
        <w:spacing w:after="0" w:line="360" w:lineRule="auto"/>
        <w:rPr>
          <w:rFonts w:ascii="Arial" w:eastAsia="Arial" w:hAnsi="Arial" w:cs="Arial"/>
          <w:sz w:val="22"/>
        </w:rPr>
      </w:pPr>
      <w:r w:rsidRPr="001226B2">
        <w:rPr>
          <w:rFonts w:ascii="Arial" w:eastAsia="Arial" w:hAnsi="Arial" w:cs="Arial"/>
          <w:sz w:val="22"/>
        </w:rPr>
        <w:t xml:space="preserve">Partnership working is another essential principle that contributes significantly to high-quality care. It involves effective collaboration between service users, families, carers and professionals from different disciplines to achieve the best possible outcomes. In a nursing home, multidisciplinary teams often include Registered Nurses, Healthcare Assistants, General Practitioners, physiotherapists, occupational therapists and social workers. Each professional contributes specialist knowledge and skills, while family members provide valuable information about the person's history, preferences and daily routines. The Care Act 2014 promotes cooperation between organisations to improve wellbeing and safeguard </w:t>
      </w:r>
      <w:r w:rsidRPr="001226B2">
        <w:rPr>
          <w:rFonts w:ascii="Arial" w:eastAsia="Arial" w:hAnsi="Arial" w:cs="Arial"/>
          <w:sz w:val="22"/>
        </w:rPr>
        <w:lastRenderedPageBreak/>
        <w:t>vulnerable adults, while the Health and Care Act 2022 further strengthens integrated care systems by encouraging coordinated and person-centred service delivery.</w:t>
      </w:r>
    </w:p>
    <w:p w14:paraId="14416000" w14:textId="77777777" w:rsidR="003160A3" w:rsidRPr="001226B2" w:rsidRDefault="003160A3" w:rsidP="001226B2">
      <w:pPr>
        <w:spacing w:after="0" w:line="360" w:lineRule="auto"/>
        <w:rPr>
          <w:rFonts w:ascii="Arial" w:eastAsia="Arial" w:hAnsi="Arial" w:cs="Arial"/>
          <w:sz w:val="22"/>
        </w:rPr>
      </w:pPr>
    </w:p>
    <w:p w14:paraId="2B0C9F3E" w14:textId="77777777" w:rsidR="003160A3" w:rsidRPr="001226B2" w:rsidRDefault="003160A3" w:rsidP="001226B2">
      <w:pPr>
        <w:spacing w:after="0" w:line="360" w:lineRule="auto"/>
        <w:rPr>
          <w:rFonts w:ascii="Arial" w:eastAsia="Arial" w:hAnsi="Arial" w:cs="Arial"/>
          <w:sz w:val="22"/>
        </w:rPr>
      </w:pPr>
      <w:r w:rsidRPr="001226B2">
        <w:rPr>
          <w:rFonts w:ascii="Arial" w:eastAsia="Arial" w:hAnsi="Arial" w:cs="Arial"/>
          <w:sz w:val="22"/>
        </w:rPr>
        <w:t>Ethical practice is equally important because it guides professionals when making complex decisions that affect people's lives. Beauchamp and Childress (2019) identified four key ethical principles: autonomy, beneficence, non-maleficence and justice. Respecting autonomy means supporting individuals to make decisions whenever they have the capacity to do so. Beneficence requires professionals to act in the person's best interests, while non-maleficence focuses on preventing harm. Justice ensures that all individuals receive fair and equal access to health and social care services regardless of age, disability, ethnicity or gender. These ethical principles are supported by UK legislation, including the Mental Capacity Act 2005, which protects individuals who may lack decision-making capacity, the Human Rights Act 1998, which safeguards dignity and privacy, and the Equality Act 2010, which promotes equality and protects individuals from discrimination.</w:t>
      </w:r>
    </w:p>
    <w:p w14:paraId="1E45CCB1" w14:textId="77777777" w:rsidR="003160A3" w:rsidRPr="001226B2" w:rsidRDefault="003160A3" w:rsidP="001226B2">
      <w:pPr>
        <w:spacing w:after="0" w:line="360" w:lineRule="auto"/>
        <w:rPr>
          <w:rFonts w:ascii="Arial" w:eastAsia="Arial" w:hAnsi="Arial" w:cs="Arial"/>
          <w:sz w:val="22"/>
        </w:rPr>
      </w:pPr>
    </w:p>
    <w:p w14:paraId="1875114A" w14:textId="76CA5A7E" w:rsidR="0011498D" w:rsidRPr="001226B2" w:rsidRDefault="003160A3" w:rsidP="001226B2">
      <w:pPr>
        <w:spacing w:after="0" w:line="360" w:lineRule="auto"/>
        <w:rPr>
          <w:rFonts w:ascii="Arial" w:eastAsia="Arial" w:hAnsi="Arial" w:cs="Arial"/>
          <w:sz w:val="22"/>
        </w:rPr>
      </w:pPr>
      <w:r w:rsidRPr="001226B2">
        <w:rPr>
          <w:rFonts w:ascii="Arial" w:eastAsia="Arial" w:hAnsi="Arial" w:cs="Arial"/>
          <w:sz w:val="22"/>
        </w:rPr>
        <w:t>Overall, person-centred care, partnership working and ethical practice are closely interconnected and form the foundation of high-quality health and social care. When these principles are applied together, professionals can provide compassionate, evidence-based and individualised care that respects people's rights, promotes their wellbeing and improves health outcomes. Reflecting on these principles demonstrates their importance not only in meeting physical needs but also in supporting the emotional, psychological and social wellbeing of individuals, making them essential components of professional practice throughout the United Kingdom.</w:t>
      </w:r>
    </w:p>
    <w:p w14:paraId="113E1D7A" w14:textId="77777777" w:rsidR="00436843" w:rsidRPr="001226B2" w:rsidRDefault="00436843" w:rsidP="001226B2">
      <w:pPr>
        <w:spacing w:after="0" w:line="360" w:lineRule="auto"/>
        <w:rPr>
          <w:rFonts w:ascii="Arial" w:eastAsia="Arial" w:hAnsi="Arial" w:cs="Arial"/>
          <w:sz w:val="22"/>
        </w:rPr>
      </w:pPr>
    </w:p>
    <w:p w14:paraId="01D2E050" w14:textId="77777777" w:rsidR="003160A3" w:rsidRPr="001226B2" w:rsidRDefault="003160A3" w:rsidP="001226B2">
      <w:pPr>
        <w:spacing w:after="0" w:line="360" w:lineRule="auto"/>
        <w:rPr>
          <w:rFonts w:ascii="Arial" w:eastAsia="Arial" w:hAnsi="Arial" w:cs="Arial"/>
          <w:sz w:val="22"/>
        </w:rPr>
      </w:pPr>
    </w:p>
    <w:p w14:paraId="5842D14D" w14:textId="77777777" w:rsidR="003160A3" w:rsidRPr="001226B2" w:rsidRDefault="003160A3" w:rsidP="001226B2">
      <w:pPr>
        <w:spacing w:after="0" w:line="360" w:lineRule="auto"/>
        <w:rPr>
          <w:rFonts w:ascii="Arial" w:eastAsia="Arial" w:hAnsi="Arial" w:cs="Arial"/>
          <w:sz w:val="22"/>
        </w:rPr>
      </w:pPr>
    </w:p>
    <w:p w14:paraId="7C530625" w14:textId="77777777" w:rsidR="003160A3" w:rsidRPr="001226B2" w:rsidRDefault="003160A3" w:rsidP="001226B2">
      <w:pPr>
        <w:spacing w:after="0" w:line="360" w:lineRule="auto"/>
        <w:rPr>
          <w:rFonts w:ascii="Arial" w:eastAsia="Arial" w:hAnsi="Arial" w:cs="Arial"/>
          <w:sz w:val="22"/>
        </w:rPr>
      </w:pPr>
    </w:p>
    <w:p w14:paraId="5F00D810" w14:textId="77777777" w:rsidR="003160A3" w:rsidRPr="001226B2" w:rsidRDefault="003160A3" w:rsidP="001226B2">
      <w:pPr>
        <w:spacing w:after="0" w:line="360" w:lineRule="auto"/>
        <w:rPr>
          <w:rFonts w:ascii="Arial" w:eastAsia="Arial" w:hAnsi="Arial" w:cs="Arial"/>
          <w:sz w:val="22"/>
        </w:rPr>
      </w:pPr>
    </w:p>
    <w:p w14:paraId="3EF57CCB" w14:textId="77777777" w:rsidR="003160A3" w:rsidRPr="001226B2" w:rsidRDefault="003160A3" w:rsidP="001226B2">
      <w:pPr>
        <w:spacing w:after="0" w:line="360" w:lineRule="auto"/>
        <w:rPr>
          <w:rFonts w:ascii="Arial" w:eastAsia="Arial" w:hAnsi="Arial" w:cs="Arial"/>
          <w:sz w:val="22"/>
        </w:rPr>
      </w:pPr>
    </w:p>
    <w:p w14:paraId="54871C16" w14:textId="77777777" w:rsidR="003160A3" w:rsidRPr="001226B2" w:rsidRDefault="003160A3" w:rsidP="001226B2">
      <w:pPr>
        <w:spacing w:after="0" w:line="360" w:lineRule="auto"/>
        <w:rPr>
          <w:rFonts w:ascii="Arial" w:eastAsia="Arial" w:hAnsi="Arial" w:cs="Arial"/>
          <w:sz w:val="22"/>
        </w:rPr>
      </w:pPr>
    </w:p>
    <w:p w14:paraId="095921FD" w14:textId="77777777" w:rsidR="003160A3" w:rsidRPr="001226B2" w:rsidRDefault="003160A3" w:rsidP="001226B2">
      <w:pPr>
        <w:spacing w:after="0" w:line="360" w:lineRule="auto"/>
        <w:rPr>
          <w:rFonts w:ascii="Arial" w:eastAsia="Arial" w:hAnsi="Arial" w:cs="Arial"/>
          <w:sz w:val="22"/>
        </w:rPr>
      </w:pPr>
    </w:p>
    <w:p w14:paraId="20025EF8" w14:textId="77777777" w:rsidR="003160A3" w:rsidRPr="001226B2" w:rsidRDefault="003160A3" w:rsidP="001226B2">
      <w:pPr>
        <w:spacing w:after="0" w:line="360" w:lineRule="auto"/>
        <w:rPr>
          <w:rFonts w:ascii="Arial" w:eastAsia="Arial" w:hAnsi="Arial" w:cs="Arial"/>
          <w:sz w:val="22"/>
        </w:rPr>
      </w:pPr>
    </w:p>
    <w:p w14:paraId="2ACDE711" w14:textId="77777777" w:rsidR="003160A3" w:rsidRPr="001226B2" w:rsidRDefault="003160A3" w:rsidP="001226B2">
      <w:pPr>
        <w:spacing w:after="0" w:line="360" w:lineRule="auto"/>
        <w:rPr>
          <w:rFonts w:ascii="Arial" w:eastAsia="Arial" w:hAnsi="Arial" w:cs="Arial"/>
          <w:sz w:val="22"/>
        </w:rPr>
      </w:pPr>
    </w:p>
    <w:p w14:paraId="21F85B2C" w14:textId="77777777" w:rsidR="003160A3" w:rsidRPr="001226B2" w:rsidRDefault="003160A3" w:rsidP="001226B2">
      <w:pPr>
        <w:spacing w:after="0" w:line="360" w:lineRule="auto"/>
        <w:rPr>
          <w:rFonts w:ascii="Arial" w:eastAsia="Arial" w:hAnsi="Arial" w:cs="Arial"/>
          <w:sz w:val="22"/>
        </w:rPr>
      </w:pPr>
    </w:p>
    <w:p w14:paraId="1900D439" w14:textId="06DF3AEC" w:rsidR="0011498D" w:rsidRPr="001226B2" w:rsidRDefault="0011498D" w:rsidP="001226B2">
      <w:pPr>
        <w:pStyle w:val="Heading1"/>
        <w:spacing w:line="360" w:lineRule="auto"/>
        <w:rPr>
          <w:rFonts w:ascii="Arial" w:hAnsi="Arial" w:cs="Arial"/>
          <w:sz w:val="22"/>
          <w:szCs w:val="22"/>
        </w:rPr>
      </w:pPr>
      <w:bookmarkStart w:id="3" w:name="_Toc236050999"/>
      <w:r w:rsidRPr="001226B2">
        <w:rPr>
          <w:rFonts w:ascii="Arial" w:hAnsi="Arial" w:cs="Arial"/>
          <w:sz w:val="22"/>
          <w:szCs w:val="22"/>
        </w:rPr>
        <w:lastRenderedPageBreak/>
        <w:t>Task 2:</w:t>
      </w:r>
      <w:bookmarkEnd w:id="3"/>
    </w:p>
    <w:p w14:paraId="575FE4E8" w14:textId="77777777" w:rsidR="001226B2" w:rsidRPr="001226B2" w:rsidRDefault="001226B2" w:rsidP="001226B2">
      <w:pPr>
        <w:spacing w:after="0" w:line="360" w:lineRule="auto"/>
        <w:rPr>
          <w:rFonts w:ascii="Arial" w:eastAsia="Arial" w:hAnsi="Arial" w:cs="Arial"/>
          <w:sz w:val="22"/>
        </w:rPr>
      </w:pPr>
      <w:r w:rsidRPr="001226B2">
        <w:rPr>
          <w:rFonts w:ascii="Arial" w:eastAsia="Arial" w:hAnsi="Arial" w:cs="Arial"/>
          <w:sz w:val="22"/>
        </w:rPr>
        <w:t xml:space="preserve">During my role as a Healthcare Assistant in a nursing home in the United Kingdom, I supported an older adult living with moderate dementia, who will be referred to as </w:t>
      </w:r>
      <w:r w:rsidRPr="001226B2">
        <w:rPr>
          <w:rFonts w:ascii="Arial" w:eastAsia="Arial" w:hAnsi="Arial" w:cs="Arial"/>
          <w:i/>
          <w:iCs/>
          <w:sz w:val="22"/>
        </w:rPr>
        <w:t>Mrs A</w:t>
      </w:r>
      <w:r w:rsidRPr="001226B2">
        <w:rPr>
          <w:rFonts w:ascii="Arial" w:eastAsia="Arial" w:hAnsi="Arial" w:cs="Arial"/>
          <w:sz w:val="22"/>
        </w:rPr>
        <w:t xml:space="preserve"> to maintain confidentiality in accordance with the Data Protection Act 2018 and professional standards. As part of the multidisciplinary team, I worked closely with Registered Nurses, other Healthcare Assistants, the General Practitioner (GP) and Mrs A's family to ensure that her care was safe, compassionate and person-centred. Mrs A frequently walked around the nursing home, rushed through daily activities, visited the toilet repeatedly and often appeared anxious. She also believed that other residents did not like her, despite having positive interactions with them. Rather than viewing these behaviours as challenging, the care team recognised them as expressions of confusion, anxiety and unmet emotional needs.</w:t>
      </w:r>
    </w:p>
    <w:p w14:paraId="14DD8E39" w14:textId="77777777" w:rsidR="001226B2" w:rsidRPr="001226B2" w:rsidRDefault="001226B2" w:rsidP="001226B2">
      <w:pPr>
        <w:spacing w:after="0" w:line="360" w:lineRule="auto"/>
        <w:rPr>
          <w:rFonts w:ascii="Arial" w:eastAsia="Arial" w:hAnsi="Arial" w:cs="Arial"/>
          <w:sz w:val="22"/>
        </w:rPr>
      </w:pPr>
      <w:r w:rsidRPr="001226B2">
        <w:rPr>
          <w:rFonts w:ascii="Arial" w:eastAsia="Arial" w:hAnsi="Arial" w:cs="Arial"/>
          <w:sz w:val="22"/>
        </w:rPr>
        <w:t xml:space="preserve">To provide person-centred care, we adapted our approach according to Mrs A's preferences, personal history and emotional needs. Information from her family and care plan revealed that she enjoyed listening to André Rieu and watching David Attenborough nature documentaries. Whenever she became distressed, these familiar activities often reduced her anxiety and helped her feel calmer. Instead of discouraging her from walking, we supported her to move safely while gently redirecting her attention to activities that promoted comfort and wellbeing. This approach reflects </w:t>
      </w:r>
      <w:proofErr w:type="spellStart"/>
      <w:r w:rsidRPr="001226B2">
        <w:rPr>
          <w:rFonts w:ascii="Arial" w:eastAsia="Arial" w:hAnsi="Arial" w:cs="Arial"/>
          <w:sz w:val="22"/>
        </w:rPr>
        <w:t>Kitwood's</w:t>
      </w:r>
      <w:proofErr w:type="spellEnd"/>
      <w:r w:rsidRPr="001226B2">
        <w:rPr>
          <w:rFonts w:ascii="Arial" w:eastAsia="Arial" w:hAnsi="Arial" w:cs="Arial"/>
          <w:sz w:val="22"/>
        </w:rPr>
        <w:t xml:space="preserve"> (1997) person-centred philosophy, which emphasises understanding the individual behind the diagnosis rather than focusing solely on the symptoms of dementia.</w:t>
      </w:r>
    </w:p>
    <w:p w14:paraId="12A5D070" w14:textId="77777777" w:rsidR="001226B2" w:rsidRPr="001226B2" w:rsidRDefault="001226B2" w:rsidP="001226B2">
      <w:pPr>
        <w:spacing w:after="0" w:line="360" w:lineRule="auto"/>
        <w:rPr>
          <w:rFonts w:ascii="Arial" w:eastAsia="Arial" w:hAnsi="Arial" w:cs="Arial"/>
          <w:sz w:val="22"/>
        </w:rPr>
      </w:pPr>
      <w:r w:rsidRPr="001226B2">
        <w:rPr>
          <w:rFonts w:ascii="Arial" w:eastAsia="Arial" w:hAnsi="Arial" w:cs="Arial"/>
          <w:sz w:val="22"/>
        </w:rPr>
        <w:t>Partnership working played a key role in maintaining consistent care. As Healthcare Assistants, we regularly communicated our observations to the Registered Nurses, who assessed any clinical concerns and updated Mrs A's care plan when necessary. Her family also provided valuable information about her previous routines, personality and interests, enabling the multidisciplinary team to respond consistently to her needs. Whenever Mrs A became distressed and stated that other residents disliked her, I used reassurance and therapeutic communication by calmly explaining that they were her friends and enjoyed spending time with her. I then redirected the conversation towards familiar topics, such as music or nature, which usually reduced her anxiety. This approach is supported by NICE (2018), which recommends reassurance and personalised communication when supporting people living with dementia.</w:t>
      </w:r>
    </w:p>
    <w:p w14:paraId="7E3A2735" w14:textId="77777777" w:rsidR="001226B2" w:rsidRPr="001226B2" w:rsidRDefault="001226B2" w:rsidP="001226B2">
      <w:pPr>
        <w:spacing w:after="0" w:line="360" w:lineRule="auto"/>
        <w:rPr>
          <w:rFonts w:ascii="Arial" w:eastAsia="Arial" w:hAnsi="Arial" w:cs="Arial"/>
          <w:sz w:val="22"/>
        </w:rPr>
      </w:pPr>
      <w:r w:rsidRPr="001226B2">
        <w:rPr>
          <w:rFonts w:ascii="Arial" w:eastAsia="Arial" w:hAnsi="Arial" w:cs="Arial"/>
          <w:sz w:val="22"/>
        </w:rPr>
        <w:t xml:space="preserve">One incident particularly demonstrated the importance of ethical practice. During a morning shift, Mrs A became confused while walking along a corridor and repeatedly stated, </w:t>
      </w:r>
      <w:r w:rsidRPr="001226B2">
        <w:rPr>
          <w:rFonts w:ascii="Arial" w:eastAsia="Arial" w:hAnsi="Arial" w:cs="Arial"/>
          <w:i/>
          <w:iCs/>
          <w:sz w:val="22"/>
        </w:rPr>
        <w:t>"These are not my trousers."</w:t>
      </w:r>
      <w:r w:rsidRPr="001226B2">
        <w:rPr>
          <w:rFonts w:ascii="Arial" w:eastAsia="Arial" w:hAnsi="Arial" w:cs="Arial"/>
          <w:sz w:val="22"/>
        </w:rPr>
        <w:t xml:space="preserve"> She then removed her trousers while still wearing her continence pad. Recognising that this behaviour was a consequence of dementia rather than intentional misconduct, I remained calm and reassured her that she was safe. My immediate priority </w:t>
      </w:r>
      <w:r w:rsidRPr="001226B2">
        <w:rPr>
          <w:rFonts w:ascii="Arial" w:eastAsia="Arial" w:hAnsi="Arial" w:cs="Arial"/>
          <w:sz w:val="22"/>
        </w:rPr>
        <w:lastRenderedPageBreak/>
        <w:t>was to protect her dignity and privacy. I positioned myself in front of her to shield her from the view of other residents and discreetly informed my colleagues via the staff radio not to allow anyone into the corridor until we had supported her appropriately. Once privacy had been restored, we calmly assisted her to dress again and accompanied her to a quieter area where she quickly settled.</w:t>
      </w:r>
    </w:p>
    <w:p w14:paraId="17FF2A3F" w14:textId="77777777" w:rsidR="001226B2" w:rsidRPr="001226B2" w:rsidRDefault="001226B2" w:rsidP="001226B2">
      <w:pPr>
        <w:spacing w:after="0" w:line="360" w:lineRule="auto"/>
        <w:rPr>
          <w:rFonts w:ascii="Arial" w:eastAsia="Arial" w:hAnsi="Arial" w:cs="Arial"/>
          <w:sz w:val="22"/>
        </w:rPr>
      </w:pPr>
      <w:r w:rsidRPr="001226B2">
        <w:rPr>
          <w:rFonts w:ascii="Arial" w:eastAsia="Arial" w:hAnsi="Arial" w:cs="Arial"/>
          <w:sz w:val="22"/>
        </w:rPr>
        <w:t>This experience demonstrated how person-centred care, partnership working and ethical practice are closely interconnected within a nursing home setting. My actions reflected the ethical principles of beneficence, non-maleficence and respect for dignity while complying with the Human Rights Act 1998, particularly Article 8, and the Mental Capacity Act 2005. It also reinforced the importance of collaborative working promoted by the Care Act 2014 and the Health and Care Act 2022. Overall, this experience showed that effective dementia care depends on understanding the person behind the behaviour, protecting their dignity and working collaboratively to meet their physical, emotional and psychological needs.</w:t>
      </w:r>
    </w:p>
    <w:p w14:paraId="45EF64C5" w14:textId="77777777" w:rsidR="00436843" w:rsidRPr="001226B2" w:rsidRDefault="00436843" w:rsidP="001226B2">
      <w:pPr>
        <w:spacing w:after="0" w:line="360" w:lineRule="auto"/>
        <w:rPr>
          <w:rFonts w:ascii="Arial" w:eastAsia="Arial" w:hAnsi="Arial" w:cs="Arial"/>
          <w:sz w:val="22"/>
        </w:rPr>
      </w:pPr>
    </w:p>
    <w:p w14:paraId="24C6545D" w14:textId="77777777" w:rsidR="001226B2" w:rsidRPr="001226B2" w:rsidRDefault="001226B2" w:rsidP="001226B2">
      <w:pPr>
        <w:spacing w:after="0" w:line="360" w:lineRule="auto"/>
        <w:rPr>
          <w:rFonts w:ascii="Arial" w:eastAsia="Arial" w:hAnsi="Arial" w:cs="Arial"/>
          <w:sz w:val="22"/>
        </w:rPr>
      </w:pPr>
    </w:p>
    <w:p w14:paraId="5FA96766" w14:textId="77777777" w:rsidR="001226B2" w:rsidRPr="001226B2" w:rsidRDefault="001226B2" w:rsidP="001226B2">
      <w:pPr>
        <w:spacing w:after="0" w:line="360" w:lineRule="auto"/>
        <w:rPr>
          <w:rFonts w:ascii="Arial" w:eastAsia="Arial" w:hAnsi="Arial" w:cs="Arial"/>
          <w:sz w:val="22"/>
        </w:rPr>
      </w:pPr>
    </w:p>
    <w:p w14:paraId="2949674D" w14:textId="77777777" w:rsidR="001226B2" w:rsidRPr="001226B2" w:rsidRDefault="001226B2" w:rsidP="001226B2">
      <w:pPr>
        <w:spacing w:after="0" w:line="360" w:lineRule="auto"/>
        <w:rPr>
          <w:rFonts w:ascii="Arial" w:eastAsia="Arial" w:hAnsi="Arial" w:cs="Arial"/>
          <w:sz w:val="22"/>
        </w:rPr>
      </w:pPr>
    </w:p>
    <w:p w14:paraId="05DFC4D1" w14:textId="77777777" w:rsidR="001226B2" w:rsidRPr="001226B2" w:rsidRDefault="001226B2" w:rsidP="001226B2">
      <w:pPr>
        <w:spacing w:after="0" w:line="360" w:lineRule="auto"/>
        <w:rPr>
          <w:rFonts w:ascii="Arial" w:eastAsia="Arial" w:hAnsi="Arial" w:cs="Arial"/>
          <w:sz w:val="22"/>
        </w:rPr>
      </w:pPr>
    </w:p>
    <w:p w14:paraId="11A59802" w14:textId="77777777" w:rsidR="001226B2" w:rsidRPr="001226B2" w:rsidRDefault="001226B2" w:rsidP="001226B2">
      <w:pPr>
        <w:spacing w:after="0" w:line="360" w:lineRule="auto"/>
        <w:rPr>
          <w:rFonts w:ascii="Arial" w:eastAsia="Arial" w:hAnsi="Arial" w:cs="Arial"/>
          <w:sz w:val="22"/>
        </w:rPr>
      </w:pPr>
    </w:p>
    <w:p w14:paraId="62C4A0A5" w14:textId="77777777" w:rsidR="001226B2" w:rsidRPr="001226B2" w:rsidRDefault="001226B2" w:rsidP="001226B2">
      <w:pPr>
        <w:spacing w:after="0" w:line="360" w:lineRule="auto"/>
        <w:rPr>
          <w:rFonts w:ascii="Arial" w:eastAsia="Arial" w:hAnsi="Arial" w:cs="Arial"/>
          <w:sz w:val="22"/>
        </w:rPr>
      </w:pPr>
    </w:p>
    <w:p w14:paraId="24B433D8" w14:textId="77777777" w:rsidR="001226B2" w:rsidRPr="001226B2" w:rsidRDefault="001226B2" w:rsidP="001226B2">
      <w:pPr>
        <w:spacing w:after="0" w:line="360" w:lineRule="auto"/>
        <w:rPr>
          <w:rFonts w:ascii="Arial" w:eastAsia="Arial" w:hAnsi="Arial" w:cs="Arial"/>
          <w:sz w:val="22"/>
        </w:rPr>
      </w:pPr>
    </w:p>
    <w:p w14:paraId="16136CBD" w14:textId="77777777" w:rsidR="001226B2" w:rsidRPr="001226B2" w:rsidRDefault="001226B2" w:rsidP="001226B2">
      <w:pPr>
        <w:spacing w:after="0" w:line="360" w:lineRule="auto"/>
        <w:rPr>
          <w:rFonts w:ascii="Arial" w:eastAsia="Arial" w:hAnsi="Arial" w:cs="Arial"/>
          <w:sz w:val="22"/>
        </w:rPr>
      </w:pPr>
    </w:p>
    <w:p w14:paraId="53E3DBD4" w14:textId="77777777" w:rsidR="001226B2" w:rsidRPr="001226B2" w:rsidRDefault="001226B2" w:rsidP="001226B2">
      <w:pPr>
        <w:spacing w:after="0" w:line="360" w:lineRule="auto"/>
        <w:rPr>
          <w:rFonts w:ascii="Arial" w:eastAsia="Arial" w:hAnsi="Arial" w:cs="Arial"/>
          <w:sz w:val="22"/>
        </w:rPr>
      </w:pPr>
    </w:p>
    <w:p w14:paraId="07E8517D" w14:textId="77777777" w:rsidR="00436843" w:rsidRPr="001226B2" w:rsidRDefault="00436843" w:rsidP="001226B2">
      <w:pPr>
        <w:spacing w:after="0" w:line="360" w:lineRule="auto"/>
        <w:rPr>
          <w:rFonts w:ascii="Arial" w:eastAsia="Arial" w:hAnsi="Arial" w:cs="Arial"/>
          <w:sz w:val="22"/>
        </w:rPr>
      </w:pPr>
    </w:p>
    <w:p w14:paraId="47B52A0D" w14:textId="77777777" w:rsidR="00436843" w:rsidRPr="001226B2" w:rsidRDefault="00436843" w:rsidP="001226B2">
      <w:pPr>
        <w:spacing w:after="0" w:line="360" w:lineRule="auto"/>
        <w:rPr>
          <w:rFonts w:ascii="Arial" w:eastAsia="Arial" w:hAnsi="Arial" w:cs="Arial"/>
          <w:sz w:val="22"/>
        </w:rPr>
      </w:pPr>
    </w:p>
    <w:p w14:paraId="0571F755" w14:textId="77777777" w:rsidR="00436843" w:rsidRPr="001226B2" w:rsidRDefault="00436843" w:rsidP="001226B2">
      <w:pPr>
        <w:spacing w:after="0" w:line="360" w:lineRule="auto"/>
        <w:rPr>
          <w:rFonts w:ascii="Arial" w:eastAsia="Arial" w:hAnsi="Arial" w:cs="Arial"/>
          <w:sz w:val="22"/>
        </w:rPr>
      </w:pPr>
    </w:p>
    <w:p w14:paraId="6D804BB6" w14:textId="77777777" w:rsidR="00436843" w:rsidRPr="001226B2" w:rsidRDefault="00436843" w:rsidP="001226B2">
      <w:pPr>
        <w:spacing w:after="0" w:line="360" w:lineRule="auto"/>
        <w:rPr>
          <w:rFonts w:ascii="Arial" w:eastAsia="Arial" w:hAnsi="Arial" w:cs="Arial"/>
          <w:sz w:val="22"/>
        </w:rPr>
      </w:pPr>
    </w:p>
    <w:p w14:paraId="155BA76A" w14:textId="77777777" w:rsidR="00436843" w:rsidRPr="001226B2" w:rsidRDefault="00436843" w:rsidP="001226B2">
      <w:pPr>
        <w:spacing w:after="0" w:line="360" w:lineRule="auto"/>
        <w:rPr>
          <w:rFonts w:ascii="Arial" w:eastAsia="Arial" w:hAnsi="Arial" w:cs="Arial"/>
          <w:sz w:val="22"/>
        </w:rPr>
      </w:pPr>
    </w:p>
    <w:p w14:paraId="3AF3D538" w14:textId="77777777" w:rsidR="00436843" w:rsidRPr="001226B2" w:rsidRDefault="00436843" w:rsidP="001226B2">
      <w:pPr>
        <w:spacing w:after="0" w:line="360" w:lineRule="auto"/>
        <w:rPr>
          <w:rFonts w:ascii="Arial" w:eastAsia="Arial" w:hAnsi="Arial" w:cs="Arial"/>
          <w:sz w:val="22"/>
        </w:rPr>
      </w:pPr>
    </w:p>
    <w:p w14:paraId="51A72043" w14:textId="77777777" w:rsidR="00436843" w:rsidRPr="001226B2" w:rsidRDefault="00436843" w:rsidP="001226B2">
      <w:pPr>
        <w:spacing w:after="0" w:line="360" w:lineRule="auto"/>
        <w:rPr>
          <w:rFonts w:ascii="Arial" w:eastAsia="Arial" w:hAnsi="Arial" w:cs="Arial"/>
          <w:sz w:val="22"/>
        </w:rPr>
      </w:pPr>
    </w:p>
    <w:p w14:paraId="397BCEB5" w14:textId="77777777" w:rsidR="00436843" w:rsidRPr="001226B2" w:rsidRDefault="00436843" w:rsidP="001226B2">
      <w:pPr>
        <w:spacing w:after="0" w:line="360" w:lineRule="auto"/>
        <w:rPr>
          <w:rFonts w:ascii="Arial" w:eastAsia="Arial" w:hAnsi="Arial" w:cs="Arial"/>
          <w:sz w:val="22"/>
        </w:rPr>
      </w:pPr>
    </w:p>
    <w:p w14:paraId="22E9CBE5" w14:textId="77777777" w:rsidR="00436843" w:rsidRPr="001226B2" w:rsidRDefault="00436843" w:rsidP="001226B2">
      <w:pPr>
        <w:spacing w:after="0" w:line="360" w:lineRule="auto"/>
        <w:rPr>
          <w:rFonts w:ascii="Arial" w:eastAsia="Arial" w:hAnsi="Arial" w:cs="Arial"/>
          <w:sz w:val="22"/>
        </w:rPr>
      </w:pPr>
    </w:p>
    <w:p w14:paraId="6790B0C1" w14:textId="77777777" w:rsidR="00436843" w:rsidRPr="001226B2" w:rsidRDefault="00436843" w:rsidP="001226B2">
      <w:pPr>
        <w:spacing w:after="0" w:line="360" w:lineRule="auto"/>
        <w:rPr>
          <w:rFonts w:ascii="Arial" w:eastAsia="Arial" w:hAnsi="Arial" w:cs="Arial"/>
          <w:sz w:val="22"/>
        </w:rPr>
      </w:pPr>
    </w:p>
    <w:p w14:paraId="4E3A732D" w14:textId="77777777" w:rsidR="0011498D" w:rsidRPr="001226B2" w:rsidRDefault="0011498D" w:rsidP="001226B2">
      <w:pPr>
        <w:spacing w:after="0" w:line="360" w:lineRule="auto"/>
        <w:rPr>
          <w:rFonts w:ascii="Arial" w:eastAsia="Arial" w:hAnsi="Arial" w:cs="Arial"/>
          <w:sz w:val="22"/>
        </w:rPr>
      </w:pPr>
    </w:p>
    <w:p w14:paraId="4304899C" w14:textId="77777777" w:rsidR="002D6A5F" w:rsidRPr="001226B2" w:rsidRDefault="002D6A5F" w:rsidP="001226B2">
      <w:pPr>
        <w:spacing w:after="0" w:line="360" w:lineRule="auto"/>
        <w:rPr>
          <w:rFonts w:ascii="Arial" w:eastAsia="Arial" w:hAnsi="Arial" w:cs="Arial"/>
          <w:sz w:val="22"/>
        </w:rPr>
      </w:pPr>
    </w:p>
    <w:p w14:paraId="3DDDCA6F" w14:textId="0265E357" w:rsidR="00A11336" w:rsidRPr="001226B2" w:rsidRDefault="00A11336" w:rsidP="001226B2">
      <w:pPr>
        <w:pStyle w:val="Heading1"/>
        <w:spacing w:line="360" w:lineRule="auto"/>
        <w:rPr>
          <w:rFonts w:ascii="Arial" w:hAnsi="Arial" w:cs="Arial"/>
          <w:sz w:val="22"/>
          <w:szCs w:val="22"/>
        </w:rPr>
      </w:pPr>
      <w:bookmarkStart w:id="4" w:name="_Toc236051000"/>
      <w:r w:rsidRPr="001226B2">
        <w:rPr>
          <w:rFonts w:ascii="Arial" w:hAnsi="Arial" w:cs="Arial"/>
          <w:sz w:val="22"/>
          <w:szCs w:val="22"/>
        </w:rPr>
        <w:lastRenderedPageBreak/>
        <w:t xml:space="preserve">Task 3: </w:t>
      </w:r>
      <w:r w:rsidR="00D05676" w:rsidRPr="001226B2">
        <w:rPr>
          <w:rFonts w:ascii="Arial" w:hAnsi="Arial" w:cs="Arial"/>
          <w:sz w:val="22"/>
          <w:szCs w:val="22"/>
        </w:rPr>
        <w:t>Self-Reflection as a Health and Social Care Professional</w:t>
      </w:r>
      <w:bookmarkEnd w:id="4"/>
    </w:p>
    <w:p w14:paraId="04C45ADC" w14:textId="77777777" w:rsidR="00A11336" w:rsidRPr="001226B2" w:rsidRDefault="00A11336" w:rsidP="001226B2">
      <w:pPr>
        <w:spacing w:line="360" w:lineRule="auto"/>
        <w:ind w:left="426" w:right="248"/>
        <w:rPr>
          <w:rFonts w:ascii="Arial" w:hAnsi="Arial" w:cs="Arial"/>
          <w:b/>
          <w:bCs/>
          <w:sz w:val="22"/>
        </w:rPr>
      </w:pPr>
    </w:p>
    <w:p w14:paraId="1BA454FE" w14:textId="3B6D7631" w:rsidR="00436843" w:rsidRPr="001226B2" w:rsidRDefault="00D05676" w:rsidP="001226B2">
      <w:pPr>
        <w:spacing w:line="360" w:lineRule="auto"/>
        <w:ind w:left="426" w:right="248"/>
        <w:jc w:val="center"/>
        <w:rPr>
          <w:rFonts w:ascii="Arial" w:hAnsi="Arial" w:cs="Arial"/>
          <w:b/>
          <w:bCs/>
          <w:sz w:val="22"/>
        </w:rPr>
      </w:pPr>
      <w:r w:rsidRPr="001226B2">
        <w:rPr>
          <w:rFonts w:ascii="Arial" w:hAnsi="Arial" w:cs="Arial"/>
          <w:b/>
          <w:bCs/>
          <w:sz w:val="22"/>
        </w:rPr>
        <w:t>Gibbs' Reflective Cycle (1988)</w:t>
      </w:r>
    </w:p>
    <w:p w14:paraId="38B8DECE" w14:textId="77777777" w:rsidR="001226B2" w:rsidRPr="001226B2" w:rsidRDefault="001226B2" w:rsidP="001226B2">
      <w:pPr>
        <w:pStyle w:val="Heading2"/>
        <w:spacing w:line="360" w:lineRule="auto"/>
        <w:rPr>
          <w:rFonts w:ascii="Arial" w:hAnsi="Arial" w:cs="Arial"/>
          <w:sz w:val="22"/>
          <w:szCs w:val="22"/>
        </w:rPr>
      </w:pPr>
    </w:p>
    <w:p w14:paraId="743D8905" w14:textId="77777777" w:rsidR="001226B2" w:rsidRPr="001226B2" w:rsidRDefault="001226B2" w:rsidP="001226B2">
      <w:pPr>
        <w:pStyle w:val="Heading2"/>
        <w:spacing w:line="360" w:lineRule="auto"/>
        <w:rPr>
          <w:rFonts w:ascii="Arial" w:hAnsi="Arial" w:cs="Arial"/>
          <w:sz w:val="22"/>
          <w:szCs w:val="22"/>
        </w:rPr>
      </w:pPr>
      <w:bookmarkStart w:id="5" w:name="_Toc236051001"/>
      <w:r w:rsidRPr="001226B2">
        <w:rPr>
          <w:rFonts w:ascii="Arial" w:hAnsi="Arial" w:cs="Arial"/>
          <w:sz w:val="22"/>
          <w:szCs w:val="22"/>
        </w:rPr>
        <w:t>Description</w:t>
      </w:r>
      <w:bookmarkEnd w:id="5"/>
    </w:p>
    <w:p w14:paraId="77BE6792" w14:textId="77777777" w:rsidR="001226B2" w:rsidRPr="001226B2" w:rsidRDefault="001226B2" w:rsidP="001226B2">
      <w:pPr>
        <w:pStyle w:val="Heading2"/>
        <w:spacing w:line="360" w:lineRule="auto"/>
        <w:rPr>
          <w:rFonts w:ascii="Arial" w:hAnsi="Arial" w:cs="Arial"/>
          <w:sz w:val="22"/>
          <w:szCs w:val="22"/>
        </w:rPr>
      </w:pPr>
    </w:p>
    <w:p w14:paraId="072EF8ED" w14:textId="5E983576" w:rsidR="001226B2" w:rsidRPr="001226B2" w:rsidRDefault="001226B2" w:rsidP="001226B2">
      <w:pPr>
        <w:pStyle w:val="Heading2"/>
        <w:spacing w:line="360" w:lineRule="auto"/>
        <w:rPr>
          <w:rFonts w:ascii="Arial" w:hAnsi="Arial" w:cs="Arial"/>
          <w:color w:val="000000" w:themeColor="text1"/>
          <w:sz w:val="22"/>
          <w:szCs w:val="22"/>
        </w:rPr>
      </w:pPr>
      <w:bookmarkStart w:id="6" w:name="_Toc236051002"/>
      <w:r w:rsidRPr="001226B2">
        <w:rPr>
          <w:rFonts w:ascii="Arial" w:hAnsi="Arial" w:cs="Arial"/>
          <w:color w:val="000000" w:themeColor="text1"/>
          <w:sz w:val="22"/>
          <w:szCs w:val="22"/>
        </w:rPr>
        <w:t>During my role as a Healthcare Assistant in a nursing home, I cared for an older adult living with moderate dementia, referred to in this report as Mrs A to maintain confidentiality. Mrs A often experienced anxiety, walked continuously around the nursing home, rushed through activities and repeatedly visited the toilet throughout the day. She frequently believed that other residents did not like her, even though they interacted positively with her. After speaking with her family and reviewing her care plan, I learned that she enjoyed listening to André Rieu and watching nature documentaries presented by David Attenborough. These personalised activities often helped reduce her anxiety and improve her emotional wellbeing. One incident particularly influenced my professional development. Mrs A became confused while walking through one of the corridors and repeatedly stated, "These are not my trousers," before removing her trousers while still wearing her continence pad. I immediately reassured her that she was safe, positioned myself in front of her to protect her dignity and discreetly informed my colleagues using the staff radio to prevent other residents from entering the corridor until we had safely supported her. Once she was calm, we helped her dress again and accompanied her to a quieter area where she quickly settled. Reflecting on this experience has helped me understand how person-centred care, partnership working and ethical practice directly influence the quality of care provided to people living with dementia.</w:t>
      </w:r>
      <w:bookmarkEnd w:id="6"/>
    </w:p>
    <w:p w14:paraId="5CA5026F" w14:textId="77777777" w:rsidR="001226B2" w:rsidRPr="001226B2" w:rsidRDefault="001226B2" w:rsidP="001226B2">
      <w:pPr>
        <w:spacing w:line="360" w:lineRule="auto"/>
        <w:rPr>
          <w:rFonts w:ascii="Arial" w:hAnsi="Arial" w:cs="Arial"/>
          <w:sz w:val="22"/>
        </w:rPr>
      </w:pPr>
    </w:p>
    <w:p w14:paraId="66C61210" w14:textId="51C83E27" w:rsidR="001226B2" w:rsidRPr="001226B2" w:rsidRDefault="001226B2" w:rsidP="001226B2">
      <w:pPr>
        <w:pStyle w:val="Heading2"/>
        <w:spacing w:line="360" w:lineRule="auto"/>
        <w:rPr>
          <w:rFonts w:ascii="Arial" w:hAnsi="Arial" w:cs="Arial"/>
          <w:sz w:val="22"/>
          <w:szCs w:val="22"/>
        </w:rPr>
      </w:pPr>
      <w:bookmarkStart w:id="7" w:name="_Toc236051003"/>
      <w:r w:rsidRPr="001226B2">
        <w:rPr>
          <w:rFonts w:ascii="Arial" w:hAnsi="Arial" w:cs="Arial"/>
          <w:sz w:val="22"/>
          <w:szCs w:val="22"/>
        </w:rPr>
        <w:t>Feelings</w:t>
      </w:r>
      <w:bookmarkEnd w:id="7"/>
      <w:r w:rsidRPr="001226B2">
        <w:rPr>
          <w:rFonts w:ascii="Arial" w:hAnsi="Arial" w:cs="Arial"/>
          <w:sz w:val="22"/>
          <w:szCs w:val="22"/>
        </w:rPr>
        <w:t xml:space="preserve"> </w:t>
      </w:r>
    </w:p>
    <w:p w14:paraId="0744FF41" w14:textId="13A53BC0" w:rsidR="001226B2" w:rsidRPr="001226B2" w:rsidRDefault="001226B2" w:rsidP="001226B2">
      <w:pPr>
        <w:spacing w:line="360" w:lineRule="auto"/>
        <w:rPr>
          <w:rFonts w:ascii="Arial" w:hAnsi="Arial" w:cs="Arial"/>
          <w:sz w:val="22"/>
        </w:rPr>
      </w:pPr>
      <w:r w:rsidRPr="001226B2">
        <w:rPr>
          <w:rFonts w:ascii="Arial" w:hAnsi="Arial" w:cs="Arial"/>
          <w:sz w:val="22"/>
        </w:rPr>
        <w:t xml:space="preserve">At the beginning of the incident, I felt concerned because I knew that Mrs A was vulnerable and could easily become more distressed if the situation was not managed appropriately. Although the event happened unexpectedly, I remained calm because I recognised that her behaviour resulted from the progression of dementia rather than intentional misconduct. My immediate priority was protecting her dignity and ensuring she felt safe, respected and supported. I also felt responsible for maintaining a safe environment for other residents while respecting Mrs A's privacy. After the situation had been resolved, I reflected on how important it is for healthcare professionals to remain compassionate during challenging situations. I felt proud that I had responded professionally and ethically without making Mrs A </w:t>
      </w:r>
      <w:r w:rsidRPr="001226B2">
        <w:rPr>
          <w:rFonts w:ascii="Arial" w:hAnsi="Arial" w:cs="Arial"/>
          <w:sz w:val="22"/>
        </w:rPr>
        <w:lastRenderedPageBreak/>
        <w:t>feel embarrassed or judged. This experience increased my confidence in supporting people living with dementia and reminded me that patience, empathy and effective communication are essential skills for delivering high-quality care. It also reinforced my understanding that every behaviour has a reason and should be approached with compassion rather than frustration.</w:t>
      </w:r>
    </w:p>
    <w:p w14:paraId="17D53B3A" w14:textId="4B0E21E8" w:rsidR="001226B2" w:rsidRPr="001226B2" w:rsidRDefault="001226B2" w:rsidP="001226B2">
      <w:pPr>
        <w:pStyle w:val="Heading2"/>
        <w:spacing w:line="360" w:lineRule="auto"/>
        <w:rPr>
          <w:rFonts w:ascii="Arial" w:hAnsi="Arial" w:cs="Arial"/>
          <w:sz w:val="22"/>
          <w:szCs w:val="22"/>
        </w:rPr>
      </w:pPr>
      <w:bookmarkStart w:id="8" w:name="_Toc236051004"/>
      <w:r w:rsidRPr="001226B2">
        <w:rPr>
          <w:rFonts w:ascii="Arial" w:hAnsi="Arial" w:cs="Arial"/>
          <w:sz w:val="22"/>
          <w:szCs w:val="22"/>
        </w:rPr>
        <w:t>Evaluation</w:t>
      </w:r>
      <w:bookmarkEnd w:id="8"/>
      <w:r w:rsidRPr="001226B2">
        <w:rPr>
          <w:rFonts w:ascii="Arial" w:hAnsi="Arial" w:cs="Arial"/>
          <w:sz w:val="22"/>
          <w:szCs w:val="22"/>
        </w:rPr>
        <w:t xml:space="preserve"> </w:t>
      </w:r>
    </w:p>
    <w:p w14:paraId="407D8442" w14:textId="77777777" w:rsidR="001226B2" w:rsidRPr="001226B2" w:rsidRDefault="001226B2" w:rsidP="001226B2">
      <w:pPr>
        <w:spacing w:line="360" w:lineRule="auto"/>
        <w:rPr>
          <w:rFonts w:ascii="Arial" w:hAnsi="Arial" w:cs="Arial"/>
          <w:sz w:val="22"/>
        </w:rPr>
      </w:pPr>
      <w:r w:rsidRPr="001226B2">
        <w:rPr>
          <w:rFonts w:ascii="Arial" w:hAnsi="Arial" w:cs="Arial"/>
          <w:sz w:val="22"/>
        </w:rPr>
        <w:t>Looking back, I believe there were several strengths in my practice. I remained calm throughout the incident, protected Mrs A's dignity and communicated effectively with both my colleagues and the multidisciplinary team. Using reassurance instead of confrontation helped reduce her anxiety and prevented the situation from escalating. I also recognised the importance of understanding Mrs A as an individual rather than focusing only on her diagnosis. Learning about her personal interests, including her enjoyment of André Rieu's music and David Attenborough documentaries, allowed me to use personalised interventions that improved her emotional wellbeing. This demonstrated the principles of person-centred care by adapting support to meet her individual needs rather than following a routine approach.</w:t>
      </w:r>
    </w:p>
    <w:p w14:paraId="2A47A5E7" w14:textId="77777777" w:rsidR="001226B2" w:rsidRPr="001226B2" w:rsidRDefault="001226B2" w:rsidP="001226B2">
      <w:pPr>
        <w:spacing w:line="360" w:lineRule="auto"/>
        <w:rPr>
          <w:rFonts w:ascii="Arial" w:hAnsi="Arial" w:cs="Arial"/>
          <w:sz w:val="22"/>
        </w:rPr>
      </w:pPr>
      <w:r w:rsidRPr="001226B2">
        <w:rPr>
          <w:rFonts w:ascii="Arial" w:hAnsi="Arial" w:cs="Arial"/>
          <w:sz w:val="22"/>
        </w:rPr>
        <w:t>However, reflecting on the experience also helped me identify areas where I could improve my professional practice. Although I managed the situation safely, I realised that recognising the early signs of anxiety may help prevent distress before it develops further. In the future, I would like to become more confident in identifying triggers and using proactive strategies to reduce anxiety before challenging situations occur. I also recognise the importance of continuing to develop my knowledge of dementia care through regular training, evidence-based practice and feedback from Registered Nurses and senior colleagues. Continuous reflection enables me to improve my confidence, communication skills and ability to provide compassionate, person-centred care.</w:t>
      </w:r>
    </w:p>
    <w:p w14:paraId="0B54A2C3" w14:textId="77777777" w:rsidR="001226B2" w:rsidRPr="001226B2" w:rsidRDefault="001226B2" w:rsidP="001226B2">
      <w:pPr>
        <w:spacing w:line="360" w:lineRule="auto"/>
        <w:rPr>
          <w:rFonts w:ascii="Arial" w:hAnsi="Arial" w:cs="Arial"/>
          <w:sz w:val="22"/>
        </w:rPr>
      </w:pPr>
    </w:p>
    <w:p w14:paraId="7717FB70" w14:textId="021F55E6" w:rsidR="005011EB" w:rsidRDefault="005011EB" w:rsidP="001226B2">
      <w:pPr>
        <w:pStyle w:val="Heading2"/>
        <w:spacing w:line="360" w:lineRule="auto"/>
        <w:rPr>
          <w:rFonts w:ascii="Arial" w:hAnsi="Arial" w:cs="Arial"/>
          <w:sz w:val="22"/>
          <w:szCs w:val="22"/>
        </w:rPr>
      </w:pPr>
      <w:bookmarkStart w:id="9" w:name="_Toc236051005"/>
      <w:r w:rsidRPr="001226B2">
        <w:rPr>
          <w:rFonts w:ascii="Arial" w:hAnsi="Arial" w:cs="Arial"/>
          <w:sz w:val="22"/>
          <w:szCs w:val="22"/>
        </w:rPr>
        <w:lastRenderedPageBreak/>
        <w:t>Analysis</w:t>
      </w:r>
      <w:bookmarkEnd w:id="9"/>
    </w:p>
    <w:p w14:paraId="7B1AD183" w14:textId="77777777" w:rsidR="00F81230" w:rsidRPr="001226B2" w:rsidRDefault="00F81230" w:rsidP="00F81230">
      <w:pPr>
        <w:pStyle w:val="Heading2"/>
        <w:spacing w:line="360" w:lineRule="auto"/>
        <w:rPr>
          <w:rFonts w:ascii="Arial" w:eastAsiaTheme="minorHAnsi" w:hAnsi="Arial" w:cs="Arial"/>
          <w:color w:val="auto"/>
          <w:sz w:val="22"/>
          <w:szCs w:val="22"/>
        </w:rPr>
      </w:pPr>
      <w:bookmarkStart w:id="10" w:name="_Toc236051006"/>
      <w:r w:rsidRPr="001226B2">
        <w:rPr>
          <w:rFonts w:ascii="Arial" w:eastAsiaTheme="minorHAnsi" w:hAnsi="Arial" w:cs="Arial"/>
          <w:color w:val="auto"/>
          <w:sz w:val="22"/>
          <w:szCs w:val="22"/>
        </w:rPr>
        <w:t xml:space="preserve">This experience strengthened my understanding of the importance of person-centred care, partnership working and ethical practice within a nursing home setting. Reflecting on Mrs A's care, I realised that her behaviours were not deliberately challenging but were expressions of anxiety, confusion and unmet emotional needs, supporting </w:t>
      </w:r>
      <w:proofErr w:type="spellStart"/>
      <w:r w:rsidRPr="001226B2">
        <w:rPr>
          <w:rFonts w:ascii="Arial" w:eastAsiaTheme="minorHAnsi" w:hAnsi="Arial" w:cs="Arial"/>
          <w:color w:val="auto"/>
          <w:sz w:val="22"/>
          <w:szCs w:val="22"/>
        </w:rPr>
        <w:t>Kitwood's</w:t>
      </w:r>
      <w:proofErr w:type="spellEnd"/>
      <w:r w:rsidRPr="001226B2">
        <w:rPr>
          <w:rFonts w:ascii="Arial" w:eastAsiaTheme="minorHAnsi" w:hAnsi="Arial" w:cs="Arial"/>
          <w:color w:val="auto"/>
          <w:sz w:val="22"/>
          <w:szCs w:val="22"/>
        </w:rPr>
        <w:t xml:space="preserve"> (1997) view that people with dementia should be understood as individuals rather than defined by their diagnosis. Maslow's Hierarchy of Needs (1943) also reinforced that meeting emotional needs, such as reassurance, belonging and security, is just as important as meeting physical needs. The experience highlighted the value of partnership working, as effective communication between Healthcare Assistants, Registered Nurses and Mrs A's family ensured a consistent and personalised approach to her care. Furthermore, my actions reflected the ethical principles of beneficence, non-maleficence and respect for dignity while complying with the Human Rights Act 1998 and the Mental Capacity Act 2005.</w:t>
      </w:r>
      <w:bookmarkEnd w:id="10"/>
    </w:p>
    <w:p w14:paraId="04083815" w14:textId="77777777" w:rsidR="00F81230" w:rsidRPr="00F81230" w:rsidRDefault="00F81230" w:rsidP="00F81230"/>
    <w:p w14:paraId="779D79C7" w14:textId="27A2910E" w:rsidR="005011EB" w:rsidRPr="001226B2" w:rsidRDefault="005011EB" w:rsidP="001226B2">
      <w:pPr>
        <w:pStyle w:val="Heading2"/>
        <w:spacing w:line="360" w:lineRule="auto"/>
        <w:rPr>
          <w:rFonts w:ascii="Arial" w:hAnsi="Arial" w:cs="Arial"/>
          <w:sz w:val="22"/>
          <w:szCs w:val="22"/>
        </w:rPr>
      </w:pPr>
      <w:bookmarkStart w:id="11" w:name="_Toc236051007"/>
      <w:r w:rsidRPr="001226B2">
        <w:rPr>
          <w:rFonts w:ascii="Arial" w:hAnsi="Arial" w:cs="Arial"/>
          <w:sz w:val="22"/>
          <w:szCs w:val="22"/>
        </w:rPr>
        <w:t>Conclusion</w:t>
      </w:r>
      <w:bookmarkEnd w:id="11"/>
    </w:p>
    <w:p w14:paraId="5EEE92AF" w14:textId="5EECBF04" w:rsidR="005011EB" w:rsidRPr="001226B2" w:rsidRDefault="005011EB" w:rsidP="001226B2">
      <w:pPr>
        <w:spacing w:line="360" w:lineRule="auto"/>
        <w:ind w:right="248"/>
        <w:rPr>
          <w:rFonts w:ascii="Arial" w:hAnsi="Arial" w:cs="Arial"/>
          <w:sz w:val="22"/>
        </w:rPr>
      </w:pPr>
      <w:r w:rsidRPr="001226B2">
        <w:rPr>
          <w:rFonts w:ascii="Arial" w:hAnsi="Arial" w:cs="Arial"/>
          <w:sz w:val="22"/>
        </w:rPr>
        <w:t xml:space="preserve">My professional development has been greatly impacted by this encounter. It reaffirmed that understanding the person behind the behaviours rather than trying to control them is the key to providing good dementia care. I discovered that developing trustworthy relationships with residents and promoting their emotional wellbeing requires patience, empathy, and communication. Additionally, I realised that working cooperatively with coworkers and </w:t>
      </w:r>
      <w:proofErr w:type="gramStart"/>
      <w:r w:rsidR="002071F0" w:rsidRPr="001226B2">
        <w:rPr>
          <w:rFonts w:ascii="Arial" w:hAnsi="Arial" w:cs="Arial"/>
          <w:sz w:val="22"/>
        </w:rPr>
        <w:t>families</w:t>
      </w:r>
      <w:proofErr w:type="gramEnd"/>
      <w:r w:rsidR="002071F0" w:rsidRPr="001226B2">
        <w:rPr>
          <w:rFonts w:ascii="Arial" w:hAnsi="Arial" w:cs="Arial"/>
          <w:sz w:val="22"/>
        </w:rPr>
        <w:t xml:space="preserve"> </w:t>
      </w:r>
      <w:r w:rsidRPr="001226B2">
        <w:rPr>
          <w:rFonts w:ascii="Arial" w:hAnsi="Arial" w:cs="Arial"/>
          <w:sz w:val="22"/>
        </w:rPr>
        <w:t>produces better results because everyone offers insightful information about the requirements and preferences of the individual.</w:t>
      </w:r>
    </w:p>
    <w:p w14:paraId="5DD6D059" w14:textId="6A28539B" w:rsidR="005011EB" w:rsidRPr="001226B2" w:rsidRDefault="005011EB" w:rsidP="001226B2">
      <w:pPr>
        <w:pStyle w:val="Heading2"/>
        <w:spacing w:line="360" w:lineRule="auto"/>
        <w:rPr>
          <w:rFonts w:ascii="Arial" w:hAnsi="Arial" w:cs="Arial"/>
          <w:sz w:val="22"/>
          <w:szCs w:val="22"/>
        </w:rPr>
      </w:pPr>
      <w:bookmarkStart w:id="12" w:name="_Toc236051008"/>
      <w:r w:rsidRPr="001226B2">
        <w:rPr>
          <w:rFonts w:ascii="Arial" w:hAnsi="Arial" w:cs="Arial"/>
          <w:sz w:val="22"/>
          <w:szCs w:val="22"/>
        </w:rPr>
        <w:t>Action Plan</w:t>
      </w:r>
      <w:bookmarkEnd w:id="12"/>
    </w:p>
    <w:p w14:paraId="550A0221" w14:textId="6519AFC4" w:rsidR="003160A3" w:rsidRPr="001226B2" w:rsidRDefault="005011EB" w:rsidP="001226B2">
      <w:pPr>
        <w:spacing w:line="360" w:lineRule="auto"/>
        <w:ind w:right="248"/>
        <w:rPr>
          <w:rFonts w:ascii="Arial" w:hAnsi="Arial" w:cs="Arial"/>
          <w:sz w:val="22"/>
        </w:rPr>
      </w:pPr>
      <w:r w:rsidRPr="001226B2">
        <w:rPr>
          <w:rFonts w:ascii="Arial" w:hAnsi="Arial" w:cs="Arial"/>
          <w:sz w:val="22"/>
        </w:rPr>
        <w:t xml:space="preserve">I have determined </w:t>
      </w:r>
      <w:r w:rsidR="00436843" w:rsidRPr="001226B2">
        <w:rPr>
          <w:rFonts w:ascii="Arial" w:hAnsi="Arial" w:cs="Arial"/>
          <w:sz w:val="22"/>
        </w:rPr>
        <w:t>a few</w:t>
      </w:r>
      <w:r w:rsidRPr="001226B2">
        <w:rPr>
          <w:rFonts w:ascii="Arial" w:hAnsi="Arial" w:cs="Arial"/>
          <w:sz w:val="22"/>
        </w:rPr>
        <w:t xml:space="preserve"> areas for my future professional development based on Gibbs' Reflective Cycle. First, I want to keep learning more about dementia care by going to training sessions and reading up-to-date NICE guidelines and evidence-based studies. Second, I want to improve my communication abilities, especially when it comes to supporting residents who are confused or anxious by using therapeutic communication approaches and validation. Third, </w:t>
      </w:r>
      <w:proofErr w:type="gramStart"/>
      <w:r w:rsidRPr="001226B2">
        <w:rPr>
          <w:rFonts w:ascii="Arial" w:hAnsi="Arial" w:cs="Arial"/>
          <w:sz w:val="22"/>
        </w:rPr>
        <w:t>in order to</w:t>
      </w:r>
      <w:proofErr w:type="gramEnd"/>
      <w:r w:rsidRPr="001226B2">
        <w:rPr>
          <w:rFonts w:ascii="Arial" w:hAnsi="Arial" w:cs="Arial"/>
          <w:sz w:val="22"/>
        </w:rPr>
        <w:t xml:space="preserve"> make sure that my practice constantly reflects current legal and professional standards, I intend to deepen my awareness of UK legislation, such as the Mental Capacity Act 2005, the Care Act 2014, and the Health and Care Act 2022. Lastly, </w:t>
      </w:r>
      <w:proofErr w:type="gramStart"/>
      <w:r w:rsidRPr="001226B2">
        <w:rPr>
          <w:rFonts w:ascii="Arial" w:hAnsi="Arial" w:cs="Arial"/>
          <w:sz w:val="22"/>
        </w:rPr>
        <w:t>in order to</w:t>
      </w:r>
      <w:proofErr w:type="gramEnd"/>
      <w:r w:rsidRPr="001226B2">
        <w:rPr>
          <w:rFonts w:ascii="Arial" w:hAnsi="Arial" w:cs="Arial"/>
          <w:sz w:val="22"/>
        </w:rPr>
        <w:t xml:space="preserve"> evaluate my work and find areas for development, I will keep asking senior colleagues and registered nurses for their opinions. I will be able to deliver safer, more compassionate, and person-centred care while growing into a self-assured and capable health and social care professional thanks to ongoing professional development.</w:t>
      </w:r>
    </w:p>
    <w:p w14:paraId="5A4D465C" w14:textId="1CBE1EFB" w:rsidR="006524ED" w:rsidRPr="001226B2" w:rsidRDefault="006D2F2D" w:rsidP="001226B2">
      <w:pPr>
        <w:pStyle w:val="Heading1"/>
        <w:spacing w:line="360" w:lineRule="auto"/>
        <w:rPr>
          <w:rFonts w:ascii="Arial" w:hAnsi="Arial" w:cs="Arial"/>
          <w:sz w:val="22"/>
          <w:szCs w:val="22"/>
        </w:rPr>
      </w:pPr>
      <w:bookmarkStart w:id="13" w:name="_Toc236051009"/>
      <w:r w:rsidRPr="001226B2">
        <w:rPr>
          <w:rFonts w:ascii="Arial" w:hAnsi="Arial" w:cs="Arial"/>
          <w:sz w:val="22"/>
          <w:szCs w:val="22"/>
        </w:rPr>
        <w:lastRenderedPageBreak/>
        <w:t>Conclusion</w:t>
      </w:r>
      <w:bookmarkEnd w:id="13"/>
    </w:p>
    <w:p w14:paraId="74C6A686" w14:textId="64888CE3" w:rsidR="00436843" w:rsidRPr="001226B2" w:rsidRDefault="00436843" w:rsidP="001226B2">
      <w:pPr>
        <w:spacing w:line="360" w:lineRule="auto"/>
        <w:rPr>
          <w:rFonts w:ascii="Arial" w:hAnsi="Arial" w:cs="Arial"/>
          <w:color w:val="000000" w:themeColor="text1"/>
          <w:sz w:val="22"/>
        </w:rPr>
      </w:pPr>
      <w:r w:rsidRPr="001226B2">
        <w:rPr>
          <w:rFonts w:ascii="Arial" w:hAnsi="Arial" w:cs="Arial"/>
          <w:color w:val="000000" w:themeColor="text1"/>
          <w:sz w:val="22"/>
        </w:rPr>
        <w:t xml:space="preserve">To provide high-quality health and social care in the UK, this reflective study has illustrated the significance of person-centred care, collaborative functioning, and ethical practice. These guidelines are essential for guaranteeing that people receive care that upholds their dignity, fosters their wellness, and satisfies their physical, emotional, and psychological requirements. </w:t>
      </w:r>
      <w:r w:rsidR="002F34D0">
        <w:rPr>
          <w:rFonts w:ascii="Arial" w:hAnsi="Arial" w:cs="Arial"/>
          <w:color w:val="000000" w:themeColor="text1"/>
          <w:sz w:val="22"/>
        </w:rPr>
        <w:t>This assignment demonstrated</w:t>
      </w:r>
      <w:r w:rsidRPr="001226B2">
        <w:rPr>
          <w:rFonts w:ascii="Arial" w:hAnsi="Arial" w:cs="Arial"/>
          <w:color w:val="000000" w:themeColor="text1"/>
          <w:sz w:val="22"/>
        </w:rPr>
        <w:t xml:space="preserve"> on how laws like the Health and Care Act of 2022, the Mental Capacity Act of 2005, and the Care Act of 2014 help practitioners deliver safe, compassionate, and legally compliant care.</w:t>
      </w:r>
    </w:p>
    <w:p w14:paraId="0E0C98BD" w14:textId="6677B0C7" w:rsidR="00436843" w:rsidRDefault="00436843" w:rsidP="00436843">
      <w:pPr>
        <w:spacing w:line="360" w:lineRule="auto"/>
        <w:rPr>
          <w:rFonts w:ascii="Arial" w:hAnsi="Arial" w:cs="Arial"/>
          <w:color w:val="000000" w:themeColor="text1"/>
          <w:sz w:val="22"/>
        </w:rPr>
      </w:pPr>
      <w:r w:rsidRPr="001226B2">
        <w:rPr>
          <w:rFonts w:ascii="Arial" w:hAnsi="Arial" w:cs="Arial"/>
          <w:color w:val="000000" w:themeColor="text1"/>
          <w:sz w:val="22"/>
        </w:rPr>
        <w:t>Understanding a person's unique preferences, collaborating with the multidisciplinary team, and using ethical decision-making can greatly improve the quality of care for individuals with dementia, as proven by the real-world example from my experience in a nursing home. I was able to critically assess my own work, recognise my strengths, and pinpoint opportunities for additional professional development by using Gibbs' Reflective Cycle to reflect on this event. Overall, this project has strengthened my awareness that providing person-centred, evidence-based care requires more than just attending to physical requirements; it also calls for empathy, effective communication, teamwork, and a dedication to lifelong learning</w:t>
      </w:r>
    </w:p>
    <w:p w14:paraId="738D0D48" w14:textId="77777777" w:rsidR="001226B2" w:rsidRDefault="001226B2" w:rsidP="00436843">
      <w:pPr>
        <w:spacing w:line="360" w:lineRule="auto"/>
        <w:rPr>
          <w:rFonts w:ascii="Arial" w:hAnsi="Arial" w:cs="Arial"/>
          <w:color w:val="000000" w:themeColor="text1"/>
          <w:sz w:val="22"/>
        </w:rPr>
      </w:pPr>
    </w:p>
    <w:p w14:paraId="0AF08824" w14:textId="77777777" w:rsidR="001226B2" w:rsidRDefault="001226B2" w:rsidP="00436843">
      <w:pPr>
        <w:spacing w:line="360" w:lineRule="auto"/>
        <w:rPr>
          <w:rFonts w:ascii="Arial" w:hAnsi="Arial" w:cs="Arial"/>
          <w:color w:val="000000" w:themeColor="text1"/>
          <w:sz w:val="22"/>
        </w:rPr>
      </w:pPr>
    </w:p>
    <w:p w14:paraId="41E6CC03" w14:textId="77777777" w:rsidR="001226B2" w:rsidRDefault="001226B2" w:rsidP="00436843">
      <w:pPr>
        <w:spacing w:line="360" w:lineRule="auto"/>
        <w:rPr>
          <w:rFonts w:ascii="Arial" w:hAnsi="Arial" w:cs="Arial"/>
          <w:color w:val="000000" w:themeColor="text1"/>
          <w:sz w:val="22"/>
        </w:rPr>
      </w:pPr>
    </w:p>
    <w:p w14:paraId="3C9E40F9" w14:textId="77777777" w:rsidR="001226B2" w:rsidRDefault="001226B2" w:rsidP="00436843">
      <w:pPr>
        <w:spacing w:line="360" w:lineRule="auto"/>
        <w:rPr>
          <w:rFonts w:ascii="Arial" w:hAnsi="Arial" w:cs="Arial"/>
          <w:color w:val="000000" w:themeColor="text1"/>
          <w:sz w:val="22"/>
        </w:rPr>
      </w:pPr>
    </w:p>
    <w:p w14:paraId="1BBA5B09" w14:textId="77777777" w:rsidR="001226B2" w:rsidRDefault="001226B2" w:rsidP="00436843">
      <w:pPr>
        <w:spacing w:line="360" w:lineRule="auto"/>
        <w:rPr>
          <w:rFonts w:ascii="Arial" w:hAnsi="Arial" w:cs="Arial"/>
          <w:color w:val="000000" w:themeColor="text1"/>
          <w:sz w:val="22"/>
        </w:rPr>
      </w:pPr>
    </w:p>
    <w:p w14:paraId="45249934" w14:textId="77777777" w:rsidR="001226B2" w:rsidRDefault="001226B2" w:rsidP="00436843">
      <w:pPr>
        <w:spacing w:line="360" w:lineRule="auto"/>
        <w:rPr>
          <w:rFonts w:ascii="Arial" w:hAnsi="Arial" w:cs="Arial"/>
          <w:color w:val="000000" w:themeColor="text1"/>
          <w:sz w:val="22"/>
        </w:rPr>
      </w:pPr>
    </w:p>
    <w:p w14:paraId="79639913" w14:textId="77777777" w:rsidR="001226B2" w:rsidRDefault="001226B2" w:rsidP="00436843">
      <w:pPr>
        <w:spacing w:line="360" w:lineRule="auto"/>
        <w:rPr>
          <w:rFonts w:ascii="Arial" w:hAnsi="Arial" w:cs="Arial"/>
          <w:color w:val="000000" w:themeColor="text1"/>
          <w:sz w:val="22"/>
        </w:rPr>
      </w:pPr>
    </w:p>
    <w:p w14:paraId="46DAC2DF" w14:textId="77777777" w:rsidR="001226B2" w:rsidRDefault="001226B2" w:rsidP="00436843">
      <w:pPr>
        <w:spacing w:line="360" w:lineRule="auto"/>
        <w:rPr>
          <w:rFonts w:ascii="Arial" w:hAnsi="Arial" w:cs="Arial"/>
          <w:color w:val="000000" w:themeColor="text1"/>
          <w:sz w:val="22"/>
        </w:rPr>
      </w:pPr>
    </w:p>
    <w:p w14:paraId="38C311DF" w14:textId="77777777" w:rsidR="001226B2" w:rsidRDefault="001226B2" w:rsidP="00436843">
      <w:pPr>
        <w:spacing w:line="360" w:lineRule="auto"/>
        <w:rPr>
          <w:rFonts w:ascii="Arial" w:hAnsi="Arial" w:cs="Arial"/>
          <w:color w:val="000000" w:themeColor="text1"/>
          <w:sz w:val="22"/>
        </w:rPr>
      </w:pPr>
    </w:p>
    <w:p w14:paraId="199EEE57" w14:textId="77777777" w:rsidR="001226B2" w:rsidRDefault="001226B2" w:rsidP="00436843">
      <w:pPr>
        <w:spacing w:line="360" w:lineRule="auto"/>
        <w:rPr>
          <w:rFonts w:ascii="Arial" w:hAnsi="Arial" w:cs="Arial"/>
          <w:color w:val="000000" w:themeColor="text1"/>
          <w:sz w:val="22"/>
        </w:rPr>
      </w:pPr>
    </w:p>
    <w:p w14:paraId="32D70375" w14:textId="77777777" w:rsidR="00271E67" w:rsidRPr="00436843" w:rsidRDefault="00271E67" w:rsidP="00436843">
      <w:pPr>
        <w:spacing w:line="360" w:lineRule="auto"/>
        <w:rPr>
          <w:rFonts w:ascii="Arial" w:hAnsi="Arial" w:cs="Arial"/>
          <w:color w:val="000000" w:themeColor="text1"/>
          <w:sz w:val="22"/>
        </w:rPr>
      </w:pPr>
    </w:p>
    <w:p w14:paraId="2C16DEE2" w14:textId="77777777" w:rsidR="00436843" w:rsidRPr="00436843" w:rsidRDefault="00436843" w:rsidP="00271E67">
      <w:pPr>
        <w:pStyle w:val="Heading1"/>
      </w:pPr>
    </w:p>
    <w:p w14:paraId="5A789721" w14:textId="03EF53C0" w:rsidR="006D2F2D" w:rsidRPr="00436843" w:rsidRDefault="006D2F2D" w:rsidP="00271E67">
      <w:pPr>
        <w:pStyle w:val="Heading1"/>
      </w:pPr>
      <w:bookmarkStart w:id="14" w:name="_Toc236051010"/>
      <w:r w:rsidRPr="00436843">
        <w:t>Reference</w:t>
      </w:r>
      <w:r w:rsidR="001D345E" w:rsidRPr="00436843">
        <w:t>s</w:t>
      </w:r>
      <w:bookmarkEnd w:id="14"/>
    </w:p>
    <w:p w14:paraId="4842E42D"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Beauchamp, T.L. and Childress, J.F. (2019) </w:t>
      </w:r>
      <w:r w:rsidRPr="00436843">
        <w:rPr>
          <w:rFonts w:ascii="Arial" w:hAnsi="Arial" w:cs="Arial"/>
          <w:i/>
          <w:iCs/>
          <w:sz w:val="22"/>
        </w:rPr>
        <w:t>Principles of Biomedical Ethics</w:t>
      </w:r>
      <w:r w:rsidRPr="00436843">
        <w:rPr>
          <w:rFonts w:ascii="Arial" w:hAnsi="Arial" w:cs="Arial"/>
          <w:sz w:val="22"/>
        </w:rPr>
        <w:t xml:space="preserve">. 8th </w:t>
      </w:r>
      <w:proofErr w:type="spellStart"/>
      <w:r w:rsidRPr="00436843">
        <w:rPr>
          <w:rFonts w:ascii="Arial" w:hAnsi="Arial" w:cs="Arial"/>
          <w:sz w:val="22"/>
        </w:rPr>
        <w:t>edn</w:t>
      </w:r>
      <w:proofErr w:type="spellEnd"/>
      <w:r w:rsidRPr="00436843">
        <w:rPr>
          <w:rFonts w:ascii="Arial" w:hAnsi="Arial" w:cs="Arial"/>
          <w:sz w:val="22"/>
        </w:rPr>
        <w:t>. New York: Oxford University Press.</w:t>
      </w:r>
    </w:p>
    <w:p w14:paraId="49386DAF"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Care Act 2014. (2014) </w:t>
      </w:r>
      <w:r w:rsidRPr="00436843">
        <w:rPr>
          <w:rFonts w:ascii="Arial" w:hAnsi="Arial" w:cs="Arial"/>
          <w:i/>
          <w:iCs/>
          <w:sz w:val="22"/>
        </w:rPr>
        <w:t>Chapter 23</w:t>
      </w:r>
      <w:r w:rsidRPr="00436843">
        <w:rPr>
          <w:rFonts w:ascii="Arial" w:hAnsi="Arial" w:cs="Arial"/>
          <w:sz w:val="22"/>
        </w:rPr>
        <w:t xml:space="preserve">. London: The Stationery Office. Available at: </w:t>
      </w:r>
      <w:hyperlink r:id="rId10" w:tgtFrame="_new" w:history="1">
        <w:r w:rsidRPr="00436843">
          <w:rPr>
            <w:rStyle w:val="Hyperlink"/>
            <w:rFonts w:ascii="Arial" w:hAnsi="Arial" w:cs="Arial"/>
            <w:sz w:val="22"/>
          </w:rPr>
          <w:t>https://www.legislation.gov.uk/ukpga/2014/23</w:t>
        </w:r>
      </w:hyperlink>
      <w:r w:rsidRPr="00436843">
        <w:rPr>
          <w:rFonts w:ascii="Arial" w:hAnsi="Arial" w:cs="Arial"/>
          <w:sz w:val="22"/>
        </w:rPr>
        <w:t xml:space="preserve"> (Accessed: 27 July 2026).</w:t>
      </w:r>
    </w:p>
    <w:p w14:paraId="14D4BC87"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Department of Health and Social Care (2022) </w:t>
      </w:r>
      <w:r w:rsidRPr="00436843">
        <w:rPr>
          <w:rFonts w:ascii="Arial" w:hAnsi="Arial" w:cs="Arial"/>
          <w:i/>
          <w:iCs/>
          <w:sz w:val="22"/>
        </w:rPr>
        <w:t>Health and Care Act 2022</w:t>
      </w:r>
      <w:r w:rsidRPr="00436843">
        <w:rPr>
          <w:rFonts w:ascii="Arial" w:hAnsi="Arial" w:cs="Arial"/>
          <w:sz w:val="22"/>
        </w:rPr>
        <w:t xml:space="preserve">. London: The Stationery Office. Available at: </w:t>
      </w:r>
      <w:hyperlink r:id="rId11" w:tgtFrame="_new" w:history="1">
        <w:r w:rsidRPr="00436843">
          <w:rPr>
            <w:rStyle w:val="Hyperlink"/>
            <w:rFonts w:ascii="Arial" w:hAnsi="Arial" w:cs="Arial"/>
            <w:sz w:val="22"/>
          </w:rPr>
          <w:t>https://www.legislation.gov.uk/ukpga/2022/31</w:t>
        </w:r>
      </w:hyperlink>
      <w:r w:rsidRPr="00436843">
        <w:rPr>
          <w:rFonts w:ascii="Arial" w:hAnsi="Arial" w:cs="Arial"/>
          <w:sz w:val="22"/>
        </w:rPr>
        <w:t xml:space="preserve"> (Accessed: 27 July 2026).</w:t>
      </w:r>
    </w:p>
    <w:p w14:paraId="40513460"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Equality Act 2010. (2010) </w:t>
      </w:r>
      <w:r w:rsidRPr="00436843">
        <w:rPr>
          <w:rFonts w:ascii="Arial" w:hAnsi="Arial" w:cs="Arial"/>
          <w:i/>
          <w:iCs/>
          <w:sz w:val="22"/>
        </w:rPr>
        <w:t>Chapter 15</w:t>
      </w:r>
      <w:r w:rsidRPr="00436843">
        <w:rPr>
          <w:rFonts w:ascii="Arial" w:hAnsi="Arial" w:cs="Arial"/>
          <w:sz w:val="22"/>
        </w:rPr>
        <w:t xml:space="preserve">. London: The Stationery Office. Available at: </w:t>
      </w:r>
      <w:hyperlink r:id="rId12" w:tgtFrame="_new" w:history="1">
        <w:r w:rsidRPr="00436843">
          <w:rPr>
            <w:rStyle w:val="Hyperlink"/>
            <w:rFonts w:ascii="Arial" w:hAnsi="Arial" w:cs="Arial"/>
            <w:sz w:val="22"/>
          </w:rPr>
          <w:t>https://www.legislation.gov.uk/ukpga/2010/15</w:t>
        </w:r>
      </w:hyperlink>
      <w:r w:rsidRPr="00436843">
        <w:rPr>
          <w:rFonts w:ascii="Arial" w:hAnsi="Arial" w:cs="Arial"/>
          <w:sz w:val="22"/>
        </w:rPr>
        <w:t xml:space="preserve"> (Accessed: 27 July 2026).</w:t>
      </w:r>
    </w:p>
    <w:p w14:paraId="06531C99"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Gibbs, G. (1988) </w:t>
      </w:r>
      <w:r w:rsidRPr="00436843">
        <w:rPr>
          <w:rFonts w:ascii="Arial" w:hAnsi="Arial" w:cs="Arial"/>
          <w:i/>
          <w:iCs/>
          <w:sz w:val="22"/>
        </w:rPr>
        <w:t>Learning by Doing: A Guide to Teaching and Learning Methods</w:t>
      </w:r>
      <w:r w:rsidRPr="00436843">
        <w:rPr>
          <w:rFonts w:ascii="Arial" w:hAnsi="Arial" w:cs="Arial"/>
          <w:sz w:val="22"/>
        </w:rPr>
        <w:t>. Oxford: Oxford Polytechnic.</w:t>
      </w:r>
    </w:p>
    <w:p w14:paraId="3D7CC544"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Health Foundation (2016) </w:t>
      </w:r>
      <w:r w:rsidRPr="00436843">
        <w:rPr>
          <w:rFonts w:ascii="Arial" w:hAnsi="Arial" w:cs="Arial"/>
          <w:i/>
          <w:iCs/>
          <w:sz w:val="22"/>
        </w:rPr>
        <w:t>Person-centred care made simple</w:t>
      </w:r>
      <w:r w:rsidRPr="00436843">
        <w:rPr>
          <w:rFonts w:ascii="Arial" w:hAnsi="Arial" w:cs="Arial"/>
          <w:sz w:val="22"/>
        </w:rPr>
        <w:t>. London: The Health Foundation.</w:t>
      </w:r>
    </w:p>
    <w:p w14:paraId="76A89791"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Human Rights Act 1998. (1998) </w:t>
      </w:r>
      <w:r w:rsidRPr="00436843">
        <w:rPr>
          <w:rFonts w:ascii="Arial" w:hAnsi="Arial" w:cs="Arial"/>
          <w:i/>
          <w:iCs/>
          <w:sz w:val="22"/>
        </w:rPr>
        <w:t>Chapter 42</w:t>
      </w:r>
      <w:r w:rsidRPr="00436843">
        <w:rPr>
          <w:rFonts w:ascii="Arial" w:hAnsi="Arial" w:cs="Arial"/>
          <w:sz w:val="22"/>
        </w:rPr>
        <w:t xml:space="preserve">. London: The Stationery Office. Available at: </w:t>
      </w:r>
      <w:hyperlink r:id="rId13" w:tgtFrame="_new" w:history="1">
        <w:r w:rsidRPr="00436843">
          <w:rPr>
            <w:rStyle w:val="Hyperlink"/>
            <w:rFonts w:ascii="Arial" w:hAnsi="Arial" w:cs="Arial"/>
            <w:sz w:val="22"/>
          </w:rPr>
          <w:t>https://www.legislation.gov.uk/ukpga/1998/42</w:t>
        </w:r>
      </w:hyperlink>
      <w:r w:rsidRPr="00436843">
        <w:rPr>
          <w:rFonts w:ascii="Arial" w:hAnsi="Arial" w:cs="Arial"/>
          <w:sz w:val="22"/>
        </w:rPr>
        <w:t xml:space="preserve"> (Accessed: 27 July 2026).</w:t>
      </w:r>
    </w:p>
    <w:p w14:paraId="3CCB9C06" w14:textId="77777777" w:rsidR="00436843" w:rsidRPr="00436843" w:rsidRDefault="00436843" w:rsidP="00436843">
      <w:pPr>
        <w:spacing w:line="360" w:lineRule="auto"/>
        <w:rPr>
          <w:rFonts w:ascii="Arial" w:hAnsi="Arial" w:cs="Arial"/>
          <w:sz w:val="22"/>
        </w:rPr>
      </w:pPr>
      <w:proofErr w:type="spellStart"/>
      <w:r w:rsidRPr="00436843">
        <w:rPr>
          <w:rFonts w:ascii="Arial" w:hAnsi="Arial" w:cs="Arial"/>
          <w:sz w:val="22"/>
        </w:rPr>
        <w:t>Kitwood</w:t>
      </w:r>
      <w:proofErr w:type="spellEnd"/>
      <w:r w:rsidRPr="00436843">
        <w:rPr>
          <w:rFonts w:ascii="Arial" w:hAnsi="Arial" w:cs="Arial"/>
          <w:sz w:val="22"/>
        </w:rPr>
        <w:t xml:space="preserve">, T. (1997) </w:t>
      </w:r>
      <w:r w:rsidRPr="00436843">
        <w:rPr>
          <w:rFonts w:ascii="Arial" w:hAnsi="Arial" w:cs="Arial"/>
          <w:i/>
          <w:iCs/>
          <w:sz w:val="22"/>
        </w:rPr>
        <w:t>Dementia Reconsidered: The Person Comes First</w:t>
      </w:r>
      <w:r w:rsidRPr="00436843">
        <w:rPr>
          <w:rFonts w:ascii="Arial" w:hAnsi="Arial" w:cs="Arial"/>
          <w:sz w:val="22"/>
        </w:rPr>
        <w:t>. Buckingham: Open University Press.</w:t>
      </w:r>
    </w:p>
    <w:p w14:paraId="6A2D5FE1" w14:textId="77777777" w:rsidR="00436843" w:rsidRPr="00436843" w:rsidRDefault="00436843" w:rsidP="00436843">
      <w:pPr>
        <w:spacing w:line="360" w:lineRule="auto"/>
        <w:rPr>
          <w:rFonts w:ascii="Arial" w:hAnsi="Arial" w:cs="Arial"/>
          <w:sz w:val="22"/>
        </w:rPr>
      </w:pPr>
      <w:r w:rsidRPr="00436843">
        <w:rPr>
          <w:rFonts w:ascii="Arial" w:hAnsi="Arial" w:cs="Arial"/>
          <w:sz w:val="22"/>
        </w:rPr>
        <w:t xml:space="preserve">Maslow, A.H. (1943) 'A theory of human motivation', </w:t>
      </w:r>
      <w:r w:rsidRPr="00436843">
        <w:rPr>
          <w:rFonts w:ascii="Arial" w:hAnsi="Arial" w:cs="Arial"/>
          <w:i/>
          <w:iCs/>
          <w:sz w:val="22"/>
        </w:rPr>
        <w:t>Psychological Review</w:t>
      </w:r>
      <w:r w:rsidRPr="00436843">
        <w:rPr>
          <w:rFonts w:ascii="Arial" w:hAnsi="Arial" w:cs="Arial"/>
          <w:sz w:val="22"/>
        </w:rPr>
        <w:t>, 50(4), pp. 370–396.</w:t>
      </w:r>
    </w:p>
    <w:p w14:paraId="69C42270" w14:textId="29528A89" w:rsidR="00436843" w:rsidRPr="00436843" w:rsidRDefault="00436843" w:rsidP="00436843">
      <w:pPr>
        <w:spacing w:line="360" w:lineRule="auto"/>
        <w:rPr>
          <w:rFonts w:ascii="Arial" w:hAnsi="Arial" w:cs="Arial"/>
          <w:sz w:val="22"/>
        </w:rPr>
      </w:pPr>
      <w:r w:rsidRPr="00436843">
        <w:rPr>
          <w:rFonts w:ascii="Arial" w:hAnsi="Arial" w:cs="Arial"/>
          <w:sz w:val="22"/>
        </w:rPr>
        <w:t xml:space="preserve">Mental Capacity Act 2005. (2005) </w:t>
      </w:r>
      <w:r w:rsidRPr="00436843">
        <w:rPr>
          <w:rFonts w:ascii="Arial" w:hAnsi="Arial" w:cs="Arial"/>
          <w:i/>
          <w:iCs/>
          <w:sz w:val="22"/>
        </w:rPr>
        <w:t>Chapter 9</w:t>
      </w:r>
      <w:r w:rsidRPr="00436843">
        <w:rPr>
          <w:rFonts w:ascii="Arial" w:hAnsi="Arial" w:cs="Arial"/>
          <w:sz w:val="22"/>
        </w:rPr>
        <w:t xml:space="preserve">. London: The Stationery Office. Available at: </w:t>
      </w:r>
      <w:hyperlink r:id="rId14" w:tgtFrame="_new" w:history="1">
        <w:r w:rsidRPr="00436843">
          <w:rPr>
            <w:rStyle w:val="Hyperlink"/>
            <w:rFonts w:ascii="Arial" w:hAnsi="Arial" w:cs="Arial"/>
            <w:sz w:val="22"/>
          </w:rPr>
          <w:t>https://www.legislation.gov.uk/ukpga/2005/9</w:t>
        </w:r>
      </w:hyperlink>
      <w:r w:rsidRPr="00436843">
        <w:rPr>
          <w:rFonts w:ascii="Arial" w:hAnsi="Arial" w:cs="Arial"/>
          <w:sz w:val="22"/>
        </w:rPr>
        <w:t xml:space="preserve"> (Accessed: 25 July 2026).</w:t>
      </w:r>
    </w:p>
    <w:p w14:paraId="246A0B84" w14:textId="39004449" w:rsidR="00436843" w:rsidRPr="00436843" w:rsidRDefault="00436843" w:rsidP="00436843">
      <w:pPr>
        <w:spacing w:line="360" w:lineRule="auto"/>
        <w:rPr>
          <w:rFonts w:ascii="Arial" w:hAnsi="Arial" w:cs="Arial"/>
          <w:sz w:val="22"/>
        </w:rPr>
      </w:pPr>
      <w:r w:rsidRPr="00436843">
        <w:rPr>
          <w:rFonts w:ascii="Arial" w:hAnsi="Arial" w:cs="Arial"/>
          <w:sz w:val="22"/>
        </w:rPr>
        <w:t xml:space="preserve">National Institute for Health and Care Excellence (NICE) (2018) </w:t>
      </w:r>
      <w:r w:rsidRPr="00436843">
        <w:rPr>
          <w:rFonts w:ascii="Arial" w:hAnsi="Arial" w:cs="Arial"/>
          <w:i/>
          <w:iCs/>
          <w:sz w:val="22"/>
        </w:rPr>
        <w:t>Dementia: assessment, management and support for people living with dementia and their carers (NG97).</w:t>
      </w:r>
      <w:r w:rsidRPr="00436843">
        <w:rPr>
          <w:rFonts w:ascii="Arial" w:hAnsi="Arial" w:cs="Arial"/>
          <w:sz w:val="22"/>
        </w:rPr>
        <w:t xml:space="preserve"> London: NICE. Available at: </w:t>
      </w:r>
      <w:hyperlink r:id="rId15" w:tgtFrame="_new" w:history="1">
        <w:r w:rsidRPr="00436843">
          <w:rPr>
            <w:rStyle w:val="Hyperlink"/>
            <w:rFonts w:ascii="Arial" w:hAnsi="Arial" w:cs="Arial"/>
            <w:sz w:val="22"/>
          </w:rPr>
          <w:t>https://www.nice.org.uk/guidance/ng97</w:t>
        </w:r>
      </w:hyperlink>
      <w:r w:rsidRPr="00436843">
        <w:rPr>
          <w:rFonts w:ascii="Arial" w:hAnsi="Arial" w:cs="Arial"/>
          <w:sz w:val="22"/>
        </w:rPr>
        <w:t xml:space="preserve"> (Accessed: 25 July 2026).</w:t>
      </w:r>
    </w:p>
    <w:p w14:paraId="1E243764" w14:textId="77777777" w:rsidR="006D2F2D" w:rsidRPr="00436843" w:rsidRDefault="006D2F2D" w:rsidP="00436843">
      <w:pPr>
        <w:spacing w:line="360" w:lineRule="auto"/>
        <w:rPr>
          <w:rFonts w:ascii="Arial" w:hAnsi="Arial" w:cs="Arial"/>
          <w:sz w:val="22"/>
        </w:rPr>
      </w:pPr>
    </w:p>
    <w:sectPr w:rsidR="006D2F2D" w:rsidRPr="004368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F8631" w14:textId="77777777" w:rsidR="00815462" w:rsidRDefault="00815462" w:rsidP="00B21FE6">
      <w:pPr>
        <w:spacing w:after="0" w:line="240" w:lineRule="auto"/>
      </w:pPr>
      <w:r>
        <w:separator/>
      </w:r>
    </w:p>
  </w:endnote>
  <w:endnote w:type="continuationSeparator" w:id="0">
    <w:p w14:paraId="7E0B9A05" w14:textId="77777777" w:rsidR="00815462" w:rsidRDefault="00815462"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3E666" w14:textId="77777777" w:rsidR="00815462" w:rsidRDefault="00815462" w:rsidP="00B21FE6">
      <w:pPr>
        <w:spacing w:after="0" w:line="240" w:lineRule="auto"/>
      </w:pPr>
      <w:r>
        <w:separator/>
      </w:r>
    </w:p>
  </w:footnote>
  <w:footnote w:type="continuationSeparator" w:id="0">
    <w:p w14:paraId="58EDF2AD" w14:textId="77777777" w:rsidR="00815462" w:rsidRDefault="00815462"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11498D"/>
    <w:rsid w:val="001226B2"/>
    <w:rsid w:val="001333C2"/>
    <w:rsid w:val="001D345E"/>
    <w:rsid w:val="002071F0"/>
    <w:rsid w:val="00220640"/>
    <w:rsid w:val="00271E67"/>
    <w:rsid w:val="002D39BD"/>
    <w:rsid w:val="002D6A5F"/>
    <w:rsid w:val="002F34D0"/>
    <w:rsid w:val="003160A3"/>
    <w:rsid w:val="00317E3D"/>
    <w:rsid w:val="00350D4F"/>
    <w:rsid w:val="00353BB2"/>
    <w:rsid w:val="003A43C8"/>
    <w:rsid w:val="00436843"/>
    <w:rsid w:val="004F5B88"/>
    <w:rsid w:val="005011EB"/>
    <w:rsid w:val="0058218C"/>
    <w:rsid w:val="00594FAC"/>
    <w:rsid w:val="00610A5B"/>
    <w:rsid w:val="006524ED"/>
    <w:rsid w:val="006D1E4F"/>
    <w:rsid w:val="006D2F2D"/>
    <w:rsid w:val="006E1FF9"/>
    <w:rsid w:val="006E38AB"/>
    <w:rsid w:val="00785886"/>
    <w:rsid w:val="007B174E"/>
    <w:rsid w:val="007F3A6A"/>
    <w:rsid w:val="00815462"/>
    <w:rsid w:val="00887FBB"/>
    <w:rsid w:val="008F6D4B"/>
    <w:rsid w:val="009E5C5F"/>
    <w:rsid w:val="00A11336"/>
    <w:rsid w:val="00A82A6C"/>
    <w:rsid w:val="00AE7DDA"/>
    <w:rsid w:val="00B21FE6"/>
    <w:rsid w:val="00BC79FE"/>
    <w:rsid w:val="00BD10CC"/>
    <w:rsid w:val="00C558B0"/>
    <w:rsid w:val="00CB559C"/>
    <w:rsid w:val="00D00A38"/>
    <w:rsid w:val="00D05676"/>
    <w:rsid w:val="00D23AF1"/>
    <w:rsid w:val="00D43B8F"/>
    <w:rsid w:val="00D545BA"/>
    <w:rsid w:val="00D66C96"/>
    <w:rsid w:val="00E81204"/>
    <w:rsid w:val="00F81230"/>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2071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E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226B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436843"/>
    <w:rPr>
      <w:color w:val="0563C1" w:themeColor="hyperlink"/>
      <w:u w:val="single"/>
    </w:rPr>
  </w:style>
  <w:style w:type="character" w:styleId="UnresolvedMention">
    <w:name w:val="Unresolved Mention"/>
    <w:basedOn w:val="DefaultParagraphFont"/>
    <w:uiPriority w:val="99"/>
    <w:semiHidden/>
    <w:unhideWhenUsed/>
    <w:rsid w:val="00436843"/>
    <w:rPr>
      <w:color w:val="605E5C"/>
      <w:shd w:val="clear" w:color="auto" w:fill="E1DFDD"/>
    </w:rPr>
  </w:style>
  <w:style w:type="character" w:customStyle="1" w:styleId="Heading1Char">
    <w:name w:val="Heading 1 Char"/>
    <w:basedOn w:val="DefaultParagraphFont"/>
    <w:link w:val="Heading1"/>
    <w:uiPriority w:val="9"/>
    <w:rsid w:val="002071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71F0"/>
    <w:pPr>
      <w:spacing w:line="259" w:lineRule="auto"/>
      <w:outlineLvl w:val="9"/>
    </w:pPr>
    <w:rPr>
      <w:lang w:val="en-US"/>
    </w:rPr>
  </w:style>
  <w:style w:type="paragraph" w:styleId="NoSpacing">
    <w:name w:val="No Spacing"/>
    <w:uiPriority w:val="1"/>
    <w:qFormat/>
    <w:rsid w:val="002071F0"/>
    <w:pPr>
      <w:spacing w:after="0" w:line="240" w:lineRule="auto"/>
    </w:pPr>
    <w:rPr>
      <w:rFonts w:ascii="Times New Roman" w:hAnsi="Times New Roman"/>
      <w:sz w:val="24"/>
    </w:rPr>
  </w:style>
  <w:style w:type="paragraph" w:styleId="TOC1">
    <w:name w:val="toc 1"/>
    <w:basedOn w:val="Normal"/>
    <w:next w:val="Normal"/>
    <w:autoRedefine/>
    <w:uiPriority w:val="39"/>
    <w:unhideWhenUsed/>
    <w:rsid w:val="00271E67"/>
    <w:pPr>
      <w:spacing w:after="100"/>
    </w:pPr>
  </w:style>
  <w:style w:type="character" w:customStyle="1" w:styleId="Heading2Char">
    <w:name w:val="Heading 2 Char"/>
    <w:basedOn w:val="DefaultParagraphFont"/>
    <w:link w:val="Heading2"/>
    <w:uiPriority w:val="9"/>
    <w:rsid w:val="00271E6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71E67"/>
    <w:pPr>
      <w:spacing w:after="100"/>
      <w:ind w:left="240"/>
    </w:pPr>
  </w:style>
  <w:style w:type="character" w:customStyle="1" w:styleId="Heading3Char">
    <w:name w:val="Heading 3 Char"/>
    <w:basedOn w:val="DefaultParagraphFont"/>
    <w:link w:val="Heading3"/>
    <w:uiPriority w:val="9"/>
    <w:semiHidden/>
    <w:rsid w:val="001226B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1998/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0/1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2/31" TargetMode="External"/><Relationship Id="rId5" Type="http://schemas.openxmlformats.org/officeDocument/2006/relationships/webSettings" Target="webSettings.xml"/><Relationship Id="rId15" Type="http://schemas.openxmlformats.org/officeDocument/2006/relationships/hyperlink" Target="https://www.nice.org.uk/guidance/ng97" TargetMode="External"/><Relationship Id="rId10" Type="http://schemas.openxmlformats.org/officeDocument/2006/relationships/hyperlink" Target="https://www.legislation.gov.uk/ukpga/2014/2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legislation.gov.uk/ukpga/20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ABFB26-DDA3-4161-B601-DAE734539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3241</Words>
  <Characters>18478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Hazel Ignacia Rodriguez Torres (2430331)</cp:lastModifiedBy>
  <cp:revision>3</cp:revision>
  <dcterms:created xsi:type="dcterms:W3CDTF">2026-07-27T12:26:00Z</dcterms:created>
  <dcterms:modified xsi:type="dcterms:W3CDTF">2026-07-27T12:31:00Z</dcterms:modified>
</cp:coreProperties>
</file>