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95AEB" w14:textId="77777777" w:rsidR="00CF3AD1" w:rsidRPr="00CF3AD1" w:rsidRDefault="00CF3AD1" w:rsidP="00CF3AD1">
      <w:pPr>
        <w:rPr>
          <w:rFonts w:cs="Arial"/>
          <w:szCs w:val="22"/>
        </w:rPr>
      </w:pPr>
      <w:r w:rsidRPr="00CF3AD1">
        <w:rPr>
          <w:rFonts w:cs="Arial"/>
          <w:szCs w:val="22"/>
        </w:rPr>
        <w:t>Name: Natalja Golub</w:t>
      </w:r>
    </w:p>
    <w:p w14:paraId="5F91C24F" w14:textId="77777777" w:rsidR="00CF3AD1" w:rsidRPr="00CF3AD1" w:rsidRDefault="00CF3AD1" w:rsidP="00CF3AD1">
      <w:pPr>
        <w:rPr>
          <w:rFonts w:cs="Arial"/>
          <w:szCs w:val="22"/>
        </w:rPr>
      </w:pPr>
      <w:r w:rsidRPr="00CF3AD1">
        <w:rPr>
          <w:rFonts w:cs="Arial"/>
          <w:szCs w:val="22"/>
        </w:rPr>
        <w:t>Student ID: 2440433</w:t>
      </w:r>
    </w:p>
    <w:p w14:paraId="75D841D7" w14:textId="429F6DC5" w:rsidR="00CF3AD1" w:rsidRPr="00CF3AD1" w:rsidRDefault="00CF3AD1" w:rsidP="00CF3AD1">
      <w:pPr>
        <w:rPr>
          <w:rFonts w:cs="Arial"/>
          <w:szCs w:val="22"/>
        </w:rPr>
      </w:pPr>
      <w:r w:rsidRPr="00CF3AD1">
        <w:rPr>
          <w:rFonts w:cs="Arial"/>
          <w:szCs w:val="22"/>
        </w:rPr>
        <w:t>Module Code: LCHS4003_LON</w:t>
      </w:r>
    </w:p>
    <w:p w14:paraId="0462B997" w14:textId="64E19EA8" w:rsidR="00CF3AD1" w:rsidRPr="00CF3AD1" w:rsidRDefault="00CF3AD1" w:rsidP="00CF3AD1">
      <w:pPr>
        <w:rPr>
          <w:rFonts w:cs="Arial"/>
          <w:szCs w:val="22"/>
        </w:rPr>
      </w:pPr>
      <w:r w:rsidRPr="00CF3AD1">
        <w:rPr>
          <w:rFonts w:cs="Arial"/>
          <w:szCs w:val="22"/>
        </w:rPr>
        <w:t>Module: Introduction to Health and Social Care</w:t>
      </w:r>
    </w:p>
    <w:p w14:paraId="1D191D81" w14:textId="32BF6355" w:rsidR="00CF3AD1" w:rsidRDefault="00CF3AD1" w:rsidP="00CF3AD1">
      <w:pPr>
        <w:rPr>
          <w:rFonts w:cs="Arial"/>
          <w:szCs w:val="22"/>
        </w:rPr>
      </w:pPr>
    </w:p>
    <w:p w14:paraId="50D89D02" w14:textId="77777777" w:rsidR="00CF3AD1" w:rsidRDefault="00CF3AD1" w:rsidP="00CF3AD1">
      <w:pPr>
        <w:rPr>
          <w:rFonts w:cs="Arial"/>
          <w:szCs w:val="22"/>
        </w:rPr>
      </w:pPr>
    </w:p>
    <w:p w14:paraId="0BF4E219" w14:textId="6D3B758A" w:rsidR="007B7D52" w:rsidRDefault="007B7D52" w:rsidP="007B7D52">
      <w:pPr>
        <w:rPr>
          <w:rFonts w:cs="Arial"/>
          <w:b/>
          <w:bCs/>
          <w:szCs w:val="22"/>
        </w:rPr>
      </w:pPr>
      <w:r w:rsidRPr="000E22CC">
        <w:rPr>
          <w:rFonts w:cs="Arial"/>
          <w:b/>
          <w:bCs/>
          <w:szCs w:val="22"/>
        </w:rPr>
        <w:t>Case Study: Mrs Mann</w:t>
      </w:r>
    </w:p>
    <w:p w14:paraId="54FFE75F" w14:textId="77777777" w:rsidR="000E22CC" w:rsidRPr="000E22CC" w:rsidRDefault="000E22CC" w:rsidP="007B7D52">
      <w:pPr>
        <w:rPr>
          <w:rFonts w:cs="Arial"/>
          <w:b/>
          <w:bCs/>
          <w:szCs w:val="22"/>
        </w:rPr>
      </w:pPr>
    </w:p>
    <w:p w14:paraId="4C929699" w14:textId="6FCEB3C6" w:rsidR="007B7D52" w:rsidRPr="000E22CC" w:rsidRDefault="007B7D52" w:rsidP="007B7D52">
      <w:pPr>
        <w:rPr>
          <w:rFonts w:cs="Arial"/>
          <w:b/>
          <w:bCs/>
          <w:szCs w:val="22"/>
        </w:rPr>
      </w:pPr>
      <w:r w:rsidRPr="000E22CC">
        <w:rPr>
          <w:rFonts w:cs="Arial"/>
          <w:b/>
          <w:bCs/>
          <w:szCs w:val="22"/>
        </w:rPr>
        <w:t>I</w:t>
      </w:r>
      <w:r w:rsidR="000E22CC">
        <w:rPr>
          <w:rFonts w:cs="Arial"/>
          <w:b/>
          <w:bCs/>
          <w:szCs w:val="22"/>
        </w:rPr>
        <w:t>ntoduction</w:t>
      </w:r>
    </w:p>
    <w:p w14:paraId="2EA84A4B" w14:textId="77777777" w:rsidR="007B7D52" w:rsidRPr="007B7D52" w:rsidRDefault="007B7D52" w:rsidP="007B7D52">
      <w:pPr>
        <w:rPr>
          <w:rFonts w:cs="Arial"/>
          <w:szCs w:val="22"/>
        </w:rPr>
      </w:pPr>
    </w:p>
    <w:p w14:paraId="0936E981" w14:textId="77777777" w:rsidR="007B7D52" w:rsidRPr="007B7D52" w:rsidRDefault="007B7D52" w:rsidP="007B7D52">
      <w:pPr>
        <w:rPr>
          <w:rFonts w:cs="Arial"/>
          <w:szCs w:val="22"/>
        </w:rPr>
      </w:pPr>
      <w:r w:rsidRPr="007B7D52">
        <w:rPr>
          <w:rFonts w:cs="Arial"/>
          <w:szCs w:val="22"/>
        </w:rPr>
        <w:t>Health and social care provision in the United Kingdom is based on an integrated medical and social approach that aims not only to treat illness, but also to promote wellbeing, independence and quality of life. Professional practice within health and social care is firmly underpinned by legislation and guided by key values such as equality, respect for dignity, person-centred care and the protection of service users’ rights (Glasby, 2017). These principles shape everyday practice when supporting individuals who require coordinated and ongoing care.</w:t>
      </w:r>
    </w:p>
    <w:p w14:paraId="1AA8AD91" w14:textId="77777777" w:rsidR="007B7D52" w:rsidRPr="007B7D52" w:rsidRDefault="007B7D52" w:rsidP="007B7D52">
      <w:pPr>
        <w:rPr>
          <w:rFonts w:cs="Arial"/>
          <w:szCs w:val="22"/>
        </w:rPr>
      </w:pPr>
    </w:p>
    <w:p w14:paraId="541753E3" w14:textId="77777777" w:rsidR="007B7D52" w:rsidRPr="007B7D52" w:rsidRDefault="007B7D52" w:rsidP="007B7D52">
      <w:pPr>
        <w:rPr>
          <w:rFonts w:cs="Arial"/>
          <w:szCs w:val="22"/>
        </w:rPr>
      </w:pPr>
      <w:r w:rsidRPr="007B7D52">
        <w:rPr>
          <w:rFonts w:cs="Arial"/>
          <w:szCs w:val="22"/>
        </w:rPr>
        <w:t>Particular importance within this assignment is placed on the role of legislation as the foundation of professional practice in health and social care. Legal frameworks not only establish standards of safety and quality, but also protect vulnerable service users from discrimination, unsafe practice and loss of autonomy. In this sense, care can be understood not merely as a set of services, but as a structured system designed to safeguard wellbeing and human dignity.</w:t>
      </w:r>
    </w:p>
    <w:p w14:paraId="1DFA1EDB" w14:textId="77777777" w:rsidR="007B7D52" w:rsidRPr="007B7D52" w:rsidRDefault="007B7D52" w:rsidP="007B7D52">
      <w:pPr>
        <w:rPr>
          <w:rFonts w:cs="Arial"/>
          <w:szCs w:val="22"/>
        </w:rPr>
      </w:pPr>
    </w:p>
    <w:p w14:paraId="1F7E86E9" w14:textId="77777777" w:rsidR="007B7D52" w:rsidRPr="007B7D52" w:rsidRDefault="007B7D52" w:rsidP="007B7D52">
      <w:pPr>
        <w:rPr>
          <w:rFonts w:cs="Arial"/>
          <w:szCs w:val="22"/>
        </w:rPr>
      </w:pPr>
      <w:r w:rsidRPr="007B7D52">
        <w:rPr>
          <w:rFonts w:cs="Arial"/>
          <w:szCs w:val="22"/>
        </w:rPr>
        <w:t>It is also important to recognise that contemporary health and social care increasingly emphasises community-based and domiciliary support rather than institutional care. This shift places greater responsibility on professionals to work collaboratively, respond sensitively to individual circumstances and ensure that care delivered in the home environment is safe, lawful and responsive to personal needs. In domiciliary settings, professional decisions have a direct impact on daily life, making ethical, legal and social considerations particularly significant.</w:t>
      </w:r>
    </w:p>
    <w:p w14:paraId="540A59D5" w14:textId="77777777" w:rsidR="007B7D52" w:rsidRPr="007B7D52" w:rsidRDefault="007B7D52" w:rsidP="007B7D52">
      <w:pPr>
        <w:rPr>
          <w:rFonts w:cs="Arial"/>
          <w:szCs w:val="22"/>
        </w:rPr>
      </w:pPr>
    </w:p>
    <w:p w14:paraId="2C251B45" w14:textId="77777777" w:rsidR="007B7D52" w:rsidRPr="007B7D52" w:rsidRDefault="007B7D52" w:rsidP="007B7D52">
      <w:pPr>
        <w:rPr>
          <w:rFonts w:cs="Arial"/>
          <w:szCs w:val="22"/>
        </w:rPr>
      </w:pPr>
      <w:r w:rsidRPr="007B7D52">
        <w:rPr>
          <w:rFonts w:cs="Arial"/>
          <w:szCs w:val="22"/>
        </w:rPr>
        <w:t xml:space="preserve">This report is based on the case study of Mrs Mann, a 72-year-old woman receiving home-based care following hip replacement surgery. Her situation highlights common challenges in health and social care practice, including communication barriers, the need for accurate record-keeping and effective partnership working. The report examines these issues through </w:t>
      </w:r>
      <w:r w:rsidRPr="007B7D52">
        <w:rPr>
          <w:rFonts w:cs="Arial"/>
          <w:szCs w:val="22"/>
        </w:rPr>
        <w:lastRenderedPageBreak/>
        <w:t>the lens of medical and social models of care, alongside key UK legislation such as the Equality Act 2010, the Care Act 2014 and the Data Protection Act 2018.</w:t>
      </w:r>
    </w:p>
    <w:p w14:paraId="2693E635" w14:textId="77777777" w:rsidR="007B7D52" w:rsidRPr="007B7D52" w:rsidRDefault="007B7D52" w:rsidP="007B7D52">
      <w:pPr>
        <w:rPr>
          <w:rFonts w:cs="Arial"/>
          <w:szCs w:val="22"/>
        </w:rPr>
      </w:pPr>
    </w:p>
    <w:p w14:paraId="12F34551" w14:textId="33833E76" w:rsidR="007B7D52" w:rsidRPr="000E22CC" w:rsidRDefault="000E22CC" w:rsidP="007B7D52">
      <w:pPr>
        <w:rPr>
          <w:rFonts w:cs="Arial"/>
          <w:b/>
          <w:bCs/>
          <w:szCs w:val="22"/>
        </w:rPr>
      </w:pPr>
      <w:r w:rsidRPr="000E22CC">
        <w:rPr>
          <w:rFonts w:cs="Arial"/>
          <w:b/>
          <w:bCs/>
          <w:szCs w:val="22"/>
        </w:rPr>
        <w:t>Plan of the assignment</w:t>
      </w:r>
    </w:p>
    <w:p w14:paraId="19B6E189" w14:textId="77777777" w:rsidR="007B7D52" w:rsidRPr="007B7D52" w:rsidRDefault="007B7D52" w:rsidP="007B7D52">
      <w:pPr>
        <w:rPr>
          <w:rFonts w:cs="Arial"/>
          <w:szCs w:val="22"/>
        </w:rPr>
      </w:pPr>
    </w:p>
    <w:p w14:paraId="17F70596" w14:textId="77777777" w:rsidR="007B7D52" w:rsidRPr="007B7D52" w:rsidRDefault="007B7D52" w:rsidP="007B7D52">
      <w:pPr>
        <w:rPr>
          <w:rFonts w:cs="Arial"/>
          <w:szCs w:val="22"/>
        </w:rPr>
      </w:pPr>
      <w:r w:rsidRPr="007B7D52">
        <w:rPr>
          <w:rFonts w:cs="Arial"/>
          <w:szCs w:val="22"/>
        </w:rPr>
        <w:t>This assignment explores key aspects of professional practice in health and social care using the case study of Mrs Mann. It focuses on the importance of effective communication, administrative responsibilities and partnership working within a legal and ethical framework. The discussion is informed by medical and social models of care, as well as principles of person-centred practice and empowerment. Overall, the assignment demonstrates how legislation and socially responsive practice contribute to safe, equitable and high-quality care.</w:t>
      </w:r>
    </w:p>
    <w:p w14:paraId="7A9E0389" w14:textId="77777777" w:rsidR="007B7D52" w:rsidRPr="007B7D52" w:rsidRDefault="007B7D52" w:rsidP="007B7D52">
      <w:pPr>
        <w:rPr>
          <w:rFonts w:cs="Arial"/>
          <w:szCs w:val="22"/>
        </w:rPr>
      </w:pPr>
    </w:p>
    <w:p w14:paraId="1AFA99E1" w14:textId="22E7730F" w:rsidR="007B7D52" w:rsidRPr="000E22CC" w:rsidRDefault="007B7D52" w:rsidP="007B7D52">
      <w:pPr>
        <w:rPr>
          <w:rFonts w:cs="Arial"/>
          <w:b/>
          <w:bCs/>
          <w:szCs w:val="22"/>
        </w:rPr>
      </w:pPr>
      <w:r w:rsidRPr="000E22CC">
        <w:rPr>
          <w:rFonts w:cs="Arial"/>
          <w:b/>
          <w:bCs/>
          <w:szCs w:val="22"/>
        </w:rPr>
        <w:t>S</w:t>
      </w:r>
      <w:r w:rsidR="000E22CC">
        <w:rPr>
          <w:rFonts w:cs="Arial"/>
          <w:b/>
          <w:bCs/>
          <w:szCs w:val="22"/>
        </w:rPr>
        <w:t>ection 1:</w:t>
      </w:r>
      <w:r w:rsidRPr="000E22CC">
        <w:rPr>
          <w:rFonts w:cs="Arial"/>
          <w:b/>
          <w:bCs/>
          <w:szCs w:val="22"/>
        </w:rPr>
        <w:t xml:space="preserve"> Effective Communication, Person-Centred Approach, Empowerment and Discrimination</w:t>
      </w:r>
    </w:p>
    <w:p w14:paraId="1AEE1100" w14:textId="77777777" w:rsidR="007B7D52" w:rsidRPr="007B7D52" w:rsidRDefault="007B7D52" w:rsidP="007B7D52">
      <w:pPr>
        <w:rPr>
          <w:rFonts w:cs="Arial"/>
          <w:szCs w:val="22"/>
        </w:rPr>
      </w:pPr>
    </w:p>
    <w:p w14:paraId="3A0EF2AF" w14:textId="77777777" w:rsidR="007B7D52" w:rsidRPr="007B7D52" w:rsidRDefault="007B7D52" w:rsidP="007B7D52">
      <w:pPr>
        <w:rPr>
          <w:rFonts w:cs="Arial"/>
          <w:szCs w:val="22"/>
        </w:rPr>
      </w:pPr>
      <w:r w:rsidRPr="007B7D52">
        <w:rPr>
          <w:rFonts w:cs="Arial"/>
          <w:szCs w:val="22"/>
        </w:rPr>
        <w:t>Effective communication is a fundamental element of high-quality health and social care practice and plays a crucial role in promoting safety, equality and positive outcomes for service users (Lee, 2021). For individuals recovering from surgery, communication supports understanding of care processes and helps maintain a sense of control. In Mrs Mann’s case, communication is particularly significant because her first language is Urdu and her ability to communicate in English is limited.</w:t>
      </w:r>
    </w:p>
    <w:p w14:paraId="6A80FA90" w14:textId="77777777" w:rsidR="007B7D52" w:rsidRPr="007B7D52" w:rsidRDefault="007B7D52" w:rsidP="007B7D52">
      <w:pPr>
        <w:rPr>
          <w:rFonts w:cs="Arial"/>
          <w:szCs w:val="22"/>
        </w:rPr>
      </w:pPr>
    </w:p>
    <w:p w14:paraId="71196217" w14:textId="77777777" w:rsidR="007B7D52" w:rsidRPr="007B7D52" w:rsidRDefault="007B7D52" w:rsidP="007B7D52">
      <w:pPr>
        <w:rPr>
          <w:rFonts w:cs="Arial"/>
          <w:szCs w:val="22"/>
        </w:rPr>
      </w:pPr>
      <w:r w:rsidRPr="007B7D52">
        <w:rPr>
          <w:rFonts w:cs="Arial"/>
          <w:szCs w:val="22"/>
        </w:rPr>
        <w:t>Berlo’s (1960) SMCR model of communication presents communication as a process involving a sender, message, channel and receiver. Applying this model to Mrs Mann’s situation highlights the need to adapt messages to her linguistic and cultural context, select appropriate communication channels and confirm understanding through feedback (Berlo, 1960; Lee, 2021). Where communication is not adapted appropriately, there is a risk of misunderstanding, increased anxiety and errors in care delivery.</w:t>
      </w:r>
    </w:p>
    <w:p w14:paraId="75D50F41" w14:textId="77777777" w:rsidR="007B7D52" w:rsidRPr="007B7D52" w:rsidRDefault="007B7D52" w:rsidP="007B7D52">
      <w:pPr>
        <w:rPr>
          <w:rFonts w:cs="Arial"/>
          <w:szCs w:val="22"/>
        </w:rPr>
      </w:pPr>
    </w:p>
    <w:p w14:paraId="09B7170B" w14:textId="77777777" w:rsidR="007B7D52" w:rsidRPr="007B7D52" w:rsidRDefault="007B7D52" w:rsidP="007B7D52">
      <w:pPr>
        <w:rPr>
          <w:rFonts w:cs="Arial"/>
          <w:szCs w:val="22"/>
        </w:rPr>
      </w:pPr>
      <w:r w:rsidRPr="007B7D52">
        <w:rPr>
          <w:rFonts w:cs="Arial"/>
          <w:szCs w:val="22"/>
        </w:rPr>
        <w:t>The Equality Act 2010 places a legal duty on health and social care organisations to make reasonable adjustments to remove barriers linked to protected characteristics, including language and cultural background (Equality Act, 2010). Applying uniform communication practices without adjustment may place Mrs Mann at a disadvantage compared to English-speaking service users, resulting in indirect discrimination and incomplete or inaccurate understanding of information relating to her condition, treatment and care needs (Huziej, 2023). Direct discrimination would occur if services were denied or care quality reduced on this basis.</w:t>
      </w:r>
    </w:p>
    <w:p w14:paraId="4FFBC029" w14:textId="77777777" w:rsidR="007B7D52" w:rsidRPr="007B7D52" w:rsidRDefault="007B7D52" w:rsidP="007B7D52">
      <w:pPr>
        <w:rPr>
          <w:rFonts w:cs="Arial"/>
          <w:szCs w:val="22"/>
        </w:rPr>
      </w:pPr>
    </w:p>
    <w:p w14:paraId="0807C375" w14:textId="77777777" w:rsidR="007B7D52" w:rsidRPr="007B7D52" w:rsidRDefault="007B7D52" w:rsidP="007B7D52">
      <w:pPr>
        <w:rPr>
          <w:rFonts w:cs="Arial"/>
          <w:szCs w:val="22"/>
        </w:rPr>
      </w:pPr>
      <w:r w:rsidRPr="007B7D52">
        <w:rPr>
          <w:rFonts w:cs="Arial"/>
          <w:szCs w:val="22"/>
        </w:rPr>
        <w:t>Communication delivered within a person-centred approach focuses on understanding what matters most to the service user, including personal values, cultural preferences and individual priorities, while ensuring information is accurate, clear and accessible (Glasby, 2017). For Mrs Mann, effective communication supports trust and engagement with professionals, particularly in the context of language barriers. In this case, communication difficulties contributed to delays in medication adjustments, illustrating the practical consequences of ineffective information exchange.</w:t>
      </w:r>
    </w:p>
    <w:p w14:paraId="2CE21BD3" w14:textId="77777777" w:rsidR="007B7D52" w:rsidRPr="007B7D52" w:rsidRDefault="007B7D52" w:rsidP="007B7D52">
      <w:pPr>
        <w:rPr>
          <w:rFonts w:cs="Arial"/>
          <w:szCs w:val="22"/>
        </w:rPr>
      </w:pPr>
    </w:p>
    <w:p w14:paraId="79522998" w14:textId="77777777" w:rsidR="007B7D52" w:rsidRPr="007B7D52" w:rsidRDefault="007B7D52" w:rsidP="007B7D52">
      <w:pPr>
        <w:rPr>
          <w:rFonts w:cs="Arial"/>
          <w:szCs w:val="22"/>
        </w:rPr>
      </w:pPr>
      <w:r w:rsidRPr="007B7D52">
        <w:rPr>
          <w:rFonts w:cs="Arial"/>
          <w:szCs w:val="22"/>
        </w:rPr>
        <w:t>Overall, communication grounded in legislation and professional values supports equality and autonomy while also reducing the risk of errors by ensuring accurate understanding of Mrs Mann’s health status, care needs and treatment plan (Berlo, 1960; Lee, 2021).</w:t>
      </w:r>
    </w:p>
    <w:p w14:paraId="6012920B" w14:textId="77777777" w:rsidR="007B7D52" w:rsidRPr="007B7D52" w:rsidRDefault="007B7D52" w:rsidP="007B7D52">
      <w:pPr>
        <w:rPr>
          <w:rFonts w:cs="Arial"/>
          <w:szCs w:val="22"/>
        </w:rPr>
      </w:pPr>
    </w:p>
    <w:p w14:paraId="4379AA81" w14:textId="47193BBE" w:rsidR="007B7D52" w:rsidRPr="000E22CC" w:rsidRDefault="007B7D52" w:rsidP="007B7D52">
      <w:pPr>
        <w:rPr>
          <w:rFonts w:cs="Arial"/>
          <w:b/>
          <w:bCs/>
          <w:szCs w:val="22"/>
        </w:rPr>
      </w:pPr>
      <w:r w:rsidRPr="000E22CC">
        <w:rPr>
          <w:rFonts w:cs="Arial"/>
          <w:b/>
          <w:bCs/>
          <w:szCs w:val="22"/>
        </w:rPr>
        <w:t>S</w:t>
      </w:r>
      <w:r w:rsidR="000E22CC" w:rsidRPr="000E22CC">
        <w:rPr>
          <w:rFonts w:cs="Arial"/>
          <w:b/>
          <w:bCs/>
          <w:szCs w:val="22"/>
        </w:rPr>
        <w:t>ection 2</w:t>
      </w:r>
      <w:r w:rsidR="000E22CC">
        <w:rPr>
          <w:rFonts w:cs="Arial"/>
          <w:b/>
          <w:bCs/>
          <w:szCs w:val="22"/>
        </w:rPr>
        <w:t>:</w:t>
      </w:r>
      <w:r w:rsidRPr="000E22CC">
        <w:rPr>
          <w:rFonts w:cs="Arial"/>
          <w:b/>
          <w:bCs/>
          <w:szCs w:val="22"/>
        </w:rPr>
        <w:t xml:space="preserve"> Record-Keeping, Confidentiality, Regulation and Health and Social Care Models</w:t>
      </w:r>
    </w:p>
    <w:p w14:paraId="2D8EF008" w14:textId="77777777" w:rsidR="007B7D52" w:rsidRPr="007B7D52" w:rsidRDefault="007B7D52" w:rsidP="007B7D52">
      <w:pPr>
        <w:rPr>
          <w:rFonts w:cs="Arial"/>
          <w:szCs w:val="22"/>
        </w:rPr>
      </w:pPr>
    </w:p>
    <w:p w14:paraId="5F9B1C3A" w14:textId="77777777" w:rsidR="007B7D52" w:rsidRPr="007B7D52" w:rsidRDefault="007B7D52" w:rsidP="007B7D52">
      <w:pPr>
        <w:rPr>
          <w:rFonts w:cs="Arial"/>
          <w:szCs w:val="22"/>
        </w:rPr>
      </w:pPr>
      <w:r w:rsidRPr="007B7D52">
        <w:rPr>
          <w:rFonts w:cs="Arial"/>
          <w:szCs w:val="22"/>
        </w:rPr>
        <w:t>Administrative competence, particularly in relation to record-keeping and confidentiality, is a core responsibility within health and social care practice. Accurate and consistent documentation supports continuity of care and enables professionals to make informed decisions based on reliable information. In Mrs Mann’s case, inconsistent records resulted in delays to medication changes, highlighting potential risks to service user safety (NHS, 2021).</w:t>
      </w:r>
    </w:p>
    <w:p w14:paraId="5C96B52F" w14:textId="77777777" w:rsidR="007B7D52" w:rsidRPr="007B7D52" w:rsidRDefault="007B7D52" w:rsidP="007B7D52">
      <w:pPr>
        <w:rPr>
          <w:rFonts w:cs="Arial"/>
          <w:szCs w:val="22"/>
        </w:rPr>
      </w:pPr>
    </w:p>
    <w:p w14:paraId="1CB1BD4B" w14:textId="77777777" w:rsidR="007B7D52" w:rsidRPr="007B7D52" w:rsidRDefault="007B7D52" w:rsidP="007B7D52">
      <w:pPr>
        <w:rPr>
          <w:rFonts w:cs="Arial"/>
          <w:szCs w:val="22"/>
        </w:rPr>
      </w:pPr>
      <w:r w:rsidRPr="007B7D52">
        <w:rPr>
          <w:rFonts w:cs="Arial"/>
          <w:szCs w:val="22"/>
        </w:rPr>
        <w:t>The Data Protection Act 2018 and UK GDPR set out clear requirements for the lawful, accurate and secure handling of personal data. Records must be clear, up to date and accessible only to those professionals who require the information to fulfil their role (Department of Health and Social Care, 2018). Maintaining confidentiality is both a legal obligation and a key factor in building trust between service users and care providers, particularly for individuals receiving long-term support.</w:t>
      </w:r>
    </w:p>
    <w:p w14:paraId="69B7AB54" w14:textId="77777777" w:rsidR="007B7D52" w:rsidRPr="007B7D52" w:rsidRDefault="007B7D52" w:rsidP="007B7D52">
      <w:pPr>
        <w:rPr>
          <w:rFonts w:cs="Arial"/>
          <w:szCs w:val="22"/>
        </w:rPr>
      </w:pPr>
    </w:p>
    <w:p w14:paraId="4634A17D" w14:textId="77777777" w:rsidR="007B7D52" w:rsidRPr="007B7D52" w:rsidRDefault="007B7D52" w:rsidP="007B7D52">
      <w:pPr>
        <w:rPr>
          <w:rFonts w:cs="Arial"/>
          <w:szCs w:val="22"/>
        </w:rPr>
      </w:pPr>
      <w:r w:rsidRPr="007B7D52">
        <w:rPr>
          <w:rFonts w:cs="Arial"/>
          <w:szCs w:val="22"/>
        </w:rPr>
        <w:t>Within the context of health and social care models, Mrs Mann’s care can be examined through both medical and social models. The medical model prioritises diagnosis, treatment and physical recovery following surgery, while the social model highlights the influence of social, linguistic and organisational factors on an individual’s ability to live independently and access services equitably (Maclean, 2015; Glasby, 2017).</w:t>
      </w:r>
    </w:p>
    <w:p w14:paraId="6C24086E" w14:textId="77777777" w:rsidR="007B7D52" w:rsidRPr="007B7D52" w:rsidRDefault="007B7D52" w:rsidP="007B7D52">
      <w:pPr>
        <w:rPr>
          <w:rFonts w:cs="Arial"/>
          <w:szCs w:val="22"/>
        </w:rPr>
      </w:pPr>
      <w:r w:rsidRPr="007B7D52">
        <w:rPr>
          <w:rFonts w:cs="Arial"/>
          <w:szCs w:val="22"/>
        </w:rPr>
        <w:t xml:space="preserve">In this case, the social model is particularly relevant, as communication and organisational barriers increased Mrs Mann’s vulnerability. Rather than viewing these challenges as individual limitations, the social model frames them as consequences of systems that have </w:t>
      </w:r>
      <w:r w:rsidRPr="007B7D52">
        <w:rPr>
          <w:rFonts w:cs="Arial"/>
          <w:szCs w:val="22"/>
        </w:rPr>
        <w:lastRenderedPageBreak/>
        <w:t>not been sufficiently adapted to meet her needs. This perspective emphasises the responsibility of organisations and professionals to ensure services are accessible, inclusive and supportive for people in vulnerable situations.</w:t>
      </w:r>
    </w:p>
    <w:p w14:paraId="3D6463DD" w14:textId="77777777" w:rsidR="007B7D52" w:rsidRPr="007B7D52" w:rsidRDefault="007B7D52" w:rsidP="007B7D52">
      <w:pPr>
        <w:rPr>
          <w:rFonts w:cs="Arial"/>
          <w:szCs w:val="22"/>
        </w:rPr>
      </w:pPr>
    </w:p>
    <w:p w14:paraId="4F57F185" w14:textId="77777777" w:rsidR="007B7D52" w:rsidRPr="007B7D52" w:rsidRDefault="007B7D52" w:rsidP="007B7D52">
      <w:pPr>
        <w:rPr>
          <w:rFonts w:cs="Arial"/>
          <w:szCs w:val="22"/>
        </w:rPr>
      </w:pPr>
      <w:r w:rsidRPr="007B7D52">
        <w:rPr>
          <w:rFonts w:cs="Arial"/>
          <w:szCs w:val="22"/>
        </w:rPr>
        <w:t>Care quality is overseen by the Care Quality Commission (CQC), which requires providers to demonstrate safe practice, effective governance and appropriate documentation (CQC, 2023). As such, record-keeping and confidentiality function not merely as administrative tasks, but as essential safeguards protecting service users’ wellbeing and rights.</w:t>
      </w:r>
    </w:p>
    <w:p w14:paraId="7BD96C28" w14:textId="77777777" w:rsidR="007B7D52" w:rsidRPr="007B7D52" w:rsidRDefault="007B7D52" w:rsidP="007B7D52">
      <w:pPr>
        <w:rPr>
          <w:rFonts w:cs="Arial"/>
          <w:szCs w:val="22"/>
        </w:rPr>
      </w:pPr>
    </w:p>
    <w:p w14:paraId="5F172980" w14:textId="5D8131B9" w:rsidR="007B7D52" w:rsidRPr="000E22CC" w:rsidRDefault="007B7D52" w:rsidP="007B7D52">
      <w:pPr>
        <w:rPr>
          <w:rFonts w:cs="Arial"/>
          <w:b/>
          <w:bCs/>
          <w:szCs w:val="22"/>
        </w:rPr>
      </w:pPr>
      <w:r w:rsidRPr="000E22CC">
        <w:rPr>
          <w:rFonts w:cs="Arial"/>
          <w:b/>
          <w:bCs/>
          <w:szCs w:val="22"/>
        </w:rPr>
        <w:t>S</w:t>
      </w:r>
      <w:r w:rsidR="000E22CC" w:rsidRPr="000E22CC">
        <w:rPr>
          <w:rFonts w:cs="Arial"/>
          <w:b/>
          <w:bCs/>
          <w:szCs w:val="22"/>
        </w:rPr>
        <w:t>ection 3:</w:t>
      </w:r>
      <w:r w:rsidRPr="000E22CC">
        <w:rPr>
          <w:rFonts w:cs="Arial"/>
          <w:b/>
          <w:bCs/>
          <w:szCs w:val="22"/>
        </w:rPr>
        <w:t xml:space="preserve"> Partnership Working and the Social Model of Care</w:t>
      </w:r>
    </w:p>
    <w:p w14:paraId="169FEDCB" w14:textId="77777777" w:rsidR="007B7D52" w:rsidRPr="007B7D52" w:rsidRDefault="007B7D52" w:rsidP="007B7D52">
      <w:pPr>
        <w:rPr>
          <w:rFonts w:cs="Arial"/>
          <w:szCs w:val="22"/>
        </w:rPr>
      </w:pPr>
    </w:p>
    <w:p w14:paraId="10723381" w14:textId="77777777" w:rsidR="007B7D52" w:rsidRPr="007B7D52" w:rsidRDefault="007B7D52" w:rsidP="007B7D52">
      <w:pPr>
        <w:rPr>
          <w:rFonts w:cs="Arial"/>
          <w:szCs w:val="22"/>
        </w:rPr>
      </w:pPr>
      <w:r w:rsidRPr="007B7D52">
        <w:rPr>
          <w:rFonts w:cs="Arial"/>
          <w:szCs w:val="22"/>
        </w:rPr>
        <w:t>Partnership working is a central feature of effective health and social care practice, particularly when supporting older people living independently following major surgery. In Mrs Mann’s situation, collaboration between the GP, physiotherapist, domiciliary care workers and family members is vital not only for physical recovery, but also for providing reassurance, stability and emotional support in everyday life.</w:t>
      </w:r>
    </w:p>
    <w:p w14:paraId="082E9C88" w14:textId="77777777" w:rsidR="007B7D52" w:rsidRPr="007B7D52" w:rsidRDefault="007B7D52" w:rsidP="007B7D52">
      <w:pPr>
        <w:rPr>
          <w:rFonts w:cs="Arial"/>
          <w:szCs w:val="22"/>
        </w:rPr>
      </w:pPr>
    </w:p>
    <w:p w14:paraId="7F37B783" w14:textId="77777777" w:rsidR="007B7D52" w:rsidRPr="007B7D52" w:rsidRDefault="007B7D52" w:rsidP="007B7D52">
      <w:pPr>
        <w:rPr>
          <w:rFonts w:cs="Arial"/>
          <w:szCs w:val="22"/>
        </w:rPr>
      </w:pPr>
      <w:r w:rsidRPr="007B7D52">
        <w:rPr>
          <w:rFonts w:cs="Arial"/>
          <w:szCs w:val="22"/>
        </w:rPr>
        <w:t>From a social model perspective, partnership working enables professionals to recognise Mrs Mann as more than a patient undergoing rehabilitation. She is understood as an individual with social, cultural and emotional needs that require coordinated and compassionate support. For service users facing language barriers, consistent communication across services is especially important, as fragmented care can increase anxiety and feelings of powerlessness (Glasby and Dickinson, 2014).</w:t>
      </w:r>
    </w:p>
    <w:p w14:paraId="17881FF1" w14:textId="77777777" w:rsidR="007B7D52" w:rsidRPr="007B7D52" w:rsidRDefault="007B7D52" w:rsidP="007B7D52">
      <w:pPr>
        <w:rPr>
          <w:rFonts w:cs="Arial"/>
          <w:szCs w:val="22"/>
        </w:rPr>
      </w:pPr>
    </w:p>
    <w:p w14:paraId="5C3E240F" w14:textId="77777777" w:rsidR="007B7D52" w:rsidRPr="007B7D52" w:rsidRDefault="007B7D52" w:rsidP="007B7D52">
      <w:pPr>
        <w:rPr>
          <w:rFonts w:cs="Arial"/>
          <w:szCs w:val="22"/>
        </w:rPr>
      </w:pPr>
      <w:r w:rsidRPr="007B7D52">
        <w:rPr>
          <w:rFonts w:cs="Arial"/>
          <w:szCs w:val="22"/>
        </w:rPr>
        <w:t>The Care Act 2014 places a duty on organisations to cooperate in order to deliver integrated, wellbeing-focused care. In Mrs Mann’s case, effective partnership working ensures that changes to medication, rehabilitation plans and levels of support are communicated clearly and implemented promptly. Poor coordination, by contrast, can result in practical errors and reduced trust in the health and social care system.</w:t>
      </w:r>
    </w:p>
    <w:p w14:paraId="56FA468A" w14:textId="77777777" w:rsidR="007B7D52" w:rsidRPr="007B7D52" w:rsidRDefault="007B7D52" w:rsidP="007B7D52">
      <w:pPr>
        <w:rPr>
          <w:rFonts w:cs="Arial"/>
          <w:szCs w:val="22"/>
        </w:rPr>
      </w:pPr>
    </w:p>
    <w:p w14:paraId="5A70F5F8" w14:textId="77777777" w:rsidR="007B7D52" w:rsidRPr="007B7D52" w:rsidRDefault="007B7D52" w:rsidP="007B7D52">
      <w:pPr>
        <w:rPr>
          <w:rFonts w:cs="Arial"/>
          <w:szCs w:val="22"/>
        </w:rPr>
      </w:pPr>
      <w:r w:rsidRPr="007B7D52">
        <w:rPr>
          <w:rFonts w:cs="Arial"/>
          <w:szCs w:val="22"/>
        </w:rPr>
        <w:t>From a social care perspective, effective partnership working also helps reduce isolation and vulnerability following surgery. Coordinated support enables Mrs Mann to feel safer and more confident within her home environment, supporting her independence and overall wellbeing.</w:t>
      </w:r>
    </w:p>
    <w:p w14:paraId="3A992321" w14:textId="77777777" w:rsidR="007B7D52" w:rsidRPr="007B7D52" w:rsidRDefault="007B7D52" w:rsidP="007B7D52">
      <w:pPr>
        <w:rPr>
          <w:rFonts w:cs="Arial"/>
          <w:szCs w:val="22"/>
        </w:rPr>
      </w:pPr>
    </w:p>
    <w:p w14:paraId="1FE58261" w14:textId="3041A023" w:rsidR="007B7D52" w:rsidRPr="000E22CC" w:rsidRDefault="007B7D52" w:rsidP="007B7D52">
      <w:pPr>
        <w:rPr>
          <w:rFonts w:cs="Arial"/>
          <w:b/>
          <w:bCs/>
          <w:szCs w:val="22"/>
        </w:rPr>
      </w:pPr>
      <w:r w:rsidRPr="000E22CC">
        <w:rPr>
          <w:rFonts w:cs="Arial"/>
          <w:b/>
          <w:bCs/>
          <w:szCs w:val="22"/>
        </w:rPr>
        <w:t>C</w:t>
      </w:r>
      <w:r w:rsidR="000E22CC" w:rsidRPr="000E22CC">
        <w:rPr>
          <w:rFonts w:cs="Arial"/>
          <w:b/>
          <w:bCs/>
          <w:szCs w:val="22"/>
        </w:rPr>
        <w:t>onclusion</w:t>
      </w:r>
    </w:p>
    <w:p w14:paraId="42C79177" w14:textId="77777777" w:rsidR="007B7D52" w:rsidRPr="007B7D52" w:rsidRDefault="007B7D52" w:rsidP="007B7D52">
      <w:pPr>
        <w:rPr>
          <w:rFonts w:cs="Arial"/>
          <w:szCs w:val="22"/>
        </w:rPr>
      </w:pPr>
    </w:p>
    <w:p w14:paraId="7D244DFB" w14:textId="77777777" w:rsidR="007B7D52" w:rsidRPr="007B7D52" w:rsidRDefault="007B7D52" w:rsidP="007B7D52">
      <w:pPr>
        <w:rPr>
          <w:rFonts w:cs="Arial"/>
          <w:szCs w:val="22"/>
        </w:rPr>
      </w:pPr>
      <w:r w:rsidRPr="007B7D52">
        <w:rPr>
          <w:rFonts w:cs="Arial"/>
          <w:szCs w:val="22"/>
        </w:rPr>
        <w:lastRenderedPageBreak/>
        <w:t>In conclusion, professional practice in health and social care is firmly grounded in legislation, including the Equality Act 2010, the Care Act 2014 and the Data Protection Act 2018, which collectively establish standards for safety, quality and the protection of service users’ rights. Effective communication, accurate record-keeping and interprofessional collaboration are essential legal and professional responsibilities within this framework.</w:t>
      </w:r>
    </w:p>
    <w:p w14:paraId="74D08885" w14:textId="77777777" w:rsidR="007B7D52" w:rsidRPr="007B7D52" w:rsidRDefault="007B7D52" w:rsidP="007B7D52">
      <w:pPr>
        <w:rPr>
          <w:rFonts w:cs="Arial"/>
          <w:szCs w:val="22"/>
        </w:rPr>
      </w:pPr>
    </w:p>
    <w:p w14:paraId="4942CFC3" w14:textId="7F125DB5" w:rsidR="00D65155" w:rsidRDefault="007B7D52" w:rsidP="007B7D52">
      <w:pPr>
        <w:rPr>
          <w:rFonts w:cs="Arial"/>
          <w:szCs w:val="22"/>
        </w:rPr>
      </w:pPr>
      <w:r w:rsidRPr="007B7D52">
        <w:rPr>
          <w:rFonts w:cs="Arial"/>
          <w:szCs w:val="22"/>
        </w:rPr>
        <w:t>However, social care extends beyond formal compliance with legislation and policy. At its core, social care is concerned with understanding individuals, recognising personal needs and supporting people to live with dignity and independence. For service users in vulnerable situations, the quality of care is shaped not only by procedures, but by how responsive and humane the system is to their lived experiences. The case of Mrs Mann demonstrates that combining legal compliance with a person-centred, empathetic approach leads to care that is not only lawful, but genuinely supportive and meaningful.</w:t>
      </w:r>
    </w:p>
    <w:p w14:paraId="528FFFC4" w14:textId="77777777" w:rsidR="000E22CC" w:rsidRPr="00D65155" w:rsidRDefault="000E22CC" w:rsidP="007B7D52">
      <w:pPr>
        <w:rPr>
          <w:rFonts w:cs="Arial"/>
          <w:szCs w:val="22"/>
        </w:rPr>
      </w:pPr>
    </w:p>
    <w:p w14:paraId="23293A5E" w14:textId="50FFCA7E" w:rsidR="00D65155" w:rsidRPr="000E22CC" w:rsidRDefault="00D65155" w:rsidP="00D65155">
      <w:pPr>
        <w:rPr>
          <w:rFonts w:cs="Arial"/>
          <w:b/>
          <w:bCs/>
          <w:szCs w:val="22"/>
        </w:rPr>
      </w:pPr>
      <w:r w:rsidRPr="000E22CC">
        <w:rPr>
          <w:rFonts w:cs="Arial"/>
          <w:b/>
          <w:bCs/>
          <w:szCs w:val="22"/>
        </w:rPr>
        <w:t>R</w:t>
      </w:r>
      <w:r w:rsidR="000E22CC" w:rsidRPr="000E22CC">
        <w:rPr>
          <w:rFonts w:cs="Arial"/>
          <w:b/>
          <w:bCs/>
          <w:szCs w:val="22"/>
        </w:rPr>
        <w:t>eference list</w:t>
      </w:r>
    </w:p>
    <w:p w14:paraId="7FB0E968" w14:textId="77777777" w:rsidR="00D65155" w:rsidRPr="00D65155" w:rsidRDefault="00D65155" w:rsidP="00D65155">
      <w:pPr>
        <w:rPr>
          <w:rFonts w:cs="Arial"/>
          <w:szCs w:val="22"/>
        </w:rPr>
      </w:pPr>
    </w:p>
    <w:p w14:paraId="40F74300" w14:textId="77777777" w:rsidR="00D65155" w:rsidRPr="00D65155" w:rsidRDefault="00D65155" w:rsidP="00D65155">
      <w:pPr>
        <w:rPr>
          <w:rFonts w:cs="Arial"/>
          <w:szCs w:val="22"/>
        </w:rPr>
      </w:pPr>
      <w:r w:rsidRPr="00D65155">
        <w:rPr>
          <w:rFonts w:cs="Arial"/>
          <w:szCs w:val="22"/>
        </w:rPr>
        <w:t>Berlo, D. (1960) The Process of Communication. New York: Holt, Rinehart and Winston.</w:t>
      </w:r>
    </w:p>
    <w:p w14:paraId="63F5EAC6" w14:textId="77777777" w:rsidR="00D65155" w:rsidRPr="00D65155" w:rsidRDefault="00D65155" w:rsidP="00D65155">
      <w:pPr>
        <w:rPr>
          <w:rFonts w:cs="Arial"/>
          <w:szCs w:val="22"/>
        </w:rPr>
      </w:pPr>
      <w:r w:rsidRPr="00D65155">
        <w:rPr>
          <w:rFonts w:cs="Arial"/>
          <w:szCs w:val="22"/>
        </w:rPr>
        <w:t>Care Act 2014. London: HMSO.</w:t>
      </w:r>
    </w:p>
    <w:p w14:paraId="6C397F51" w14:textId="77777777" w:rsidR="00D65155" w:rsidRPr="00D65155" w:rsidRDefault="00D65155" w:rsidP="00D65155">
      <w:pPr>
        <w:rPr>
          <w:rFonts w:cs="Arial"/>
          <w:szCs w:val="22"/>
        </w:rPr>
      </w:pPr>
      <w:r w:rsidRPr="00D65155">
        <w:rPr>
          <w:rFonts w:cs="Arial"/>
          <w:szCs w:val="22"/>
        </w:rPr>
        <w:t>Care Quality Commission (CQC) (2023) Fundamental Standards.</w:t>
      </w:r>
    </w:p>
    <w:p w14:paraId="5B496145" w14:textId="77777777" w:rsidR="00D65155" w:rsidRPr="00D65155" w:rsidRDefault="00D65155" w:rsidP="00D65155">
      <w:pPr>
        <w:rPr>
          <w:rFonts w:cs="Arial"/>
          <w:szCs w:val="22"/>
        </w:rPr>
      </w:pPr>
      <w:r w:rsidRPr="00D65155">
        <w:rPr>
          <w:rFonts w:cs="Arial"/>
          <w:szCs w:val="22"/>
        </w:rPr>
        <w:t>Data Protection Act 2018. London: HMSO.</w:t>
      </w:r>
    </w:p>
    <w:p w14:paraId="1C242CE3" w14:textId="77777777" w:rsidR="00D65155" w:rsidRPr="00D65155" w:rsidRDefault="00D65155" w:rsidP="00D65155">
      <w:pPr>
        <w:rPr>
          <w:rFonts w:cs="Arial"/>
          <w:szCs w:val="22"/>
        </w:rPr>
      </w:pPr>
      <w:r w:rsidRPr="00D65155">
        <w:rPr>
          <w:rFonts w:cs="Arial"/>
          <w:szCs w:val="22"/>
        </w:rPr>
        <w:t>Department of Health and Social Care (2018) Information Governance Framework.</w:t>
      </w:r>
    </w:p>
    <w:p w14:paraId="0CC2A461" w14:textId="77777777" w:rsidR="00D65155" w:rsidRPr="00D65155" w:rsidRDefault="00D65155" w:rsidP="00D65155">
      <w:pPr>
        <w:rPr>
          <w:rFonts w:cs="Arial"/>
          <w:szCs w:val="22"/>
        </w:rPr>
      </w:pPr>
      <w:r w:rsidRPr="00D65155">
        <w:rPr>
          <w:rFonts w:cs="Arial"/>
          <w:szCs w:val="22"/>
        </w:rPr>
        <w:t>Equality Act 2010. London: HMSO.</w:t>
      </w:r>
    </w:p>
    <w:p w14:paraId="13CD434B" w14:textId="77777777" w:rsidR="00D65155" w:rsidRPr="00D65155" w:rsidRDefault="00D65155" w:rsidP="00D65155">
      <w:pPr>
        <w:rPr>
          <w:rFonts w:cs="Arial"/>
          <w:szCs w:val="22"/>
        </w:rPr>
      </w:pPr>
      <w:r w:rsidRPr="00D65155">
        <w:rPr>
          <w:rFonts w:cs="Arial"/>
          <w:szCs w:val="22"/>
        </w:rPr>
        <w:t>Glasby, J. (2017) Understanding Health and Social Care. 3rd edn. Bristol: Policy Press.</w:t>
      </w:r>
    </w:p>
    <w:p w14:paraId="13E79836" w14:textId="77777777" w:rsidR="00D65155" w:rsidRPr="00D65155" w:rsidRDefault="00D65155" w:rsidP="00D65155">
      <w:pPr>
        <w:rPr>
          <w:rFonts w:cs="Arial"/>
          <w:szCs w:val="22"/>
        </w:rPr>
      </w:pPr>
      <w:r w:rsidRPr="00D65155">
        <w:rPr>
          <w:rFonts w:cs="Arial"/>
          <w:szCs w:val="22"/>
        </w:rPr>
        <w:t>Glasby, J. and Dickinson, H. (2014) Partnership Working in Health and Social Care. Bristol: Policy Press.</w:t>
      </w:r>
    </w:p>
    <w:p w14:paraId="0B5B8691" w14:textId="77777777" w:rsidR="00D65155" w:rsidRPr="00D65155" w:rsidRDefault="00D65155" w:rsidP="00D65155">
      <w:pPr>
        <w:rPr>
          <w:rFonts w:cs="Arial"/>
          <w:szCs w:val="22"/>
        </w:rPr>
      </w:pPr>
      <w:r w:rsidRPr="00D65155">
        <w:rPr>
          <w:rFonts w:cs="Arial"/>
          <w:szCs w:val="22"/>
        </w:rPr>
        <w:t>Huziej, M. (2023) The different kinds of discrimination in health and social care.</w:t>
      </w:r>
    </w:p>
    <w:p w14:paraId="53B0278C" w14:textId="0B5682F6" w:rsidR="00005F65" w:rsidRDefault="00D65155" w:rsidP="00D65155">
      <w:pPr>
        <w:rPr>
          <w:rFonts w:cs="Arial"/>
          <w:szCs w:val="22"/>
        </w:rPr>
      </w:pPr>
      <w:r w:rsidRPr="00D65155">
        <w:rPr>
          <w:rFonts w:cs="Arial"/>
          <w:szCs w:val="22"/>
        </w:rPr>
        <w:t>Lee, E. (2021) Effective Communication in Health and Social Care.</w:t>
      </w:r>
    </w:p>
    <w:p w14:paraId="466C2812" w14:textId="77777777" w:rsidR="00D65155" w:rsidRPr="00D65155" w:rsidRDefault="00D65155" w:rsidP="00D65155">
      <w:pPr>
        <w:rPr>
          <w:rFonts w:cs="Arial"/>
          <w:szCs w:val="22"/>
        </w:rPr>
      </w:pPr>
      <w:r w:rsidRPr="00D65155">
        <w:rPr>
          <w:rFonts w:cs="Arial"/>
          <w:szCs w:val="22"/>
        </w:rPr>
        <w:t>NHS England (2021) Person-centred care.</w:t>
      </w:r>
    </w:p>
    <w:p w14:paraId="5024F312" w14:textId="2BC3A02F" w:rsidR="00D65155" w:rsidRDefault="00D65155" w:rsidP="00D65155">
      <w:pPr>
        <w:rPr>
          <w:rFonts w:cs="Arial"/>
          <w:szCs w:val="22"/>
        </w:rPr>
      </w:pPr>
      <w:r w:rsidRPr="00D65155">
        <w:rPr>
          <w:rFonts w:cs="Arial"/>
          <w:szCs w:val="22"/>
        </w:rPr>
        <w:t xml:space="preserve">Available at: </w:t>
      </w:r>
      <w:hyperlink r:id="rId4" w:history="1">
        <w:r w:rsidRPr="008D41F7">
          <w:rPr>
            <w:rStyle w:val="Hyperlink"/>
            <w:rFonts w:cs="Arial"/>
            <w:szCs w:val="22"/>
          </w:rPr>
          <w:t>https://www.england.nhs.uk/personalisedcare/</w:t>
        </w:r>
      </w:hyperlink>
    </w:p>
    <w:p w14:paraId="4284AAE6" w14:textId="7566B32E" w:rsidR="00D65155" w:rsidRDefault="00D65155" w:rsidP="00D65155">
      <w:pPr>
        <w:rPr>
          <w:rFonts w:cs="Arial"/>
          <w:szCs w:val="22"/>
        </w:rPr>
      </w:pPr>
      <w:r w:rsidRPr="00D65155">
        <w:rPr>
          <w:rFonts w:cs="Arial"/>
          <w:szCs w:val="22"/>
        </w:rPr>
        <w:t>(Accessed: 1</w:t>
      </w:r>
      <w:r>
        <w:rPr>
          <w:rFonts w:cs="Arial"/>
          <w:szCs w:val="22"/>
        </w:rPr>
        <w:t>0</w:t>
      </w:r>
      <w:r w:rsidRPr="00D65155">
        <w:rPr>
          <w:rFonts w:cs="Arial"/>
          <w:szCs w:val="22"/>
        </w:rPr>
        <w:t xml:space="preserve"> December 2025).</w:t>
      </w:r>
    </w:p>
    <w:p w14:paraId="65CE39A7" w14:textId="77777777" w:rsidR="00D65155" w:rsidRPr="00D65155" w:rsidRDefault="00D65155" w:rsidP="00D65155">
      <w:pPr>
        <w:rPr>
          <w:rFonts w:cs="Arial"/>
          <w:szCs w:val="22"/>
        </w:rPr>
      </w:pPr>
      <w:r w:rsidRPr="00D65155">
        <w:rPr>
          <w:rFonts w:cs="Arial"/>
          <w:szCs w:val="22"/>
        </w:rPr>
        <w:t>Skills for Care (2022) Effective communication in health and social care.</w:t>
      </w:r>
    </w:p>
    <w:p w14:paraId="32F0DB5B" w14:textId="3278BE8A" w:rsidR="00D65155" w:rsidRDefault="00D65155" w:rsidP="00D65155">
      <w:pPr>
        <w:rPr>
          <w:rFonts w:cs="Arial"/>
          <w:szCs w:val="22"/>
        </w:rPr>
      </w:pPr>
      <w:r w:rsidRPr="00D65155">
        <w:rPr>
          <w:rFonts w:cs="Arial"/>
          <w:szCs w:val="22"/>
        </w:rPr>
        <w:t xml:space="preserve">Available at: </w:t>
      </w:r>
      <w:hyperlink r:id="rId5" w:history="1">
        <w:r w:rsidRPr="008D41F7">
          <w:rPr>
            <w:rStyle w:val="Hyperlink"/>
            <w:rFonts w:cs="Arial"/>
            <w:szCs w:val="22"/>
          </w:rPr>
          <w:t>https://www.skillsforcare.org.uk/Support-for-leaders-and-managers/Developing-your-workforce/Effective-communication.aspx</w:t>
        </w:r>
      </w:hyperlink>
    </w:p>
    <w:p w14:paraId="6241461B" w14:textId="7F607837" w:rsidR="00D65155" w:rsidRPr="00D65155" w:rsidRDefault="00D65155" w:rsidP="00D65155">
      <w:pPr>
        <w:rPr>
          <w:rFonts w:cs="Arial"/>
          <w:szCs w:val="22"/>
        </w:rPr>
      </w:pPr>
      <w:r w:rsidRPr="00D65155">
        <w:rPr>
          <w:rFonts w:cs="Arial"/>
          <w:szCs w:val="22"/>
        </w:rPr>
        <w:t>(Accessed: 15 December 2025).</w:t>
      </w:r>
    </w:p>
    <w:sectPr w:rsidR="00D65155" w:rsidRPr="00D65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7A9"/>
    <w:rsid w:val="00005F65"/>
    <w:rsid w:val="000E22CC"/>
    <w:rsid w:val="004416BC"/>
    <w:rsid w:val="007B7D52"/>
    <w:rsid w:val="008C450A"/>
    <w:rsid w:val="009A3646"/>
    <w:rsid w:val="00CE191F"/>
    <w:rsid w:val="00CF3AD1"/>
    <w:rsid w:val="00D65155"/>
    <w:rsid w:val="00E95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C686"/>
  <w15:chartTrackingRefBased/>
  <w15:docId w15:val="{F52A768D-3C52-4BA3-B11A-65156959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155"/>
    <w:pPr>
      <w:spacing w:after="0" w:line="360" w:lineRule="auto"/>
      <w:contextualSpacing/>
      <w:jc w:val="both"/>
    </w:pPr>
    <w:rPr>
      <w:rFonts w:ascii="Arial" w:hAnsi="Arial"/>
      <w:sz w:val="22"/>
    </w:rPr>
  </w:style>
  <w:style w:type="paragraph" w:styleId="Heading1">
    <w:name w:val="heading 1"/>
    <w:basedOn w:val="Normal"/>
    <w:next w:val="Normal"/>
    <w:link w:val="Heading1Char"/>
    <w:uiPriority w:val="9"/>
    <w:qFormat/>
    <w:rsid w:val="00E957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7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7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7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7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7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7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7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7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7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7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7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7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7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7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7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7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7A9"/>
    <w:rPr>
      <w:rFonts w:eastAsiaTheme="majorEastAsia" w:cstheme="majorBidi"/>
      <w:color w:val="272727" w:themeColor="text1" w:themeTint="D8"/>
    </w:rPr>
  </w:style>
  <w:style w:type="paragraph" w:styleId="Title">
    <w:name w:val="Title"/>
    <w:basedOn w:val="Normal"/>
    <w:next w:val="Normal"/>
    <w:link w:val="TitleChar"/>
    <w:uiPriority w:val="10"/>
    <w:qFormat/>
    <w:rsid w:val="00E957A9"/>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7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7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7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7A9"/>
    <w:pPr>
      <w:spacing w:before="160"/>
      <w:jc w:val="center"/>
    </w:pPr>
    <w:rPr>
      <w:i/>
      <w:iCs/>
      <w:color w:val="404040" w:themeColor="text1" w:themeTint="BF"/>
    </w:rPr>
  </w:style>
  <w:style w:type="character" w:customStyle="1" w:styleId="QuoteChar">
    <w:name w:val="Quote Char"/>
    <w:basedOn w:val="DefaultParagraphFont"/>
    <w:link w:val="Quote"/>
    <w:uiPriority w:val="29"/>
    <w:rsid w:val="00E957A9"/>
    <w:rPr>
      <w:i/>
      <w:iCs/>
      <w:color w:val="404040" w:themeColor="text1" w:themeTint="BF"/>
    </w:rPr>
  </w:style>
  <w:style w:type="paragraph" w:styleId="ListParagraph">
    <w:name w:val="List Paragraph"/>
    <w:basedOn w:val="Normal"/>
    <w:uiPriority w:val="34"/>
    <w:qFormat/>
    <w:rsid w:val="00E957A9"/>
    <w:pPr>
      <w:ind w:left="720"/>
    </w:pPr>
  </w:style>
  <w:style w:type="character" w:styleId="IntenseEmphasis">
    <w:name w:val="Intense Emphasis"/>
    <w:basedOn w:val="DefaultParagraphFont"/>
    <w:uiPriority w:val="21"/>
    <w:qFormat/>
    <w:rsid w:val="00E957A9"/>
    <w:rPr>
      <w:i/>
      <w:iCs/>
      <w:color w:val="0F4761" w:themeColor="accent1" w:themeShade="BF"/>
    </w:rPr>
  </w:style>
  <w:style w:type="paragraph" w:styleId="IntenseQuote">
    <w:name w:val="Intense Quote"/>
    <w:basedOn w:val="Normal"/>
    <w:next w:val="Normal"/>
    <w:link w:val="IntenseQuoteChar"/>
    <w:uiPriority w:val="30"/>
    <w:qFormat/>
    <w:rsid w:val="00E957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7A9"/>
    <w:rPr>
      <w:i/>
      <w:iCs/>
      <w:color w:val="0F4761" w:themeColor="accent1" w:themeShade="BF"/>
    </w:rPr>
  </w:style>
  <w:style w:type="character" w:styleId="IntenseReference">
    <w:name w:val="Intense Reference"/>
    <w:basedOn w:val="DefaultParagraphFont"/>
    <w:uiPriority w:val="32"/>
    <w:qFormat/>
    <w:rsid w:val="00E957A9"/>
    <w:rPr>
      <w:b/>
      <w:bCs/>
      <w:smallCaps/>
      <w:color w:val="0F4761" w:themeColor="accent1" w:themeShade="BF"/>
      <w:spacing w:val="5"/>
    </w:rPr>
  </w:style>
  <w:style w:type="character" w:styleId="Hyperlink">
    <w:name w:val="Hyperlink"/>
    <w:basedOn w:val="DefaultParagraphFont"/>
    <w:uiPriority w:val="99"/>
    <w:unhideWhenUsed/>
    <w:rsid w:val="00D65155"/>
    <w:rPr>
      <w:color w:val="467886" w:themeColor="hyperlink"/>
      <w:u w:val="single"/>
    </w:rPr>
  </w:style>
  <w:style w:type="character" w:styleId="UnresolvedMention">
    <w:name w:val="Unresolved Mention"/>
    <w:basedOn w:val="DefaultParagraphFont"/>
    <w:uiPriority w:val="99"/>
    <w:semiHidden/>
    <w:unhideWhenUsed/>
    <w:rsid w:val="00D651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killsforcare.org.uk/Support-for-leaders-and-managers/Developing-your-workforce/Effective-communication.aspx" TargetMode="External"/><Relationship Id="rId4" Type="http://schemas.openxmlformats.org/officeDocument/2006/relationships/hyperlink" Target="https://www.england.nhs.uk/personalise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TotalTime>
  <Pages>5</Pages>
  <Words>1612</Words>
  <Characters>10064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Natalja Golub (2440433)</dc:creator>
  <cp:keywords/>
  <dc:description/>
  <cp:lastModifiedBy>Natalja Golub (2440433)</cp:lastModifiedBy>
  <cp:revision>3</cp:revision>
  <dcterms:created xsi:type="dcterms:W3CDTF">2025-12-15T22:35:00Z</dcterms:created>
  <dcterms:modified xsi:type="dcterms:W3CDTF">2025-12-16T14:46:00Z</dcterms:modified>
</cp:coreProperties>
</file>