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89D9D" w14:textId="4B35B924" w:rsidR="007C3524" w:rsidRDefault="007906E6" w:rsidP="007906E6">
      <w:pPr>
        <w:pStyle w:val="Title"/>
      </w:pPr>
      <w:r>
        <w:t xml:space="preserve">Cohort 3.22 </w:t>
      </w:r>
      <w:r w:rsidR="002D0B03">
        <w:t>Academic assignment 1</w:t>
      </w:r>
      <w:r>
        <w:t xml:space="preserve"> Pcda: </w:t>
      </w:r>
      <w:r w:rsidR="00E20DF1">
        <w:t>Kian Board 2134510</w:t>
      </w:r>
    </w:p>
    <w:p w14:paraId="4CCA32B2" w14:textId="1BA338F0" w:rsidR="007906E6" w:rsidRPr="00EB73BE" w:rsidRDefault="00E20DF1" w:rsidP="00E20DF1">
      <w:pPr>
        <w:pStyle w:val="Heading2"/>
        <w:jc w:val="left"/>
        <w:rPr>
          <w:i/>
          <w:iCs/>
        </w:rPr>
      </w:pPr>
      <w:r w:rsidRPr="00EB73BE">
        <w:rPr>
          <w:i/>
          <w:iCs/>
          <w:highlight w:val="lightGray"/>
        </w:rPr>
        <w:t>Q1. How might the Code of Ethics help to reduce incidences of professional misconduct and increase public confidence in the police?</w:t>
      </w:r>
    </w:p>
    <w:p w14:paraId="637A3388" w14:textId="77777777" w:rsidR="002D0B03" w:rsidRDefault="002D0B03" w:rsidP="002D0B03"/>
    <w:p w14:paraId="663BD0D5" w14:textId="24FF153E" w:rsidR="00111571" w:rsidRDefault="002D0B03" w:rsidP="00ED71A9">
      <w:pPr>
        <w:rPr>
          <w:sz w:val="24"/>
          <w:szCs w:val="24"/>
        </w:rPr>
      </w:pPr>
      <w:r>
        <w:rPr>
          <w:sz w:val="24"/>
          <w:szCs w:val="24"/>
        </w:rPr>
        <w:t xml:space="preserve">The Code of Ethics within the Police is an established guideline of expectations officers must adhere to when conducting their duties as an officer. This Code </w:t>
      </w:r>
      <w:r w:rsidR="00ED71A9">
        <w:rPr>
          <w:sz w:val="24"/>
          <w:szCs w:val="24"/>
        </w:rPr>
        <w:t>of Ethics “</w:t>
      </w:r>
      <w:r w:rsidR="00ED71A9" w:rsidRPr="00ED71A9">
        <w:rPr>
          <w:sz w:val="24"/>
          <w:szCs w:val="24"/>
        </w:rPr>
        <w:t>sets out the principles</w:t>
      </w:r>
      <w:r w:rsidR="00ED71A9">
        <w:rPr>
          <w:sz w:val="24"/>
          <w:szCs w:val="24"/>
        </w:rPr>
        <w:t xml:space="preserve">” </w:t>
      </w:r>
      <w:sdt>
        <w:sdtPr>
          <w:rPr>
            <w:sz w:val="24"/>
            <w:szCs w:val="24"/>
          </w:rPr>
          <w:id w:val="-50001085"/>
          <w:citation/>
        </w:sdtPr>
        <w:sdtContent>
          <w:r w:rsidR="00ED71A9">
            <w:rPr>
              <w:sz w:val="24"/>
              <w:szCs w:val="24"/>
            </w:rPr>
            <w:fldChar w:fldCharType="begin"/>
          </w:r>
          <w:r w:rsidR="00ED71A9">
            <w:rPr>
              <w:sz w:val="24"/>
              <w:szCs w:val="24"/>
            </w:rPr>
            <w:instrText xml:space="preserve"> CITATION Col142 \l 2057 </w:instrText>
          </w:r>
          <w:r w:rsidR="00ED71A9">
            <w:rPr>
              <w:sz w:val="24"/>
              <w:szCs w:val="24"/>
            </w:rPr>
            <w:fldChar w:fldCharType="separate"/>
          </w:r>
          <w:r w:rsidR="008D34E6" w:rsidRPr="008D34E6">
            <w:rPr>
              <w:noProof/>
              <w:sz w:val="24"/>
              <w:szCs w:val="24"/>
            </w:rPr>
            <w:t>(College of Policing, 2014)</w:t>
          </w:r>
          <w:r w:rsidR="00ED71A9">
            <w:rPr>
              <w:sz w:val="24"/>
              <w:szCs w:val="24"/>
            </w:rPr>
            <w:fldChar w:fldCharType="end"/>
          </w:r>
        </w:sdtContent>
      </w:sdt>
      <w:r w:rsidR="00ED71A9">
        <w:rPr>
          <w:sz w:val="24"/>
          <w:szCs w:val="24"/>
        </w:rPr>
        <w:t xml:space="preserve"> which all members of staff must follow when conducting duties. </w:t>
      </w:r>
      <w:r w:rsidR="00111571">
        <w:rPr>
          <w:sz w:val="24"/>
          <w:szCs w:val="24"/>
        </w:rPr>
        <w:t>Within the Code of Ethics are nine principles</w:t>
      </w:r>
      <w:r w:rsidR="00911AB3">
        <w:rPr>
          <w:sz w:val="24"/>
          <w:szCs w:val="24"/>
        </w:rPr>
        <w:t xml:space="preserve">: </w:t>
      </w:r>
      <w:r w:rsidR="00111571">
        <w:rPr>
          <w:sz w:val="24"/>
          <w:szCs w:val="24"/>
        </w:rPr>
        <w:t xml:space="preserve">Honesty and Integrity, Authority Respect and Courtesy, Equality and Diversity, Use of Force, Orders and Instructions, Duties and Responsibilities, Confidentiality, Fitness for work, Conduct and Challenging and Reporting Improper Conduct. </w:t>
      </w:r>
    </w:p>
    <w:p w14:paraId="1E161EB0" w14:textId="37088C7B" w:rsidR="00F71E42" w:rsidRDefault="0089076D" w:rsidP="00ED71A9">
      <w:pPr>
        <w:rPr>
          <w:sz w:val="24"/>
          <w:szCs w:val="24"/>
        </w:rPr>
      </w:pPr>
      <w:r>
        <w:rPr>
          <w:sz w:val="24"/>
          <w:szCs w:val="24"/>
        </w:rPr>
        <w:t>There are two internal and external agencies/departments that protect and reinforce the Code of Ethics. Firstly, the internal PSD or Professional Standards Department works within the police itself to identify and manage misconduct. They achieve this through the complaints system whereby the department “</w:t>
      </w:r>
      <w:r w:rsidRPr="0089076D">
        <w:rPr>
          <w:sz w:val="24"/>
          <w:szCs w:val="24"/>
        </w:rPr>
        <w:t>receives, records, investigates and resolves public complaints</w:t>
      </w:r>
      <w:r>
        <w:rPr>
          <w:sz w:val="24"/>
          <w:szCs w:val="24"/>
        </w:rPr>
        <w:t xml:space="preserve">” </w:t>
      </w:r>
      <w:sdt>
        <w:sdtPr>
          <w:rPr>
            <w:sz w:val="24"/>
            <w:szCs w:val="24"/>
          </w:rPr>
          <w:id w:val="1801651640"/>
          <w:citation/>
        </w:sdtPr>
        <w:sdtContent>
          <w:r>
            <w:rPr>
              <w:sz w:val="24"/>
              <w:szCs w:val="24"/>
            </w:rPr>
            <w:fldChar w:fldCharType="begin"/>
          </w:r>
          <w:r>
            <w:rPr>
              <w:sz w:val="24"/>
              <w:szCs w:val="24"/>
            </w:rPr>
            <w:instrText xml:space="preserve"> CITATION HMI23 \l 2057 </w:instrText>
          </w:r>
          <w:r>
            <w:rPr>
              <w:sz w:val="24"/>
              <w:szCs w:val="24"/>
            </w:rPr>
            <w:fldChar w:fldCharType="separate"/>
          </w:r>
          <w:r w:rsidR="008D34E6" w:rsidRPr="008D34E6">
            <w:rPr>
              <w:noProof/>
              <w:sz w:val="24"/>
              <w:szCs w:val="24"/>
            </w:rPr>
            <w:t>(HMICFRS, 2023)</w:t>
          </w:r>
          <w:r>
            <w:rPr>
              <w:sz w:val="24"/>
              <w:szCs w:val="24"/>
            </w:rPr>
            <w:fldChar w:fldCharType="end"/>
          </w:r>
        </w:sdtContent>
      </w:sdt>
      <w:r w:rsidR="005A3310">
        <w:rPr>
          <w:sz w:val="24"/>
          <w:szCs w:val="24"/>
        </w:rPr>
        <w:t xml:space="preserve">. Working directly with officers with complaints against them allows them to gather both sides of the complaint and understand the situation from a neutral perspective. Analysing this, the PSD must also adhere to the Code of Ethics when handling misconduct making judgements </w:t>
      </w:r>
      <w:r w:rsidR="0011160F">
        <w:rPr>
          <w:sz w:val="24"/>
          <w:szCs w:val="24"/>
        </w:rPr>
        <w:t>that are “</w:t>
      </w:r>
      <w:r w:rsidR="0011160F" w:rsidRPr="0011160F">
        <w:rPr>
          <w:sz w:val="24"/>
          <w:szCs w:val="24"/>
        </w:rPr>
        <w:t>fair, effective, impartial and evidence</w:t>
      </w:r>
      <w:r w:rsidR="0011160F">
        <w:rPr>
          <w:sz w:val="24"/>
          <w:szCs w:val="24"/>
        </w:rPr>
        <w:t>-</w:t>
      </w:r>
      <w:r w:rsidR="0011160F" w:rsidRPr="0011160F">
        <w:rPr>
          <w:sz w:val="24"/>
          <w:szCs w:val="24"/>
        </w:rPr>
        <w:t>based</w:t>
      </w:r>
      <w:r w:rsidR="0011160F">
        <w:rPr>
          <w:sz w:val="24"/>
          <w:szCs w:val="24"/>
        </w:rPr>
        <w:t xml:space="preserve">” </w:t>
      </w:r>
      <w:sdt>
        <w:sdtPr>
          <w:rPr>
            <w:sz w:val="24"/>
            <w:szCs w:val="24"/>
          </w:rPr>
          <w:id w:val="-1955855731"/>
          <w:citation/>
        </w:sdtPr>
        <w:sdtContent>
          <w:r w:rsidR="0011160F">
            <w:rPr>
              <w:sz w:val="24"/>
              <w:szCs w:val="24"/>
            </w:rPr>
            <w:fldChar w:fldCharType="begin"/>
          </w:r>
          <w:r w:rsidR="0011160F">
            <w:rPr>
              <w:sz w:val="24"/>
              <w:szCs w:val="24"/>
            </w:rPr>
            <w:instrText xml:space="preserve"> CITATION Bro20 \l 2057 </w:instrText>
          </w:r>
          <w:r w:rsidR="0011160F">
            <w:rPr>
              <w:sz w:val="24"/>
              <w:szCs w:val="24"/>
            </w:rPr>
            <w:fldChar w:fldCharType="separate"/>
          </w:r>
          <w:r w:rsidR="008D34E6" w:rsidRPr="008D34E6">
            <w:rPr>
              <w:noProof/>
              <w:sz w:val="24"/>
              <w:szCs w:val="24"/>
            </w:rPr>
            <w:t>(Brown, 2020)</w:t>
          </w:r>
          <w:r w:rsidR="0011160F">
            <w:rPr>
              <w:sz w:val="24"/>
              <w:szCs w:val="24"/>
            </w:rPr>
            <w:fldChar w:fldCharType="end"/>
          </w:r>
        </w:sdtContent>
      </w:sdt>
      <w:r w:rsidR="0011160F">
        <w:rPr>
          <w:sz w:val="24"/>
          <w:szCs w:val="24"/>
        </w:rPr>
        <w:t xml:space="preserve">. </w:t>
      </w:r>
      <w:r w:rsidR="009E28E2">
        <w:rPr>
          <w:sz w:val="24"/>
          <w:szCs w:val="24"/>
        </w:rPr>
        <w:t xml:space="preserve">Retrospectively, persons in positions of power may not adhere to the Code of Ethics as those who may be scrutinized by the public more such as frontline officers. </w:t>
      </w:r>
      <w:r w:rsidR="007A4F06">
        <w:rPr>
          <w:sz w:val="24"/>
          <w:szCs w:val="24"/>
        </w:rPr>
        <w:t>In relation to Parliament, several members of the Parliamentary board part</w:t>
      </w:r>
      <w:r w:rsidR="00911AB3">
        <w:rPr>
          <w:sz w:val="24"/>
          <w:szCs w:val="24"/>
        </w:rPr>
        <w:t xml:space="preserve">ook </w:t>
      </w:r>
      <w:r w:rsidR="007A4F06">
        <w:rPr>
          <w:sz w:val="24"/>
          <w:szCs w:val="24"/>
        </w:rPr>
        <w:t xml:space="preserve">in breaking the Covid 2020 Lockdown rules. </w:t>
      </w:r>
    </w:p>
    <w:p w14:paraId="38B97516" w14:textId="1B71C83C" w:rsidR="00111571" w:rsidRDefault="007A4F06" w:rsidP="00ED71A9">
      <w:pPr>
        <w:rPr>
          <w:sz w:val="24"/>
          <w:szCs w:val="24"/>
        </w:rPr>
      </w:pPr>
      <w:r>
        <w:rPr>
          <w:sz w:val="24"/>
          <w:szCs w:val="24"/>
        </w:rPr>
        <w:t>The case of</w:t>
      </w:r>
      <w:r w:rsidR="00F71E42">
        <w:rPr>
          <w:sz w:val="24"/>
          <w:szCs w:val="24"/>
        </w:rPr>
        <w:t xml:space="preserve"> </w:t>
      </w:r>
      <w:r>
        <w:rPr>
          <w:sz w:val="24"/>
          <w:szCs w:val="24"/>
        </w:rPr>
        <w:t xml:space="preserve">Matt Hancock breaking the rules can be referred to a theory called Leadership Immunity. </w:t>
      </w:r>
      <w:r w:rsidR="00911AB3">
        <w:rPr>
          <w:sz w:val="24"/>
          <w:szCs w:val="24"/>
        </w:rPr>
        <w:t>B</w:t>
      </w:r>
      <w:r>
        <w:rPr>
          <w:sz w:val="24"/>
          <w:szCs w:val="24"/>
        </w:rPr>
        <w:t xml:space="preserve">eing in a position of power, Hancock saw himself as “immune” to the rules he strictly implied upon the British public. </w:t>
      </w:r>
      <w:sdt>
        <w:sdtPr>
          <w:rPr>
            <w:sz w:val="24"/>
            <w:szCs w:val="24"/>
          </w:rPr>
          <w:id w:val="15746292"/>
          <w:citation/>
        </w:sdtPr>
        <w:sdtContent>
          <w:r>
            <w:rPr>
              <w:sz w:val="24"/>
              <w:szCs w:val="24"/>
            </w:rPr>
            <w:fldChar w:fldCharType="begin"/>
          </w:r>
          <w:r>
            <w:rPr>
              <w:sz w:val="24"/>
              <w:szCs w:val="24"/>
            </w:rPr>
            <w:instrText xml:space="preserve"> CITATION Raz21 \l 2057 </w:instrText>
          </w:r>
          <w:r>
            <w:rPr>
              <w:sz w:val="24"/>
              <w:szCs w:val="24"/>
            </w:rPr>
            <w:fldChar w:fldCharType="separate"/>
          </w:r>
          <w:r w:rsidR="008D34E6" w:rsidRPr="008D34E6">
            <w:rPr>
              <w:noProof/>
              <w:sz w:val="24"/>
              <w:szCs w:val="24"/>
            </w:rPr>
            <w:t>(Razzetti, 2021)</w:t>
          </w:r>
          <w:r>
            <w:rPr>
              <w:sz w:val="24"/>
              <w:szCs w:val="24"/>
            </w:rPr>
            <w:fldChar w:fldCharType="end"/>
          </w:r>
        </w:sdtContent>
      </w:sdt>
      <w:r>
        <w:rPr>
          <w:sz w:val="24"/>
          <w:szCs w:val="24"/>
        </w:rPr>
        <w:t xml:space="preserve"> </w:t>
      </w:r>
      <w:r w:rsidR="009D7D75">
        <w:rPr>
          <w:sz w:val="24"/>
          <w:szCs w:val="24"/>
        </w:rPr>
        <w:t xml:space="preserve">compiled evidence of this within a business perspective whereby persons in positions of power do not feel “constrained by rules applied to less powerful people”. In the case of Hancock, he was the appointed health </w:t>
      </w:r>
      <w:r w:rsidR="009D7D75">
        <w:rPr>
          <w:sz w:val="24"/>
          <w:szCs w:val="24"/>
        </w:rPr>
        <w:lastRenderedPageBreak/>
        <w:t>secretary who was responsible for the Covid rules and lockdown from 2020-2021. Applying Leadership Immunity theory, Hancock believed that because he made the rules, he was immune to them due to his position of power. Relating these cases and theory into a policing perspective, those who help enforce the rules (</w:t>
      </w:r>
      <w:r w:rsidR="00911AB3">
        <w:rPr>
          <w:sz w:val="24"/>
          <w:szCs w:val="24"/>
        </w:rPr>
        <w:t>PSD, IOPC</w:t>
      </w:r>
      <w:r w:rsidR="009D7D75">
        <w:rPr>
          <w:sz w:val="24"/>
          <w:szCs w:val="24"/>
        </w:rPr>
        <w:t>) must remain non-biased and rely on evidence-based investigations as well as adhering to the Code of Ethics in order to maintain an integral workforce.</w:t>
      </w:r>
    </w:p>
    <w:p w14:paraId="2166B0B8" w14:textId="77777777" w:rsidR="009D7D75" w:rsidRDefault="009D7D75" w:rsidP="00ED71A9">
      <w:pPr>
        <w:rPr>
          <w:sz w:val="24"/>
          <w:szCs w:val="24"/>
        </w:rPr>
      </w:pPr>
    </w:p>
    <w:p w14:paraId="4C895B24" w14:textId="772A23D9" w:rsidR="009D7D75" w:rsidRDefault="009D7D75" w:rsidP="001C0797">
      <w:pPr>
        <w:rPr>
          <w:sz w:val="24"/>
          <w:szCs w:val="24"/>
        </w:rPr>
      </w:pPr>
      <w:r>
        <w:rPr>
          <w:sz w:val="24"/>
          <w:szCs w:val="24"/>
        </w:rPr>
        <w:t xml:space="preserve">Further to the PSD who handle the </w:t>
      </w:r>
      <w:r w:rsidR="001C0797">
        <w:rPr>
          <w:sz w:val="24"/>
          <w:szCs w:val="24"/>
        </w:rPr>
        <w:t>lower-level</w:t>
      </w:r>
      <w:r>
        <w:rPr>
          <w:sz w:val="24"/>
          <w:szCs w:val="24"/>
        </w:rPr>
        <w:t xml:space="preserve"> complaints are the IOPC or Independent Office for Police Conduct. The IOPC describe themselves as “Police complaints watchdog” that manages the serious complaints about police creat</w:t>
      </w:r>
      <w:r w:rsidR="00911AB3">
        <w:rPr>
          <w:sz w:val="24"/>
          <w:szCs w:val="24"/>
        </w:rPr>
        <w:t>ing</w:t>
      </w:r>
      <w:r>
        <w:rPr>
          <w:sz w:val="24"/>
          <w:szCs w:val="24"/>
        </w:rPr>
        <w:t xml:space="preserve"> and manag</w:t>
      </w:r>
      <w:r w:rsidR="00911AB3">
        <w:rPr>
          <w:sz w:val="24"/>
          <w:szCs w:val="24"/>
        </w:rPr>
        <w:t>ing</w:t>
      </w:r>
      <w:r>
        <w:rPr>
          <w:sz w:val="24"/>
          <w:szCs w:val="24"/>
        </w:rPr>
        <w:t xml:space="preserve"> the way in which </w:t>
      </w:r>
      <w:r w:rsidR="00911AB3">
        <w:rPr>
          <w:sz w:val="24"/>
          <w:szCs w:val="24"/>
        </w:rPr>
        <w:t>PSD manages their</w:t>
      </w:r>
      <w:r>
        <w:rPr>
          <w:sz w:val="24"/>
          <w:szCs w:val="24"/>
        </w:rPr>
        <w:t xml:space="preserve"> complaints </w:t>
      </w:r>
      <w:sdt>
        <w:sdtPr>
          <w:rPr>
            <w:sz w:val="24"/>
            <w:szCs w:val="24"/>
          </w:rPr>
          <w:id w:val="-345714468"/>
          <w:citation/>
        </w:sdtPr>
        <w:sdtContent>
          <w:r>
            <w:rPr>
              <w:sz w:val="24"/>
              <w:szCs w:val="24"/>
            </w:rPr>
            <w:fldChar w:fldCharType="begin"/>
          </w:r>
          <w:r>
            <w:rPr>
              <w:sz w:val="24"/>
              <w:szCs w:val="24"/>
            </w:rPr>
            <w:instrText xml:space="preserve"> CITATION IOP23 \l 2057 </w:instrText>
          </w:r>
          <w:r>
            <w:rPr>
              <w:sz w:val="24"/>
              <w:szCs w:val="24"/>
            </w:rPr>
            <w:fldChar w:fldCharType="separate"/>
          </w:r>
          <w:r w:rsidR="008D34E6" w:rsidRPr="008D34E6">
            <w:rPr>
              <w:noProof/>
              <w:sz w:val="24"/>
              <w:szCs w:val="24"/>
            </w:rPr>
            <w:t>(IOPC: Independent Office for Police Conduct, 2023)</w:t>
          </w:r>
          <w:r>
            <w:rPr>
              <w:sz w:val="24"/>
              <w:szCs w:val="24"/>
            </w:rPr>
            <w:fldChar w:fldCharType="end"/>
          </w:r>
        </w:sdtContent>
      </w:sdt>
      <w:r>
        <w:rPr>
          <w:sz w:val="24"/>
          <w:szCs w:val="24"/>
        </w:rPr>
        <w:t xml:space="preserve">. This organisation is independent of the police. </w:t>
      </w:r>
      <w:r w:rsidR="001C0797">
        <w:rPr>
          <w:sz w:val="24"/>
          <w:szCs w:val="24"/>
        </w:rPr>
        <w:t>According to their most recent</w:t>
      </w:r>
      <w:r w:rsidR="00911AB3">
        <w:rPr>
          <w:sz w:val="24"/>
          <w:szCs w:val="24"/>
        </w:rPr>
        <w:t xml:space="preserve"> statistical</w:t>
      </w:r>
      <w:r w:rsidR="001C0797">
        <w:rPr>
          <w:sz w:val="24"/>
          <w:szCs w:val="24"/>
        </w:rPr>
        <w:t xml:space="preserve"> report, the IOPC has managed 81,142 complaints across the UK with an</w:t>
      </w:r>
      <w:r w:rsidR="001C0797" w:rsidRPr="001C0797">
        <w:rPr>
          <w:sz w:val="24"/>
          <w:szCs w:val="24"/>
        </w:rPr>
        <w:t xml:space="preserve"> </w:t>
      </w:r>
      <w:r w:rsidR="001C0797">
        <w:rPr>
          <w:sz w:val="24"/>
          <w:szCs w:val="24"/>
        </w:rPr>
        <w:t>“</w:t>
      </w:r>
      <w:r w:rsidR="001C0797" w:rsidRPr="001C0797">
        <w:rPr>
          <w:sz w:val="24"/>
          <w:szCs w:val="24"/>
        </w:rPr>
        <w:t>overall volume of complaints</w:t>
      </w:r>
      <w:r w:rsidR="001C0797">
        <w:rPr>
          <w:sz w:val="24"/>
          <w:szCs w:val="24"/>
        </w:rPr>
        <w:t xml:space="preserve"> that </w:t>
      </w:r>
      <w:r w:rsidR="001C0797" w:rsidRPr="001C0797">
        <w:rPr>
          <w:sz w:val="24"/>
          <w:szCs w:val="24"/>
        </w:rPr>
        <w:t>has increased by 8% since last year</w:t>
      </w:r>
      <w:r w:rsidR="001C0797">
        <w:rPr>
          <w:sz w:val="24"/>
          <w:szCs w:val="24"/>
        </w:rPr>
        <w:t>”</w:t>
      </w:r>
      <w:r w:rsidR="00911AB3">
        <w:rPr>
          <w:sz w:val="24"/>
          <w:szCs w:val="24"/>
        </w:rPr>
        <w:t xml:space="preserve"> between 2022-2023</w:t>
      </w:r>
      <w:r w:rsidR="001C0797" w:rsidRPr="001C0797">
        <w:rPr>
          <w:sz w:val="24"/>
          <w:szCs w:val="24"/>
        </w:rPr>
        <w:t xml:space="preserve"> </w:t>
      </w:r>
      <w:sdt>
        <w:sdtPr>
          <w:rPr>
            <w:sz w:val="24"/>
            <w:szCs w:val="24"/>
          </w:rPr>
          <w:id w:val="478893602"/>
          <w:citation/>
        </w:sdtPr>
        <w:sdtContent>
          <w:r w:rsidR="001C0797">
            <w:rPr>
              <w:sz w:val="24"/>
              <w:szCs w:val="24"/>
            </w:rPr>
            <w:fldChar w:fldCharType="begin"/>
          </w:r>
          <w:r w:rsidR="001C0797">
            <w:rPr>
              <w:sz w:val="24"/>
              <w:szCs w:val="24"/>
            </w:rPr>
            <w:instrText xml:space="preserve"> CITATION IOP231 \l 2057 </w:instrText>
          </w:r>
          <w:r w:rsidR="001C0797">
            <w:rPr>
              <w:sz w:val="24"/>
              <w:szCs w:val="24"/>
            </w:rPr>
            <w:fldChar w:fldCharType="separate"/>
          </w:r>
          <w:r w:rsidR="008D34E6" w:rsidRPr="008D34E6">
            <w:rPr>
              <w:noProof/>
              <w:sz w:val="24"/>
              <w:szCs w:val="24"/>
            </w:rPr>
            <w:t>(IOPC, 2023)</w:t>
          </w:r>
          <w:r w:rsidR="001C0797">
            <w:rPr>
              <w:sz w:val="24"/>
              <w:szCs w:val="24"/>
            </w:rPr>
            <w:fldChar w:fldCharType="end"/>
          </w:r>
        </w:sdtContent>
      </w:sdt>
      <w:r w:rsidR="001C0797">
        <w:rPr>
          <w:sz w:val="24"/>
          <w:szCs w:val="24"/>
        </w:rPr>
        <w:t xml:space="preserve">. </w:t>
      </w:r>
      <w:r w:rsidR="00157A61">
        <w:rPr>
          <w:sz w:val="24"/>
          <w:szCs w:val="24"/>
        </w:rPr>
        <w:t xml:space="preserve">The IOPC </w:t>
      </w:r>
      <w:r w:rsidR="00911AB3">
        <w:rPr>
          <w:sz w:val="24"/>
          <w:szCs w:val="24"/>
        </w:rPr>
        <w:t xml:space="preserve">manages and leads </w:t>
      </w:r>
      <w:r w:rsidR="00157A61">
        <w:rPr>
          <w:sz w:val="24"/>
          <w:szCs w:val="24"/>
        </w:rPr>
        <w:t>gross misconduct cases involving officers and police staff who have neglected the Code of Ethics in their line of work. Cases such as the recent Wayne Couzens case is being investigated by the IOPC alongside Police to manage the gross misconduct and criminal behaviour.</w:t>
      </w:r>
      <w:r w:rsidR="00C93ED0">
        <w:rPr>
          <w:sz w:val="24"/>
          <w:szCs w:val="24"/>
        </w:rPr>
        <w:t xml:space="preserve"> The benefit of the IOPC being involved in cases such as this is that it is able to identify not only the suspect of the initial investigation but also those who may have led to its upbringing. Referencing one of the principles of the Code of Ethics ‘Challenging and Reporting Improper Conduct’ The IOPC found during its investigation into Couzens other officers committing further offences. In September 2022, two former MPS officers received prison sentences after “being convicted of offences under the Communications Act 2003” </w:t>
      </w:r>
      <w:sdt>
        <w:sdtPr>
          <w:rPr>
            <w:sz w:val="24"/>
            <w:szCs w:val="24"/>
          </w:rPr>
          <w:id w:val="-584297554"/>
          <w:citation/>
        </w:sdtPr>
        <w:sdtContent>
          <w:r w:rsidR="00C93ED0">
            <w:rPr>
              <w:sz w:val="24"/>
              <w:szCs w:val="24"/>
            </w:rPr>
            <w:fldChar w:fldCharType="begin"/>
          </w:r>
          <w:r w:rsidR="00C93ED0">
            <w:rPr>
              <w:sz w:val="24"/>
              <w:szCs w:val="24"/>
            </w:rPr>
            <w:instrText xml:space="preserve"> CITATION IOP232 \l 2057 </w:instrText>
          </w:r>
          <w:r w:rsidR="00C93ED0">
            <w:rPr>
              <w:sz w:val="24"/>
              <w:szCs w:val="24"/>
            </w:rPr>
            <w:fldChar w:fldCharType="separate"/>
          </w:r>
          <w:r w:rsidR="008D34E6" w:rsidRPr="008D34E6">
            <w:rPr>
              <w:noProof/>
              <w:sz w:val="24"/>
              <w:szCs w:val="24"/>
            </w:rPr>
            <w:t>(IOPC, 2023)</w:t>
          </w:r>
          <w:r w:rsidR="00C93ED0">
            <w:rPr>
              <w:sz w:val="24"/>
              <w:szCs w:val="24"/>
            </w:rPr>
            <w:fldChar w:fldCharType="end"/>
          </w:r>
        </w:sdtContent>
      </w:sdt>
      <w:r w:rsidR="00D32714">
        <w:rPr>
          <w:sz w:val="24"/>
          <w:szCs w:val="24"/>
        </w:rPr>
        <w:t xml:space="preserve">. This is just one of several advantages of using an external evaluator for matters such as police conduct. It allows the external evaluator (in this case the IOPC) to look at an initial problem and identify several others surrounding it. Further advantages could include the external evaluator not having bias towards the evaluated persons/company and the external evaluator bringing a different perspective to the evaluation. For example, referencing the Couzens case, the IOPC dated back to a previous incident in 2015 referred by Kent Police whereby they were able to identify further offences and misconduct done by other serving officers. </w:t>
      </w:r>
    </w:p>
    <w:p w14:paraId="3493E635" w14:textId="77777777" w:rsidR="00D32714" w:rsidRDefault="00D32714" w:rsidP="001C0797">
      <w:pPr>
        <w:rPr>
          <w:sz w:val="24"/>
          <w:szCs w:val="24"/>
        </w:rPr>
      </w:pPr>
    </w:p>
    <w:p w14:paraId="1677CFE4" w14:textId="3D318EF4" w:rsidR="00D32714" w:rsidRDefault="00D32714" w:rsidP="001C0797">
      <w:pPr>
        <w:rPr>
          <w:sz w:val="24"/>
          <w:szCs w:val="24"/>
        </w:rPr>
      </w:pPr>
      <w:r>
        <w:rPr>
          <w:sz w:val="24"/>
          <w:szCs w:val="24"/>
        </w:rPr>
        <w:t xml:space="preserve">To evaluate on the over-arching question, The Code of Ethics is the baseline of which departments and partner agencies such as the PSD and IOPC use </w:t>
      </w:r>
      <w:r w:rsidR="00152E44">
        <w:rPr>
          <w:sz w:val="24"/>
          <w:szCs w:val="24"/>
        </w:rPr>
        <w:t xml:space="preserve">to formulate their investigations fairly and consistently. It allows these departments to use the Code of Ethics as a guideline of rules that, if broken, leads to sanctions and penalties. </w:t>
      </w:r>
    </w:p>
    <w:p w14:paraId="5E5E4AF4" w14:textId="31B5F186" w:rsidR="00756031" w:rsidRDefault="00152E44" w:rsidP="001C0797">
      <w:pPr>
        <w:rPr>
          <w:sz w:val="24"/>
          <w:szCs w:val="24"/>
        </w:rPr>
      </w:pPr>
      <w:r>
        <w:rPr>
          <w:sz w:val="24"/>
          <w:szCs w:val="24"/>
        </w:rPr>
        <w:lastRenderedPageBreak/>
        <w:t xml:space="preserve">These investigations and sanctions are ways in which re-affirm and reinforce the Code of Ethics into all officers when conducting their duties. Within Reinforcement Theory </w:t>
      </w:r>
      <w:sdt>
        <w:sdtPr>
          <w:rPr>
            <w:sz w:val="24"/>
            <w:szCs w:val="24"/>
          </w:rPr>
          <w:id w:val="1481733869"/>
          <w:citation/>
        </w:sdtPr>
        <w:sdtContent>
          <w:r>
            <w:rPr>
              <w:sz w:val="24"/>
              <w:szCs w:val="24"/>
            </w:rPr>
            <w:fldChar w:fldCharType="begin"/>
          </w:r>
          <w:r>
            <w:rPr>
              <w:sz w:val="24"/>
              <w:szCs w:val="24"/>
            </w:rPr>
            <w:instrText xml:space="preserve"> CITATION BFS38 \l 2057 </w:instrText>
          </w:r>
          <w:r>
            <w:rPr>
              <w:sz w:val="24"/>
              <w:szCs w:val="24"/>
            </w:rPr>
            <w:fldChar w:fldCharType="separate"/>
          </w:r>
          <w:r w:rsidR="008D34E6" w:rsidRPr="008D34E6">
            <w:rPr>
              <w:noProof/>
              <w:sz w:val="24"/>
              <w:szCs w:val="24"/>
            </w:rPr>
            <w:t>(Skinner, 1938)</w:t>
          </w:r>
          <w:r>
            <w:rPr>
              <w:sz w:val="24"/>
              <w:szCs w:val="24"/>
            </w:rPr>
            <w:fldChar w:fldCharType="end"/>
          </w:r>
        </w:sdtContent>
      </w:sdt>
      <w:r>
        <w:rPr>
          <w:sz w:val="24"/>
          <w:szCs w:val="24"/>
        </w:rPr>
        <w:t xml:space="preserve"> which is relevant and quoted by studies today, lies “Operant Conditioning”. This is the theory that applying sanctions and punishments for undesirable behaviour will deter the person from performing undesirable behaviours. This could be highlighted within forces nationwide whereby these sanctions imposed on officers could highlight to future and serving officers the risks they impose upon themselves should they sway from adhering to the Code of Ethics.</w:t>
      </w:r>
    </w:p>
    <w:p w14:paraId="66F7700F" w14:textId="3C88A6A1" w:rsidR="00152E44" w:rsidRDefault="00756031" w:rsidP="001C0797">
      <w:pPr>
        <w:rPr>
          <w:sz w:val="24"/>
          <w:szCs w:val="24"/>
        </w:rPr>
      </w:pPr>
      <w:r>
        <w:rPr>
          <w:sz w:val="24"/>
          <w:szCs w:val="24"/>
        </w:rPr>
        <w:t>With regards to public confidence, as seen by the IOPC statistics of complaints, they are rising against officers across the nation. Despite this, The Code of Ethics was developed as a way of ensuring officers act fairly. The College of Policing state that when the public do not have confidence in the police “</w:t>
      </w:r>
      <w:r w:rsidRPr="00756031">
        <w:rPr>
          <w:sz w:val="24"/>
          <w:szCs w:val="24"/>
        </w:rPr>
        <w:t>they are less likely to assist the police in upholding the law</w:t>
      </w:r>
      <w:r>
        <w:rPr>
          <w:sz w:val="24"/>
          <w:szCs w:val="24"/>
        </w:rPr>
        <w:t xml:space="preserve">” </w:t>
      </w:r>
      <w:sdt>
        <w:sdtPr>
          <w:rPr>
            <w:sz w:val="24"/>
            <w:szCs w:val="24"/>
          </w:rPr>
          <w:id w:val="-1985695633"/>
          <w:citation/>
        </w:sdtPr>
        <w:sdtContent>
          <w:r>
            <w:rPr>
              <w:sz w:val="24"/>
              <w:szCs w:val="24"/>
            </w:rPr>
            <w:fldChar w:fldCharType="begin"/>
          </w:r>
          <w:r>
            <w:rPr>
              <w:sz w:val="24"/>
              <w:szCs w:val="24"/>
            </w:rPr>
            <w:instrText xml:space="preserve"> CITATION Col142 \l 2057 </w:instrText>
          </w:r>
          <w:r>
            <w:rPr>
              <w:sz w:val="24"/>
              <w:szCs w:val="24"/>
            </w:rPr>
            <w:fldChar w:fldCharType="separate"/>
          </w:r>
          <w:r w:rsidR="008D34E6" w:rsidRPr="008D34E6">
            <w:rPr>
              <w:noProof/>
              <w:sz w:val="24"/>
              <w:szCs w:val="24"/>
            </w:rPr>
            <w:t>(College of Policing, 2014)</w:t>
          </w:r>
          <w:r>
            <w:rPr>
              <w:sz w:val="24"/>
              <w:szCs w:val="24"/>
            </w:rPr>
            <w:fldChar w:fldCharType="end"/>
          </w:r>
        </w:sdtContent>
      </w:sdt>
      <w:r>
        <w:rPr>
          <w:sz w:val="24"/>
          <w:szCs w:val="24"/>
        </w:rPr>
        <w:t xml:space="preserve">. This will then lead to further issues of crime not being reported, further complaints against the police due to the public not trusting the actions of those who are there to protect them and crimes continuing to go un-noticed. The Code of Ethics is there to establish a consistent behavioural framework for officers to follow to put the public’s interests and wellbeing first and to help tackle crime in the most efficient and effective way to ensure public confidence. </w:t>
      </w:r>
      <w:r w:rsidR="00753B6E">
        <w:rPr>
          <w:sz w:val="24"/>
          <w:szCs w:val="24"/>
        </w:rPr>
        <w:t>“C</w:t>
      </w:r>
      <w:r w:rsidR="00753B6E" w:rsidRPr="00753B6E">
        <w:rPr>
          <w:sz w:val="24"/>
          <w:szCs w:val="24"/>
        </w:rPr>
        <w:t>onfidence in public service agencies indicates the agency is viewed as performing effectively</w:t>
      </w:r>
      <w:r w:rsidR="00753B6E">
        <w:rPr>
          <w:sz w:val="24"/>
          <w:szCs w:val="24"/>
        </w:rPr>
        <w:t xml:space="preserve">” </w:t>
      </w:r>
      <w:sdt>
        <w:sdtPr>
          <w:rPr>
            <w:sz w:val="24"/>
            <w:szCs w:val="24"/>
          </w:rPr>
          <w:id w:val="1492216751"/>
          <w:citation/>
        </w:sdtPr>
        <w:sdtContent>
          <w:r w:rsidR="00753B6E">
            <w:rPr>
              <w:sz w:val="24"/>
              <w:szCs w:val="24"/>
            </w:rPr>
            <w:fldChar w:fldCharType="begin"/>
          </w:r>
          <w:r w:rsidR="00753B6E">
            <w:rPr>
              <w:sz w:val="24"/>
              <w:szCs w:val="24"/>
            </w:rPr>
            <w:instrText xml:space="preserve"> CITATION Jam19 \l 2057 </w:instrText>
          </w:r>
          <w:r w:rsidR="00753B6E">
            <w:rPr>
              <w:sz w:val="24"/>
              <w:szCs w:val="24"/>
            </w:rPr>
            <w:fldChar w:fldCharType="separate"/>
          </w:r>
          <w:r w:rsidR="008D34E6" w:rsidRPr="008D34E6">
            <w:rPr>
              <w:noProof/>
              <w:sz w:val="24"/>
              <w:szCs w:val="24"/>
            </w:rPr>
            <w:t>(Albrecht, 2019)</w:t>
          </w:r>
          <w:r w:rsidR="00753B6E">
            <w:rPr>
              <w:sz w:val="24"/>
              <w:szCs w:val="24"/>
            </w:rPr>
            <w:fldChar w:fldCharType="end"/>
          </w:r>
        </w:sdtContent>
      </w:sdt>
      <w:r w:rsidR="00911AB3">
        <w:rPr>
          <w:sz w:val="24"/>
          <w:szCs w:val="24"/>
        </w:rPr>
        <w:t>. This statement dictates that the effectiveness of a force is measured by the confidence the public has in its police force therefore, correlating this with the 8% rise in complaints reports, we can establish that the effectiveness of forces nationwide is decreasing. With this, action may need to be taken upon the Code of Ethics to establish more policies or modify existing policies to ensure officers are acting in the public’s interest.</w:t>
      </w:r>
    </w:p>
    <w:p w14:paraId="576F1FA9" w14:textId="532DDCF1" w:rsidR="002B4C2C" w:rsidRPr="00CA4141" w:rsidRDefault="00CA4141" w:rsidP="001C0797">
      <w:pPr>
        <w:rPr>
          <w:b/>
          <w:bCs/>
          <w:i/>
          <w:iCs/>
          <w:sz w:val="24"/>
          <w:szCs w:val="24"/>
        </w:rPr>
      </w:pPr>
      <w:r>
        <w:rPr>
          <w:b/>
          <w:bCs/>
          <w:i/>
          <w:iCs/>
          <w:sz w:val="24"/>
          <w:szCs w:val="24"/>
        </w:rPr>
        <w:t>1098 Words</w:t>
      </w:r>
    </w:p>
    <w:p w14:paraId="40FFC603" w14:textId="2AEE75E1" w:rsidR="00E20DF1" w:rsidRPr="00EB73BE" w:rsidRDefault="00E20DF1" w:rsidP="00E20DF1">
      <w:pPr>
        <w:pStyle w:val="Heading2"/>
        <w:jc w:val="left"/>
        <w:rPr>
          <w:i/>
          <w:iCs/>
        </w:rPr>
      </w:pPr>
      <w:r w:rsidRPr="00EB73BE">
        <w:rPr>
          <w:i/>
          <w:iCs/>
          <w:highlight w:val="lightGray"/>
        </w:rPr>
        <w:t>Q2. How effective is a multi-agency approach as a means of managing violent and sexual offenders?</w:t>
      </w:r>
    </w:p>
    <w:p w14:paraId="6CD4F836" w14:textId="77777777" w:rsidR="00E20DF1" w:rsidRDefault="00E20DF1" w:rsidP="00E20DF1"/>
    <w:p w14:paraId="7F2ED60B" w14:textId="63FC92C2" w:rsidR="00C421B1" w:rsidRDefault="00C421B1" w:rsidP="000A1118">
      <w:pPr>
        <w:ind w:left="360"/>
        <w:rPr>
          <w:sz w:val="24"/>
          <w:szCs w:val="24"/>
        </w:rPr>
      </w:pPr>
      <w:r>
        <w:rPr>
          <w:sz w:val="24"/>
          <w:szCs w:val="24"/>
        </w:rPr>
        <w:t xml:space="preserve">The following essay will evaluate the effectiveness of a multi-agency approach when tackling and managing sexual and violent offenders through several resources such as MAPPA, the VISOR database and MARAC’s which all contribute to the management of offenders. </w:t>
      </w:r>
    </w:p>
    <w:p w14:paraId="00EECE70" w14:textId="2C353FCC" w:rsidR="001F3133" w:rsidRDefault="00C421B1" w:rsidP="000A1118">
      <w:pPr>
        <w:ind w:left="360"/>
        <w:rPr>
          <w:sz w:val="24"/>
          <w:szCs w:val="24"/>
        </w:rPr>
      </w:pPr>
      <w:r>
        <w:rPr>
          <w:sz w:val="24"/>
          <w:szCs w:val="24"/>
        </w:rPr>
        <w:t xml:space="preserve">Firstly, an offence is committed by an individual which then qualifies them as being an offender needed to be managed through MAPPA resources. MAPPA or ‘Multi-Agency Public Protection Arrangements’ were established through sections 325-327B of the Criminal Justice Act 2003 within the UK designed to “protect the public, including victims </w:t>
      </w:r>
      <w:r>
        <w:rPr>
          <w:sz w:val="24"/>
          <w:szCs w:val="24"/>
        </w:rPr>
        <w:lastRenderedPageBreak/>
        <w:t xml:space="preserve">of crime from </w:t>
      </w:r>
      <w:r w:rsidRPr="00C421B1">
        <w:rPr>
          <w:sz w:val="24"/>
          <w:szCs w:val="24"/>
        </w:rPr>
        <w:t>serious harm by sexual or violent and other dangerous offenders</w:t>
      </w:r>
      <w:r>
        <w:rPr>
          <w:sz w:val="24"/>
          <w:szCs w:val="24"/>
        </w:rPr>
        <w:t xml:space="preserve">” </w:t>
      </w:r>
      <w:sdt>
        <w:sdtPr>
          <w:rPr>
            <w:sz w:val="24"/>
            <w:szCs w:val="24"/>
          </w:rPr>
          <w:id w:val="-396276779"/>
          <w:citation/>
        </w:sdtPr>
        <w:sdtContent>
          <w:r>
            <w:rPr>
              <w:sz w:val="24"/>
              <w:szCs w:val="24"/>
            </w:rPr>
            <w:fldChar w:fldCharType="begin"/>
          </w:r>
          <w:r>
            <w:rPr>
              <w:sz w:val="24"/>
              <w:szCs w:val="24"/>
            </w:rPr>
            <w:instrText xml:space="preserve"> CITATION Col17 \l 2057 </w:instrText>
          </w:r>
          <w:r>
            <w:rPr>
              <w:sz w:val="24"/>
              <w:szCs w:val="24"/>
            </w:rPr>
            <w:fldChar w:fldCharType="separate"/>
          </w:r>
          <w:r w:rsidR="008D34E6" w:rsidRPr="008D34E6">
            <w:rPr>
              <w:noProof/>
              <w:sz w:val="24"/>
              <w:szCs w:val="24"/>
            </w:rPr>
            <w:t>(College of Policing, 2017)</w:t>
          </w:r>
          <w:r>
            <w:rPr>
              <w:sz w:val="24"/>
              <w:szCs w:val="24"/>
            </w:rPr>
            <w:fldChar w:fldCharType="end"/>
          </w:r>
        </w:sdtContent>
      </w:sdt>
      <w:r>
        <w:rPr>
          <w:sz w:val="24"/>
          <w:szCs w:val="24"/>
        </w:rPr>
        <w:t>.</w:t>
      </w:r>
      <w:r w:rsidR="001F3133">
        <w:rPr>
          <w:sz w:val="24"/>
          <w:szCs w:val="24"/>
        </w:rPr>
        <w:t xml:space="preserve"> It is a framework in which the offenders are identified and managed by multiple agencies.</w:t>
      </w:r>
      <w:r>
        <w:rPr>
          <w:sz w:val="24"/>
          <w:szCs w:val="24"/>
        </w:rPr>
        <w:t xml:space="preserve"> When an offender is identified</w:t>
      </w:r>
      <w:r w:rsidR="001F3133">
        <w:rPr>
          <w:sz w:val="24"/>
          <w:szCs w:val="24"/>
        </w:rPr>
        <w:t>,</w:t>
      </w:r>
      <w:r>
        <w:rPr>
          <w:sz w:val="24"/>
          <w:szCs w:val="24"/>
        </w:rPr>
        <w:t xml:space="preserve"> MAPPA is put in place to further manage the offender post offence. The offender will be placed in one of three categories which will then determine which agency takes a lead on managing the offender. Category 1 is led by Police which manages </w:t>
      </w:r>
      <w:r w:rsidR="001F3133">
        <w:rPr>
          <w:sz w:val="24"/>
          <w:szCs w:val="24"/>
        </w:rPr>
        <w:t>registered sexual offenders. Category 2 offenders are those who have served 12 months upwards or those who have been transferred to hospital under the Mental Health Act. Category 3 are offenders that don’t fit the criteria of categories 1 or 2 but still pose a danger to the public.</w:t>
      </w:r>
    </w:p>
    <w:p w14:paraId="0E31C4AE" w14:textId="34030C48" w:rsidR="001F3133" w:rsidRDefault="001F3133" w:rsidP="000A1118">
      <w:pPr>
        <w:ind w:left="360"/>
        <w:rPr>
          <w:sz w:val="24"/>
          <w:szCs w:val="24"/>
        </w:rPr>
      </w:pPr>
      <w:r>
        <w:rPr>
          <w:sz w:val="24"/>
          <w:szCs w:val="24"/>
        </w:rPr>
        <w:t xml:space="preserve">Occurring frequently are MARAC meetings or ‘Multi-Agency Risk Assessment Conferences’. These conferences conduct regular risk assessments on those who have been placed under MAPPA and assess whether further arrangements need to be placed on the offender. </w:t>
      </w:r>
      <w:r w:rsidR="002719B2">
        <w:rPr>
          <w:sz w:val="24"/>
          <w:szCs w:val="24"/>
        </w:rPr>
        <w:t xml:space="preserve">Commonly these </w:t>
      </w:r>
      <w:r w:rsidR="003E06EF">
        <w:rPr>
          <w:sz w:val="24"/>
          <w:szCs w:val="24"/>
        </w:rPr>
        <w:t>MARACs</w:t>
      </w:r>
      <w:r w:rsidR="002719B2">
        <w:rPr>
          <w:sz w:val="24"/>
          <w:szCs w:val="24"/>
        </w:rPr>
        <w:t xml:space="preserve"> are focused on high-risk domestic abuse offenders and placing restrictions on offenders such as restraining orders, </w:t>
      </w:r>
      <w:r w:rsidR="005A7A94">
        <w:rPr>
          <w:sz w:val="24"/>
          <w:szCs w:val="24"/>
        </w:rPr>
        <w:t>surveillance,</w:t>
      </w:r>
      <w:r w:rsidR="002719B2">
        <w:rPr>
          <w:sz w:val="24"/>
          <w:szCs w:val="24"/>
        </w:rPr>
        <w:t xml:space="preserve"> and restrictions on freedom such as curfews to ensure they won’t re-offend. Analysing the effectiveness of MARAC, after intervention by MARAC “up to 60% of </w:t>
      </w:r>
      <w:r w:rsidR="002719B2" w:rsidRPr="002719B2">
        <w:rPr>
          <w:sz w:val="24"/>
          <w:szCs w:val="24"/>
        </w:rPr>
        <w:t>domestic abuse victims report no further violence</w:t>
      </w:r>
      <w:r w:rsidR="002719B2">
        <w:rPr>
          <w:sz w:val="24"/>
          <w:szCs w:val="24"/>
        </w:rPr>
        <w:t xml:space="preserve">” </w:t>
      </w:r>
      <w:sdt>
        <w:sdtPr>
          <w:rPr>
            <w:sz w:val="24"/>
            <w:szCs w:val="24"/>
          </w:rPr>
          <w:id w:val="-545073194"/>
          <w:citation/>
        </w:sdtPr>
        <w:sdtContent>
          <w:r w:rsidR="002719B2">
            <w:rPr>
              <w:sz w:val="24"/>
              <w:szCs w:val="24"/>
            </w:rPr>
            <w:fldChar w:fldCharType="begin"/>
          </w:r>
          <w:r w:rsidR="003E06EF">
            <w:rPr>
              <w:sz w:val="24"/>
              <w:szCs w:val="24"/>
            </w:rPr>
            <w:instrText xml:space="preserve">CITATION Ama12 \l 2057 </w:instrText>
          </w:r>
          <w:r w:rsidR="002719B2">
            <w:rPr>
              <w:sz w:val="24"/>
              <w:szCs w:val="24"/>
            </w:rPr>
            <w:fldChar w:fldCharType="separate"/>
          </w:r>
          <w:r w:rsidR="008D34E6" w:rsidRPr="008D34E6">
            <w:rPr>
              <w:noProof/>
              <w:sz w:val="24"/>
              <w:szCs w:val="24"/>
            </w:rPr>
            <w:t>(Robinson &amp; Howarth, 2012)</w:t>
          </w:r>
          <w:r w:rsidR="002719B2">
            <w:rPr>
              <w:sz w:val="24"/>
              <w:szCs w:val="24"/>
            </w:rPr>
            <w:fldChar w:fldCharType="end"/>
          </w:r>
        </w:sdtContent>
      </w:sdt>
      <w:r w:rsidR="003E06EF">
        <w:rPr>
          <w:sz w:val="24"/>
          <w:szCs w:val="24"/>
        </w:rPr>
        <w:t xml:space="preserve"> showing that MARAC referrals are effective in tackling and stopping re-offending. Further to restrictions being placed, other agencies are made aware of the offending. Health care professionals are advised of injuries sustained</w:t>
      </w:r>
      <w:r w:rsidR="005A7A94">
        <w:rPr>
          <w:sz w:val="24"/>
          <w:szCs w:val="24"/>
        </w:rPr>
        <w:t xml:space="preserve"> and to separate offender and victim so that an individual account can be taken</w:t>
      </w:r>
      <w:r w:rsidR="003E06EF">
        <w:rPr>
          <w:sz w:val="24"/>
          <w:szCs w:val="24"/>
        </w:rPr>
        <w:t xml:space="preserve">, housing are notified if applicable to find suitable accommodation elsewhere for the victim and if involving children or persons under 18 then their education provider and CYPS (Children and Young Peoples Services) are notified to monitor and assess the child regularly for behavioural patterns </w:t>
      </w:r>
      <w:sdt>
        <w:sdtPr>
          <w:rPr>
            <w:sz w:val="24"/>
            <w:szCs w:val="24"/>
          </w:rPr>
          <w:id w:val="-1686051661"/>
          <w:citation/>
        </w:sdtPr>
        <w:sdtContent>
          <w:r w:rsidR="003E06EF">
            <w:rPr>
              <w:sz w:val="24"/>
              <w:szCs w:val="24"/>
            </w:rPr>
            <w:fldChar w:fldCharType="begin"/>
          </w:r>
          <w:r w:rsidR="003E06EF">
            <w:rPr>
              <w:sz w:val="24"/>
              <w:szCs w:val="24"/>
            </w:rPr>
            <w:instrText xml:space="preserve"> CITATION Saf14 \l 2057 </w:instrText>
          </w:r>
          <w:r w:rsidR="003E06EF">
            <w:rPr>
              <w:sz w:val="24"/>
              <w:szCs w:val="24"/>
            </w:rPr>
            <w:fldChar w:fldCharType="separate"/>
          </w:r>
          <w:r w:rsidR="008D34E6" w:rsidRPr="008D34E6">
            <w:rPr>
              <w:noProof/>
              <w:sz w:val="24"/>
              <w:szCs w:val="24"/>
            </w:rPr>
            <w:t>(SafeLives, 2014)</w:t>
          </w:r>
          <w:r w:rsidR="003E06EF">
            <w:rPr>
              <w:sz w:val="24"/>
              <w:szCs w:val="24"/>
            </w:rPr>
            <w:fldChar w:fldCharType="end"/>
          </w:r>
        </w:sdtContent>
      </w:sdt>
      <w:r w:rsidR="005A7A94">
        <w:rPr>
          <w:sz w:val="24"/>
          <w:szCs w:val="24"/>
        </w:rPr>
        <w:t xml:space="preserve">. In order for MARAC to be effective, all agencies involved must be transparent in the arrangements they are completing and sharing any information relevant to the victim/offender relationship. The victim is also informed regularly of implications that are taking place. Due to the stress the victim may feel from the initial offence, they are informed of actions taken so that they feel a difference is being made. </w:t>
      </w:r>
      <w:r w:rsidR="00617304">
        <w:rPr>
          <w:sz w:val="24"/>
          <w:szCs w:val="24"/>
        </w:rPr>
        <w:t>MARACs are also effective within the South Wales force area. According to MRI a housing agency that engages with MARAC, Within the Cardiff area, “</w:t>
      </w:r>
      <w:r w:rsidR="00617304" w:rsidRPr="00617304">
        <w:rPr>
          <w:sz w:val="24"/>
          <w:szCs w:val="24"/>
        </w:rPr>
        <w:t>repeat victimisation fell from a rate of 38% to just under 10% following a MARAC</w:t>
      </w:r>
      <w:r w:rsidR="00617304">
        <w:rPr>
          <w:sz w:val="24"/>
          <w:szCs w:val="24"/>
        </w:rPr>
        <w:t xml:space="preserve">” </w:t>
      </w:r>
      <w:sdt>
        <w:sdtPr>
          <w:rPr>
            <w:sz w:val="24"/>
            <w:szCs w:val="24"/>
          </w:rPr>
          <w:id w:val="-610826165"/>
          <w:citation/>
        </w:sdtPr>
        <w:sdtContent>
          <w:r w:rsidR="00617304">
            <w:rPr>
              <w:sz w:val="24"/>
              <w:szCs w:val="24"/>
            </w:rPr>
            <w:fldChar w:fldCharType="begin"/>
          </w:r>
          <w:r w:rsidR="00617304">
            <w:rPr>
              <w:sz w:val="24"/>
              <w:szCs w:val="24"/>
            </w:rPr>
            <w:instrText xml:space="preserve"> CITATION MRI20 \l 2057 </w:instrText>
          </w:r>
          <w:r w:rsidR="00617304">
            <w:rPr>
              <w:sz w:val="24"/>
              <w:szCs w:val="24"/>
            </w:rPr>
            <w:fldChar w:fldCharType="separate"/>
          </w:r>
          <w:r w:rsidR="008D34E6" w:rsidRPr="008D34E6">
            <w:rPr>
              <w:noProof/>
              <w:sz w:val="24"/>
              <w:szCs w:val="24"/>
            </w:rPr>
            <w:t>(MRI Social Housing, 2020)</w:t>
          </w:r>
          <w:r w:rsidR="00617304">
            <w:rPr>
              <w:sz w:val="24"/>
              <w:szCs w:val="24"/>
            </w:rPr>
            <w:fldChar w:fldCharType="end"/>
          </w:r>
        </w:sdtContent>
      </w:sdt>
      <w:r w:rsidR="00617304">
        <w:rPr>
          <w:sz w:val="24"/>
          <w:szCs w:val="24"/>
        </w:rPr>
        <w:t xml:space="preserve"> further justifying the effectiveness of MARAC’s in preventing re-offending.</w:t>
      </w:r>
    </w:p>
    <w:p w14:paraId="3B60A744" w14:textId="61DB5533" w:rsidR="004E5450" w:rsidRDefault="004E5450" w:rsidP="000A1118">
      <w:pPr>
        <w:ind w:left="360"/>
        <w:rPr>
          <w:sz w:val="24"/>
          <w:szCs w:val="24"/>
        </w:rPr>
      </w:pPr>
      <w:r>
        <w:rPr>
          <w:sz w:val="24"/>
          <w:szCs w:val="24"/>
        </w:rPr>
        <w:t>MAPPA and MARAC resources are not always effective and can be managed poorly if wrong decisions are made. Justice Inspectorate, a lead external evaluator used by the government to monitor their justice systems, conducted an inspection in July 2022 where they concluded that “</w:t>
      </w:r>
      <w:r w:rsidRPr="004E5450">
        <w:rPr>
          <w:sz w:val="24"/>
          <w:szCs w:val="24"/>
        </w:rPr>
        <w:t xml:space="preserve">Over a fifth of the Level 1 cases we inspected should have </w:t>
      </w:r>
      <w:r w:rsidRPr="004E5450">
        <w:rPr>
          <w:sz w:val="24"/>
          <w:szCs w:val="24"/>
        </w:rPr>
        <w:lastRenderedPageBreak/>
        <w:t>been managed at Level 2</w:t>
      </w:r>
      <w:r>
        <w:rPr>
          <w:sz w:val="24"/>
          <w:szCs w:val="24"/>
        </w:rPr>
        <w:t>” and that resources assigned to MAPPA in select force areas are “</w:t>
      </w:r>
      <w:r w:rsidRPr="004E5450">
        <w:rPr>
          <w:sz w:val="24"/>
          <w:szCs w:val="24"/>
        </w:rPr>
        <w:t>insufficient and relies too heavily on operational staff who already have heavy workloads.</w:t>
      </w:r>
      <w:r>
        <w:rPr>
          <w:sz w:val="24"/>
          <w:szCs w:val="24"/>
        </w:rPr>
        <w:t>”</w:t>
      </w:r>
      <w:sdt>
        <w:sdtPr>
          <w:rPr>
            <w:sz w:val="24"/>
            <w:szCs w:val="24"/>
          </w:rPr>
          <w:id w:val="-191388792"/>
          <w:citation/>
        </w:sdtPr>
        <w:sdtContent>
          <w:r>
            <w:rPr>
              <w:sz w:val="24"/>
              <w:szCs w:val="24"/>
            </w:rPr>
            <w:fldChar w:fldCharType="begin"/>
          </w:r>
          <w:r>
            <w:rPr>
              <w:sz w:val="24"/>
              <w:szCs w:val="24"/>
            </w:rPr>
            <w:instrText xml:space="preserve"> CITATION Jus22 \l 2057 </w:instrText>
          </w:r>
          <w:r>
            <w:rPr>
              <w:sz w:val="24"/>
              <w:szCs w:val="24"/>
            </w:rPr>
            <w:fldChar w:fldCharType="separate"/>
          </w:r>
          <w:r w:rsidR="008D34E6">
            <w:rPr>
              <w:noProof/>
              <w:sz w:val="24"/>
              <w:szCs w:val="24"/>
            </w:rPr>
            <w:t xml:space="preserve"> </w:t>
          </w:r>
          <w:r w:rsidR="008D34E6" w:rsidRPr="008D34E6">
            <w:rPr>
              <w:noProof/>
              <w:sz w:val="24"/>
              <w:szCs w:val="24"/>
            </w:rPr>
            <w:t>(Justice Inspectorates, 2022)</w:t>
          </w:r>
          <w:r>
            <w:rPr>
              <w:sz w:val="24"/>
              <w:szCs w:val="24"/>
            </w:rPr>
            <w:fldChar w:fldCharType="end"/>
          </w:r>
        </w:sdtContent>
      </w:sdt>
      <w:r w:rsidR="007E34A4">
        <w:rPr>
          <w:sz w:val="24"/>
          <w:szCs w:val="24"/>
        </w:rPr>
        <w:t>. Analysing these statistics, it can be concluded that despite the effectiveness of MARAC referrals and MAPPA resources being assigned, it appears that more can be done if allocated correctly. As suggested in the report, a reformation of the framework for initial risk assessment is needed to ensure that cases are being assigned to the correct categories of MAPPA and that sufficient resources are funded and allocated to ensure they are dealt with promptly and effectively.</w:t>
      </w:r>
    </w:p>
    <w:p w14:paraId="520F8810" w14:textId="35918551" w:rsidR="00B947FA" w:rsidRDefault="00B947FA" w:rsidP="000A1118">
      <w:pPr>
        <w:ind w:left="360"/>
        <w:rPr>
          <w:sz w:val="24"/>
          <w:szCs w:val="24"/>
        </w:rPr>
      </w:pPr>
      <w:r>
        <w:rPr>
          <w:sz w:val="24"/>
          <w:szCs w:val="24"/>
        </w:rPr>
        <w:t>Despite being managed by MAPPA, offenders are to be placed upon a national database that can be accessed by agencies involved in MAPPA to ensure they are informed of all relevant information about persons they may come in contact with under MAPPA. This database is named ViSOR</w:t>
      </w:r>
      <w:r w:rsidR="00F25617">
        <w:rPr>
          <w:sz w:val="24"/>
          <w:szCs w:val="24"/>
        </w:rPr>
        <w:t>. It was issued across all police forces in 2005 and further issued to probation services and prisons service in 2007 and 2008. The database holds information on ‘dangerous persons’ identified by MAPPA including their initial offence, restrictions placed upon them and their category of MAPPA. ViSOR or the ‘Violent and Sexual Offenders Register’ holds information on all dangerous persons which include</w:t>
      </w:r>
      <w:r w:rsidR="00F936C0">
        <w:rPr>
          <w:sz w:val="24"/>
          <w:szCs w:val="24"/>
        </w:rPr>
        <w:t xml:space="preserve"> violent, sexual, terrorist and potential violent offenders. The effectiveness of ViSOR is all dependent on the information provided by agencies when encountering those registered on the database. As stated by the College of Policing, “</w:t>
      </w:r>
      <w:r w:rsidR="00F936C0" w:rsidRPr="00F936C0">
        <w:rPr>
          <w:sz w:val="24"/>
          <w:szCs w:val="24"/>
        </w:rPr>
        <w:t>Its effectiveness is dependent on the quality and timeliness of information and intelligence recorded within it</w:t>
      </w:r>
      <w:r w:rsidR="00F936C0">
        <w:rPr>
          <w:sz w:val="24"/>
          <w:szCs w:val="24"/>
        </w:rPr>
        <w:t xml:space="preserve">” </w:t>
      </w:r>
      <w:sdt>
        <w:sdtPr>
          <w:rPr>
            <w:sz w:val="24"/>
            <w:szCs w:val="24"/>
          </w:rPr>
          <w:id w:val="-1102647756"/>
          <w:citation/>
        </w:sdtPr>
        <w:sdtContent>
          <w:r w:rsidR="00F936C0">
            <w:rPr>
              <w:sz w:val="24"/>
              <w:szCs w:val="24"/>
            </w:rPr>
            <w:fldChar w:fldCharType="begin"/>
          </w:r>
          <w:r w:rsidR="00F936C0">
            <w:rPr>
              <w:sz w:val="24"/>
              <w:szCs w:val="24"/>
            </w:rPr>
            <w:instrText xml:space="preserve"> CITATION Col17 \l 2057 </w:instrText>
          </w:r>
          <w:r w:rsidR="00F936C0">
            <w:rPr>
              <w:sz w:val="24"/>
              <w:szCs w:val="24"/>
            </w:rPr>
            <w:fldChar w:fldCharType="separate"/>
          </w:r>
          <w:r w:rsidR="008D34E6" w:rsidRPr="008D34E6">
            <w:rPr>
              <w:noProof/>
              <w:sz w:val="24"/>
              <w:szCs w:val="24"/>
            </w:rPr>
            <w:t>(College of Policing, 2017)</w:t>
          </w:r>
          <w:r w:rsidR="00F936C0">
            <w:rPr>
              <w:sz w:val="24"/>
              <w:szCs w:val="24"/>
            </w:rPr>
            <w:fldChar w:fldCharType="end"/>
          </w:r>
        </w:sdtContent>
      </w:sdt>
      <w:r w:rsidR="00F936C0">
        <w:rPr>
          <w:sz w:val="24"/>
          <w:szCs w:val="24"/>
        </w:rPr>
        <w:t>. Evaluating its effectiveness and reviewing the inspection from Justice Inspectorates, they found that ViSOR was not being utilised by Prison and Probation services to a standard they should be and where they were using the database “</w:t>
      </w:r>
      <w:r w:rsidR="00F936C0" w:rsidRPr="00F936C0">
        <w:rPr>
          <w:sz w:val="24"/>
          <w:szCs w:val="24"/>
        </w:rPr>
        <w:t>the quality of the information provided was rarely of a high standard</w:t>
      </w:r>
      <w:r w:rsidR="00F936C0">
        <w:rPr>
          <w:sz w:val="24"/>
          <w:szCs w:val="24"/>
        </w:rPr>
        <w:t xml:space="preserve">” </w:t>
      </w:r>
      <w:sdt>
        <w:sdtPr>
          <w:rPr>
            <w:sz w:val="24"/>
            <w:szCs w:val="24"/>
          </w:rPr>
          <w:id w:val="506717787"/>
          <w:citation/>
        </w:sdtPr>
        <w:sdtContent>
          <w:r w:rsidR="00F936C0">
            <w:rPr>
              <w:sz w:val="24"/>
              <w:szCs w:val="24"/>
            </w:rPr>
            <w:fldChar w:fldCharType="begin"/>
          </w:r>
          <w:r w:rsidR="00F936C0">
            <w:rPr>
              <w:sz w:val="24"/>
              <w:szCs w:val="24"/>
            </w:rPr>
            <w:instrText xml:space="preserve"> CITATION Jus22 \l 2057 </w:instrText>
          </w:r>
          <w:r w:rsidR="00F936C0">
            <w:rPr>
              <w:sz w:val="24"/>
              <w:szCs w:val="24"/>
            </w:rPr>
            <w:fldChar w:fldCharType="separate"/>
          </w:r>
          <w:r w:rsidR="008D34E6" w:rsidRPr="008D34E6">
            <w:rPr>
              <w:noProof/>
              <w:sz w:val="24"/>
              <w:szCs w:val="24"/>
            </w:rPr>
            <w:t>(Justice Inspectorates, 2022)</w:t>
          </w:r>
          <w:r w:rsidR="00F936C0">
            <w:rPr>
              <w:sz w:val="24"/>
              <w:szCs w:val="24"/>
            </w:rPr>
            <w:fldChar w:fldCharType="end"/>
          </w:r>
        </w:sdtContent>
      </w:sdt>
      <w:r w:rsidR="00F936C0">
        <w:rPr>
          <w:sz w:val="24"/>
          <w:szCs w:val="24"/>
        </w:rPr>
        <w:t>. ViSOR as a database must be utilised in an effective manner by all agencies in order for the correct prevention methods to be established. Without the correct information, preventative methods may be applied which prove in-effective and thus compromising the public’s safety</w:t>
      </w:r>
      <w:r w:rsidR="000A1118">
        <w:rPr>
          <w:sz w:val="24"/>
          <w:szCs w:val="24"/>
        </w:rPr>
        <w:t xml:space="preserve"> and confidence in keeping them safe.</w:t>
      </w:r>
    </w:p>
    <w:p w14:paraId="0DECC736" w14:textId="76FAA1B0" w:rsidR="000A1118" w:rsidRDefault="000A1118" w:rsidP="000A1118">
      <w:pPr>
        <w:ind w:left="360"/>
        <w:rPr>
          <w:sz w:val="24"/>
          <w:szCs w:val="24"/>
        </w:rPr>
      </w:pPr>
      <w:r>
        <w:rPr>
          <w:sz w:val="24"/>
          <w:szCs w:val="24"/>
        </w:rPr>
        <w:t xml:space="preserve">To conclude, assessing the data gathered within this essay it can be concluded that MAPPA and a Multi-agency Approach to managing violent and sexual offenders can and is effective if used correctly. Despite this, several agencies are currently failing to utilise the full potential of MAPPA resources such as ViSOR and thus compromising the management of offenders once re-introduced into society. MARAC referrals appear to be highly effective for those referred to them and have helped tackle re-offending rates in the South Wales force area. Finally, the initial assessment framework for categorising offenders appears to be flawed and recommendations by governing evaluators have </w:t>
      </w:r>
      <w:r>
        <w:rPr>
          <w:sz w:val="24"/>
          <w:szCs w:val="24"/>
        </w:rPr>
        <w:lastRenderedPageBreak/>
        <w:t>been put forth to highlight issues with the system and to amend for the safety of the public.</w:t>
      </w:r>
    </w:p>
    <w:p w14:paraId="19B0B062" w14:textId="5F802C6B" w:rsidR="00C421B1" w:rsidRPr="00CA4141" w:rsidRDefault="001F3133" w:rsidP="00C421B1">
      <w:pPr>
        <w:ind w:left="360"/>
        <w:jc w:val="both"/>
        <w:rPr>
          <w:b/>
          <w:bCs/>
          <w:i/>
          <w:iCs/>
          <w:sz w:val="24"/>
          <w:szCs w:val="24"/>
        </w:rPr>
      </w:pPr>
      <w:r>
        <w:rPr>
          <w:sz w:val="24"/>
          <w:szCs w:val="24"/>
        </w:rPr>
        <w:t xml:space="preserve"> </w:t>
      </w:r>
      <w:r w:rsidR="00CA4141">
        <w:rPr>
          <w:b/>
          <w:bCs/>
          <w:i/>
          <w:iCs/>
          <w:sz w:val="24"/>
          <w:szCs w:val="24"/>
        </w:rPr>
        <w:t>1064 Words</w:t>
      </w:r>
    </w:p>
    <w:p w14:paraId="371D2DF0" w14:textId="09276CCF" w:rsidR="00CA4141" w:rsidRDefault="00E20DF1" w:rsidP="008865F2">
      <w:pPr>
        <w:pStyle w:val="Heading2"/>
        <w:jc w:val="left"/>
      </w:pPr>
      <w:r w:rsidRPr="00EB73BE">
        <w:rPr>
          <w:highlight w:val="lightGray"/>
        </w:rPr>
        <w:t>Q3. To what extent is ‘lifestyle’ theory an accurate reflection of what makes certain people vulnerable to becoming a victim of Serious and Organised Crime?</w:t>
      </w:r>
    </w:p>
    <w:p w14:paraId="545C15CA" w14:textId="77777777" w:rsidR="008865F2" w:rsidRPr="008865F2" w:rsidRDefault="008865F2" w:rsidP="008865F2"/>
    <w:p w14:paraId="0FFD197E" w14:textId="784DC404" w:rsidR="00CA4141" w:rsidRDefault="00CA4141" w:rsidP="0055352F">
      <w:pPr>
        <w:rPr>
          <w:sz w:val="24"/>
          <w:szCs w:val="24"/>
        </w:rPr>
      </w:pPr>
      <w:r>
        <w:rPr>
          <w:sz w:val="24"/>
          <w:szCs w:val="24"/>
        </w:rPr>
        <w:t xml:space="preserve">Vulnerability and victims of serious and organised crime are a large part of todays policing. Firstly, Vulnerability is a complex term used throughout many different contexts however, due to its complexity the policing term </w:t>
      </w:r>
      <w:r w:rsidR="00542424">
        <w:rPr>
          <w:sz w:val="24"/>
          <w:szCs w:val="24"/>
        </w:rPr>
        <w:t>for a vulnerable person</w:t>
      </w:r>
      <w:r>
        <w:rPr>
          <w:sz w:val="24"/>
          <w:szCs w:val="24"/>
        </w:rPr>
        <w:t xml:space="preserve"> can be defined as “</w:t>
      </w:r>
      <w:r w:rsidR="00542424" w:rsidRPr="00542424">
        <w:rPr>
          <w:sz w:val="24"/>
          <w:szCs w:val="24"/>
        </w:rPr>
        <w:t>as a result of their situation or circumstances, they are unable to take care of or protect themselves</w:t>
      </w:r>
      <w:r w:rsidR="00542424">
        <w:rPr>
          <w:sz w:val="24"/>
          <w:szCs w:val="24"/>
        </w:rPr>
        <w:t xml:space="preserve"> </w:t>
      </w:r>
      <w:r w:rsidR="00542424" w:rsidRPr="00542424">
        <w:rPr>
          <w:sz w:val="24"/>
          <w:szCs w:val="24"/>
        </w:rPr>
        <w:t>or others from harm or exploitation</w:t>
      </w:r>
      <w:r w:rsidR="00542424">
        <w:rPr>
          <w:sz w:val="24"/>
          <w:szCs w:val="24"/>
        </w:rPr>
        <w:t xml:space="preserve">” </w:t>
      </w:r>
      <w:sdt>
        <w:sdtPr>
          <w:rPr>
            <w:sz w:val="24"/>
            <w:szCs w:val="24"/>
          </w:rPr>
          <w:id w:val="-512532474"/>
          <w:citation/>
        </w:sdtPr>
        <w:sdtContent>
          <w:r w:rsidR="00542424">
            <w:rPr>
              <w:sz w:val="24"/>
              <w:szCs w:val="24"/>
            </w:rPr>
            <w:fldChar w:fldCharType="begin"/>
          </w:r>
          <w:r w:rsidR="00542424">
            <w:rPr>
              <w:sz w:val="24"/>
              <w:szCs w:val="24"/>
            </w:rPr>
            <w:instrText xml:space="preserve"> CITATION Col211 \l 2057 </w:instrText>
          </w:r>
          <w:r w:rsidR="00542424">
            <w:rPr>
              <w:sz w:val="24"/>
              <w:szCs w:val="24"/>
            </w:rPr>
            <w:fldChar w:fldCharType="separate"/>
          </w:r>
          <w:r w:rsidR="008D34E6" w:rsidRPr="008D34E6">
            <w:rPr>
              <w:noProof/>
              <w:sz w:val="24"/>
              <w:szCs w:val="24"/>
            </w:rPr>
            <w:t>(College of Policing, 2021)</w:t>
          </w:r>
          <w:r w:rsidR="00542424">
            <w:rPr>
              <w:sz w:val="24"/>
              <w:szCs w:val="24"/>
            </w:rPr>
            <w:fldChar w:fldCharType="end"/>
          </w:r>
        </w:sdtContent>
      </w:sdt>
      <w:r w:rsidR="00542424">
        <w:rPr>
          <w:sz w:val="24"/>
          <w:szCs w:val="24"/>
        </w:rPr>
        <w:t>. Being a vulnerable person can consist of several factors such as age (</w:t>
      </w:r>
      <w:r w:rsidR="008865F2">
        <w:rPr>
          <w:sz w:val="24"/>
          <w:szCs w:val="24"/>
        </w:rPr>
        <w:t>&lt;18</w:t>
      </w:r>
      <w:r w:rsidR="00542424">
        <w:rPr>
          <w:sz w:val="24"/>
          <w:szCs w:val="24"/>
        </w:rPr>
        <w:t>)</w:t>
      </w:r>
      <w:r w:rsidR="0055352F">
        <w:rPr>
          <w:sz w:val="24"/>
          <w:szCs w:val="24"/>
        </w:rPr>
        <w:t xml:space="preserve"> or</w:t>
      </w:r>
      <w:r w:rsidR="00542424">
        <w:rPr>
          <w:sz w:val="24"/>
          <w:szCs w:val="24"/>
        </w:rPr>
        <w:t xml:space="preserve"> capacity</w:t>
      </w:r>
      <w:r w:rsidR="0055352F">
        <w:rPr>
          <w:sz w:val="24"/>
          <w:szCs w:val="24"/>
        </w:rPr>
        <w:t xml:space="preserve"> whereby a vulnerable person may also then be susceptible to victimisation. Victimisation can be simplified as the process of being targeted of a deviant action and making a person a victim. A victim has been defined by the Victims Code, a code of practice set up in 2005 in </w:t>
      </w:r>
      <w:r w:rsidR="008865F2">
        <w:rPr>
          <w:sz w:val="24"/>
          <w:szCs w:val="24"/>
        </w:rPr>
        <w:t>England and Wales</w:t>
      </w:r>
      <w:r w:rsidR="0055352F">
        <w:rPr>
          <w:sz w:val="24"/>
          <w:szCs w:val="24"/>
        </w:rPr>
        <w:t xml:space="preserve"> to ensure the standards of victim care is established, as somebody who has “</w:t>
      </w:r>
      <w:r w:rsidR="0055352F" w:rsidRPr="0055352F">
        <w:rPr>
          <w:sz w:val="24"/>
          <w:szCs w:val="24"/>
        </w:rPr>
        <w:t xml:space="preserve">suffered harm, </w:t>
      </w:r>
      <w:r w:rsidR="008865F2" w:rsidRPr="0055352F">
        <w:rPr>
          <w:sz w:val="24"/>
          <w:szCs w:val="24"/>
        </w:rPr>
        <w:t xml:space="preserve">including </w:t>
      </w:r>
      <w:r w:rsidR="008865F2">
        <w:rPr>
          <w:sz w:val="24"/>
          <w:szCs w:val="24"/>
        </w:rPr>
        <w:t>physical</w:t>
      </w:r>
      <w:r w:rsidR="0055352F" w:rsidRPr="0055352F">
        <w:rPr>
          <w:sz w:val="24"/>
          <w:szCs w:val="24"/>
        </w:rPr>
        <w:t>, mental or emotional harm or economic loss</w:t>
      </w:r>
      <w:r w:rsidR="0055352F">
        <w:rPr>
          <w:sz w:val="24"/>
          <w:szCs w:val="24"/>
        </w:rPr>
        <w:t xml:space="preserve">”. These sufferings must have been done as a direct action from a criminal offence </w:t>
      </w:r>
      <w:sdt>
        <w:sdtPr>
          <w:rPr>
            <w:sz w:val="24"/>
            <w:szCs w:val="24"/>
          </w:rPr>
          <w:id w:val="944276314"/>
          <w:citation/>
        </w:sdtPr>
        <w:sdtContent>
          <w:r w:rsidR="0055352F">
            <w:rPr>
              <w:sz w:val="24"/>
              <w:szCs w:val="24"/>
            </w:rPr>
            <w:fldChar w:fldCharType="begin"/>
          </w:r>
          <w:r w:rsidR="0055352F">
            <w:rPr>
              <w:sz w:val="24"/>
              <w:szCs w:val="24"/>
            </w:rPr>
            <w:instrText xml:space="preserve">CITATION Min02 \l 2057 </w:instrText>
          </w:r>
          <w:r w:rsidR="0055352F">
            <w:rPr>
              <w:sz w:val="24"/>
              <w:szCs w:val="24"/>
            </w:rPr>
            <w:fldChar w:fldCharType="separate"/>
          </w:r>
          <w:r w:rsidR="008D34E6" w:rsidRPr="008D34E6">
            <w:rPr>
              <w:noProof/>
              <w:sz w:val="24"/>
              <w:szCs w:val="24"/>
            </w:rPr>
            <w:t>(Ministry of Justice, 2020)</w:t>
          </w:r>
          <w:r w:rsidR="0055352F">
            <w:rPr>
              <w:sz w:val="24"/>
              <w:szCs w:val="24"/>
            </w:rPr>
            <w:fldChar w:fldCharType="end"/>
          </w:r>
        </w:sdtContent>
      </w:sdt>
      <w:r w:rsidR="00D12D53">
        <w:rPr>
          <w:sz w:val="24"/>
          <w:szCs w:val="24"/>
        </w:rPr>
        <w:t xml:space="preserve">. </w:t>
      </w:r>
    </w:p>
    <w:p w14:paraId="0C20E997" w14:textId="55D473E3" w:rsidR="00D12D53" w:rsidRDefault="00D12D53" w:rsidP="0055352F">
      <w:pPr>
        <w:rPr>
          <w:sz w:val="24"/>
          <w:szCs w:val="24"/>
        </w:rPr>
      </w:pPr>
      <w:r>
        <w:rPr>
          <w:sz w:val="24"/>
          <w:szCs w:val="24"/>
        </w:rPr>
        <w:t xml:space="preserve">Understanding the basis for vulnerability and victimisation, </w:t>
      </w:r>
      <w:r w:rsidR="00F71E42">
        <w:rPr>
          <w:sz w:val="24"/>
          <w:szCs w:val="24"/>
        </w:rPr>
        <w:t>it can</w:t>
      </w:r>
      <w:r>
        <w:rPr>
          <w:sz w:val="24"/>
          <w:szCs w:val="24"/>
        </w:rPr>
        <w:t xml:space="preserve"> now </w:t>
      </w:r>
      <w:r w:rsidR="00F71E42">
        <w:rPr>
          <w:sz w:val="24"/>
          <w:szCs w:val="24"/>
        </w:rPr>
        <w:t xml:space="preserve">be </w:t>
      </w:r>
      <w:r>
        <w:rPr>
          <w:sz w:val="24"/>
          <w:szCs w:val="24"/>
        </w:rPr>
        <w:t>establish</w:t>
      </w:r>
      <w:r w:rsidR="00F71E42">
        <w:rPr>
          <w:sz w:val="24"/>
          <w:szCs w:val="24"/>
        </w:rPr>
        <w:t>ed</w:t>
      </w:r>
      <w:r>
        <w:rPr>
          <w:sz w:val="24"/>
          <w:szCs w:val="24"/>
        </w:rPr>
        <w:t xml:space="preserve"> what Lifestyle Theory tries to explain how victimisation occurs and what makes persons vulnerable. At </w:t>
      </w:r>
      <w:r w:rsidR="008865F2">
        <w:rPr>
          <w:sz w:val="24"/>
          <w:szCs w:val="24"/>
        </w:rPr>
        <w:t>its</w:t>
      </w:r>
      <w:r>
        <w:rPr>
          <w:sz w:val="24"/>
          <w:szCs w:val="24"/>
        </w:rPr>
        <w:t xml:space="preserve"> core, Lifestyle Theory explains that persons are made vulnerable to victimisation through their ‘lifestyle choices’. For example, a person who chooses to engage in reckless behaviour and involve themselves in activities associated with criminality such as drug abuse or associating with known criminals are more likely themselves to become victimised by criminality. The theory was developed by Glenn Walters in 1990 whereby he explored this premise of choice leading to criminality. </w:t>
      </w:r>
      <w:r w:rsidR="006E3968">
        <w:rPr>
          <w:sz w:val="24"/>
          <w:szCs w:val="24"/>
        </w:rPr>
        <w:t>Walters explains in Lifestyle Theory that “Victimisation is the function of the victim’s lifestyle”</w:t>
      </w:r>
      <w:sdt>
        <w:sdtPr>
          <w:rPr>
            <w:sz w:val="24"/>
            <w:szCs w:val="24"/>
          </w:rPr>
          <w:id w:val="1462390639"/>
          <w:citation/>
        </w:sdtPr>
        <w:sdtContent>
          <w:r w:rsidR="006E3968">
            <w:rPr>
              <w:sz w:val="24"/>
              <w:szCs w:val="24"/>
            </w:rPr>
            <w:fldChar w:fldCharType="begin"/>
          </w:r>
          <w:r w:rsidR="006E3968">
            <w:rPr>
              <w:sz w:val="24"/>
              <w:szCs w:val="24"/>
            </w:rPr>
            <w:instrText xml:space="preserve"> CITATION Wal18 \l 2057 </w:instrText>
          </w:r>
          <w:r w:rsidR="006E3968">
            <w:rPr>
              <w:sz w:val="24"/>
              <w:szCs w:val="24"/>
            </w:rPr>
            <w:fldChar w:fldCharType="separate"/>
          </w:r>
          <w:r w:rsidR="008D34E6">
            <w:rPr>
              <w:noProof/>
              <w:sz w:val="24"/>
              <w:szCs w:val="24"/>
            </w:rPr>
            <w:t xml:space="preserve"> </w:t>
          </w:r>
          <w:r w:rsidR="008D34E6" w:rsidRPr="008D34E6">
            <w:rPr>
              <w:noProof/>
              <w:sz w:val="24"/>
              <w:szCs w:val="24"/>
            </w:rPr>
            <w:t>(Walters, 2018)</w:t>
          </w:r>
          <w:r w:rsidR="006E3968">
            <w:rPr>
              <w:sz w:val="24"/>
              <w:szCs w:val="24"/>
            </w:rPr>
            <w:fldChar w:fldCharType="end"/>
          </w:r>
        </w:sdtContent>
      </w:sdt>
      <w:r w:rsidR="006E3968">
        <w:rPr>
          <w:sz w:val="24"/>
          <w:szCs w:val="24"/>
        </w:rPr>
        <w:t xml:space="preserve"> meaning that it is not the basis of choice from the perpetrator but more the victim that leads to victimisation of criminality. Walter </w:t>
      </w:r>
      <w:r w:rsidR="008E62CF">
        <w:rPr>
          <w:sz w:val="24"/>
          <w:szCs w:val="24"/>
        </w:rPr>
        <w:t>does however recognise that lifestyle choices do influence those of the perpetrator. It is stated that “</w:t>
      </w:r>
      <w:r w:rsidR="008E62CF" w:rsidRPr="008E62CF">
        <w:rPr>
          <w:sz w:val="24"/>
          <w:szCs w:val="24"/>
        </w:rPr>
        <w:t>Existential fear serves as the incentive for the initiation phase of a criminal lifestyle</w:t>
      </w:r>
      <w:r w:rsidR="008E62CF">
        <w:rPr>
          <w:sz w:val="24"/>
          <w:szCs w:val="24"/>
        </w:rPr>
        <w:t xml:space="preserve">” </w:t>
      </w:r>
      <w:sdt>
        <w:sdtPr>
          <w:rPr>
            <w:sz w:val="24"/>
            <w:szCs w:val="24"/>
          </w:rPr>
          <w:id w:val="1050808184"/>
          <w:citation/>
        </w:sdtPr>
        <w:sdtContent>
          <w:r w:rsidR="008E62CF">
            <w:rPr>
              <w:sz w:val="24"/>
              <w:szCs w:val="24"/>
            </w:rPr>
            <w:fldChar w:fldCharType="begin"/>
          </w:r>
          <w:r w:rsidR="008E62CF">
            <w:rPr>
              <w:sz w:val="24"/>
              <w:szCs w:val="24"/>
            </w:rPr>
            <w:instrText xml:space="preserve"> CITATION Wal18 \l 2057 </w:instrText>
          </w:r>
          <w:r w:rsidR="008E62CF">
            <w:rPr>
              <w:sz w:val="24"/>
              <w:szCs w:val="24"/>
            </w:rPr>
            <w:fldChar w:fldCharType="separate"/>
          </w:r>
          <w:r w:rsidR="008D34E6" w:rsidRPr="008D34E6">
            <w:rPr>
              <w:noProof/>
              <w:sz w:val="24"/>
              <w:szCs w:val="24"/>
            </w:rPr>
            <w:t>(Walters, 2018)</w:t>
          </w:r>
          <w:r w:rsidR="008E62CF">
            <w:rPr>
              <w:sz w:val="24"/>
              <w:szCs w:val="24"/>
            </w:rPr>
            <w:fldChar w:fldCharType="end"/>
          </w:r>
        </w:sdtContent>
      </w:sdt>
      <w:r w:rsidR="008E62CF">
        <w:rPr>
          <w:sz w:val="24"/>
          <w:szCs w:val="24"/>
        </w:rPr>
        <w:t xml:space="preserve"> meaning that a person must first have fears or doubts of lifestyle before considering a lifestyle choice of criminality.</w:t>
      </w:r>
    </w:p>
    <w:p w14:paraId="2E3A8041" w14:textId="097DD5B0" w:rsidR="008E62CF" w:rsidRDefault="008E62CF" w:rsidP="0055352F">
      <w:pPr>
        <w:rPr>
          <w:color w:val="373D3F"/>
          <w:sz w:val="24"/>
          <w:szCs w:val="24"/>
          <w:shd w:val="clear" w:color="auto" w:fill="FFFFFF"/>
        </w:rPr>
      </w:pPr>
      <w:r>
        <w:rPr>
          <w:sz w:val="24"/>
          <w:szCs w:val="24"/>
        </w:rPr>
        <w:t>Similarly</w:t>
      </w:r>
      <w:r w:rsidR="000E138B">
        <w:rPr>
          <w:sz w:val="24"/>
          <w:szCs w:val="24"/>
        </w:rPr>
        <w:t>,</w:t>
      </w:r>
      <w:r>
        <w:rPr>
          <w:sz w:val="24"/>
          <w:szCs w:val="24"/>
        </w:rPr>
        <w:t xml:space="preserve"> the theory of Victim Precipitation also supports the claim that the choices of victims, whether consciously made or not, lead to their vulnerability to victimisation. </w:t>
      </w:r>
      <w:r w:rsidR="00C250B9">
        <w:rPr>
          <w:sz w:val="24"/>
          <w:szCs w:val="24"/>
        </w:rPr>
        <w:t xml:space="preserve">A </w:t>
      </w:r>
      <w:r w:rsidR="00C250B9">
        <w:rPr>
          <w:sz w:val="24"/>
          <w:szCs w:val="24"/>
        </w:rPr>
        <w:lastRenderedPageBreak/>
        <w:t xml:space="preserve">theory </w:t>
      </w:r>
      <w:r w:rsidR="00051D0B">
        <w:rPr>
          <w:sz w:val="24"/>
          <w:szCs w:val="24"/>
        </w:rPr>
        <w:t xml:space="preserve">originally </w:t>
      </w:r>
      <w:r w:rsidR="00C250B9">
        <w:rPr>
          <w:sz w:val="24"/>
          <w:szCs w:val="24"/>
        </w:rPr>
        <w:t xml:space="preserve">developed by </w:t>
      </w:r>
      <w:sdt>
        <w:sdtPr>
          <w:rPr>
            <w:sz w:val="24"/>
            <w:szCs w:val="24"/>
          </w:rPr>
          <w:id w:val="1703285584"/>
          <w:citation/>
        </w:sdtPr>
        <w:sdtContent>
          <w:r w:rsidR="005A0B1A">
            <w:rPr>
              <w:sz w:val="24"/>
              <w:szCs w:val="24"/>
            </w:rPr>
            <w:fldChar w:fldCharType="begin"/>
          </w:r>
          <w:r w:rsidR="005A0B1A">
            <w:rPr>
              <w:sz w:val="24"/>
              <w:szCs w:val="24"/>
            </w:rPr>
            <w:instrText xml:space="preserve"> CITATION Wol58 \l 2057 </w:instrText>
          </w:r>
          <w:r w:rsidR="005A0B1A">
            <w:rPr>
              <w:sz w:val="24"/>
              <w:szCs w:val="24"/>
            </w:rPr>
            <w:fldChar w:fldCharType="separate"/>
          </w:r>
          <w:r w:rsidR="008D34E6" w:rsidRPr="008D34E6">
            <w:rPr>
              <w:noProof/>
              <w:sz w:val="24"/>
              <w:szCs w:val="24"/>
            </w:rPr>
            <w:t>(Wolfgang, 1958)</w:t>
          </w:r>
          <w:r w:rsidR="005A0B1A">
            <w:rPr>
              <w:sz w:val="24"/>
              <w:szCs w:val="24"/>
            </w:rPr>
            <w:fldChar w:fldCharType="end"/>
          </w:r>
        </w:sdtContent>
      </w:sdt>
      <w:r w:rsidR="00C250B9">
        <w:rPr>
          <w:sz w:val="24"/>
          <w:szCs w:val="24"/>
        </w:rPr>
        <w:t xml:space="preserve"> states that through “victim facilitation or victim provocation” victims themselves contribute to the harm dealt to them through crime. </w:t>
      </w:r>
      <w:r w:rsidR="005A0B1A">
        <w:rPr>
          <w:sz w:val="24"/>
          <w:szCs w:val="24"/>
        </w:rPr>
        <w:t>Similarly,</w:t>
      </w:r>
      <w:r w:rsidR="00C250B9">
        <w:rPr>
          <w:sz w:val="24"/>
          <w:szCs w:val="24"/>
        </w:rPr>
        <w:t xml:space="preserve"> to Walter’s Lifestyle Theory</w:t>
      </w:r>
      <w:r w:rsidR="005A0B1A">
        <w:rPr>
          <w:sz w:val="24"/>
          <w:szCs w:val="24"/>
        </w:rPr>
        <w:t>,</w:t>
      </w:r>
      <w:r w:rsidR="00C250B9">
        <w:rPr>
          <w:sz w:val="24"/>
          <w:szCs w:val="24"/>
        </w:rPr>
        <w:t xml:space="preserve"> it is choices that victims make that can either grant the means of facilitating crime such as granting opportunities for crime to occur or through victim provocation such as victims engaging in criminal activity themselves and thus placing themselves in precarious situations. Both of these avenues </w:t>
      </w:r>
      <w:r w:rsidR="005A0B1A">
        <w:rPr>
          <w:sz w:val="24"/>
          <w:szCs w:val="24"/>
        </w:rPr>
        <w:t>suggest how victims become victims through their own actions</w:t>
      </w:r>
      <w:r w:rsidR="00051D0B">
        <w:rPr>
          <w:sz w:val="24"/>
          <w:szCs w:val="24"/>
        </w:rPr>
        <w:t xml:space="preserve"> and several follow up theories have stemmed from Wolfgang’s work</w:t>
      </w:r>
      <w:r w:rsidR="005A0B1A">
        <w:rPr>
          <w:sz w:val="24"/>
          <w:szCs w:val="24"/>
        </w:rPr>
        <w:t xml:space="preserve">. Predominantly, Wolfgang’s work has been critiqued as being the beginning of the phenomenon known as ‘victim blaming’ in crime. Wolfgang’s study showed that out of the 588 homicides he studied in Philadelphia between 1948-1952 found that “26% of the sample, the victim was the initial aggressor” </w:t>
      </w:r>
      <w:sdt>
        <w:sdtPr>
          <w:rPr>
            <w:sz w:val="24"/>
            <w:szCs w:val="24"/>
          </w:rPr>
          <w:id w:val="1398021178"/>
          <w:citation/>
        </w:sdtPr>
        <w:sdtContent>
          <w:r w:rsidR="005A0B1A">
            <w:rPr>
              <w:sz w:val="24"/>
              <w:szCs w:val="24"/>
            </w:rPr>
            <w:fldChar w:fldCharType="begin"/>
          </w:r>
          <w:r w:rsidR="005A0B1A">
            <w:rPr>
              <w:sz w:val="24"/>
              <w:szCs w:val="24"/>
            </w:rPr>
            <w:instrText xml:space="preserve"> CITATION Wol58 \l 2057 </w:instrText>
          </w:r>
          <w:r w:rsidR="005A0B1A">
            <w:rPr>
              <w:sz w:val="24"/>
              <w:szCs w:val="24"/>
            </w:rPr>
            <w:fldChar w:fldCharType="separate"/>
          </w:r>
          <w:r w:rsidR="008D34E6" w:rsidRPr="008D34E6">
            <w:rPr>
              <w:noProof/>
              <w:sz w:val="24"/>
              <w:szCs w:val="24"/>
            </w:rPr>
            <w:t>(Wolfgang, 1958)</w:t>
          </w:r>
          <w:r w:rsidR="005A0B1A">
            <w:rPr>
              <w:sz w:val="24"/>
              <w:szCs w:val="24"/>
            </w:rPr>
            <w:fldChar w:fldCharType="end"/>
          </w:r>
        </w:sdtContent>
      </w:sdt>
      <w:r w:rsidR="005A0B1A">
        <w:rPr>
          <w:sz w:val="24"/>
          <w:szCs w:val="24"/>
        </w:rPr>
        <w:t xml:space="preserve">. Despite only being a quarter of his sample, </w:t>
      </w:r>
      <w:r w:rsidR="00B978EC">
        <w:rPr>
          <w:sz w:val="24"/>
          <w:szCs w:val="24"/>
        </w:rPr>
        <w:t>Wolfgang sought to find reason as to how persons became victim’s regardless of being the initial aggressor. On the contrary, Wolfgang’s theory has been argued to be outdated an</w:t>
      </w:r>
      <w:r w:rsidR="00B45056">
        <w:rPr>
          <w:sz w:val="24"/>
          <w:szCs w:val="24"/>
        </w:rPr>
        <w:t xml:space="preserve">d ignorant of the implication’s victim blaming can have on persons affected by crime. </w:t>
      </w:r>
      <w:sdt>
        <w:sdtPr>
          <w:rPr>
            <w:sz w:val="24"/>
            <w:szCs w:val="24"/>
          </w:rPr>
          <w:id w:val="-484158159"/>
          <w:citation/>
        </w:sdtPr>
        <w:sdtContent>
          <w:r w:rsidR="00B45056">
            <w:rPr>
              <w:sz w:val="24"/>
              <w:szCs w:val="24"/>
            </w:rPr>
            <w:fldChar w:fldCharType="begin"/>
          </w:r>
          <w:r w:rsidR="00B45056">
            <w:rPr>
              <w:sz w:val="24"/>
              <w:szCs w:val="24"/>
            </w:rPr>
            <w:instrText xml:space="preserve"> CITATION Pet17 \l 2057 </w:instrText>
          </w:r>
          <w:r w:rsidR="00B45056">
            <w:rPr>
              <w:sz w:val="24"/>
              <w:szCs w:val="24"/>
            </w:rPr>
            <w:fldChar w:fldCharType="separate"/>
          </w:r>
          <w:r w:rsidR="008D34E6" w:rsidRPr="008D34E6">
            <w:rPr>
              <w:noProof/>
              <w:sz w:val="24"/>
              <w:szCs w:val="24"/>
            </w:rPr>
            <w:t>(Petherick, Brotto, &amp; Sinnamon, 2017)</w:t>
          </w:r>
          <w:r w:rsidR="00B45056">
            <w:rPr>
              <w:sz w:val="24"/>
              <w:szCs w:val="24"/>
            </w:rPr>
            <w:fldChar w:fldCharType="end"/>
          </w:r>
        </w:sdtContent>
      </w:sdt>
      <w:r w:rsidR="00B45056">
        <w:rPr>
          <w:sz w:val="24"/>
          <w:szCs w:val="24"/>
        </w:rPr>
        <w:t xml:space="preserve"> criticises Wolfgang’s work by stating </w:t>
      </w:r>
      <w:r w:rsidR="00B45056" w:rsidRPr="00B45056">
        <w:rPr>
          <w:sz w:val="24"/>
          <w:szCs w:val="24"/>
        </w:rPr>
        <w:t>“</w:t>
      </w:r>
      <w:r w:rsidR="00B45056" w:rsidRPr="00B45056">
        <w:rPr>
          <w:color w:val="373D3F"/>
          <w:sz w:val="24"/>
          <w:szCs w:val="24"/>
          <w:shd w:val="clear" w:color="auto" w:fill="FFFFFF"/>
        </w:rPr>
        <w:t>victim blaming undermines victim status while simultaneously excusing the offender for the crime”.</w:t>
      </w:r>
      <w:r w:rsidR="00B45056">
        <w:rPr>
          <w:color w:val="373D3F"/>
          <w:sz w:val="27"/>
          <w:szCs w:val="27"/>
          <w:shd w:val="clear" w:color="auto" w:fill="FFFFFF"/>
        </w:rPr>
        <w:t xml:space="preserve"> </w:t>
      </w:r>
      <w:r w:rsidR="00B45056">
        <w:rPr>
          <w:color w:val="373D3F"/>
          <w:sz w:val="24"/>
          <w:szCs w:val="24"/>
          <w:shd w:val="clear" w:color="auto" w:fill="FFFFFF"/>
        </w:rPr>
        <w:t>This argument suggests that Wolfgang’s work was ‘singularly focused’ upon the possibility of the victim being the sole cause of the homicide taking place rather than</w:t>
      </w:r>
      <w:r w:rsidR="00247777">
        <w:rPr>
          <w:color w:val="373D3F"/>
          <w:sz w:val="24"/>
          <w:szCs w:val="24"/>
          <w:shd w:val="clear" w:color="auto" w:fill="FFFFFF"/>
        </w:rPr>
        <w:t xml:space="preserve"> looking at the motivations of the offenders in question. Petherick and fellow researchers state that issues like this continue today, such as sexual assault cases where victims are blamed for being sexually assaulted based upon their choice of fashion or their alcohol consumption </w:t>
      </w:r>
      <w:sdt>
        <w:sdtPr>
          <w:rPr>
            <w:color w:val="373D3F"/>
            <w:sz w:val="24"/>
            <w:szCs w:val="24"/>
            <w:shd w:val="clear" w:color="auto" w:fill="FFFFFF"/>
          </w:rPr>
          <w:id w:val="983272308"/>
          <w:citation/>
        </w:sdtPr>
        <w:sdtContent>
          <w:r w:rsidR="00247777">
            <w:rPr>
              <w:color w:val="373D3F"/>
              <w:sz w:val="24"/>
              <w:szCs w:val="24"/>
              <w:shd w:val="clear" w:color="auto" w:fill="FFFFFF"/>
            </w:rPr>
            <w:fldChar w:fldCharType="begin"/>
          </w:r>
          <w:r w:rsidR="00247777">
            <w:rPr>
              <w:color w:val="373D3F"/>
              <w:sz w:val="24"/>
              <w:szCs w:val="24"/>
              <w:shd w:val="clear" w:color="auto" w:fill="FFFFFF"/>
            </w:rPr>
            <w:instrText xml:space="preserve"> CITATION Pet17 \l 2057 </w:instrText>
          </w:r>
          <w:r w:rsidR="00247777">
            <w:rPr>
              <w:color w:val="373D3F"/>
              <w:sz w:val="24"/>
              <w:szCs w:val="24"/>
              <w:shd w:val="clear" w:color="auto" w:fill="FFFFFF"/>
            </w:rPr>
            <w:fldChar w:fldCharType="separate"/>
          </w:r>
          <w:r w:rsidR="008D34E6" w:rsidRPr="008D34E6">
            <w:rPr>
              <w:noProof/>
              <w:color w:val="373D3F"/>
              <w:sz w:val="24"/>
              <w:szCs w:val="24"/>
              <w:shd w:val="clear" w:color="auto" w:fill="FFFFFF"/>
            </w:rPr>
            <w:t>(Petherick, Brotto, &amp; Sinnamon, 2017)</w:t>
          </w:r>
          <w:r w:rsidR="00247777">
            <w:rPr>
              <w:color w:val="373D3F"/>
              <w:sz w:val="24"/>
              <w:szCs w:val="24"/>
              <w:shd w:val="clear" w:color="auto" w:fill="FFFFFF"/>
            </w:rPr>
            <w:fldChar w:fldCharType="end"/>
          </w:r>
        </w:sdtContent>
      </w:sdt>
      <w:r w:rsidR="00247777">
        <w:rPr>
          <w:color w:val="373D3F"/>
          <w:sz w:val="24"/>
          <w:szCs w:val="24"/>
          <w:shd w:val="clear" w:color="auto" w:fill="FFFFFF"/>
        </w:rPr>
        <w:t xml:space="preserve">. </w:t>
      </w:r>
    </w:p>
    <w:p w14:paraId="584F984E" w14:textId="65DE454E" w:rsidR="00247777" w:rsidRDefault="00247777" w:rsidP="0055352F">
      <w:pPr>
        <w:rPr>
          <w:color w:val="373D3F"/>
          <w:sz w:val="24"/>
          <w:szCs w:val="24"/>
          <w:shd w:val="clear" w:color="auto" w:fill="FFFFFF"/>
        </w:rPr>
      </w:pPr>
      <w:r>
        <w:rPr>
          <w:color w:val="373D3F"/>
          <w:sz w:val="24"/>
          <w:szCs w:val="24"/>
          <w:shd w:val="clear" w:color="auto" w:fill="FFFFFF"/>
        </w:rPr>
        <w:t xml:space="preserve">On the contrary to Lifestyle and Victim Precipitation theories, there is research to suggest that external factors are the reason why people become victims of crime. Deviant Place Theory was developed by </w:t>
      </w:r>
      <w:sdt>
        <w:sdtPr>
          <w:rPr>
            <w:color w:val="373D3F"/>
            <w:sz w:val="24"/>
            <w:szCs w:val="24"/>
            <w:shd w:val="clear" w:color="auto" w:fill="FFFFFF"/>
          </w:rPr>
          <w:id w:val="1846435884"/>
          <w:citation/>
        </w:sdtPr>
        <w:sdtContent>
          <w:r w:rsidR="00094E42">
            <w:rPr>
              <w:color w:val="373D3F"/>
              <w:sz w:val="24"/>
              <w:szCs w:val="24"/>
              <w:shd w:val="clear" w:color="auto" w:fill="FFFFFF"/>
            </w:rPr>
            <w:fldChar w:fldCharType="begin"/>
          </w:r>
          <w:r w:rsidR="00094E42">
            <w:rPr>
              <w:color w:val="373D3F"/>
              <w:sz w:val="24"/>
              <w:szCs w:val="24"/>
              <w:shd w:val="clear" w:color="auto" w:fill="FFFFFF"/>
            </w:rPr>
            <w:instrText xml:space="preserve">CITATION Sie \l 2057 </w:instrText>
          </w:r>
          <w:r w:rsidR="00094E42">
            <w:rPr>
              <w:color w:val="373D3F"/>
              <w:sz w:val="24"/>
              <w:szCs w:val="24"/>
              <w:shd w:val="clear" w:color="auto" w:fill="FFFFFF"/>
            </w:rPr>
            <w:fldChar w:fldCharType="separate"/>
          </w:r>
          <w:r w:rsidR="008D34E6" w:rsidRPr="008D34E6">
            <w:rPr>
              <w:noProof/>
              <w:color w:val="373D3F"/>
              <w:sz w:val="24"/>
              <w:szCs w:val="24"/>
              <w:shd w:val="clear" w:color="auto" w:fill="FFFFFF"/>
            </w:rPr>
            <w:t>(Siegel, 2006)</w:t>
          </w:r>
          <w:r w:rsidR="00094E42">
            <w:rPr>
              <w:color w:val="373D3F"/>
              <w:sz w:val="24"/>
              <w:szCs w:val="24"/>
              <w:shd w:val="clear" w:color="auto" w:fill="FFFFFF"/>
            </w:rPr>
            <w:fldChar w:fldCharType="end"/>
          </w:r>
        </w:sdtContent>
      </w:sdt>
      <w:r w:rsidR="00094E42">
        <w:rPr>
          <w:color w:val="373D3F"/>
          <w:sz w:val="24"/>
          <w:szCs w:val="24"/>
          <w:shd w:val="clear" w:color="auto" w:fill="FFFFFF"/>
        </w:rPr>
        <w:t xml:space="preserve"> which argues that it is not the choices of the victim that make them vulnerable to serious crime but rather their location. Deviant Place Theory suggests that a person who spends/lives in a “bad area” are more vulnerable to crime. A bad area</w:t>
      </w:r>
      <w:r w:rsidR="00944808">
        <w:rPr>
          <w:color w:val="373D3F"/>
          <w:sz w:val="24"/>
          <w:szCs w:val="24"/>
          <w:shd w:val="clear" w:color="auto" w:fill="FFFFFF"/>
        </w:rPr>
        <w:t xml:space="preserve"> would be an area suggested to have characteristics such as a high rate of “population overturn”, a majority of lower income households and an area “deprived of opportunities for progression” which would include job availability, access to education and general welfare of local facilities. One or more of these characteristics may be present in a “bad area” however, the more characteristics, the more likely the rate of crime is to be higher. Siegel’s theory suggests that these external characteristics in a bad area are the reason crime is committed and thus persons in that area are more likely to become victimised whether they live in the area or spend time in the area for work or leisure. This theory directly criticises those suggested by Wolfgang and Walters as it determines the victim is not </w:t>
      </w:r>
      <w:r w:rsidR="00944808">
        <w:rPr>
          <w:color w:val="373D3F"/>
          <w:sz w:val="24"/>
          <w:szCs w:val="24"/>
          <w:shd w:val="clear" w:color="auto" w:fill="FFFFFF"/>
        </w:rPr>
        <w:lastRenderedPageBreak/>
        <w:t>to blame for being victimised. It therefore undermines the true value that Lifestyle theory is a true representation of what makes persons vulnerable to serious or organised crime.</w:t>
      </w:r>
    </w:p>
    <w:p w14:paraId="2627506D" w14:textId="17CB4023" w:rsidR="00944808" w:rsidRDefault="00944808" w:rsidP="0055352F">
      <w:pPr>
        <w:rPr>
          <w:color w:val="373D3F"/>
          <w:sz w:val="24"/>
          <w:szCs w:val="24"/>
          <w:shd w:val="clear" w:color="auto" w:fill="FFFFFF"/>
        </w:rPr>
      </w:pPr>
      <w:r>
        <w:rPr>
          <w:color w:val="373D3F"/>
          <w:sz w:val="24"/>
          <w:szCs w:val="24"/>
          <w:shd w:val="clear" w:color="auto" w:fill="FFFFFF"/>
        </w:rPr>
        <w:t xml:space="preserve">In conclusion, Lifestyle theory can be argued that it presents somewhat of an accurate reflection of how persons are vulnerable to serious crime with it being supported by several following theories such as Victim Precipitation theory. Both Lifestyle and Victim precipitation theory suggest that a </w:t>
      </w:r>
      <w:r w:rsidR="008865F2">
        <w:rPr>
          <w:color w:val="373D3F"/>
          <w:sz w:val="24"/>
          <w:szCs w:val="24"/>
          <w:shd w:val="clear" w:color="auto" w:fill="FFFFFF"/>
        </w:rPr>
        <w:t>victim’s</w:t>
      </w:r>
      <w:r>
        <w:rPr>
          <w:color w:val="373D3F"/>
          <w:sz w:val="24"/>
          <w:szCs w:val="24"/>
          <w:shd w:val="clear" w:color="auto" w:fill="FFFFFF"/>
        </w:rPr>
        <w:t xml:space="preserve"> actions are to blame for being victimised with Wolfgang’s study providing eviden</w:t>
      </w:r>
      <w:r w:rsidR="008865F2">
        <w:rPr>
          <w:color w:val="373D3F"/>
          <w:sz w:val="24"/>
          <w:szCs w:val="24"/>
          <w:shd w:val="clear" w:color="auto" w:fill="FFFFFF"/>
        </w:rPr>
        <w:t>ce</w:t>
      </w:r>
      <w:r>
        <w:rPr>
          <w:color w:val="373D3F"/>
          <w:sz w:val="24"/>
          <w:szCs w:val="24"/>
          <w:shd w:val="clear" w:color="auto" w:fill="FFFFFF"/>
        </w:rPr>
        <w:t xml:space="preserve"> through a large sample size of homicidal reports. On the other hand, Both Lifestyle Theory and Victim Precipitation theory have been argued to be ignorant of external factors with it being criticised by Petherick’s work alongside Siegal’s Deviant Place theory. </w:t>
      </w:r>
      <w:r w:rsidR="008865F2">
        <w:rPr>
          <w:color w:val="373D3F"/>
          <w:sz w:val="24"/>
          <w:szCs w:val="24"/>
          <w:shd w:val="clear" w:color="auto" w:fill="FFFFFF"/>
        </w:rPr>
        <w:t xml:space="preserve">Petherick’s work directly criticises the work of Wolfgang stating it does not include external factors and is a theory of “victim blaming”. Siegal’s study in 2006 also provides external factors as to how persons are victimised based upon their living situation/where they spend time. Therefore, it can be concluded that Lifestyle Theory is not an accurate representation but one of many reflections on how persons are vulnerable to serious or organised crime. </w:t>
      </w:r>
    </w:p>
    <w:p w14:paraId="5C3825D3" w14:textId="6CD57C12" w:rsidR="008865F2" w:rsidRPr="008865F2" w:rsidRDefault="008865F2" w:rsidP="0055352F">
      <w:pPr>
        <w:rPr>
          <w:color w:val="373D3F"/>
          <w:sz w:val="24"/>
          <w:szCs w:val="24"/>
          <w:shd w:val="clear" w:color="auto" w:fill="FFFFFF"/>
        </w:rPr>
      </w:pPr>
      <w:r>
        <w:rPr>
          <w:b/>
          <w:bCs/>
          <w:i/>
          <w:iCs/>
          <w:color w:val="373D3F"/>
          <w:sz w:val="24"/>
          <w:szCs w:val="24"/>
          <w:shd w:val="clear" w:color="auto" w:fill="FFFFFF"/>
        </w:rPr>
        <w:t>1093 Words</w:t>
      </w:r>
    </w:p>
    <w:p w14:paraId="55BD759D" w14:textId="5DCE5646" w:rsidR="00E20DF1" w:rsidRDefault="00E20DF1" w:rsidP="00E20DF1">
      <w:pPr>
        <w:pStyle w:val="Heading2"/>
        <w:jc w:val="left"/>
      </w:pPr>
      <w:r w:rsidRPr="00EB73BE">
        <w:rPr>
          <w:highlight w:val="lightGray"/>
        </w:rPr>
        <w:t>Q4. Why is a partnership approach the most effective way of preventing re-offending?</w:t>
      </w:r>
    </w:p>
    <w:p w14:paraId="1DD68982" w14:textId="77777777" w:rsidR="008D34E6" w:rsidRDefault="008D34E6" w:rsidP="002F4BEC">
      <w:pPr>
        <w:rPr>
          <w:b/>
          <w:bCs/>
        </w:rPr>
      </w:pPr>
    </w:p>
    <w:p w14:paraId="325AC7DB" w14:textId="79CF394F" w:rsidR="00A010FE" w:rsidRDefault="00A010FE" w:rsidP="002F4BEC">
      <w:pPr>
        <w:rPr>
          <w:sz w:val="24"/>
          <w:szCs w:val="24"/>
        </w:rPr>
      </w:pPr>
      <w:r>
        <w:rPr>
          <w:sz w:val="24"/>
          <w:szCs w:val="24"/>
        </w:rPr>
        <w:t xml:space="preserve">Partnership approach can be analysed and </w:t>
      </w:r>
      <w:r w:rsidR="00B30AD1">
        <w:rPr>
          <w:sz w:val="24"/>
          <w:szCs w:val="24"/>
        </w:rPr>
        <w:t xml:space="preserve">critiqued on several basis when determining its effectiveness in preventing re-offending. Before analysing its </w:t>
      </w:r>
      <w:r w:rsidR="008D34E6">
        <w:rPr>
          <w:sz w:val="24"/>
          <w:szCs w:val="24"/>
        </w:rPr>
        <w:t>effectiveness,</w:t>
      </w:r>
      <w:r w:rsidR="00B30AD1">
        <w:rPr>
          <w:sz w:val="24"/>
          <w:szCs w:val="24"/>
        </w:rPr>
        <w:t xml:space="preserve"> it is key in understanding the terminology surrounding Partnership approach and re-offending. </w:t>
      </w:r>
    </w:p>
    <w:p w14:paraId="3A32D055" w14:textId="79BEF467" w:rsidR="00B30AD1" w:rsidRDefault="00B30AD1" w:rsidP="002F4BEC">
      <w:pPr>
        <w:rPr>
          <w:sz w:val="24"/>
          <w:szCs w:val="24"/>
        </w:rPr>
      </w:pPr>
      <w:r>
        <w:rPr>
          <w:sz w:val="24"/>
          <w:szCs w:val="24"/>
        </w:rPr>
        <w:t xml:space="preserve">Partnership approach has been established since 1980 whereby it was organised that police and its partner agencies such as the NHS, Youth Offending teams, Mental health services, Probation services and many more would collaborate in tackling the re-offending rates of perpetrators. These agencies would provide a holistic approach and tailor each offenders needs to reduce factors that would contribute to re-offending. The Police and Crime Commissioner oversees the effectiveness of Partnership approach with police and works directly with those partners in delivering an </w:t>
      </w:r>
      <w:r w:rsidR="00D72412">
        <w:rPr>
          <w:sz w:val="24"/>
          <w:szCs w:val="24"/>
        </w:rPr>
        <w:t>effective service</w:t>
      </w:r>
      <w:r>
        <w:rPr>
          <w:sz w:val="24"/>
          <w:szCs w:val="24"/>
        </w:rPr>
        <w:t xml:space="preserve">. It is stated that they have responsibilities </w:t>
      </w:r>
      <w:r w:rsidR="00D72412">
        <w:rPr>
          <w:sz w:val="24"/>
          <w:szCs w:val="24"/>
        </w:rPr>
        <w:t>of</w:t>
      </w:r>
      <w:r>
        <w:rPr>
          <w:sz w:val="24"/>
          <w:szCs w:val="24"/>
        </w:rPr>
        <w:t xml:space="preserve"> </w:t>
      </w:r>
      <w:r w:rsidR="00D72412">
        <w:rPr>
          <w:sz w:val="24"/>
          <w:szCs w:val="24"/>
        </w:rPr>
        <w:t xml:space="preserve">“Delivery of community safety and crime reduction” and the “issuing of crime and disorder reduction grants in the South Wales area” </w:t>
      </w:r>
      <w:sdt>
        <w:sdtPr>
          <w:rPr>
            <w:sz w:val="24"/>
            <w:szCs w:val="24"/>
          </w:rPr>
          <w:id w:val="354241808"/>
          <w:citation/>
        </w:sdtPr>
        <w:sdtContent>
          <w:r w:rsidR="00D72412">
            <w:rPr>
              <w:sz w:val="24"/>
              <w:szCs w:val="24"/>
            </w:rPr>
            <w:fldChar w:fldCharType="begin"/>
          </w:r>
          <w:r w:rsidR="00D72412">
            <w:rPr>
              <w:sz w:val="24"/>
              <w:szCs w:val="24"/>
            </w:rPr>
            <w:instrText xml:space="preserve"> CITATION Pol \l 2057 </w:instrText>
          </w:r>
          <w:r w:rsidR="00D72412">
            <w:rPr>
              <w:sz w:val="24"/>
              <w:szCs w:val="24"/>
            </w:rPr>
            <w:fldChar w:fldCharType="separate"/>
          </w:r>
          <w:r w:rsidR="008D34E6" w:rsidRPr="008D34E6">
            <w:rPr>
              <w:noProof/>
              <w:sz w:val="24"/>
              <w:szCs w:val="24"/>
            </w:rPr>
            <w:t>(Police and Crime Commissioner South Wales, n.d.)</w:t>
          </w:r>
          <w:r w:rsidR="00D72412">
            <w:rPr>
              <w:sz w:val="24"/>
              <w:szCs w:val="24"/>
            </w:rPr>
            <w:fldChar w:fldCharType="end"/>
          </w:r>
        </w:sdtContent>
      </w:sdt>
    </w:p>
    <w:p w14:paraId="598B2E11" w14:textId="7ED9946A" w:rsidR="00D72412" w:rsidRDefault="00D72412" w:rsidP="002F4BEC">
      <w:pPr>
        <w:rPr>
          <w:sz w:val="24"/>
          <w:szCs w:val="24"/>
        </w:rPr>
      </w:pPr>
      <w:r>
        <w:rPr>
          <w:sz w:val="24"/>
          <w:szCs w:val="24"/>
        </w:rPr>
        <w:t>Re-offending can be categorised by the number of offences committed after “Proven” offence.</w:t>
      </w:r>
      <w:r w:rsidRPr="00D72412">
        <w:t xml:space="preserve"> </w:t>
      </w:r>
      <w:r>
        <w:rPr>
          <w:sz w:val="24"/>
          <w:szCs w:val="24"/>
        </w:rPr>
        <w:t>Proven re-offending is defined by the Ministry of Justice as</w:t>
      </w:r>
      <w:r w:rsidRPr="00D72412">
        <w:rPr>
          <w:sz w:val="24"/>
          <w:szCs w:val="24"/>
        </w:rPr>
        <w:t xml:space="preserve"> </w:t>
      </w:r>
      <w:r>
        <w:rPr>
          <w:sz w:val="24"/>
          <w:szCs w:val="24"/>
        </w:rPr>
        <w:t>“</w:t>
      </w:r>
      <w:r w:rsidRPr="00D72412">
        <w:rPr>
          <w:sz w:val="24"/>
          <w:szCs w:val="24"/>
        </w:rPr>
        <w:t xml:space="preserve">any offence committed in a </w:t>
      </w:r>
      <w:r w:rsidRPr="00D72412">
        <w:rPr>
          <w:sz w:val="24"/>
          <w:szCs w:val="24"/>
        </w:rPr>
        <w:t>one-year</w:t>
      </w:r>
      <w:r w:rsidRPr="00D72412">
        <w:rPr>
          <w:sz w:val="24"/>
          <w:szCs w:val="24"/>
        </w:rPr>
        <w:t xml:space="preserve"> follow-up period and receiving a court conviction, caution, reprimand or </w:t>
      </w:r>
      <w:r w:rsidRPr="00D72412">
        <w:rPr>
          <w:sz w:val="24"/>
          <w:szCs w:val="24"/>
        </w:rPr>
        <w:lastRenderedPageBreak/>
        <w:t>warning</w:t>
      </w:r>
      <w:r>
        <w:rPr>
          <w:sz w:val="24"/>
          <w:szCs w:val="24"/>
        </w:rPr>
        <w:t xml:space="preserve">” </w:t>
      </w:r>
      <w:sdt>
        <w:sdtPr>
          <w:rPr>
            <w:sz w:val="24"/>
            <w:szCs w:val="24"/>
          </w:rPr>
          <w:id w:val="831653312"/>
          <w:citation/>
        </w:sdtPr>
        <w:sdtContent>
          <w:r>
            <w:rPr>
              <w:sz w:val="24"/>
              <w:szCs w:val="24"/>
            </w:rPr>
            <w:fldChar w:fldCharType="begin"/>
          </w:r>
          <w:r>
            <w:rPr>
              <w:sz w:val="24"/>
              <w:szCs w:val="24"/>
            </w:rPr>
            <w:instrText xml:space="preserve"> CITATION Min11 \l 2057 </w:instrText>
          </w:r>
          <w:r>
            <w:rPr>
              <w:sz w:val="24"/>
              <w:szCs w:val="24"/>
            </w:rPr>
            <w:fldChar w:fldCharType="separate"/>
          </w:r>
          <w:r w:rsidR="008D34E6" w:rsidRPr="008D34E6">
            <w:rPr>
              <w:noProof/>
              <w:sz w:val="24"/>
              <w:szCs w:val="24"/>
            </w:rPr>
            <w:t>(Ministry of Justice, 2011)</w:t>
          </w:r>
          <w:r>
            <w:rPr>
              <w:sz w:val="24"/>
              <w:szCs w:val="24"/>
            </w:rPr>
            <w:fldChar w:fldCharType="end"/>
          </w:r>
        </w:sdtContent>
      </w:sdt>
      <w:r>
        <w:rPr>
          <w:sz w:val="24"/>
          <w:szCs w:val="24"/>
        </w:rPr>
        <w:t xml:space="preserve">. </w:t>
      </w:r>
      <w:r w:rsidR="00360274">
        <w:rPr>
          <w:sz w:val="24"/>
          <w:szCs w:val="24"/>
        </w:rPr>
        <w:t>According to their most recent report, The Ministry of Justice stated that between October to December 2021, “</w:t>
      </w:r>
      <w:r w:rsidR="00360274" w:rsidRPr="00360274">
        <w:rPr>
          <w:sz w:val="24"/>
          <w:szCs w:val="24"/>
        </w:rPr>
        <w:t>Adults released from custodial sentences of less than 12 months had a proven reoffending rate of 55.3%.</w:t>
      </w:r>
      <w:r w:rsidR="00360274">
        <w:rPr>
          <w:sz w:val="24"/>
          <w:szCs w:val="24"/>
        </w:rPr>
        <w:t xml:space="preserve">” </w:t>
      </w:r>
      <w:sdt>
        <w:sdtPr>
          <w:rPr>
            <w:sz w:val="24"/>
            <w:szCs w:val="24"/>
          </w:rPr>
          <w:id w:val="-1789036968"/>
          <w:citation/>
        </w:sdtPr>
        <w:sdtContent>
          <w:r w:rsidR="00360274">
            <w:rPr>
              <w:sz w:val="24"/>
              <w:szCs w:val="24"/>
            </w:rPr>
            <w:fldChar w:fldCharType="begin"/>
          </w:r>
          <w:r w:rsidR="00360274">
            <w:rPr>
              <w:sz w:val="24"/>
              <w:szCs w:val="24"/>
            </w:rPr>
            <w:instrText xml:space="preserve"> CITATION Min23 \l 2057 </w:instrText>
          </w:r>
          <w:r w:rsidR="00360274">
            <w:rPr>
              <w:sz w:val="24"/>
              <w:szCs w:val="24"/>
            </w:rPr>
            <w:fldChar w:fldCharType="separate"/>
          </w:r>
          <w:r w:rsidR="008D34E6" w:rsidRPr="008D34E6">
            <w:rPr>
              <w:noProof/>
              <w:sz w:val="24"/>
              <w:szCs w:val="24"/>
            </w:rPr>
            <w:t>(Ministry of Justice, 2023)</w:t>
          </w:r>
          <w:r w:rsidR="00360274">
            <w:rPr>
              <w:sz w:val="24"/>
              <w:szCs w:val="24"/>
            </w:rPr>
            <w:fldChar w:fldCharType="end"/>
          </w:r>
        </w:sdtContent>
      </w:sdt>
      <w:r w:rsidR="00360274">
        <w:rPr>
          <w:sz w:val="24"/>
          <w:szCs w:val="24"/>
        </w:rPr>
        <w:t xml:space="preserve">. That statistic alone shows that short term custodial sentences do not deter most persons from proven re-offending. Comparatively, this has increased by 0.4% since its previous year report and thus showing that there needs to be changes to certain </w:t>
      </w:r>
      <w:r w:rsidR="008D34E6">
        <w:rPr>
          <w:sz w:val="24"/>
          <w:szCs w:val="24"/>
        </w:rPr>
        <w:t>prisoners’</w:t>
      </w:r>
      <w:r w:rsidR="00360274">
        <w:rPr>
          <w:sz w:val="24"/>
          <w:szCs w:val="24"/>
        </w:rPr>
        <w:t xml:space="preserve"> rehabilitation schemes if they were placed on one during their custodial sentence. </w:t>
      </w:r>
    </w:p>
    <w:p w14:paraId="3E81D873" w14:textId="727FE1EC" w:rsidR="005F6BDD" w:rsidRDefault="00360274" w:rsidP="002F4BEC">
      <w:pPr>
        <w:rPr>
          <w:sz w:val="24"/>
          <w:szCs w:val="24"/>
        </w:rPr>
      </w:pPr>
      <w:r>
        <w:rPr>
          <w:sz w:val="24"/>
          <w:szCs w:val="24"/>
        </w:rPr>
        <w:t>Rehabilitation schemes are adapted to the offenders needs and wants based upon certain factors. These factors have been researched as reasons as to why persons re-offend and show a direct correlation to certain offence types. It is stated that there are two types of factors that determine re-offending, Static and Dynamic. Static factors are those that cannot be changed but play a major role in a persons reasonings into offending which include age, gender, and criminal history. For example, those with a larger criminal history are predicted to have a higher rate of re-offending. On the other hand, Rehabilitation schemes focus upon the Dynamic factors which include a person</w:t>
      </w:r>
      <w:r w:rsidR="005F6BDD">
        <w:rPr>
          <w:sz w:val="24"/>
          <w:szCs w:val="24"/>
        </w:rPr>
        <w:t>’</w:t>
      </w:r>
      <w:r>
        <w:rPr>
          <w:sz w:val="24"/>
          <w:szCs w:val="24"/>
        </w:rPr>
        <w:t xml:space="preserve">s education, drug/alcohol misuse and </w:t>
      </w:r>
      <w:r w:rsidR="005F6BDD">
        <w:rPr>
          <w:sz w:val="24"/>
          <w:szCs w:val="24"/>
        </w:rPr>
        <w:t xml:space="preserve">employment which can be changed over time using support. These dynamic factors are targeted by partners of the police to help the person engage with support to tackle these factors. The Ministry of Justice’s report on evidence relating to reducing re-offending describes their efforts in tackling re-offending </w:t>
      </w:r>
      <w:sdt>
        <w:sdtPr>
          <w:rPr>
            <w:sz w:val="24"/>
            <w:szCs w:val="24"/>
          </w:rPr>
          <w:id w:val="734974152"/>
          <w:citation/>
        </w:sdtPr>
        <w:sdtContent>
          <w:r w:rsidR="005F6BDD">
            <w:rPr>
              <w:sz w:val="24"/>
              <w:szCs w:val="24"/>
            </w:rPr>
            <w:fldChar w:fldCharType="begin"/>
          </w:r>
          <w:r w:rsidR="005F6BDD">
            <w:rPr>
              <w:sz w:val="24"/>
              <w:szCs w:val="24"/>
            </w:rPr>
            <w:instrText xml:space="preserve"> CITATION Min13 \l 2057 </w:instrText>
          </w:r>
          <w:r w:rsidR="005F6BDD">
            <w:rPr>
              <w:sz w:val="24"/>
              <w:szCs w:val="24"/>
            </w:rPr>
            <w:fldChar w:fldCharType="separate"/>
          </w:r>
          <w:r w:rsidR="008D34E6" w:rsidRPr="008D34E6">
            <w:rPr>
              <w:noProof/>
              <w:sz w:val="24"/>
              <w:szCs w:val="24"/>
            </w:rPr>
            <w:t>(Ministry of Justice, 2013)</w:t>
          </w:r>
          <w:r w:rsidR="005F6BDD">
            <w:rPr>
              <w:sz w:val="24"/>
              <w:szCs w:val="24"/>
            </w:rPr>
            <w:fldChar w:fldCharType="end"/>
          </w:r>
        </w:sdtContent>
      </w:sdt>
    </w:p>
    <w:p w14:paraId="1FEC3020" w14:textId="41D3DA29" w:rsidR="005F6BDD" w:rsidRDefault="005F6BDD" w:rsidP="002F4BEC">
      <w:pPr>
        <w:rPr>
          <w:sz w:val="24"/>
          <w:szCs w:val="24"/>
        </w:rPr>
      </w:pPr>
      <w:r>
        <w:rPr>
          <w:sz w:val="24"/>
          <w:szCs w:val="24"/>
        </w:rPr>
        <w:t xml:space="preserve">To apply rehabilitation schemes effectively in youth offending services it is vital to understand why the youth offender had a proven re-offence and what factors affect the individual. According to Functionalist theorist Robert Merton, it was evident in youths that they were suffering due to “Strain Theory”. Published in 1938, “Social Theory and </w:t>
      </w:r>
      <w:r w:rsidR="006A6C97">
        <w:rPr>
          <w:sz w:val="24"/>
          <w:szCs w:val="24"/>
        </w:rPr>
        <w:t xml:space="preserve">Social Structure” explains how societal expectations highlighted by factors such as role models for youths, advertising and societal ‘dreams’ such as the heavily fantasied “American dream” in the 1930’s led to a larger rate in re-offending as means of achieving them due to not having the opportunities to do so in their communities. The theory is prevalent today whereby Merton’s Strain Theory would suggest that youths living in lower income areas with fewer employment options but higher societal expectations placed on them by role models like celebrities, their guardians or friendship groups would then lead the youth to derive to criminality in order to achieve those goals </w:t>
      </w:r>
      <w:sdt>
        <w:sdtPr>
          <w:rPr>
            <w:sz w:val="24"/>
            <w:szCs w:val="24"/>
          </w:rPr>
          <w:id w:val="-1408069247"/>
          <w:citation/>
        </w:sdtPr>
        <w:sdtContent>
          <w:r w:rsidR="006A6C97">
            <w:rPr>
              <w:sz w:val="24"/>
              <w:szCs w:val="24"/>
            </w:rPr>
            <w:fldChar w:fldCharType="begin"/>
          </w:r>
          <w:r w:rsidR="006A6C97">
            <w:rPr>
              <w:sz w:val="24"/>
              <w:szCs w:val="24"/>
            </w:rPr>
            <w:instrText xml:space="preserve"> CITATION Rob49 \l 2057 </w:instrText>
          </w:r>
          <w:r w:rsidR="006A6C97">
            <w:rPr>
              <w:sz w:val="24"/>
              <w:szCs w:val="24"/>
            </w:rPr>
            <w:fldChar w:fldCharType="separate"/>
          </w:r>
          <w:r w:rsidR="008D34E6" w:rsidRPr="008D34E6">
            <w:rPr>
              <w:noProof/>
              <w:sz w:val="24"/>
              <w:szCs w:val="24"/>
            </w:rPr>
            <w:t>(Merton, 1949)</w:t>
          </w:r>
          <w:r w:rsidR="006A6C97">
            <w:rPr>
              <w:sz w:val="24"/>
              <w:szCs w:val="24"/>
            </w:rPr>
            <w:fldChar w:fldCharType="end"/>
          </w:r>
        </w:sdtContent>
      </w:sdt>
      <w:r w:rsidR="006A6C97">
        <w:rPr>
          <w:sz w:val="24"/>
          <w:szCs w:val="24"/>
        </w:rPr>
        <w:t xml:space="preserve">. The Youth Offending Services often deal with young offenders suffering from Strain Theory and aim to counteract the factors leading to their offending. These rehabilitation schemes would ensure youths are making their way into employment or better employment to ensure funds for the “dream lifestyle” are </w:t>
      </w:r>
      <w:r w:rsidR="008D34E6">
        <w:rPr>
          <w:sz w:val="24"/>
          <w:szCs w:val="24"/>
        </w:rPr>
        <w:t>achievable or</w:t>
      </w:r>
      <w:r w:rsidR="006A6C97">
        <w:rPr>
          <w:sz w:val="24"/>
          <w:szCs w:val="24"/>
        </w:rPr>
        <w:t xml:space="preserve"> educating youths on a better ‘societal dream’ of a </w:t>
      </w:r>
      <w:r w:rsidR="008D34E6">
        <w:rPr>
          <w:sz w:val="24"/>
          <w:szCs w:val="24"/>
        </w:rPr>
        <w:t>hard-working</w:t>
      </w:r>
      <w:r w:rsidR="006A6C97">
        <w:rPr>
          <w:sz w:val="24"/>
          <w:szCs w:val="24"/>
        </w:rPr>
        <w:t xml:space="preserve"> citizen instead of ill-advised role models who may have swayed the youth onto the deviant path initially.</w:t>
      </w:r>
      <w:r w:rsidR="003C2C04">
        <w:rPr>
          <w:sz w:val="24"/>
          <w:szCs w:val="24"/>
        </w:rPr>
        <w:t xml:space="preserve"> These schemes are proving effective according to the data provided in an </w:t>
      </w:r>
      <w:r w:rsidR="003C2C04">
        <w:rPr>
          <w:sz w:val="24"/>
          <w:szCs w:val="24"/>
        </w:rPr>
        <w:lastRenderedPageBreak/>
        <w:t xml:space="preserve">annual report by the Youth Justice Board. In their report of Youth Justice Statistics 2020 to 2021 it provides a graph stating that from March 2011 to March 2021, the number of proven offences by children in England and Wales has dropped from over 162,000 to approximately 36,000 </w:t>
      </w:r>
      <w:sdt>
        <w:sdtPr>
          <w:rPr>
            <w:sz w:val="24"/>
            <w:szCs w:val="24"/>
          </w:rPr>
          <w:id w:val="1344974038"/>
          <w:citation/>
        </w:sdtPr>
        <w:sdtContent>
          <w:r w:rsidR="003C2C04">
            <w:rPr>
              <w:sz w:val="24"/>
              <w:szCs w:val="24"/>
            </w:rPr>
            <w:fldChar w:fldCharType="begin"/>
          </w:r>
          <w:r w:rsidR="003C2C04">
            <w:rPr>
              <w:sz w:val="24"/>
              <w:szCs w:val="24"/>
            </w:rPr>
            <w:instrText xml:space="preserve"> CITATION You22 \l 2057 </w:instrText>
          </w:r>
          <w:r w:rsidR="003C2C04">
            <w:rPr>
              <w:sz w:val="24"/>
              <w:szCs w:val="24"/>
            </w:rPr>
            <w:fldChar w:fldCharType="separate"/>
          </w:r>
          <w:r w:rsidR="008D34E6" w:rsidRPr="008D34E6">
            <w:rPr>
              <w:noProof/>
              <w:sz w:val="24"/>
              <w:szCs w:val="24"/>
            </w:rPr>
            <w:t>(Youth Justice Board, 2022)</w:t>
          </w:r>
          <w:r w:rsidR="003C2C04">
            <w:rPr>
              <w:sz w:val="24"/>
              <w:szCs w:val="24"/>
            </w:rPr>
            <w:fldChar w:fldCharType="end"/>
          </w:r>
        </w:sdtContent>
      </w:sdt>
      <w:r w:rsidR="003C2C04">
        <w:rPr>
          <w:sz w:val="24"/>
          <w:szCs w:val="24"/>
        </w:rPr>
        <w:t xml:space="preserve">. That shows over a 78% decline since March 2011. This clearly shows that overtime, the rehabilitation/prevention schemes provided by partner agencies working with police have been effective in reducing the rate of re-offending/first time offending in youths. </w:t>
      </w:r>
    </w:p>
    <w:p w14:paraId="74E8BDBF" w14:textId="69945306" w:rsidR="008D34E6" w:rsidRDefault="003C2C04" w:rsidP="002F4BEC">
      <w:pPr>
        <w:rPr>
          <w:sz w:val="24"/>
          <w:szCs w:val="24"/>
        </w:rPr>
      </w:pPr>
      <w:r>
        <w:rPr>
          <w:sz w:val="24"/>
          <w:szCs w:val="24"/>
        </w:rPr>
        <w:t>In analysis, Partnership approach is an effective way of not only managing offenders who potentially re-offend but also in tackling rates of re-offending in order to create a safer and securer society. This is evident in the report of Youth re-offending where the services provided by Neighbourhood policing, Youth services and rehabilitation provided by The Youth Justice Services have lowered the number of proven offences in youths by over 78%. However, it can be analysed that although partnership approach is effective in providing rehabilitation to young offenders it still needs to be improved upon for adult offenders</w:t>
      </w:r>
      <w:r w:rsidR="008D34E6">
        <w:rPr>
          <w:sz w:val="24"/>
          <w:szCs w:val="24"/>
        </w:rPr>
        <w:t xml:space="preserve">. The Ministry of Justice report between October to December 2021 provides evidence that although short term convictions are adequate punishment for the initial offence, it does not prevent re-offending rates as over half the offenders had proven re-offending in the 12 months following their short-term conviction. This provides evidence that although effective in youths, rehabilitation schemes for those with short term convictions need to be addressed and adapted to further improve results. Partner agencies such as Probation services, Mental Health services and more need to provide longer term support to those leaving short convictions in order to prevent dynamic factors from influencing re-offending. Services such as the drug and alcohol services can provide long term support to those who suffer with addiction which directly correlates to certain offence types such as violent offences and prevent them from happening again by intervening. The charity Alcohol Change shows evidence that alcohol as a factor contributes to 49% of all violent crime in Wales </w:t>
      </w:r>
      <w:sdt>
        <w:sdtPr>
          <w:rPr>
            <w:sz w:val="24"/>
            <w:szCs w:val="24"/>
          </w:rPr>
          <w:id w:val="-751664735"/>
          <w:citation/>
        </w:sdtPr>
        <w:sdtContent>
          <w:r w:rsidR="008D34E6">
            <w:rPr>
              <w:sz w:val="24"/>
              <w:szCs w:val="24"/>
            </w:rPr>
            <w:fldChar w:fldCharType="begin"/>
          </w:r>
          <w:r w:rsidR="008D34E6">
            <w:rPr>
              <w:sz w:val="24"/>
              <w:szCs w:val="24"/>
            </w:rPr>
            <w:instrText xml:space="preserve"> CITATION Alc \l 2057 </w:instrText>
          </w:r>
          <w:r w:rsidR="008D34E6">
            <w:rPr>
              <w:sz w:val="24"/>
              <w:szCs w:val="24"/>
            </w:rPr>
            <w:fldChar w:fldCharType="separate"/>
          </w:r>
          <w:r w:rsidR="008D34E6" w:rsidRPr="008D34E6">
            <w:rPr>
              <w:noProof/>
              <w:sz w:val="24"/>
              <w:szCs w:val="24"/>
            </w:rPr>
            <w:t>(Alcohol Change, n.d.)</w:t>
          </w:r>
          <w:r w:rsidR="008D34E6">
            <w:rPr>
              <w:sz w:val="24"/>
              <w:szCs w:val="24"/>
            </w:rPr>
            <w:fldChar w:fldCharType="end"/>
          </w:r>
        </w:sdtContent>
      </w:sdt>
      <w:r w:rsidR="008D34E6">
        <w:rPr>
          <w:sz w:val="24"/>
          <w:szCs w:val="24"/>
        </w:rPr>
        <w:t xml:space="preserve"> which further proves the intervention of partner services needs to be improved upon for adult offenders.</w:t>
      </w:r>
    </w:p>
    <w:p w14:paraId="320AC91C" w14:textId="412E7682" w:rsidR="008D34E6" w:rsidRPr="008D34E6" w:rsidRDefault="008D34E6" w:rsidP="002F4BEC">
      <w:pPr>
        <w:rPr>
          <w:b/>
          <w:bCs/>
          <w:i/>
          <w:iCs/>
          <w:sz w:val="24"/>
          <w:szCs w:val="24"/>
        </w:rPr>
      </w:pPr>
      <w:r>
        <w:rPr>
          <w:b/>
          <w:bCs/>
          <w:i/>
          <w:iCs/>
          <w:sz w:val="24"/>
          <w:szCs w:val="24"/>
        </w:rPr>
        <w:t>1068 Words</w:t>
      </w:r>
    </w:p>
    <w:p w14:paraId="29AB6D29" w14:textId="204335F9" w:rsidR="002F4BEC" w:rsidRDefault="002F4BEC" w:rsidP="002F4BEC">
      <w:pPr>
        <w:pStyle w:val="Heading2"/>
        <w:jc w:val="left"/>
      </w:pPr>
      <w:r w:rsidRPr="002F4BEC">
        <w:rPr>
          <w:highlight w:val="darkGray"/>
        </w:rPr>
        <w:t>Bibliography:</w:t>
      </w:r>
    </w:p>
    <w:sdt>
      <w:sdtPr>
        <w:id w:val="-293833830"/>
        <w:docPartObj>
          <w:docPartGallery w:val="Bibliographies"/>
          <w:docPartUnique/>
        </w:docPartObj>
      </w:sdtPr>
      <w:sdtEndPr>
        <w:rPr>
          <w:rFonts w:asciiTheme="minorHAnsi" w:eastAsiaTheme="minorEastAsia" w:hAnsiTheme="minorHAnsi" w:cstheme="minorBidi"/>
          <w:color w:val="auto"/>
          <w:sz w:val="21"/>
          <w:szCs w:val="21"/>
        </w:rPr>
      </w:sdtEndPr>
      <w:sdtContent>
        <w:p w14:paraId="38E26105" w14:textId="4ABC60EF" w:rsidR="002F4BEC" w:rsidRDefault="002F4BEC" w:rsidP="002F4BEC">
          <w:pPr>
            <w:pStyle w:val="Heading1"/>
            <w:jc w:val="left"/>
          </w:pPr>
        </w:p>
        <w:sdt>
          <w:sdtPr>
            <w:id w:val="111145805"/>
            <w:bibliography/>
          </w:sdtPr>
          <w:sdtContent>
            <w:p w14:paraId="24106D9C" w14:textId="77777777" w:rsidR="008D34E6" w:rsidRDefault="002F4BEC" w:rsidP="008D34E6">
              <w:pPr>
                <w:pStyle w:val="Bibliography"/>
                <w:ind w:left="720" w:hanging="720"/>
                <w:rPr>
                  <w:noProof/>
                  <w:sz w:val="24"/>
                  <w:szCs w:val="24"/>
                </w:rPr>
              </w:pPr>
              <w:r>
                <w:fldChar w:fldCharType="begin"/>
              </w:r>
              <w:r>
                <w:instrText xml:space="preserve"> BIBLIOGRAPHY </w:instrText>
              </w:r>
              <w:r>
                <w:fldChar w:fldCharType="separate"/>
              </w:r>
              <w:r w:rsidR="008D34E6">
                <w:rPr>
                  <w:noProof/>
                </w:rPr>
                <w:t xml:space="preserve">Albrecht, J. F. (2019). </w:t>
              </w:r>
              <w:r w:rsidR="008D34E6">
                <w:rPr>
                  <w:i/>
                  <w:iCs/>
                  <w:noProof/>
                </w:rPr>
                <w:t>Evaluating Police-Community Relations Globally.</w:t>
              </w:r>
              <w:r w:rsidR="008D34E6">
                <w:rPr>
                  <w:noProof/>
                </w:rPr>
                <w:t xml:space="preserve"> Cham Springer.</w:t>
              </w:r>
            </w:p>
            <w:p w14:paraId="2549B2B2" w14:textId="77777777" w:rsidR="008D34E6" w:rsidRDefault="008D34E6" w:rsidP="008D34E6">
              <w:pPr>
                <w:pStyle w:val="Bibliography"/>
                <w:ind w:left="720" w:hanging="720"/>
                <w:rPr>
                  <w:noProof/>
                </w:rPr>
              </w:pPr>
              <w:r>
                <w:rPr>
                  <w:noProof/>
                </w:rPr>
                <w:t xml:space="preserve">Alcohol Change. (n.d.). </w:t>
              </w:r>
              <w:r>
                <w:rPr>
                  <w:i/>
                  <w:iCs/>
                  <w:noProof/>
                </w:rPr>
                <w:t>Alcohol, crime and disorder</w:t>
              </w:r>
              <w:r>
                <w:rPr>
                  <w:noProof/>
                </w:rPr>
                <w:t>. Retrieved from Alcohol Change: https://alcoholchange.org.uk/alcohol-facts/fact-sheets/alcohol-crime-and-disorder</w:t>
              </w:r>
            </w:p>
            <w:p w14:paraId="175912E9" w14:textId="77777777" w:rsidR="008D34E6" w:rsidRDefault="008D34E6" w:rsidP="008D34E6">
              <w:pPr>
                <w:pStyle w:val="Bibliography"/>
                <w:ind w:left="720" w:hanging="720"/>
                <w:rPr>
                  <w:noProof/>
                </w:rPr>
              </w:pPr>
              <w:r>
                <w:rPr>
                  <w:noProof/>
                </w:rPr>
                <w:lastRenderedPageBreak/>
                <w:t xml:space="preserve">Brown, J. (2020). </w:t>
              </w:r>
              <w:r>
                <w:rPr>
                  <w:i/>
                  <w:iCs/>
                  <w:noProof/>
                </w:rPr>
                <w:t>Police Complaints and Discipline.</w:t>
              </w:r>
              <w:r>
                <w:rPr>
                  <w:noProof/>
                </w:rPr>
                <w:t xml:space="preserve"> Retrieved from House of Commons Library: https://researchbriefings.files.parliament.uk/documents/SN02056/SN02056.pdf</w:t>
              </w:r>
            </w:p>
            <w:p w14:paraId="4F37299E" w14:textId="77777777" w:rsidR="008D34E6" w:rsidRDefault="008D34E6" w:rsidP="008D34E6">
              <w:pPr>
                <w:pStyle w:val="Bibliography"/>
                <w:ind w:left="720" w:hanging="720"/>
                <w:rPr>
                  <w:noProof/>
                </w:rPr>
              </w:pPr>
              <w:r>
                <w:rPr>
                  <w:noProof/>
                </w:rPr>
                <w:t xml:space="preserve">College of Policing. (2014, July). </w:t>
              </w:r>
              <w:r>
                <w:rPr>
                  <w:i/>
                  <w:iCs/>
                  <w:noProof/>
                </w:rPr>
                <w:t>Code of Ethics 2014.</w:t>
              </w:r>
              <w:r>
                <w:rPr>
                  <w:noProof/>
                </w:rPr>
                <w:t xml:space="preserve"> Retrieved from College of Policing: https://assets.college.police.uk/s3fs-public/2021-02/code_of_ethics.pdf</w:t>
              </w:r>
            </w:p>
            <w:p w14:paraId="12447C5A" w14:textId="77777777" w:rsidR="008D34E6" w:rsidRDefault="008D34E6" w:rsidP="008D34E6">
              <w:pPr>
                <w:pStyle w:val="Bibliography"/>
                <w:ind w:left="720" w:hanging="720"/>
                <w:rPr>
                  <w:noProof/>
                </w:rPr>
              </w:pPr>
              <w:r>
                <w:rPr>
                  <w:noProof/>
                </w:rPr>
                <w:t xml:space="preserve">College of Policing. (2017, July 18). </w:t>
              </w:r>
              <w:r>
                <w:rPr>
                  <w:i/>
                  <w:iCs/>
                  <w:noProof/>
                </w:rPr>
                <w:t>Multi-agency public protection arrangements (MAPPA)</w:t>
              </w:r>
              <w:r>
                <w:rPr>
                  <w:noProof/>
                </w:rPr>
                <w:t>. Retrieved from College of Policing: https://www.college.police.uk/app/major-investigation-and-public-protection/managing-sexual-offenders-and-violent-offenders/multi-agency-public-protection-arrangements-mappa</w:t>
              </w:r>
            </w:p>
            <w:p w14:paraId="68633606" w14:textId="77777777" w:rsidR="008D34E6" w:rsidRDefault="008D34E6" w:rsidP="008D34E6">
              <w:pPr>
                <w:pStyle w:val="Bibliography"/>
                <w:ind w:left="720" w:hanging="720"/>
                <w:rPr>
                  <w:noProof/>
                </w:rPr>
              </w:pPr>
              <w:r>
                <w:rPr>
                  <w:noProof/>
                </w:rPr>
                <w:t xml:space="preserve">College of Policing. (2021, November 18). </w:t>
              </w:r>
              <w:r>
                <w:rPr>
                  <w:i/>
                  <w:iCs/>
                  <w:noProof/>
                </w:rPr>
                <w:t>Recognising and responding to vulnerability-related risks.</w:t>
              </w:r>
              <w:r>
                <w:rPr>
                  <w:noProof/>
                </w:rPr>
                <w:t xml:space="preserve"> Retrieved from College of Policing: https://assets.college.police.uk/s3fs-public/2021-11/Recognising-responding-vulnerability-related-risks-guidelines.pdf</w:t>
              </w:r>
            </w:p>
            <w:p w14:paraId="411C8043" w14:textId="77777777" w:rsidR="008D34E6" w:rsidRDefault="008D34E6" w:rsidP="008D34E6">
              <w:pPr>
                <w:pStyle w:val="Bibliography"/>
                <w:ind w:left="720" w:hanging="720"/>
                <w:rPr>
                  <w:noProof/>
                </w:rPr>
              </w:pPr>
              <w:r>
                <w:rPr>
                  <w:noProof/>
                </w:rPr>
                <w:t xml:space="preserve">HMICFRS. (2023, March). </w:t>
              </w:r>
              <w:r>
                <w:rPr>
                  <w:i/>
                  <w:iCs/>
                  <w:noProof/>
                </w:rPr>
                <w:t>Professional Standards Department</w:t>
              </w:r>
              <w:r>
                <w:rPr>
                  <w:noProof/>
                </w:rPr>
                <w:t>. Retrieved from HMICFRS Justice Inspectorates: https://hmicfrs.justiceinspectorates.gov.uk/glossary/professional-standards-department/</w:t>
              </w:r>
            </w:p>
            <w:p w14:paraId="7D715C62" w14:textId="77777777" w:rsidR="008D34E6" w:rsidRDefault="008D34E6" w:rsidP="008D34E6">
              <w:pPr>
                <w:pStyle w:val="Bibliography"/>
                <w:ind w:left="720" w:hanging="720"/>
                <w:rPr>
                  <w:noProof/>
                </w:rPr>
              </w:pPr>
              <w:r>
                <w:rPr>
                  <w:noProof/>
                </w:rPr>
                <w:t xml:space="preserve">IOPC. (2023). </w:t>
              </w:r>
              <w:r>
                <w:rPr>
                  <w:i/>
                  <w:iCs/>
                  <w:noProof/>
                </w:rPr>
                <w:t>Investigation report into offensive Whatsapp messages by officers linked to Wayne Couzens.</w:t>
              </w:r>
              <w:r>
                <w:rPr>
                  <w:noProof/>
                </w:rPr>
                <w:t xml:space="preserve"> IOPC.</w:t>
              </w:r>
            </w:p>
            <w:p w14:paraId="00F217D6" w14:textId="77777777" w:rsidR="008D34E6" w:rsidRDefault="008D34E6" w:rsidP="008D34E6">
              <w:pPr>
                <w:pStyle w:val="Bibliography"/>
                <w:ind w:left="720" w:hanging="720"/>
                <w:rPr>
                  <w:noProof/>
                </w:rPr>
              </w:pPr>
              <w:r>
                <w:rPr>
                  <w:noProof/>
                </w:rPr>
                <w:t xml:space="preserve">IOPC. (2023). </w:t>
              </w:r>
              <w:r>
                <w:rPr>
                  <w:i/>
                  <w:iCs/>
                  <w:noProof/>
                </w:rPr>
                <w:t>Police complaints statistics for England and Wales report - 2022/23.</w:t>
              </w:r>
              <w:r>
                <w:rPr>
                  <w:noProof/>
                </w:rPr>
                <w:t xml:space="preserve"> IOPC.</w:t>
              </w:r>
            </w:p>
            <w:p w14:paraId="62892683" w14:textId="77777777" w:rsidR="008D34E6" w:rsidRDefault="008D34E6" w:rsidP="008D34E6">
              <w:pPr>
                <w:pStyle w:val="Bibliography"/>
                <w:ind w:left="720" w:hanging="720"/>
                <w:rPr>
                  <w:noProof/>
                </w:rPr>
              </w:pPr>
              <w:r>
                <w:rPr>
                  <w:i/>
                  <w:iCs/>
                  <w:noProof/>
                </w:rPr>
                <w:t>IOPC: Independent Office for Police Conduct</w:t>
              </w:r>
              <w:r>
                <w:rPr>
                  <w:noProof/>
                </w:rPr>
                <w:t>. (2023). Retrieved from Police Conduct.GOV: https://www.policeconduct.gov.uk/</w:t>
              </w:r>
            </w:p>
            <w:p w14:paraId="42974B27" w14:textId="77777777" w:rsidR="008D34E6" w:rsidRDefault="008D34E6" w:rsidP="008D34E6">
              <w:pPr>
                <w:pStyle w:val="Bibliography"/>
                <w:ind w:left="720" w:hanging="720"/>
                <w:rPr>
                  <w:noProof/>
                </w:rPr>
              </w:pPr>
              <w:r>
                <w:rPr>
                  <w:noProof/>
                </w:rPr>
                <w:t xml:space="preserve">Justice Inspectorates. (2022). </w:t>
              </w:r>
              <w:r>
                <w:rPr>
                  <w:i/>
                  <w:iCs/>
                  <w:noProof/>
                </w:rPr>
                <w:t>Twenty years on, is MAPPA achieving its objectives? A joint thematic inspection of Multi-Agency Public Protection Arrangements.</w:t>
              </w:r>
              <w:r>
                <w:rPr>
                  <w:noProof/>
                </w:rPr>
                <w:t xml:space="preserve"> Justice Inspectorates.</w:t>
              </w:r>
            </w:p>
            <w:p w14:paraId="412AFB1F" w14:textId="77777777" w:rsidR="008D34E6" w:rsidRDefault="008D34E6" w:rsidP="008D34E6">
              <w:pPr>
                <w:pStyle w:val="Bibliography"/>
                <w:ind w:left="720" w:hanging="720"/>
                <w:rPr>
                  <w:noProof/>
                </w:rPr>
              </w:pPr>
              <w:r>
                <w:rPr>
                  <w:noProof/>
                </w:rPr>
                <w:t xml:space="preserve">Lasky, N. V. (2019, August 23). </w:t>
              </w:r>
              <w:r>
                <w:rPr>
                  <w:i/>
                  <w:iCs/>
                  <w:noProof/>
                </w:rPr>
                <w:t>Wiley Online Library.</w:t>
              </w:r>
              <w:r>
                <w:rPr>
                  <w:noProof/>
                </w:rPr>
                <w:t xml:space="preserve"> Retrieved from Victim Precipitation Theory. In The Encyclopedia of Women and Crime: https://onlinelibrary.wiley.com/action/showCitFormats?doi=10.1002%2F9781118929803.ewac0517</w:t>
              </w:r>
            </w:p>
            <w:p w14:paraId="28F0B9F1" w14:textId="77777777" w:rsidR="008D34E6" w:rsidRDefault="008D34E6" w:rsidP="008D34E6">
              <w:pPr>
                <w:pStyle w:val="Bibliography"/>
                <w:ind w:left="720" w:hanging="720"/>
                <w:rPr>
                  <w:noProof/>
                </w:rPr>
              </w:pPr>
              <w:r>
                <w:rPr>
                  <w:noProof/>
                </w:rPr>
                <w:t xml:space="preserve">Merton, R. K. (1949). </w:t>
              </w:r>
              <w:r>
                <w:rPr>
                  <w:i/>
                  <w:iCs/>
                  <w:noProof/>
                </w:rPr>
                <w:t>Social Theory and Social Structure.</w:t>
              </w:r>
              <w:r>
                <w:rPr>
                  <w:noProof/>
                </w:rPr>
                <w:t xml:space="preserve"> Columbia: Columbia University.</w:t>
              </w:r>
            </w:p>
            <w:p w14:paraId="361A18AF" w14:textId="77777777" w:rsidR="008D34E6" w:rsidRDefault="008D34E6" w:rsidP="008D34E6">
              <w:pPr>
                <w:pStyle w:val="Bibliography"/>
                <w:ind w:left="720" w:hanging="720"/>
                <w:rPr>
                  <w:noProof/>
                </w:rPr>
              </w:pPr>
              <w:r>
                <w:rPr>
                  <w:noProof/>
                </w:rPr>
                <w:t xml:space="preserve">Ministry of Justice. (2011, October). </w:t>
              </w:r>
              <w:r>
                <w:rPr>
                  <w:i/>
                  <w:iCs/>
                  <w:noProof/>
                </w:rPr>
                <w:t>Proven re-offending statistics: .</w:t>
              </w:r>
              <w:r>
                <w:rPr>
                  <w:noProof/>
                </w:rPr>
                <w:t xml:space="preserve"> Retrieved from Ministry of Justice: https://assets.publishing.service.gov.uk/government/uploads/system/uploads/attachment_data/file/218471/proven-reoffending-definition-measurement-260112.pdf#:~:text=proven%20re-offence%20is%20defined%20as%20any%20offence%20committed,up%20or%20a%20further%2</w:t>
              </w:r>
            </w:p>
            <w:p w14:paraId="2231CC04" w14:textId="77777777" w:rsidR="008D34E6" w:rsidRDefault="008D34E6" w:rsidP="008D34E6">
              <w:pPr>
                <w:pStyle w:val="Bibliography"/>
                <w:ind w:left="720" w:hanging="720"/>
                <w:rPr>
                  <w:noProof/>
                </w:rPr>
              </w:pPr>
              <w:r>
                <w:rPr>
                  <w:noProof/>
                </w:rPr>
                <w:t xml:space="preserve">Ministry of Justice. (2013). </w:t>
              </w:r>
              <w:r>
                <w:rPr>
                  <w:i/>
                  <w:iCs/>
                  <w:noProof/>
                </w:rPr>
                <w:t>Transforming Rehabilitation: a Summary of Evidence on Reducing Re-offending.</w:t>
              </w:r>
              <w:r>
                <w:rPr>
                  <w:noProof/>
                </w:rPr>
                <w:t xml:space="preserve"> Retrieved from Gov.UK - Ministry of Justice: https://assets.publishing.service.gov.uk/government/uploads/system/uploads/attachment_data/file/243718/evidence-reduce-reoffending.pdf</w:t>
              </w:r>
            </w:p>
            <w:p w14:paraId="6B6C7225" w14:textId="77777777" w:rsidR="008D34E6" w:rsidRDefault="008D34E6" w:rsidP="008D34E6">
              <w:pPr>
                <w:pStyle w:val="Bibliography"/>
                <w:ind w:left="720" w:hanging="720"/>
                <w:rPr>
                  <w:noProof/>
                </w:rPr>
              </w:pPr>
              <w:r>
                <w:rPr>
                  <w:noProof/>
                </w:rPr>
                <w:t xml:space="preserve">Ministry of Justice. (2020, November 18). </w:t>
              </w:r>
              <w:r>
                <w:rPr>
                  <w:i/>
                  <w:iCs/>
                  <w:noProof/>
                </w:rPr>
                <w:t>The Victims’ Code sets out a minimum standard of service for victims of crime.</w:t>
              </w:r>
              <w:r>
                <w:rPr>
                  <w:noProof/>
                </w:rPr>
                <w:t xml:space="preserve"> Retrieved from Ministry of Justice: https://consult.justice.gov.uk/victim-policy/consultation-on-improving-the-victims-code/supporting_documents/victimscodeweb.pdf</w:t>
              </w:r>
            </w:p>
            <w:p w14:paraId="3A63D43A" w14:textId="77777777" w:rsidR="008D34E6" w:rsidRDefault="008D34E6" w:rsidP="008D34E6">
              <w:pPr>
                <w:pStyle w:val="Bibliography"/>
                <w:ind w:left="720" w:hanging="720"/>
                <w:rPr>
                  <w:noProof/>
                </w:rPr>
              </w:pPr>
              <w:r>
                <w:rPr>
                  <w:noProof/>
                </w:rPr>
                <w:lastRenderedPageBreak/>
                <w:t xml:space="preserve">Ministry of Justice. (2023, October 26). </w:t>
              </w:r>
              <w:r>
                <w:rPr>
                  <w:i/>
                  <w:iCs/>
                  <w:noProof/>
                </w:rPr>
                <w:t>Proven reoffending statistics: October to December 2021.</w:t>
              </w:r>
              <w:r>
                <w:rPr>
                  <w:noProof/>
                </w:rPr>
                <w:t xml:space="preserve"> Retrieved from Gov.UK - Ministry of Justice: https://www.gov.uk/government/statistics/proven-reoffending-statistics-october-to-december-2021/proven-reoffending-statistics-october-to-december-2021</w:t>
              </w:r>
            </w:p>
            <w:p w14:paraId="22D1865F" w14:textId="77777777" w:rsidR="008D34E6" w:rsidRDefault="008D34E6" w:rsidP="008D34E6">
              <w:pPr>
                <w:pStyle w:val="Bibliography"/>
                <w:ind w:left="720" w:hanging="720"/>
                <w:rPr>
                  <w:noProof/>
                </w:rPr>
              </w:pPr>
              <w:r>
                <w:rPr>
                  <w:noProof/>
                </w:rPr>
                <w:t xml:space="preserve">MRI Social Housing. (2020, November 27). </w:t>
              </w:r>
              <w:r>
                <w:rPr>
                  <w:i/>
                  <w:iCs/>
                  <w:noProof/>
                </w:rPr>
                <w:t>The role of MARACs in tackling domestic abuse.</w:t>
              </w:r>
              <w:r>
                <w:rPr>
                  <w:noProof/>
                </w:rPr>
                <w:t xml:space="preserve"> Retrieved from MRI Real Estate Software: https://www.mrisoftware.com/uk/blog/the-role-of-maracs-in-tackling-domestic-abuse/</w:t>
              </w:r>
            </w:p>
            <w:p w14:paraId="5B1CA10F" w14:textId="77777777" w:rsidR="008D34E6" w:rsidRDefault="008D34E6" w:rsidP="008D34E6">
              <w:pPr>
                <w:pStyle w:val="Bibliography"/>
                <w:ind w:left="720" w:hanging="720"/>
                <w:rPr>
                  <w:noProof/>
                </w:rPr>
              </w:pPr>
              <w:r>
                <w:rPr>
                  <w:noProof/>
                </w:rPr>
                <w:t xml:space="preserve">Petherick, W., Brotto, G. L., &amp; Sinnamon, G. (2017). </w:t>
              </w:r>
              <w:r>
                <w:rPr>
                  <w:i/>
                  <w:iCs/>
                  <w:noProof/>
                </w:rPr>
                <w:t>Victimology and predicting victims of personal violence.</w:t>
              </w:r>
              <w:r>
                <w:rPr>
                  <w:noProof/>
                </w:rPr>
                <w:t xml:space="preserve"> Gold Coast, QLD: Bond University.</w:t>
              </w:r>
            </w:p>
            <w:p w14:paraId="745B9F47" w14:textId="77777777" w:rsidR="008D34E6" w:rsidRDefault="008D34E6" w:rsidP="008D34E6">
              <w:pPr>
                <w:pStyle w:val="Bibliography"/>
                <w:ind w:left="720" w:hanging="720"/>
                <w:rPr>
                  <w:noProof/>
                </w:rPr>
              </w:pPr>
              <w:r>
                <w:rPr>
                  <w:noProof/>
                </w:rPr>
                <w:t xml:space="preserve">Police and Crime Commissioner South Wales. (n.d.). </w:t>
              </w:r>
              <w:r>
                <w:rPr>
                  <w:i/>
                  <w:iCs/>
                  <w:noProof/>
                </w:rPr>
                <w:t>Working in Partnership</w:t>
              </w:r>
              <w:r>
                <w:rPr>
                  <w:noProof/>
                </w:rPr>
                <w:t>. Retrieved from Police and Crime Commissioner South Wales: https://commissioner.south-wales.police.uk/en/your-commissioner/working-in-partnership/</w:t>
              </w:r>
            </w:p>
            <w:p w14:paraId="79FA5708" w14:textId="77777777" w:rsidR="008D34E6" w:rsidRDefault="008D34E6" w:rsidP="008D34E6">
              <w:pPr>
                <w:pStyle w:val="Bibliography"/>
                <w:ind w:left="720" w:hanging="720"/>
                <w:rPr>
                  <w:noProof/>
                </w:rPr>
              </w:pPr>
              <w:r>
                <w:rPr>
                  <w:noProof/>
                </w:rPr>
                <w:t xml:space="preserve">Razzetti, G. (2021, January 20). </w:t>
              </w:r>
              <w:r>
                <w:rPr>
                  <w:i/>
                  <w:iCs/>
                  <w:noProof/>
                </w:rPr>
                <w:t>Leadership Immunity: Why Leaders Act as if Rules Don't Apply to Them.</w:t>
              </w:r>
              <w:r>
                <w:rPr>
                  <w:noProof/>
                </w:rPr>
                <w:t xml:space="preserve"> Retrieved from Fearless Culture: https://www.fearlessculture.design/blog-posts/leadership-immunity-why-leaders-act-as-if-rules-dont-apply-to-them</w:t>
              </w:r>
            </w:p>
            <w:p w14:paraId="13E9D202" w14:textId="77777777" w:rsidR="008D34E6" w:rsidRDefault="008D34E6" w:rsidP="008D34E6">
              <w:pPr>
                <w:pStyle w:val="Bibliography"/>
                <w:ind w:left="720" w:hanging="720"/>
                <w:rPr>
                  <w:noProof/>
                </w:rPr>
              </w:pPr>
              <w:r>
                <w:rPr>
                  <w:noProof/>
                </w:rPr>
                <w:t xml:space="preserve">Robinson, A. L., &amp; Howarth, E. (2012, May 27). </w:t>
              </w:r>
              <w:r>
                <w:rPr>
                  <w:i/>
                  <w:iCs/>
                  <w:noProof/>
                </w:rPr>
                <w:t>Judging risk: key determinants in British domestic violence cases</w:t>
              </w:r>
              <w:r>
                <w:rPr>
                  <w:noProof/>
                </w:rPr>
                <w:t>. J Interpreters Violence.</w:t>
              </w:r>
            </w:p>
            <w:p w14:paraId="0C2A5332" w14:textId="77777777" w:rsidR="008D34E6" w:rsidRDefault="008D34E6" w:rsidP="008D34E6">
              <w:pPr>
                <w:pStyle w:val="Bibliography"/>
                <w:ind w:left="720" w:hanging="720"/>
                <w:rPr>
                  <w:noProof/>
                </w:rPr>
              </w:pPr>
              <w:r>
                <w:rPr>
                  <w:noProof/>
                </w:rPr>
                <w:t xml:space="preserve">SafeLives. (2014). </w:t>
              </w:r>
              <w:r>
                <w:rPr>
                  <w:i/>
                  <w:iCs/>
                  <w:noProof/>
                </w:rPr>
                <w:t>Frequently asked questions Multi-Agency Risk Assessment Conferences.</w:t>
              </w:r>
              <w:r>
                <w:rPr>
                  <w:noProof/>
                </w:rPr>
                <w:t xml:space="preserve"> Retrieved from SafeLives: https://safelives.org.uk/sites/default/files/resources/MARAC%20FAQs%20General%20FINAL.pdf</w:t>
              </w:r>
            </w:p>
            <w:p w14:paraId="4EC66F0B" w14:textId="77777777" w:rsidR="008D34E6" w:rsidRDefault="008D34E6" w:rsidP="008D34E6">
              <w:pPr>
                <w:pStyle w:val="Bibliography"/>
                <w:ind w:left="720" w:hanging="720"/>
                <w:rPr>
                  <w:noProof/>
                </w:rPr>
              </w:pPr>
              <w:r>
                <w:rPr>
                  <w:noProof/>
                </w:rPr>
                <w:t xml:space="preserve">Siegel, L. J. (2006). </w:t>
              </w:r>
              <w:r>
                <w:rPr>
                  <w:i/>
                  <w:iCs/>
                  <w:noProof/>
                </w:rPr>
                <w:t>Criminology: Theories, Patterns, and Typologies.</w:t>
              </w:r>
              <w:r>
                <w:rPr>
                  <w:noProof/>
                </w:rPr>
                <w:t xml:space="preserve"> Belmont: Thomson/Wadsworth.</w:t>
              </w:r>
            </w:p>
            <w:p w14:paraId="2D9ED695" w14:textId="77777777" w:rsidR="008D34E6" w:rsidRDefault="008D34E6" w:rsidP="008D34E6">
              <w:pPr>
                <w:pStyle w:val="Bibliography"/>
                <w:ind w:left="720" w:hanging="720"/>
                <w:rPr>
                  <w:noProof/>
                </w:rPr>
              </w:pPr>
              <w:r>
                <w:rPr>
                  <w:noProof/>
                </w:rPr>
                <w:t xml:space="preserve">Skinner, B. (1938). </w:t>
              </w:r>
              <w:r>
                <w:rPr>
                  <w:i/>
                  <w:iCs/>
                  <w:noProof/>
                </w:rPr>
                <w:t>The Behavior Of Organisms An Experimental Analysis.</w:t>
              </w:r>
              <w:r>
                <w:rPr>
                  <w:noProof/>
                </w:rPr>
                <w:t xml:space="preserve"> Minnesota: Appleton Century Crofts.</w:t>
              </w:r>
            </w:p>
            <w:p w14:paraId="419AE6F3" w14:textId="77777777" w:rsidR="008D34E6" w:rsidRDefault="008D34E6" w:rsidP="008D34E6">
              <w:pPr>
                <w:pStyle w:val="Bibliography"/>
                <w:ind w:left="720" w:hanging="720"/>
                <w:rPr>
                  <w:noProof/>
                </w:rPr>
              </w:pPr>
              <w:r>
                <w:rPr>
                  <w:noProof/>
                </w:rPr>
                <w:t xml:space="preserve">Walters, G. D. (2018). </w:t>
              </w:r>
              <w:r>
                <w:rPr>
                  <w:i/>
                  <w:iCs/>
                  <w:noProof/>
                </w:rPr>
                <w:t>Lifestyle Theory.</w:t>
              </w:r>
              <w:r>
                <w:rPr>
                  <w:noProof/>
                </w:rPr>
                <w:t xml:space="preserve"> New York: Springer.</w:t>
              </w:r>
            </w:p>
            <w:p w14:paraId="6E9AC36E" w14:textId="77777777" w:rsidR="008D34E6" w:rsidRDefault="008D34E6" w:rsidP="008D34E6">
              <w:pPr>
                <w:pStyle w:val="Bibliography"/>
                <w:ind w:left="720" w:hanging="720"/>
                <w:rPr>
                  <w:noProof/>
                </w:rPr>
              </w:pPr>
              <w:r>
                <w:rPr>
                  <w:noProof/>
                </w:rPr>
                <w:t xml:space="preserve">Wolfgang, M. E. (1958). </w:t>
              </w:r>
              <w:r>
                <w:rPr>
                  <w:i/>
                  <w:iCs/>
                  <w:noProof/>
                </w:rPr>
                <w:t>Patterns in Criminal Homicide.</w:t>
              </w:r>
              <w:r>
                <w:rPr>
                  <w:noProof/>
                </w:rPr>
                <w:t xml:space="preserve"> Philadelphia: University of Pennsylvania.</w:t>
              </w:r>
            </w:p>
            <w:p w14:paraId="424833EB" w14:textId="77777777" w:rsidR="008D34E6" w:rsidRDefault="008D34E6" w:rsidP="008D34E6">
              <w:pPr>
                <w:pStyle w:val="Bibliography"/>
                <w:ind w:left="720" w:hanging="720"/>
                <w:rPr>
                  <w:noProof/>
                </w:rPr>
              </w:pPr>
              <w:r>
                <w:rPr>
                  <w:noProof/>
                </w:rPr>
                <w:t xml:space="preserve">Youth Justice Board. (2022, January 27). </w:t>
              </w:r>
              <w:r>
                <w:rPr>
                  <w:i/>
                  <w:iCs/>
                  <w:noProof/>
                </w:rPr>
                <w:t>Gov.UK - Youth Justice Board.</w:t>
              </w:r>
              <w:r>
                <w:rPr>
                  <w:noProof/>
                </w:rPr>
                <w:t xml:space="preserve"> Retrieved from National statistics: Youth Justice Statistics: 2020 to 2021: https://www.gov.uk/government/statistics/youth-justice-statistics-2020-to-2021/youth-justice-statistics-2020-to-2021-accessible-version</w:t>
              </w:r>
            </w:p>
            <w:p w14:paraId="5FB0D561" w14:textId="4708680F" w:rsidR="002F4BEC" w:rsidRDefault="002F4BEC" w:rsidP="008D34E6">
              <w:r>
                <w:rPr>
                  <w:b/>
                  <w:bCs/>
                  <w:noProof/>
                </w:rPr>
                <w:fldChar w:fldCharType="end"/>
              </w:r>
            </w:p>
          </w:sdtContent>
        </w:sdt>
      </w:sdtContent>
    </w:sdt>
    <w:p w14:paraId="0DDCB66E" w14:textId="77777777" w:rsidR="002F4BEC" w:rsidRPr="002F4BEC" w:rsidRDefault="002F4BEC" w:rsidP="002F4BEC"/>
    <w:p w14:paraId="682625D0" w14:textId="77777777" w:rsidR="002F4BEC" w:rsidRPr="002F4BEC" w:rsidRDefault="002F4BEC" w:rsidP="002F4BEC"/>
    <w:p w14:paraId="5B426B13" w14:textId="77777777" w:rsidR="002F4BEC" w:rsidRPr="006F5B5F" w:rsidRDefault="002F4BEC" w:rsidP="002F4BEC"/>
    <w:sectPr w:rsidR="002F4BEC" w:rsidRPr="006F5B5F" w:rsidSect="007906E6">
      <w:footerReference w:type="default" r:id="rId8"/>
      <w:pgSz w:w="11906" w:h="16838"/>
      <w:pgMar w:top="1440" w:right="1440" w:bottom="1440" w:left="1440" w:header="850"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8EED1" w14:textId="77777777" w:rsidR="002E7FEB" w:rsidRDefault="002E7FEB" w:rsidP="007906E6">
      <w:pPr>
        <w:spacing w:after="0" w:line="240" w:lineRule="auto"/>
      </w:pPr>
      <w:r>
        <w:separator/>
      </w:r>
    </w:p>
  </w:endnote>
  <w:endnote w:type="continuationSeparator" w:id="0">
    <w:p w14:paraId="29DEC09D" w14:textId="77777777" w:rsidR="002E7FEB" w:rsidRDefault="002E7FEB" w:rsidP="00790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618009"/>
      <w:docPartObj>
        <w:docPartGallery w:val="Page Numbers (Bottom of Page)"/>
        <w:docPartUnique/>
      </w:docPartObj>
    </w:sdtPr>
    <w:sdtEndPr>
      <w:rPr>
        <w:noProof/>
      </w:rPr>
    </w:sdtEndPr>
    <w:sdtContent>
      <w:p w14:paraId="050BE4A1" w14:textId="4A93E920" w:rsidR="007906E6" w:rsidRDefault="007906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A87F7F" w14:textId="77777777" w:rsidR="007906E6" w:rsidRDefault="007906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51B15" w14:textId="77777777" w:rsidR="002E7FEB" w:rsidRDefault="002E7FEB" w:rsidP="007906E6">
      <w:pPr>
        <w:spacing w:after="0" w:line="240" w:lineRule="auto"/>
      </w:pPr>
      <w:r>
        <w:separator/>
      </w:r>
    </w:p>
  </w:footnote>
  <w:footnote w:type="continuationSeparator" w:id="0">
    <w:p w14:paraId="0D888527" w14:textId="77777777" w:rsidR="002E7FEB" w:rsidRDefault="002E7FEB" w:rsidP="00790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E53427"/>
    <w:multiLevelType w:val="hybridMultilevel"/>
    <w:tmpl w:val="93E4136A"/>
    <w:lvl w:ilvl="0" w:tplc="ED766888">
      <w:start w:val="1098"/>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E42D2"/>
    <w:multiLevelType w:val="hybridMultilevel"/>
    <w:tmpl w:val="7B68CF0C"/>
    <w:lvl w:ilvl="0" w:tplc="6F768B8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7082438">
    <w:abstractNumId w:val="1"/>
  </w:num>
  <w:num w:numId="2" w16cid:durableId="1340624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524"/>
    <w:rsid w:val="00051D0B"/>
    <w:rsid w:val="00094E42"/>
    <w:rsid w:val="000A1118"/>
    <w:rsid w:val="000E138B"/>
    <w:rsid w:val="00111571"/>
    <w:rsid w:val="0011160F"/>
    <w:rsid w:val="00152E44"/>
    <w:rsid w:val="00157A61"/>
    <w:rsid w:val="001C0797"/>
    <w:rsid w:val="001C3EDD"/>
    <w:rsid w:val="001F3133"/>
    <w:rsid w:val="00247777"/>
    <w:rsid w:val="002719B2"/>
    <w:rsid w:val="002B4C2C"/>
    <w:rsid w:val="002D0B03"/>
    <w:rsid w:val="002E7FEB"/>
    <w:rsid w:val="002F4BEC"/>
    <w:rsid w:val="00360274"/>
    <w:rsid w:val="003C1605"/>
    <w:rsid w:val="003C2C04"/>
    <w:rsid w:val="003E06EF"/>
    <w:rsid w:val="004E5450"/>
    <w:rsid w:val="00542424"/>
    <w:rsid w:val="0055352F"/>
    <w:rsid w:val="005A0B1A"/>
    <w:rsid w:val="005A3310"/>
    <w:rsid w:val="005A7A94"/>
    <w:rsid w:val="005F6BDD"/>
    <w:rsid w:val="00617304"/>
    <w:rsid w:val="00670D50"/>
    <w:rsid w:val="00682968"/>
    <w:rsid w:val="006A6C97"/>
    <w:rsid w:val="006E3968"/>
    <w:rsid w:val="006F5B5F"/>
    <w:rsid w:val="00705E32"/>
    <w:rsid w:val="00753B6E"/>
    <w:rsid w:val="00756031"/>
    <w:rsid w:val="00785537"/>
    <w:rsid w:val="007906E6"/>
    <w:rsid w:val="007A4F06"/>
    <w:rsid w:val="007C3524"/>
    <w:rsid w:val="007E34A4"/>
    <w:rsid w:val="007F3505"/>
    <w:rsid w:val="00850C05"/>
    <w:rsid w:val="008865F2"/>
    <w:rsid w:val="0089076D"/>
    <w:rsid w:val="008D34E6"/>
    <w:rsid w:val="008D55AA"/>
    <w:rsid w:val="008E62CF"/>
    <w:rsid w:val="00911AB3"/>
    <w:rsid w:val="00944808"/>
    <w:rsid w:val="009D7D75"/>
    <w:rsid w:val="009E28E2"/>
    <w:rsid w:val="00A010FE"/>
    <w:rsid w:val="00A75DC5"/>
    <w:rsid w:val="00B17162"/>
    <w:rsid w:val="00B30AD1"/>
    <w:rsid w:val="00B45056"/>
    <w:rsid w:val="00B947FA"/>
    <w:rsid w:val="00B978EC"/>
    <w:rsid w:val="00C250B9"/>
    <w:rsid w:val="00C421B1"/>
    <w:rsid w:val="00C93ED0"/>
    <w:rsid w:val="00C96D29"/>
    <w:rsid w:val="00CA4141"/>
    <w:rsid w:val="00D12D53"/>
    <w:rsid w:val="00D32714"/>
    <w:rsid w:val="00D72412"/>
    <w:rsid w:val="00D874BE"/>
    <w:rsid w:val="00E20DF1"/>
    <w:rsid w:val="00EB73BE"/>
    <w:rsid w:val="00ED71A9"/>
    <w:rsid w:val="00F01798"/>
    <w:rsid w:val="00F25617"/>
    <w:rsid w:val="00F51B91"/>
    <w:rsid w:val="00F71E42"/>
    <w:rsid w:val="00F730EB"/>
    <w:rsid w:val="00F93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15849"/>
  <w15:chartTrackingRefBased/>
  <w15:docId w15:val="{2C5DD9DE-DDCF-4CEC-BA84-16143AE06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24"/>
  </w:style>
  <w:style w:type="paragraph" w:styleId="Heading1">
    <w:name w:val="heading 1"/>
    <w:basedOn w:val="Normal"/>
    <w:next w:val="Normal"/>
    <w:link w:val="Heading1Char"/>
    <w:uiPriority w:val="9"/>
    <w:qFormat/>
    <w:rsid w:val="007C3524"/>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C3524"/>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7C3524"/>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7C3524"/>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7C3524"/>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7C3524"/>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7C3524"/>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7C3524"/>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7C3524"/>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52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C352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7C3524"/>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7C3524"/>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7C3524"/>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7C3524"/>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7C3524"/>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7C3524"/>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7C3524"/>
    <w:rPr>
      <w:b/>
      <w:bCs/>
      <w:i/>
      <w:iCs/>
    </w:rPr>
  </w:style>
  <w:style w:type="paragraph" w:styleId="Caption">
    <w:name w:val="caption"/>
    <w:basedOn w:val="Normal"/>
    <w:next w:val="Normal"/>
    <w:uiPriority w:val="35"/>
    <w:semiHidden/>
    <w:unhideWhenUsed/>
    <w:qFormat/>
    <w:rsid w:val="007C3524"/>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C3524"/>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7C3524"/>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7C3524"/>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7C3524"/>
    <w:rPr>
      <w:color w:val="44546A" w:themeColor="text2"/>
      <w:sz w:val="28"/>
      <w:szCs w:val="28"/>
    </w:rPr>
  </w:style>
  <w:style w:type="character" w:styleId="Strong">
    <w:name w:val="Strong"/>
    <w:basedOn w:val="DefaultParagraphFont"/>
    <w:uiPriority w:val="22"/>
    <w:qFormat/>
    <w:rsid w:val="007C3524"/>
    <w:rPr>
      <w:b/>
      <w:bCs/>
    </w:rPr>
  </w:style>
  <w:style w:type="character" w:styleId="Emphasis">
    <w:name w:val="Emphasis"/>
    <w:basedOn w:val="DefaultParagraphFont"/>
    <w:uiPriority w:val="20"/>
    <w:qFormat/>
    <w:rsid w:val="007C3524"/>
    <w:rPr>
      <w:i/>
      <w:iCs/>
      <w:color w:val="000000" w:themeColor="text1"/>
    </w:rPr>
  </w:style>
  <w:style w:type="paragraph" w:styleId="NoSpacing">
    <w:name w:val="No Spacing"/>
    <w:uiPriority w:val="1"/>
    <w:qFormat/>
    <w:rsid w:val="007C3524"/>
    <w:pPr>
      <w:spacing w:after="0" w:line="240" w:lineRule="auto"/>
    </w:pPr>
  </w:style>
  <w:style w:type="paragraph" w:styleId="Quote">
    <w:name w:val="Quote"/>
    <w:basedOn w:val="Normal"/>
    <w:next w:val="Normal"/>
    <w:link w:val="QuoteChar"/>
    <w:uiPriority w:val="29"/>
    <w:qFormat/>
    <w:rsid w:val="007C3524"/>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7C3524"/>
    <w:rPr>
      <w:i/>
      <w:iCs/>
      <w:color w:val="7B7B7B" w:themeColor="accent3" w:themeShade="BF"/>
      <w:sz w:val="24"/>
      <w:szCs w:val="24"/>
    </w:rPr>
  </w:style>
  <w:style w:type="paragraph" w:styleId="IntenseQuote">
    <w:name w:val="Intense Quote"/>
    <w:basedOn w:val="Normal"/>
    <w:next w:val="Normal"/>
    <w:link w:val="IntenseQuoteChar"/>
    <w:uiPriority w:val="30"/>
    <w:qFormat/>
    <w:rsid w:val="007C3524"/>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7C3524"/>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7C3524"/>
    <w:rPr>
      <w:i/>
      <w:iCs/>
      <w:color w:val="595959" w:themeColor="text1" w:themeTint="A6"/>
    </w:rPr>
  </w:style>
  <w:style w:type="character" w:styleId="IntenseEmphasis">
    <w:name w:val="Intense Emphasis"/>
    <w:basedOn w:val="DefaultParagraphFont"/>
    <w:uiPriority w:val="21"/>
    <w:qFormat/>
    <w:rsid w:val="007C3524"/>
    <w:rPr>
      <w:b/>
      <w:bCs/>
      <w:i/>
      <w:iCs/>
      <w:color w:val="auto"/>
    </w:rPr>
  </w:style>
  <w:style w:type="character" w:styleId="SubtleReference">
    <w:name w:val="Subtle Reference"/>
    <w:basedOn w:val="DefaultParagraphFont"/>
    <w:uiPriority w:val="31"/>
    <w:qFormat/>
    <w:rsid w:val="007C352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C3524"/>
    <w:rPr>
      <w:b/>
      <w:bCs/>
      <w:caps w:val="0"/>
      <w:smallCaps/>
      <w:color w:val="auto"/>
      <w:spacing w:val="0"/>
      <w:u w:val="single"/>
    </w:rPr>
  </w:style>
  <w:style w:type="character" w:styleId="BookTitle">
    <w:name w:val="Book Title"/>
    <w:basedOn w:val="DefaultParagraphFont"/>
    <w:uiPriority w:val="33"/>
    <w:qFormat/>
    <w:rsid w:val="007C3524"/>
    <w:rPr>
      <w:b/>
      <w:bCs/>
      <w:caps w:val="0"/>
      <w:smallCaps/>
      <w:spacing w:val="0"/>
    </w:rPr>
  </w:style>
  <w:style w:type="paragraph" w:styleId="TOCHeading">
    <w:name w:val="TOC Heading"/>
    <w:basedOn w:val="Heading1"/>
    <w:next w:val="Normal"/>
    <w:uiPriority w:val="39"/>
    <w:semiHidden/>
    <w:unhideWhenUsed/>
    <w:qFormat/>
    <w:rsid w:val="007C3524"/>
    <w:pPr>
      <w:outlineLvl w:val="9"/>
    </w:pPr>
  </w:style>
  <w:style w:type="paragraph" w:styleId="Header">
    <w:name w:val="header"/>
    <w:basedOn w:val="Normal"/>
    <w:link w:val="HeaderChar"/>
    <w:uiPriority w:val="99"/>
    <w:unhideWhenUsed/>
    <w:rsid w:val="00790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06E6"/>
  </w:style>
  <w:style w:type="paragraph" w:styleId="Footer">
    <w:name w:val="footer"/>
    <w:basedOn w:val="Normal"/>
    <w:link w:val="FooterChar"/>
    <w:uiPriority w:val="99"/>
    <w:unhideWhenUsed/>
    <w:rsid w:val="00790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06E6"/>
  </w:style>
  <w:style w:type="paragraph" w:styleId="ListParagraph">
    <w:name w:val="List Paragraph"/>
    <w:basedOn w:val="Normal"/>
    <w:uiPriority w:val="34"/>
    <w:qFormat/>
    <w:rsid w:val="00E20DF1"/>
    <w:pPr>
      <w:ind w:left="720"/>
      <w:contextualSpacing/>
    </w:pPr>
  </w:style>
  <w:style w:type="paragraph" w:styleId="Bibliography">
    <w:name w:val="Bibliography"/>
    <w:basedOn w:val="Normal"/>
    <w:next w:val="Normal"/>
    <w:uiPriority w:val="37"/>
    <w:unhideWhenUsed/>
    <w:rsid w:val="002F4B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0768">
      <w:bodyDiv w:val="1"/>
      <w:marLeft w:val="0"/>
      <w:marRight w:val="0"/>
      <w:marTop w:val="0"/>
      <w:marBottom w:val="0"/>
      <w:divBdr>
        <w:top w:val="none" w:sz="0" w:space="0" w:color="auto"/>
        <w:left w:val="none" w:sz="0" w:space="0" w:color="auto"/>
        <w:bottom w:val="none" w:sz="0" w:space="0" w:color="auto"/>
        <w:right w:val="none" w:sz="0" w:space="0" w:color="auto"/>
      </w:divBdr>
    </w:div>
    <w:div w:id="30886173">
      <w:bodyDiv w:val="1"/>
      <w:marLeft w:val="0"/>
      <w:marRight w:val="0"/>
      <w:marTop w:val="0"/>
      <w:marBottom w:val="0"/>
      <w:divBdr>
        <w:top w:val="none" w:sz="0" w:space="0" w:color="auto"/>
        <w:left w:val="none" w:sz="0" w:space="0" w:color="auto"/>
        <w:bottom w:val="none" w:sz="0" w:space="0" w:color="auto"/>
        <w:right w:val="none" w:sz="0" w:space="0" w:color="auto"/>
      </w:divBdr>
    </w:div>
    <w:div w:id="65812100">
      <w:bodyDiv w:val="1"/>
      <w:marLeft w:val="0"/>
      <w:marRight w:val="0"/>
      <w:marTop w:val="0"/>
      <w:marBottom w:val="0"/>
      <w:divBdr>
        <w:top w:val="none" w:sz="0" w:space="0" w:color="auto"/>
        <w:left w:val="none" w:sz="0" w:space="0" w:color="auto"/>
        <w:bottom w:val="none" w:sz="0" w:space="0" w:color="auto"/>
        <w:right w:val="none" w:sz="0" w:space="0" w:color="auto"/>
      </w:divBdr>
    </w:div>
    <w:div w:id="73627550">
      <w:bodyDiv w:val="1"/>
      <w:marLeft w:val="0"/>
      <w:marRight w:val="0"/>
      <w:marTop w:val="0"/>
      <w:marBottom w:val="0"/>
      <w:divBdr>
        <w:top w:val="none" w:sz="0" w:space="0" w:color="auto"/>
        <w:left w:val="none" w:sz="0" w:space="0" w:color="auto"/>
        <w:bottom w:val="none" w:sz="0" w:space="0" w:color="auto"/>
        <w:right w:val="none" w:sz="0" w:space="0" w:color="auto"/>
      </w:divBdr>
    </w:div>
    <w:div w:id="89593825">
      <w:bodyDiv w:val="1"/>
      <w:marLeft w:val="0"/>
      <w:marRight w:val="0"/>
      <w:marTop w:val="0"/>
      <w:marBottom w:val="0"/>
      <w:divBdr>
        <w:top w:val="none" w:sz="0" w:space="0" w:color="auto"/>
        <w:left w:val="none" w:sz="0" w:space="0" w:color="auto"/>
        <w:bottom w:val="none" w:sz="0" w:space="0" w:color="auto"/>
        <w:right w:val="none" w:sz="0" w:space="0" w:color="auto"/>
      </w:divBdr>
    </w:div>
    <w:div w:id="106973015">
      <w:bodyDiv w:val="1"/>
      <w:marLeft w:val="0"/>
      <w:marRight w:val="0"/>
      <w:marTop w:val="0"/>
      <w:marBottom w:val="0"/>
      <w:divBdr>
        <w:top w:val="none" w:sz="0" w:space="0" w:color="auto"/>
        <w:left w:val="none" w:sz="0" w:space="0" w:color="auto"/>
        <w:bottom w:val="none" w:sz="0" w:space="0" w:color="auto"/>
        <w:right w:val="none" w:sz="0" w:space="0" w:color="auto"/>
      </w:divBdr>
    </w:div>
    <w:div w:id="141042922">
      <w:bodyDiv w:val="1"/>
      <w:marLeft w:val="0"/>
      <w:marRight w:val="0"/>
      <w:marTop w:val="0"/>
      <w:marBottom w:val="0"/>
      <w:divBdr>
        <w:top w:val="none" w:sz="0" w:space="0" w:color="auto"/>
        <w:left w:val="none" w:sz="0" w:space="0" w:color="auto"/>
        <w:bottom w:val="none" w:sz="0" w:space="0" w:color="auto"/>
        <w:right w:val="none" w:sz="0" w:space="0" w:color="auto"/>
      </w:divBdr>
    </w:div>
    <w:div w:id="162594959">
      <w:bodyDiv w:val="1"/>
      <w:marLeft w:val="0"/>
      <w:marRight w:val="0"/>
      <w:marTop w:val="0"/>
      <w:marBottom w:val="0"/>
      <w:divBdr>
        <w:top w:val="none" w:sz="0" w:space="0" w:color="auto"/>
        <w:left w:val="none" w:sz="0" w:space="0" w:color="auto"/>
        <w:bottom w:val="none" w:sz="0" w:space="0" w:color="auto"/>
        <w:right w:val="none" w:sz="0" w:space="0" w:color="auto"/>
      </w:divBdr>
    </w:div>
    <w:div w:id="168369797">
      <w:bodyDiv w:val="1"/>
      <w:marLeft w:val="0"/>
      <w:marRight w:val="0"/>
      <w:marTop w:val="0"/>
      <w:marBottom w:val="0"/>
      <w:divBdr>
        <w:top w:val="none" w:sz="0" w:space="0" w:color="auto"/>
        <w:left w:val="none" w:sz="0" w:space="0" w:color="auto"/>
        <w:bottom w:val="none" w:sz="0" w:space="0" w:color="auto"/>
        <w:right w:val="none" w:sz="0" w:space="0" w:color="auto"/>
      </w:divBdr>
    </w:div>
    <w:div w:id="176113933">
      <w:bodyDiv w:val="1"/>
      <w:marLeft w:val="0"/>
      <w:marRight w:val="0"/>
      <w:marTop w:val="0"/>
      <w:marBottom w:val="0"/>
      <w:divBdr>
        <w:top w:val="none" w:sz="0" w:space="0" w:color="auto"/>
        <w:left w:val="none" w:sz="0" w:space="0" w:color="auto"/>
        <w:bottom w:val="none" w:sz="0" w:space="0" w:color="auto"/>
        <w:right w:val="none" w:sz="0" w:space="0" w:color="auto"/>
      </w:divBdr>
    </w:div>
    <w:div w:id="182670271">
      <w:bodyDiv w:val="1"/>
      <w:marLeft w:val="0"/>
      <w:marRight w:val="0"/>
      <w:marTop w:val="0"/>
      <w:marBottom w:val="0"/>
      <w:divBdr>
        <w:top w:val="none" w:sz="0" w:space="0" w:color="auto"/>
        <w:left w:val="none" w:sz="0" w:space="0" w:color="auto"/>
        <w:bottom w:val="none" w:sz="0" w:space="0" w:color="auto"/>
        <w:right w:val="none" w:sz="0" w:space="0" w:color="auto"/>
      </w:divBdr>
    </w:div>
    <w:div w:id="190343060">
      <w:bodyDiv w:val="1"/>
      <w:marLeft w:val="0"/>
      <w:marRight w:val="0"/>
      <w:marTop w:val="0"/>
      <w:marBottom w:val="0"/>
      <w:divBdr>
        <w:top w:val="none" w:sz="0" w:space="0" w:color="auto"/>
        <w:left w:val="none" w:sz="0" w:space="0" w:color="auto"/>
        <w:bottom w:val="none" w:sz="0" w:space="0" w:color="auto"/>
        <w:right w:val="none" w:sz="0" w:space="0" w:color="auto"/>
      </w:divBdr>
    </w:div>
    <w:div w:id="232934911">
      <w:bodyDiv w:val="1"/>
      <w:marLeft w:val="0"/>
      <w:marRight w:val="0"/>
      <w:marTop w:val="0"/>
      <w:marBottom w:val="0"/>
      <w:divBdr>
        <w:top w:val="none" w:sz="0" w:space="0" w:color="auto"/>
        <w:left w:val="none" w:sz="0" w:space="0" w:color="auto"/>
        <w:bottom w:val="none" w:sz="0" w:space="0" w:color="auto"/>
        <w:right w:val="none" w:sz="0" w:space="0" w:color="auto"/>
      </w:divBdr>
    </w:div>
    <w:div w:id="287009645">
      <w:bodyDiv w:val="1"/>
      <w:marLeft w:val="0"/>
      <w:marRight w:val="0"/>
      <w:marTop w:val="0"/>
      <w:marBottom w:val="0"/>
      <w:divBdr>
        <w:top w:val="none" w:sz="0" w:space="0" w:color="auto"/>
        <w:left w:val="none" w:sz="0" w:space="0" w:color="auto"/>
        <w:bottom w:val="none" w:sz="0" w:space="0" w:color="auto"/>
        <w:right w:val="none" w:sz="0" w:space="0" w:color="auto"/>
      </w:divBdr>
    </w:div>
    <w:div w:id="339625746">
      <w:bodyDiv w:val="1"/>
      <w:marLeft w:val="0"/>
      <w:marRight w:val="0"/>
      <w:marTop w:val="0"/>
      <w:marBottom w:val="0"/>
      <w:divBdr>
        <w:top w:val="none" w:sz="0" w:space="0" w:color="auto"/>
        <w:left w:val="none" w:sz="0" w:space="0" w:color="auto"/>
        <w:bottom w:val="none" w:sz="0" w:space="0" w:color="auto"/>
        <w:right w:val="none" w:sz="0" w:space="0" w:color="auto"/>
      </w:divBdr>
    </w:div>
    <w:div w:id="351805282">
      <w:bodyDiv w:val="1"/>
      <w:marLeft w:val="0"/>
      <w:marRight w:val="0"/>
      <w:marTop w:val="0"/>
      <w:marBottom w:val="0"/>
      <w:divBdr>
        <w:top w:val="none" w:sz="0" w:space="0" w:color="auto"/>
        <w:left w:val="none" w:sz="0" w:space="0" w:color="auto"/>
        <w:bottom w:val="none" w:sz="0" w:space="0" w:color="auto"/>
        <w:right w:val="none" w:sz="0" w:space="0" w:color="auto"/>
      </w:divBdr>
    </w:div>
    <w:div w:id="365254663">
      <w:bodyDiv w:val="1"/>
      <w:marLeft w:val="0"/>
      <w:marRight w:val="0"/>
      <w:marTop w:val="0"/>
      <w:marBottom w:val="0"/>
      <w:divBdr>
        <w:top w:val="none" w:sz="0" w:space="0" w:color="auto"/>
        <w:left w:val="none" w:sz="0" w:space="0" w:color="auto"/>
        <w:bottom w:val="none" w:sz="0" w:space="0" w:color="auto"/>
        <w:right w:val="none" w:sz="0" w:space="0" w:color="auto"/>
      </w:divBdr>
    </w:div>
    <w:div w:id="389381565">
      <w:bodyDiv w:val="1"/>
      <w:marLeft w:val="0"/>
      <w:marRight w:val="0"/>
      <w:marTop w:val="0"/>
      <w:marBottom w:val="0"/>
      <w:divBdr>
        <w:top w:val="none" w:sz="0" w:space="0" w:color="auto"/>
        <w:left w:val="none" w:sz="0" w:space="0" w:color="auto"/>
        <w:bottom w:val="none" w:sz="0" w:space="0" w:color="auto"/>
        <w:right w:val="none" w:sz="0" w:space="0" w:color="auto"/>
      </w:divBdr>
    </w:div>
    <w:div w:id="394856234">
      <w:bodyDiv w:val="1"/>
      <w:marLeft w:val="0"/>
      <w:marRight w:val="0"/>
      <w:marTop w:val="0"/>
      <w:marBottom w:val="0"/>
      <w:divBdr>
        <w:top w:val="none" w:sz="0" w:space="0" w:color="auto"/>
        <w:left w:val="none" w:sz="0" w:space="0" w:color="auto"/>
        <w:bottom w:val="none" w:sz="0" w:space="0" w:color="auto"/>
        <w:right w:val="none" w:sz="0" w:space="0" w:color="auto"/>
      </w:divBdr>
    </w:div>
    <w:div w:id="399789220">
      <w:bodyDiv w:val="1"/>
      <w:marLeft w:val="0"/>
      <w:marRight w:val="0"/>
      <w:marTop w:val="0"/>
      <w:marBottom w:val="0"/>
      <w:divBdr>
        <w:top w:val="none" w:sz="0" w:space="0" w:color="auto"/>
        <w:left w:val="none" w:sz="0" w:space="0" w:color="auto"/>
        <w:bottom w:val="none" w:sz="0" w:space="0" w:color="auto"/>
        <w:right w:val="none" w:sz="0" w:space="0" w:color="auto"/>
      </w:divBdr>
    </w:div>
    <w:div w:id="430854401">
      <w:bodyDiv w:val="1"/>
      <w:marLeft w:val="0"/>
      <w:marRight w:val="0"/>
      <w:marTop w:val="0"/>
      <w:marBottom w:val="0"/>
      <w:divBdr>
        <w:top w:val="none" w:sz="0" w:space="0" w:color="auto"/>
        <w:left w:val="none" w:sz="0" w:space="0" w:color="auto"/>
        <w:bottom w:val="none" w:sz="0" w:space="0" w:color="auto"/>
        <w:right w:val="none" w:sz="0" w:space="0" w:color="auto"/>
      </w:divBdr>
    </w:div>
    <w:div w:id="451023613">
      <w:bodyDiv w:val="1"/>
      <w:marLeft w:val="0"/>
      <w:marRight w:val="0"/>
      <w:marTop w:val="0"/>
      <w:marBottom w:val="0"/>
      <w:divBdr>
        <w:top w:val="none" w:sz="0" w:space="0" w:color="auto"/>
        <w:left w:val="none" w:sz="0" w:space="0" w:color="auto"/>
        <w:bottom w:val="none" w:sz="0" w:space="0" w:color="auto"/>
        <w:right w:val="none" w:sz="0" w:space="0" w:color="auto"/>
      </w:divBdr>
    </w:div>
    <w:div w:id="479736650">
      <w:bodyDiv w:val="1"/>
      <w:marLeft w:val="0"/>
      <w:marRight w:val="0"/>
      <w:marTop w:val="0"/>
      <w:marBottom w:val="0"/>
      <w:divBdr>
        <w:top w:val="none" w:sz="0" w:space="0" w:color="auto"/>
        <w:left w:val="none" w:sz="0" w:space="0" w:color="auto"/>
        <w:bottom w:val="none" w:sz="0" w:space="0" w:color="auto"/>
        <w:right w:val="none" w:sz="0" w:space="0" w:color="auto"/>
      </w:divBdr>
    </w:div>
    <w:div w:id="522599241">
      <w:bodyDiv w:val="1"/>
      <w:marLeft w:val="0"/>
      <w:marRight w:val="0"/>
      <w:marTop w:val="0"/>
      <w:marBottom w:val="0"/>
      <w:divBdr>
        <w:top w:val="none" w:sz="0" w:space="0" w:color="auto"/>
        <w:left w:val="none" w:sz="0" w:space="0" w:color="auto"/>
        <w:bottom w:val="none" w:sz="0" w:space="0" w:color="auto"/>
        <w:right w:val="none" w:sz="0" w:space="0" w:color="auto"/>
      </w:divBdr>
    </w:div>
    <w:div w:id="524906514">
      <w:bodyDiv w:val="1"/>
      <w:marLeft w:val="0"/>
      <w:marRight w:val="0"/>
      <w:marTop w:val="0"/>
      <w:marBottom w:val="0"/>
      <w:divBdr>
        <w:top w:val="none" w:sz="0" w:space="0" w:color="auto"/>
        <w:left w:val="none" w:sz="0" w:space="0" w:color="auto"/>
        <w:bottom w:val="none" w:sz="0" w:space="0" w:color="auto"/>
        <w:right w:val="none" w:sz="0" w:space="0" w:color="auto"/>
      </w:divBdr>
    </w:div>
    <w:div w:id="541788433">
      <w:bodyDiv w:val="1"/>
      <w:marLeft w:val="0"/>
      <w:marRight w:val="0"/>
      <w:marTop w:val="0"/>
      <w:marBottom w:val="0"/>
      <w:divBdr>
        <w:top w:val="none" w:sz="0" w:space="0" w:color="auto"/>
        <w:left w:val="none" w:sz="0" w:space="0" w:color="auto"/>
        <w:bottom w:val="none" w:sz="0" w:space="0" w:color="auto"/>
        <w:right w:val="none" w:sz="0" w:space="0" w:color="auto"/>
      </w:divBdr>
    </w:div>
    <w:div w:id="548306242">
      <w:bodyDiv w:val="1"/>
      <w:marLeft w:val="0"/>
      <w:marRight w:val="0"/>
      <w:marTop w:val="0"/>
      <w:marBottom w:val="0"/>
      <w:divBdr>
        <w:top w:val="none" w:sz="0" w:space="0" w:color="auto"/>
        <w:left w:val="none" w:sz="0" w:space="0" w:color="auto"/>
        <w:bottom w:val="none" w:sz="0" w:space="0" w:color="auto"/>
        <w:right w:val="none" w:sz="0" w:space="0" w:color="auto"/>
      </w:divBdr>
    </w:div>
    <w:div w:id="701826571">
      <w:bodyDiv w:val="1"/>
      <w:marLeft w:val="0"/>
      <w:marRight w:val="0"/>
      <w:marTop w:val="0"/>
      <w:marBottom w:val="0"/>
      <w:divBdr>
        <w:top w:val="none" w:sz="0" w:space="0" w:color="auto"/>
        <w:left w:val="none" w:sz="0" w:space="0" w:color="auto"/>
        <w:bottom w:val="none" w:sz="0" w:space="0" w:color="auto"/>
        <w:right w:val="none" w:sz="0" w:space="0" w:color="auto"/>
      </w:divBdr>
    </w:div>
    <w:div w:id="707530774">
      <w:bodyDiv w:val="1"/>
      <w:marLeft w:val="0"/>
      <w:marRight w:val="0"/>
      <w:marTop w:val="0"/>
      <w:marBottom w:val="0"/>
      <w:divBdr>
        <w:top w:val="none" w:sz="0" w:space="0" w:color="auto"/>
        <w:left w:val="none" w:sz="0" w:space="0" w:color="auto"/>
        <w:bottom w:val="none" w:sz="0" w:space="0" w:color="auto"/>
        <w:right w:val="none" w:sz="0" w:space="0" w:color="auto"/>
      </w:divBdr>
    </w:div>
    <w:div w:id="709721816">
      <w:bodyDiv w:val="1"/>
      <w:marLeft w:val="0"/>
      <w:marRight w:val="0"/>
      <w:marTop w:val="0"/>
      <w:marBottom w:val="0"/>
      <w:divBdr>
        <w:top w:val="none" w:sz="0" w:space="0" w:color="auto"/>
        <w:left w:val="none" w:sz="0" w:space="0" w:color="auto"/>
        <w:bottom w:val="none" w:sz="0" w:space="0" w:color="auto"/>
        <w:right w:val="none" w:sz="0" w:space="0" w:color="auto"/>
      </w:divBdr>
    </w:div>
    <w:div w:id="752245872">
      <w:bodyDiv w:val="1"/>
      <w:marLeft w:val="0"/>
      <w:marRight w:val="0"/>
      <w:marTop w:val="0"/>
      <w:marBottom w:val="0"/>
      <w:divBdr>
        <w:top w:val="none" w:sz="0" w:space="0" w:color="auto"/>
        <w:left w:val="none" w:sz="0" w:space="0" w:color="auto"/>
        <w:bottom w:val="none" w:sz="0" w:space="0" w:color="auto"/>
        <w:right w:val="none" w:sz="0" w:space="0" w:color="auto"/>
      </w:divBdr>
    </w:div>
    <w:div w:id="754133005">
      <w:bodyDiv w:val="1"/>
      <w:marLeft w:val="0"/>
      <w:marRight w:val="0"/>
      <w:marTop w:val="0"/>
      <w:marBottom w:val="0"/>
      <w:divBdr>
        <w:top w:val="none" w:sz="0" w:space="0" w:color="auto"/>
        <w:left w:val="none" w:sz="0" w:space="0" w:color="auto"/>
        <w:bottom w:val="none" w:sz="0" w:space="0" w:color="auto"/>
        <w:right w:val="none" w:sz="0" w:space="0" w:color="auto"/>
      </w:divBdr>
    </w:div>
    <w:div w:id="780420412">
      <w:bodyDiv w:val="1"/>
      <w:marLeft w:val="0"/>
      <w:marRight w:val="0"/>
      <w:marTop w:val="0"/>
      <w:marBottom w:val="0"/>
      <w:divBdr>
        <w:top w:val="none" w:sz="0" w:space="0" w:color="auto"/>
        <w:left w:val="none" w:sz="0" w:space="0" w:color="auto"/>
        <w:bottom w:val="none" w:sz="0" w:space="0" w:color="auto"/>
        <w:right w:val="none" w:sz="0" w:space="0" w:color="auto"/>
      </w:divBdr>
    </w:div>
    <w:div w:id="790783680">
      <w:bodyDiv w:val="1"/>
      <w:marLeft w:val="0"/>
      <w:marRight w:val="0"/>
      <w:marTop w:val="0"/>
      <w:marBottom w:val="0"/>
      <w:divBdr>
        <w:top w:val="none" w:sz="0" w:space="0" w:color="auto"/>
        <w:left w:val="none" w:sz="0" w:space="0" w:color="auto"/>
        <w:bottom w:val="none" w:sz="0" w:space="0" w:color="auto"/>
        <w:right w:val="none" w:sz="0" w:space="0" w:color="auto"/>
      </w:divBdr>
    </w:div>
    <w:div w:id="795026885">
      <w:bodyDiv w:val="1"/>
      <w:marLeft w:val="0"/>
      <w:marRight w:val="0"/>
      <w:marTop w:val="0"/>
      <w:marBottom w:val="0"/>
      <w:divBdr>
        <w:top w:val="none" w:sz="0" w:space="0" w:color="auto"/>
        <w:left w:val="none" w:sz="0" w:space="0" w:color="auto"/>
        <w:bottom w:val="none" w:sz="0" w:space="0" w:color="auto"/>
        <w:right w:val="none" w:sz="0" w:space="0" w:color="auto"/>
      </w:divBdr>
    </w:div>
    <w:div w:id="837581267">
      <w:bodyDiv w:val="1"/>
      <w:marLeft w:val="0"/>
      <w:marRight w:val="0"/>
      <w:marTop w:val="0"/>
      <w:marBottom w:val="0"/>
      <w:divBdr>
        <w:top w:val="none" w:sz="0" w:space="0" w:color="auto"/>
        <w:left w:val="none" w:sz="0" w:space="0" w:color="auto"/>
        <w:bottom w:val="none" w:sz="0" w:space="0" w:color="auto"/>
        <w:right w:val="none" w:sz="0" w:space="0" w:color="auto"/>
      </w:divBdr>
    </w:div>
    <w:div w:id="905578791">
      <w:bodyDiv w:val="1"/>
      <w:marLeft w:val="0"/>
      <w:marRight w:val="0"/>
      <w:marTop w:val="0"/>
      <w:marBottom w:val="0"/>
      <w:divBdr>
        <w:top w:val="none" w:sz="0" w:space="0" w:color="auto"/>
        <w:left w:val="none" w:sz="0" w:space="0" w:color="auto"/>
        <w:bottom w:val="none" w:sz="0" w:space="0" w:color="auto"/>
        <w:right w:val="none" w:sz="0" w:space="0" w:color="auto"/>
      </w:divBdr>
    </w:div>
    <w:div w:id="917833739">
      <w:bodyDiv w:val="1"/>
      <w:marLeft w:val="0"/>
      <w:marRight w:val="0"/>
      <w:marTop w:val="0"/>
      <w:marBottom w:val="0"/>
      <w:divBdr>
        <w:top w:val="none" w:sz="0" w:space="0" w:color="auto"/>
        <w:left w:val="none" w:sz="0" w:space="0" w:color="auto"/>
        <w:bottom w:val="none" w:sz="0" w:space="0" w:color="auto"/>
        <w:right w:val="none" w:sz="0" w:space="0" w:color="auto"/>
      </w:divBdr>
    </w:div>
    <w:div w:id="928152914">
      <w:bodyDiv w:val="1"/>
      <w:marLeft w:val="0"/>
      <w:marRight w:val="0"/>
      <w:marTop w:val="0"/>
      <w:marBottom w:val="0"/>
      <w:divBdr>
        <w:top w:val="none" w:sz="0" w:space="0" w:color="auto"/>
        <w:left w:val="none" w:sz="0" w:space="0" w:color="auto"/>
        <w:bottom w:val="none" w:sz="0" w:space="0" w:color="auto"/>
        <w:right w:val="none" w:sz="0" w:space="0" w:color="auto"/>
      </w:divBdr>
    </w:div>
    <w:div w:id="972559513">
      <w:bodyDiv w:val="1"/>
      <w:marLeft w:val="0"/>
      <w:marRight w:val="0"/>
      <w:marTop w:val="0"/>
      <w:marBottom w:val="0"/>
      <w:divBdr>
        <w:top w:val="none" w:sz="0" w:space="0" w:color="auto"/>
        <w:left w:val="none" w:sz="0" w:space="0" w:color="auto"/>
        <w:bottom w:val="none" w:sz="0" w:space="0" w:color="auto"/>
        <w:right w:val="none" w:sz="0" w:space="0" w:color="auto"/>
      </w:divBdr>
    </w:div>
    <w:div w:id="979649765">
      <w:bodyDiv w:val="1"/>
      <w:marLeft w:val="0"/>
      <w:marRight w:val="0"/>
      <w:marTop w:val="0"/>
      <w:marBottom w:val="0"/>
      <w:divBdr>
        <w:top w:val="none" w:sz="0" w:space="0" w:color="auto"/>
        <w:left w:val="none" w:sz="0" w:space="0" w:color="auto"/>
        <w:bottom w:val="none" w:sz="0" w:space="0" w:color="auto"/>
        <w:right w:val="none" w:sz="0" w:space="0" w:color="auto"/>
      </w:divBdr>
    </w:div>
    <w:div w:id="1021662806">
      <w:bodyDiv w:val="1"/>
      <w:marLeft w:val="0"/>
      <w:marRight w:val="0"/>
      <w:marTop w:val="0"/>
      <w:marBottom w:val="0"/>
      <w:divBdr>
        <w:top w:val="none" w:sz="0" w:space="0" w:color="auto"/>
        <w:left w:val="none" w:sz="0" w:space="0" w:color="auto"/>
        <w:bottom w:val="none" w:sz="0" w:space="0" w:color="auto"/>
        <w:right w:val="none" w:sz="0" w:space="0" w:color="auto"/>
      </w:divBdr>
    </w:div>
    <w:div w:id="1042442301">
      <w:bodyDiv w:val="1"/>
      <w:marLeft w:val="0"/>
      <w:marRight w:val="0"/>
      <w:marTop w:val="0"/>
      <w:marBottom w:val="0"/>
      <w:divBdr>
        <w:top w:val="none" w:sz="0" w:space="0" w:color="auto"/>
        <w:left w:val="none" w:sz="0" w:space="0" w:color="auto"/>
        <w:bottom w:val="none" w:sz="0" w:space="0" w:color="auto"/>
        <w:right w:val="none" w:sz="0" w:space="0" w:color="auto"/>
      </w:divBdr>
    </w:div>
    <w:div w:id="1061517027">
      <w:bodyDiv w:val="1"/>
      <w:marLeft w:val="0"/>
      <w:marRight w:val="0"/>
      <w:marTop w:val="0"/>
      <w:marBottom w:val="0"/>
      <w:divBdr>
        <w:top w:val="none" w:sz="0" w:space="0" w:color="auto"/>
        <w:left w:val="none" w:sz="0" w:space="0" w:color="auto"/>
        <w:bottom w:val="none" w:sz="0" w:space="0" w:color="auto"/>
        <w:right w:val="none" w:sz="0" w:space="0" w:color="auto"/>
      </w:divBdr>
    </w:div>
    <w:div w:id="1098908863">
      <w:bodyDiv w:val="1"/>
      <w:marLeft w:val="0"/>
      <w:marRight w:val="0"/>
      <w:marTop w:val="0"/>
      <w:marBottom w:val="0"/>
      <w:divBdr>
        <w:top w:val="none" w:sz="0" w:space="0" w:color="auto"/>
        <w:left w:val="none" w:sz="0" w:space="0" w:color="auto"/>
        <w:bottom w:val="none" w:sz="0" w:space="0" w:color="auto"/>
        <w:right w:val="none" w:sz="0" w:space="0" w:color="auto"/>
      </w:divBdr>
    </w:div>
    <w:div w:id="1143235361">
      <w:bodyDiv w:val="1"/>
      <w:marLeft w:val="0"/>
      <w:marRight w:val="0"/>
      <w:marTop w:val="0"/>
      <w:marBottom w:val="0"/>
      <w:divBdr>
        <w:top w:val="none" w:sz="0" w:space="0" w:color="auto"/>
        <w:left w:val="none" w:sz="0" w:space="0" w:color="auto"/>
        <w:bottom w:val="none" w:sz="0" w:space="0" w:color="auto"/>
        <w:right w:val="none" w:sz="0" w:space="0" w:color="auto"/>
      </w:divBdr>
    </w:div>
    <w:div w:id="1157262686">
      <w:bodyDiv w:val="1"/>
      <w:marLeft w:val="0"/>
      <w:marRight w:val="0"/>
      <w:marTop w:val="0"/>
      <w:marBottom w:val="0"/>
      <w:divBdr>
        <w:top w:val="none" w:sz="0" w:space="0" w:color="auto"/>
        <w:left w:val="none" w:sz="0" w:space="0" w:color="auto"/>
        <w:bottom w:val="none" w:sz="0" w:space="0" w:color="auto"/>
        <w:right w:val="none" w:sz="0" w:space="0" w:color="auto"/>
      </w:divBdr>
    </w:div>
    <w:div w:id="1169834242">
      <w:bodyDiv w:val="1"/>
      <w:marLeft w:val="0"/>
      <w:marRight w:val="0"/>
      <w:marTop w:val="0"/>
      <w:marBottom w:val="0"/>
      <w:divBdr>
        <w:top w:val="none" w:sz="0" w:space="0" w:color="auto"/>
        <w:left w:val="none" w:sz="0" w:space="0" w:color="auto"/>
        <w:bottom w:val="none" w:sz="0" w:space="0" w:color="auto"/>
        <w:right w:val="none" w:sz="0" w:space="0" w:color="auto"/>
      </w:divBdr>
    </w:div>
    <w:div w:id="1191651494">
      <w:bodyDiv w:val="1"/>
      <w:marLeft w:val="0"/>
      <w:marRight w:val="0"/>
      <w:marTop w:val="0"/>
      <w:marBottom w:val="0"/>
      <w:divBdr>
        <w:top w:val="none" w:sz="0" w:space="0" w:color="auto"/>
        <w:left w:val="none" w:sz="0" w:space="0" w:color="auto"/>
        <w:bottom w:val="none" w:sz="0" w:space="0" w:color="auto"/>
        <w:right w:val="none" w:sz="0" w:space="0" w:color="auto"/>
      </w:divBdr>
    </w:div>
    <w:div w:id="1220627695">
      <w:bodyDiv w:val="1"/>
      <w:marLeft w:val="0"/>
      <w:marRight w:val="0"/>
      <w:marTop w:val="0"/>
      <w:marBottom w:val="0"/>
      <w:divBdr>
        <w:top w:val="none" w:sz="0" w:space="0" w:color="auto"/>
        <w:left w:val="none" w:sz="0" w:space="0" w:color="auto"/>
        <w:bottom w:val="none" w:sz="0" w:space="0" w:color="auto"/>
        <w:right w:val="none" w:sz="0" w:space="0" w:color="auto"/>
      </w:divBdr>
    </w:div>
    <w:div w:id="1224021068">
      <w:bodyDiv w:val="1"/>
      <w:marLeft w:val="0"/>
      <w:marRight w:val="0"/>
      <w:marTop w:val="0"/>
      <w:marBottom w:val="0"/>
      <w:divBdr>
        <w:top w:val="none" w:sz="0" w:space="0" w:color="auto"/>
        <w:left w:val="none" w:sz="0" w:space="0" w:color="auto"/>
        <w:bottom w:val="none" w:sz="0" w:space="0" w:color="auto"/>
        <w:right w:val="none" w:sz="0" w:space="0" w:color="auto"/>
      </w:divBdr>
    </w:div>
    <w:div w:id="1236235669">
      <w:bodyDiv w:val="1"/>
      <w:marLeft w:val="0"/>
      <w:marRight w:val="0"/>
      <w:marTop w:val="0"/>
      <w:marBottom w:val="0"/>
      <w:divBdr>
        <w:top w:val="none" w:sz="0" w:space="0" w:color="auto"/>
        <w:left w:val="none" w:sz="0" w:space="0" w:color="auto"/>
        <w:bottom w:val="none" w:sz="0" w:space="0" w:color="auto"/>
        <w:right w:val="none" w:sz="0" w:space="0" w:color="auto"/>
      </w:divBdr>
    </w:div>
    <w:div w:id="1241788117">
      <w:bodyDiv w:val="1"/>
      <w:marLeft w:val="0"/>
      <w:marRight w:val="0"/>
      <w:marTop w:val="0"/>
      <w:marBottom w:val="0"/>
      <w:divBdr>
        <w:top w:val="none" w:sz="0" w:space="0" w:color="auto"/>
        <w:left w:val="none" w:sz="0" w:space="0" w:color="auto"/>
        <w:bottom w:val="none" w:sz="0" w:space="0" w:color="auto"/>
        <w:right w:val="none" w:sz="0" w:space="0" w:color="auto"/>
      </w:divBdr>
    </w:div>
    <w:div w:id="1243182382">
      <w:bodyDiv w:val="1"/>
      <w:marLeft w:val="0"/>
      <w:marRight w:val="0"/>
      <w:marTop w:val="0"/>
      <w:marBottom w:val="0"/>
      <w:divBdr>
        <w:top w:val="none" w:sz="0" w:space="0" w:color="auto"/>
        <w:left w:val="none" w:sz="0" w:space="0" w:color="auto"/>
        <w:bottom w:val="none" w:sz="0" w:space="0" w:color="auto"/>
        <w:right w:val="none" w:sz="0" w:space="0" w:color="auto"/>
      </w:divBdr>
    </w:div>
    <w:div w:id="1251814540">
      <w:bodyDiv w:val="1"/>
      <w:marLeft w:val="0"/>
      <w:marRight w:val="0"/>
      <w:marTop w:val="0"/>
      <w:marBottom w:val="0"/>
      <w:divBdr>
        <w:top w:val="none" w:sz="0" w:space="0" w:color="auto"/>
        <w:left w:val="none" w:sz="0" w:space="0" w:color="auto"/>
        <w:bottom w:val="none" w:sz="0" w:space="0" w:color="auto"/>
        <w:right w:val="none" w:sz="0" w:space="0" w:color="auto"/>
      </w:divBdr>
    </w:div>
    <w:div w:id="1335037530">
      <w:bodyDiv w:val="1"/>
      <w:marLeft w:val="0"/>
      <w:marRight w:val="0"/>
      <w:marTop w:val="0"/>
      <w:marBottom w:val="0"/>
      <w:divBdr>
        <w:top w:val="none" w:sz="0" w:space="0" w:color="auto"/>
        <w:left w:val="none" w:sz="0" w:space="0" w:color="auto"/>
        <w:bottom w:val="none" w:sz="0" w:space="0" w:color="auto"/>
        <w:right w:val="none" w:sz="0" w:space="0" w:color="auto"/>
      </w:divBdr>
    </w:div>
    <w:div w:id="1351646165">
      <w:bodyDiv w:val="1"/>
      <w:marLeft w:val="0"/>
      <w:marRight w:val="0"/>
      <w:marTop w:val="0"/>
      <w:marBottom w:val="0"/>
      <w:divBdr>
        <w:top w:val="none" w:sz="0" w:space="0" w:color="auto"/>
        <w:left w:val="none" w:sz="0" w:space="0" w:color="auto"/>
        <w:bottom w:val="none" w:sz="0" w:space="0" w:color="auto"/>
        <w:right w:val="none" w:sz="0" w:space="0" w:color="auto"/>
      </w:divBdr>
    </w:div>
    <w:div w:id="1411580406">
      <w:bodyDiv w:val="1"/>
      <w:marLeft w:val="0"/>
      <w:marRight w:val="0"/>
      <w:marTop w:val="0"/>
      <w:marBottom w:val="0"/>
      <w:divBdr>
        <w:top w:val="none" w:sz="0" w:space="0" w:color="auto"/>
        <w:left w:val="none" w:sz="0" w:space="0" w:color="auto"/>
        <w:bottom w:val="none" w:sz="0" w:space="0" w:color="auto"/>
        <w:right w:val="none" w:sz="0" w:space="0" w:color="auto"/>
      </w:divBdr>
    </w:div>
    <w:div w:id="1497067031">
      <w:bodyDiv w:val="1"/>
      <w:marLeft w:val="0"/>
      <w:marRight w:val="0"/>
      <w:marTop w:val="0"/>
      <w:marBottom w:val="0"/>
      <w:divBdr>
        <w:top w:val="none" w:sz="0" w:space="0" w:color="auto"/>
        <w:left w:val="none" w:sz="0" w:space="0" w:color="auto"/>
        <w:bottom w:val="none" w:sz="0" w:space="0" w:color="auto"/>
        <w:right w:val="none" w:sz="0" w:space="0" w:color="auto"/>
      </w:divBdr>
    </w:div>
    <w:div w:id="1543397657">
      <w:bodyDiv w:val="1"/>
      <w:marLeft w:val="0"/>
      <w:marRight w:val="0"/>
      <w:marTop w:val="0"/>
      <w:marBottom w:val="0"/>
      <w:divBdr>
        <w:top w:val="none" w:sz="0" w:space="0" w:color="auto"/>
        <w:left w:val="none" w:sz="0" w:space="0" w:color="auto"/>
        <w:bottom w:val="none" w:sz="0" w:space="0" w:color="auto"/>
        <w:right w:val="none" w:sz="0" w:space="0" w:color="auto"/>
      </w:divBdr>
    </w:div>
    <w:div w:id="1551260701">
      <w:bodyDiv w:val="1"/>
      <w:marLeft w:val="0"/>
      <w:marRight w:val="0"/>
      <w:marTop w:val="0"/>
      <w:marBottom w:val="0"/>
      <w:divBdr>
        <w:top w:val="none" w:sz="0" w:space="0" w:color="auto"/>
        <w:left w:val="none" w:sz="0" w:space="0" w:color="auto"/>
        <w:bottom w:val="none" w:sz="0" w:space="0" w:color="auto"/>
        <w:right w:val="none" w:sz="0" w:space="0" w:color="auto"/>
      </w:divBdr>
    </w:div>
    <w:div w:id="1586068805">
      <w:bodyDiv w:val="1"/>
      <w:marLeft w:val="0"/>
      <w:marRight w:val="0"/>
      <w:marTop w:val="0"/>
      <w:marBottom w:val="0"/>
      <w:divBdr>
        <w:top w:val="none" w:sz="0" w:space="0" w:color="auto"/>
        <w:left w:val="none" w:sz="0" w:space="0" w:color="auto"/>
        <w:bottom w:val="none" w:sz="0" w:space="0" w:color="auto"/>
        <w:right w:val="none" w:sz="0" w:space="0" w:color="auto"/>
      </w:divBdr>
    </w:div>
    <w:div w:id="1589540464">
      <w:bodyDiv w:val="1"/>
      <w:marLeft w:val="0"/>
      <w:marRight w:val="0"/>
      <w:marTop w:val="0"/>
      <w:marBottom w:val="0"/>
      <w:divBdr>
        <w:top w:val="none" w:sz="0" w:space="0" w:color="auto"/>
        <w:left w:val="none" w:sz="0" w:space="0" w:color="auto"/>
        <w:bottom w:val="none" w:sz="0" w:space="0" w:color="auto"/>
        <w:right w:val="none" w:sz="0" w:space="0" w:color="auto"/>
      </w:divBdr>
    </w:div>
    <w:div w:id="1633516379">
      <w:bodyDiv w:val="1"/>
      <w:marLeft w:val="0"/>
      <w:marRight w:val="0"/>
      <w:marTop w:val="0"/>
      <w:marBottom w:val="0"/>
      <w:divBdr>
        <w:top w:val="none" w:sz="0" w:space="0" w:color="auto"/>
        <w:left w:val="none" w:sz="0" w:space="0" w:color="auto"/>
        <w:bottom w:val="none" w:sz="0" w:space="0" w:color="auto"/>
        <w:right w:val="none" w:sz="0" w:space="0" w:color="auto"/>
      </w:divBdr>
    </w:div>
    <w:div w:id="1633636099">
      <w:bodyDiv w:val="1"/>
      <w:marLeft w:val="0"/>
      <w:marRight w:val="0"/>
      <w:marTop w:val="0"/>
      <w:marBottom w:val="0"/>
      <w:divBdr>
        <w:top w:val="none" w:sz="0" w:space="0" w:color="auto"/>
        <w:left w:val="none" w:sz="0" w:space="0" w:color="auto"/>
        <w:bottom w:val="none" w:sz="0" w:space="0" w:color="auto"/>
        <w:right w:val="none" w:sz="0" w:space="0" w:color="auto"/>
      </w:divBdr>
    </w:div>
    <w:div w:id="1745450957">
      <w:bodyDiv w:val="1"/>
      <w:marLeft w:val="0"/>
      <w:marRight w:val="0"/>
      <w:marTop w:val="0"/>
      <w:marBottom w:val="0"/>
      <w:divBdr>
        <w:top w:val="none" w:sz="0" w:space="0" w:color="auto"/>
        <w:left w:val="none" w:sz="0" w:space="0" w:color="auto"/>
        <w:bottom w:val="none" w:sz="0" w:space="0" w:color="auto"/>
        <w:right w:val="none" w:sz="0" w:space="0" w:color="auto"/>
      </w:divBdr>
    </w:div>
    <w:div w:id="1775707999">
      <w:bodyDiv w:val="1"/>
      <w:marLeft w:val="0"/>
      <w:marRight w:val="0"/>
      <w:marTop w:val="0"/>
      <w:marBottom w:val="0"/>
      <w:divBdr>
        <w:top w:val="none" w:sz="0" w:space="0" w:color="auto"/>
        <w:left w:val="none" w:sz="0" w:space="0" w:color="auto"/>
        <w:bottom w:val="none" w:sz="0" w:space="0" w:color="auto"/>
        <w:right w:val="none" w:sz="0" w:space="0" w:color="auto"/>
      </w:divBdr>
    </w:div>
    <w:div w:id="1825855102">
      <w:bodyDiv w:val="1"/>
      <w:marLeft w:val="0"/>
      <w:marRight w:val="0"/>
      <w:marTop w:val="0"/>
      <w:marBottom w:val="0"/>
      <w:divBdr>
        <w:top w:val="none" w:sz="0" w:space="0" w:color="auto"/>
        <w:left w:val="none" w:sz="0" w:space="0" w:color="auto"/>
        <w:bottom w:val="none" w:sz="0" w:space="0" w:color="auto"/>
        <w:right w:val="none" w:sz="0" w:space="0" w:color="auto"/>
      </w:divBdr>
    </w:div>
    <w:div w:id="1840537645">
      <w:bodyDiv w:val="1"/>
      <w:marLeft w:val="0"/>
      <w:marRight w:val="0"/>
      <w:marTop w:val="0"/>
      <w:marBottom w:val="0"/>
      <w:divBdr>
        <w:top w:val="none" w:sz="0" w:space="0" w:color="auto"/>
        <w:left w:val="none" w:sz="0" w:space="0" w:color="auto"/>
        <w:bottom w:val="none" w:sz="0" w:space="0" w:color="auto"/>
        <w:right w:val="none" w:sz="0" w:space="0" w:color="auto"/>
      </w:divBdr>
    </w:div>
    <w:div w:id="2012027427">
      <w:bodyDiv w:val="1"/>
      <w:marLeft w:val="0"/>
      <w:marRight w:val="0"/>
      <w:marTop w:val="0"/>
      <w:marBottom w:val="0"/>
      <w:divBdr>
        <w:top w:val="none" w:sz="0" w:space="0" w:color="auto"/>
        <w:left w:val="none" w:sz="0" w:space="0" w:color="auto"/>
        <w:bottom w:val="none" w:sz="0" w:space="0" w:color="auto"/>
        <w:right w:val="none" w:sz="0" w:space="0" w:color="auto"/>
      </w:divBdr>
    </w:div>
    <w:div w:id="2036300405">
      <w:bodyDiv w:val="1"/>
      <w:marLeft w:val="0"/>
      <w:marRight w:val="0"/>
      <w:marTop w:val="0"/>
      <w:marBottom w:val="0"/>
      <w:divBdr>
        <w:top w:val="none" w:sz="0" w:space="0" w:color="auto"/>
        <w:left w:val="none" w:sz="0" w:space="0" w:color="auto"/>
        <w:bottom w:val="none" w:sz="0" w:space="0" w:color="auto"/>
        <w:right w:val="none" w:sz="0" w:space="0" w:color="auto"/>
      </w:divBdr>
    </w:div>
    <w:div w:id="2052992850">
      <w:bodyDiv w:val="1"/>
      <w:marLeft w:val="0"/>
      <w:marRight w:val="0"/>
      <w:marTop w:val="0"/>
      <w:marBottom w:val="0"/>
      <w:divBdr>
        <w:top w:val="none" w:sz="0" w:space="0" w:color="auto"/>
        <w:left w:val="none" w:sz="0" w:space="0" w:color="auto"/>
        <w:bottom w:val="none" w:sz="0" w:space="0" w:color="auto"/>
        <w:right w:val="none" w:sz="0" w:space="0" w:color="auto"/>
      </w:divBdr>
    </w:div>
    <w:div w:id="2074739670">
      <w:bodyDiv w:val="1"/>
      <w:marLeft w:val="0"/>
      <w:marRight w:val="0"/>
      <w:marTop w:val="0"/>
      <w:marBottom w:val="0"/>
      <w:divBdr>
        <w:top w:val="none" w:sz="0" w:space="0" w:color="auto"/>
        <w:left w:val="none" w:sz="0" w:space="0" w:color="auto"/>
        <w:bottom w:val="none" w:sz="0" w:space="0" w:color="auto"/>
        <w:right w:val="none" w:sz="0" w:space="0" w:color="auto"/>
      </w:divBdr>
    </w:div>
    <w:div w:id="2080203402">
      <w:bodyDiv w:val="1"/>
      <w:marLeft w:val="0"/>
      <w:marRight w:val="0"/>
      <w:marTop w:val="0"/>
      <w:marBottom w:val="0"/>
      <w:divBdr>
        <w:top w:val="none" w:sz="0" w:space="0" w:color="auto"/>
        <w:left w:val="none" w:sz="0" w:space="0" w:color="auto"/>
        <w:bottom w:val="none" w:sz="0" w:space="0" w:color="auto"/>
        <w:right w:val="none" w:sz="0" w:space="0" w:color="auto"/>
      </w:divBdr>
    </w:div>
    <w:div w:id="208093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Col142</b:Tag>
    <b:SourceType>DocumentFromInternetSite</b:SourceType>
    <b:Guid>{0D8CA397-A32F-43D9-816E-64B6478EA819}</b:Guid>
    <b:Author>
      <b:Author>
        <b:Corporate>College of Policing</b:Corporate>
      </b:Author>
    </b:Author>
    <b:Title>Code of Ethics 2014</b:Title>
    <b:InternetSiteTitle>College of Policing</b:InternetSiteTitle>
    <b:Year>2014</b:Year>
    <b:Month>July</b:Month>
    <b:URL>https://assets.college.police.uk/s3fs-public/2021-02/code_of_ethics.pdf</b:URL>
    <b:RefOrder>1</b:RefOrder>
  </b:Source>
  <b:Source>
    <b:Tag>HMI23</b:Tag>
    <b:SourceType>InternetSite</b:SourceType>
    <b:Guid>{71CC9756-86E2-4A46-B1AC-31F84C58AC81}</b:Guid>
    <b:Title>Professional Standards Department</b:Title>
    <b:InternetSiteTitle>HMICFRS Justice Inspectorates</b:InternetSiteTitle>
    <b:Year>2023</b:Year>
    <b:Month>March</b:Month>
    <b:URL>https://hmicfrs.justiceinspectorates.gov.uk/glossary/professional-standards-department/</b:URL>
    <b:Author>
      <b:Author>
        <b:Corporate>HMICFRS</b:Corporate>
      </b:Author>
    </b:Author>
    <b:RefOrder>2</b:RefOrder>
  </b:Source>
  <b:Source>
    <b:Tag>Bro20</b:Tag>
    <b:SourceType>DocumentFromInternetSite</b:SourceType>
    <b:Guid>{B3332598-8913-4062-B975-E94A193F326A}</b:Guid>
    <b:Title>Police Complaints and Discipline</b:Title>
    <b:InternetSiteTitle>House of Commons Library</b:InternetSiteTitle>
    <b:Year>2020</b:Year>
    <b:URL>https://researchbriefings.files.parliament.uk/documents/SN02056/SN02056.pdf</b:URL>
    <b:Author>
      <b:Author>
        <b:NameList>
          <b:Person>
            <b:Last>Brown</b:Last>
            <b:First>Jennifer</b:First>
          </b:Person>
        </b:NameList>
      </b:Author>
    </b:Author>
    <b:Publisher>House of Commons</b:Publisher>
    <b:RefOrder>3</b:RefOrder>
  </b:Source>
  <b:Source>
    <b:Tag>Raz21</b:Tag>
    <b:SourceType>DocumentFromInternetSite</b:SourceType>
    <b:Guid>{CBAFADD6-64FF-4C42-9D48-FB3C5E04EA6B}</b:Guid>
    <b:Title>Leadership Immunity: Why Leaders Act as if Rules Don't Apply to Them</b:Title>
    <b:InternetSiteTitle>Fearless Culture</b:InternetSiteTitle>
    <b:Year>2021</b:Year>
    <b:Month>January</b:Month>
    <b:Day>20</b:Day>
    <b:URL>https://www.fearlessculture.design/blog-posts/leadership-immunity-why-leaders-act-as-if-rules-dont-apply-to-them</b:URL>
    <b:Author>
      <b:Author>
        <b:NameList>
          <b:Person>
            <b:Last>Razzetti</b:Last>
            <b:First>Gustavo</b:First>
          </b:Person>
        </b:NameList>
      </b:Author>
    </b:Author>
    <b:JournalName>Leadership Immunity: Why Leaders Act as if Rules Don't Apply to Them</b:JournalName>
    <b:RefOrder>4</b:RefOrder>
  </b:Source>
  <b:Source>
    <b:Tag>IOP23</b:Tag>
    <b:SourceType>InternetSite</b:SourceType>
    <b:Guid>{EAD048CF-3CC5-456A-909E-8E56FF46622B}</b:Guid>
    <b:Title>IOPC: Independent Office for Police Conduct</b:Title>
    <b:InternetSiteTitle>Police Conduct.GOV</b:InternetSiteTitle>
    <b:Year>2023</b:Year>
    <b:URL>https://www.policeconduct.gov.uk/</b:URL>
    <b:RefOrder>5</b:RefOrder>
  </b:Source>
  <b:Source>
    <b:Tag>IOP231</b:Tag>
    <b:SourceType>Report</b:SourceType>
    <b:Guid>{B8988E00-8726-46FE-97B2-B8FB50B106BF}</b:Guid>
    <b:Title>Police complaints statistics for England and Wales report - 2022/23</b:Title>
    <b:Year>2023</b:Year>
    <b:Author>
      <b:Author>
        <b:Corporate>IOPC</b:Corporate>
      </b:Author>
    </b:Author>
    <b:Publisher>IOPC</b:Publisher>
    <b:RefOrder>6</b:RefOrder>
  </b:Source>
  <b:Source>
    <b:Tag>IOP232</b:Tag>
    <b:SourceType>Report</b:SourceType>
    <b:Guid>{DEB9A934-4411-4A02-A22F-7E3BEF9C9200}</b:Guid>
    <b:Author>
      <b:Author>
        <b:Corporate>IOPC</b:Corporate>
      </b:Author>
    </b:Author>
    <b:Title>Investigation report into offensive Whatsapp messages by officers linked to Wayne Couzens</b:Title>
    <b:Year>2023</b:Year>
    <b:Publisher>IOPC</b:Publisher>
    <b:RefOrder>7</b:RefOrder>
  </b:Source>
  <b:Source>
    <b:Tag>BFS38</b:Tag>
    <b:SourceType>Report</b:SourceType>
    <b:Guid>{71416BDB-3B35-49AD-8798-603DE9BF3D21}</b:Guid>
    <b:Title>The Behavior Of Organisms An Experimental Analysis</b:Title>
    <b:Year>1938</b:Year>
    <b:Publisher>Appleton Century Crofts</b:Publisher>
    <b:City>Minnesota</b:City>
    <b:Author>
      <b:Author>
        <b:NameList>
          <b:Person>
            <b:Last>Skinner</b:Last>
            <b:First>B.F</b:First>
          </b:Person>
        </b:NameList>
      </b:Author>
    </b:Author>
    <b:RefOrder>8</b:RefOrder>
  </b:Source>
  <b:Source>
    <b:Tag>Jam19</b:Tag>
    <b:SourceType>Book</b:SourceType>
    <b:Guid>{CA0A9EE3-7981-49B9-B331-1ECB2A573B73}</b:Guid>
    <b:Title>Evaluating Police-Community Relations Globally</b:Title>
    <b:Year>2019</b:Year>
    <b:Publisher>Cham Springer</b:Publisher>
    <b:Author>
      <b:Author>
        <b:NameList>
          <b:Person>
            <b:Last>Albrecht</b:Last>
            <b:First>James</b:First>
            <b:Middle>F.</b:Middle>
          </b:Person>
        </b:NameList>
      </b:Author>
    </b:Author>
    <b:RefOrder>9</b:RefOrder>
  </b:Source>
  <b:Source>
    <b:Tag>Col17</b:Tag>
    <b:SourceType>InternetSite</b:SourceType>
    <b:Guid>{BC396DC4-FCFB-401A-96AD-EB3C0EB9F00A}</b:Guid>
    <b:Title>Multi-agency public protection arrangements (MAPPA)</b:Title>
    <b:Year>2017</b:Year>
    <b:Author>
      <b:Author>
        <b:Corporate>College of Policing</b:Corporate>
      </b:Author>
    </b:Author>
    <b:InternetSiteTitle>College of Policing</b:InternetSiteTitle>
    <b:Month>July</b:Month>
    <b:Day>18</b:Day>
    <b:URL>https://www.college.police.uk/app/major-investigation-and-public-protection/managing-sexual-offenders-and-violent-offenders/multi-agency-public-protection-arrangements-mappa</b:URL>
    <b:RefOrder>10</b:RefOrder>
  </b:Source>
  <b:Source>
    <b:Tag>Ama12</b:Tag>
    <b:SourceType>Misc</b:SourceType>
    <b:Guid>{2F8E44D2-8AE2-485B-A4D1-602F2133D7CD}</b:Guid>
    <b:Year>2012</b:Year>
    <b:Month>May</b:Month>
    <b:Day>27</b:Day>
    <b:Publisher>J Interpreters Violence</b:Publisher>
    <b:Author>
      <b:Author>
        <b:NameList>
          <b:Person>
            <b:Last>Robinson</b:Last>
            <b:Middle>L</b:Middle>
            <b:First>Amanda</b:First>
          </b:Person>
          <b:Person>
            <b:Last>Howarth</b:Last>
            <b:First>Emma</b:First>
          </b:Person>
        </b:NameList>
      </b:Author>
    </b:Author>
    <b:PublicationTitle>Judging risk: key determinants in British domestic violence cases</b:PublicationTitle>
    <b:RefOrder>11</b:RefOrder>
  </b:Source>
  <b:Source>
    <b:Tag>Saf14</b:Tag>
    <b:SourceType>DocumentFromInternetSite</b:SourceType>
    <b:Guid>{68A85E08-88D9-49D2-9371-26152663CB56}</b:Guid>
    <b:Title>Frequently asked questions Multi-Agency Risk Assessment Conferences</b:Title>
    <b:Year>2014</b:Year>
    <b:Author>
      <b:Author>
        <b:Corporate>SafeLives</b:Corporate>
      </b:Author>
    </b:Author>
    <b:InternetSiteTitle>SafeLives</b:InternetSiteTitle>
    <b:URL>https://safelives.org.uk/sites/default/files/resources/MARAC%20FAQs%20General%20FINAL.pdf</b:URL>
    <b:RefOrder>12</b:RefOrder>
  </b:Source>
  <b:Source>
    <b:Tag>MRI20</b:Tag>
    <b:SourceType>DocumentFromInternetSite</b:SourceType>
    <b:Guid>{102D35A3-96A3-4C95-8CFD-E15CFFA1D4B3}</b:Guid>
    <b:Author>
      <b:Author>
        <b:Corporate>MRI Social Housing</b:Corporate>
      </b:Author>
    </b:Author>
    <b:Title>The role of MARACs in tackling domestic abuse</b:Title>
    <b:InternetSiteTitle>MRI Real Estate Software</b:InternetSiteTitle>
    <b:Year>2020</b:Year>
    <b:Month>November</b:Month>
    <b:Day>27</b:Day>
    <b:URL>https://www.mrisoftware.com/uk/blog/the-role-of-maracs-in-tackling-domestic-abuse/</b:URL>
    <b:RefOrder>13</b:RefOrder>
  </b:Source>
  <b:Source>
    <b:Tag>Jus22</b:Tag>
    <b:SourceType>Report</b:SourceType>
    <b:Guid>{6D056FE3-3676-4BF7-90EE-8D2D7A24CC76}</b:Guid>
    <b:Title>Twenty years on, is MAPPA achieving its objectives? A joint thematic inspection of Multi-Agency Public Protection Arrangements</b:Title>
    <b:Year>2022</b:Year>
    <b:Author>
      <b:Author>
        <b:Corporate>Justice Inspectorates</b:Corporate>
      </b:Author>
    </b:Author>
    <b:Publisher>Justice Inspectorates</b:Publisher>
    <b:RefOrder>14</b:RefOrder>
  </b:Source>
  <b:Source>
    <b:Tag>Col211</b:Tag>
    <b:SourceType>DocumentFromInternetSite</b:SourceType>
    <b:Guid>{B23FA840-F074-4A05-AB22-8F2DE9295CF7}</b:Guid>
    <b:Title>Recognising and responding to vulnerability-related risks</b:Title>
    <b:Year>2021</b:Year>
    <b:Author>
      <b:Author>
        <b:Corporate>College of Policing</b:Corporate>
      </b:Author>
    </b:Author>
    <b:InternetSiteTitle>College of Policing</b:InternetSiteTitle>
    <b:Month>November</b:Month>
    <b:Day>18</b:Day>
    <b:URL>https://assets.college.police.uk/s3fs-public/2021-11/Recognising-responding-vulnerability-related-risks-guidelines.pdf</b:URL>
    <b:RefOrder>15</b:RefOrder>
  </b:Source>
  <b:Source>
    <b:Tag>Min02</b:Tag>
    <b:SourceType>DocumentFromInternetSite</b:SourceType>
    <b:Guid>{77D916D7-D60C-4426-B1A4-0486CB21CB9C}</b:Guid>
    <b:Author>
      <b:Author>
        <b:Corporate>Ministry of Justice</b:Corporate>
      </b:Author>
    </b:Author>
    <b:Title>The Victims’ Code sets out a minimum standard of service for victims of crime</b:Title>
    <b:InternetSiteTitle>Ministry of Justice</b:InternetSiteTitle>
    <b:Year>2020</b:Year>
    <b:Month>November</b:Month>
    <b:Day>18</b:Day>
    <b:URL>https://consult.justice.gov.uk/victim-policy/consultation-on-improving-the-victims-code/supporting_documents/victimscodeweb.pdf</b:URL>
    <b:RefOrder>16</b:RefOrder>
  </b:Source>
  <b:Source>
    <b:Tag>Wal18</b:Tag>
    <b:SourceType>Book</b:SourceType>
    <b:Guid>{CBE2F0B7-D57A-4E01-A7B8-91896CFAA13D}</b:Guid>
    <b:Title>Lifestyle Theory</b:Title>
    <b:Year>2018</b:Year>
    <b:City>New York</b:City>
    <b:Publisher>Springer</b:Publisher>
    <b:Author>
      <b:Author>
        <b:NameList>
          <b:Person>
            <b:Last>Walters</b:Last>
            <b:Middle>D.</b:Middle>
            <b:First>Glenn</b:First>
          </b:Person>
        </b:NameList>
      </b:Author>
    </b:Author>
    <b:RefOrder>17</b:RefOrder>
  </b:Source>
  <b:Source>
    <b:Tag>Las19</b:Tag>
    <b:SourceType>DocumentFromInternetSite</b:SourceType>
    <b:Guid>{B1A094E2-61B9-459C-8706-485F975AA3B9}</b:Guid>
    <b:Title>Wiley Online Library</b:Title>
    <b:Year>2019</b:Year>
    <b:Month>August</b:Month>
    <b:Day>23</b:Day>
    <b:InternetSiteTitle>Victim Precipitation Theory. In The Encyclopedia of Women and Crime</b:InternetSiteTitle>
    <b:URL>https://onlinelibrary.wiley.com/action/showCitFormats?doi=10.1002%2F9781118929803.ewac0517</b:URL>
    <b:Author>
      <b:Author>
        <b:NameList>
          <b:Person>
            <b:Last>Lasky</b:Last>
            <b:Middle>V.</b:Middle>
            <b:First>Nicole</b:First>
          </b:Person>
        </b:NameList>
      </b:Author>
    </b:Author>
    <b:RefOrder>28</b:RefOrder>
  </b:Source>
  <b:Source>
    <b:Tag>Wol58</b:Tag>
    <b:SourceType>Book</b:SourceType>
    <b:Guid>{703AB88B-2D07-49FC-852B-54E7524E0214}</b:Guid>
    <b:Title>Patterns in Criminal Homicide</b:Title>
    <b:Year>1958</b:Year>
    <b:City>Philadelphia</b:City>
    <b:Publisher>University of Pennsylvania</b:Publisher>
    <b:Author>
      <b:Author>
        <b:NameList>
          <b:Person>
            <b:Last>Wolfgang</b:Last>
            <b:Middle>E.</b:Middle>
            <b:First>Marvin</b:First>
          </b:Person>
        </b:NameList>
      </b:Author>
    </b:Author>
    <b:RefOrder>18</b:RefOrder>
  </b:Source>
  <b:Source>
    <b:Tag>Pet17</b:Tag>
    <b:SourceType>Book</b:SourceType>
    <b:Guid>{31F737B5-E973-440F-A128-B88E155F087D}</b:Guid>
    <b:Title>Victimology and predicting victims of personal violence</b:Title>
    <b:Year>2017</b:Year>
    <b:City>Gold Coast, QLD</b:City>
    <b:Publisher>Bond University</b:Publisher>
    <b:Author>
      <b:Author>
        <b:NameList>
          <b:Person>
            <b:Last>Petherick</b:Last>
            <b:First>Wayne</b:First>
          </b:Person>
          <b:Person>
            <b:Last>Brotto</b:Last>
            <b:Middle>L.M.</b:Middle>
            <b:First>Gaelle</b:First>
          </b:Person>
          <b:Person>
            <b:Last>Sinnamon</b:Last>
            <b:First>Grant</b:First>
          </b:Person>
        </b:NameList>
      </b:Author>
    </b:Author>
    <b:RefOrder>19</b:RefOrder>
  </b:Source>
  <b:Source>
    <b:Tag>Sie</b:Tag>
    <b:SourceType>Book</b:SourceType>
    <b:Guid>{D7EA7434-EAAB-4A94-A2EC-8A3F900C5737}</b:Guid>
    <b:Title>Criminology: Theories, Patterns, and Typologies</b:Title>
    <b:Author>
      <b:Author>
        <b:NameList>
          <b:Person>
            <b:Last>Siegel</b:Last>
            <b:Middle>J.</b:Middle>
            <b:First>Larry</b:First>
          </b:Person>
        </b:NameList>
      </b:Author>
    </b:Author>
    <b:Year>2006</b:Year>
    <b:City>Belmont</b:City>
    <b:Publisher>Thomson/Wadsworth</b:Publisher>
    <b:RefOrder>20</b:RefOrder>
  </b:Source>
  <b:Source>
    <b:Tag>Pol</b:Tag>
    <b:SourceType>InternetSite</b:SourceType>
    <b:Guid>{C961C4B4-77E9-473C-B0A7-329662439221}</b:Guid>
    <b:Title>Working in Partnership</b:Title>
    <b:InternetSiteTitle>Police and Crime Commissioner South Wales</b:InternetSiteTitle>
    <b:URL>https://commissioner.south-wales.police.uk/en/your-commissioner/working-in-partnership/</b:URL>
    <b:Author>
      <b:Author>
        <b:Corporate>Police and Crime Commissioner South Wales</b:Corporate>
      </b:Author>
    </b:Author>
    <b:RefOrder>21</b:RefOrder>
  </b:Source>
  <b:Source>
    <b:Tag>Min11</b:Tag>
    <b:SourceType>DocumentFromInternetSite</b:SourceType>
    <b:Guid>{F4A3F4F5-551E-4370-BE7C-BC6FAC1B91D9}</b:Guid>
    <b:Title>Proven re-offending statistics: </b:Title>
    <b:InternetSiteTitle>Ministry of Justice</b:InternetSiteTitle>
    <b:Year>2011</b:Year>
    <b:Month>October</b:Month>
    <b:URL>https://assets.publishing.service.gov.uk/government/uploads/system/uploads/attachment_data/file/218471/proven-reoffending-definition-measurement-260112.pdf#:~:text=proven%20re-offence%20is%20defined%20as%20any%20offence%20committed,up%20or%20a%20further%2</b:URL>
    <b:Author>
      <b:Author>
        <b:Corporate>Ministry of Justice</b:Corporate>
      </b:Author>
    </b:Author>
    <b:RefOrder>22</b:RefOrder>
  </b:Source>
  <b:Source>
    <b:Tag>Min23</b:Tag>
    <b:SourceType>DocumentFromInternetSite</b:SourceType>
    <b:Guid>{8BFE8864-1196-42A1-84E8-8FE1A2E78F38}</b:Guid>
    <b:Author>
      <b:Author>
        <b:Corporate>Ministry of Justice</b:Corporate>
      </b:Author>
    </b:Author>
    <b:Title>Proven reoffending statistics: October to December 2021</b:Title>
    <b:InternetSiteTitle>Gov.UK - Ministry of Justice</b:InternetSiteTitle>
    <b:Year>2023</b:Year>
    <b:Month>October</b:Month>
    <b:Day>26</b:Day>
    <b:URL>https://www.gov.uk/government/statistics/proven-reoffending-statistics-october-to-december-2021/proven-reoffending-statistics-october-to-december-2021</b:URL>
    <b:RefOrder>23</b:RefOrder>
  </b:Source>
  <b:Source>
    <b:Tag>Min13</b:Tag>
    <b:SourceType>DocumentFromInternetSite</b:SourceType>
    <b:Guid>{B01BD250-E14E-4305-A492-23B60F36181D}</b:Guid>
    <b:Author>
      <b:Author>
        <b:Corporate>Ministry of Justice</b:Corporate>
      </b:Author>
    </b:Author>
    <b:Title>Transforming Rehabilitation: a Summary of Evidence on Reducing Re-offending</b:Title>
    <b:InternetSiteTitle>Gov.UK - Ministry of Justice</b:InternetSiteTitle>
    <b:Year>2013</b:Year>
    <b:URL>https://assets.publishing.service.gov.uk/government/uploads/system/uploads/attachment_data/file/243718/evidence-reduce-reoffending.pdf</b:URL>
    <b:RefOrder>24</b:RefOrder>
  </b:Source>
  <b:Source>
    <b:Tag>Rob49</b:Tag>
    <b:SourceType>Book</b:SourceType>
    <b:Guid>{671B069E-C7CA-44BD-B454-F57C5DDC8C26}</b:Guid>
    <b:Title>Social Theory and Social Structure</b:Title>
    <b:Year>1949</b:Year>
    <b:Author>
      <b:Author>
        <b:NameList>
          <b:Person>
            <b:Last>Merton</b:Last>
            <b:First>Robert</b:First>
            <b:Middle>K.</b:Middle>
          </b:Person>
        </b:NameList>
      </b:Author>
    </b:Author>
    <b:City>Columbia</b:City>
    <b:Publisher>Columbia University</b:Publisher>
    <b:RefOrder>25</b:RefOrder>
  </b:Source>
  <b:Source>
    <b:Tag>You22</b:Tag>
    <b:SourceType>DocumentFromInternetSite</b:SourceType>
    <b:Guid>{9E269A68-8B49-413B-9344-39B4BB4F5EC5}</b:Guid>
    <b:Title>Gov.UK - Youth Justice Board</b:Title>
    <b:Year>2022</b:Year>
    <b:Author>
      <b:Author>
        <b:Corporate>Youth Justice Board</b:Corporate>
      </b:Author>
    </b:Author>
    <b:InternetSiteTitle>National statistics: Youth Justice Statistics: 2020 to 2021</b:InternetSiteTitle>
    <b:Month>January</b:Month>
    <b:Day>27</b:Day>
    <b:URL>https://www.gov.uk/government/statistics/youth-justice-statistics-2020-to-2021/youth-justice-statistics-2020-to-2021-accessible-version</b:URL>
    <b:RefOrder>26</b:RefOrder>
  </b:Source>
  <b:Source>
    <b:Tag>Alc</b:Tag>
    <b:SourceType>InternetSite</b:SourceType>
    <b:Guid>{EDEBA287-25B5-456C-ACC0-EE8B4AA6FFF1}</b:Guid>
    <b:Title>Alcohol, crime and disorder</b:Title>
    <b:InternetSiteTitle>Alcohol Change</b:InternetSiteTitle>
    <b:URL>https://alcoholchange.org.uk/alcohol-facts/fact-sheets/alcohol-crime-and-disorder</b:URL>
    <b:Author>
      <b:Author>
        <b:Corporate>Alcohol Change</b:Corporate>
      </b:Author>
    </b:Author>
    <b:RefOrder>27</b:RefOrder>
  </b:Source>
</b:Sources>
</file>

<file path=customXml/itemProps1.xml><?xml version="1.0" encoding="utf-8"?>
<ds:datastoreItem xmlns:ds="http://schemas.openxmlformats.org/officeDocument/2006/customXml" ds:itemID="{F4866BF6-67A6-4D8F-9373-307A69E51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7502</TotalTime>
  <Pages>12</Pages>
  <Words>5178</Words>
  <Characters>29515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Board,Kian swp8359</dc:creator>
  <cp:keywords/>
  <dc:description/>
  <cp:lastModifiedBy>Board,Kian swp8359</cp:lastModifiedBy>
  <cp:revision>12</cp:revision>
  <dcterms:created xsi:type="dcterms:W3CDTF">2023-08-24T22:17:00Z</dcterms:created>
  <dcterms:modified xsi:type="dcterms:W3CDTF">2023-11-03T15:56:00Z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2023-08-24T22:44:32Z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9956d89b-b6b0-430c-ab3f-16012bf766b0</vt:lpwstr>
  </property>
  <property fmtid="{D5CDD505-2E9C-101B-9397-08002B2CF9AE}" pid="8" name="MSIP_Label_66cf8fe5-b7b7-4df7-b38d-1c61ac2f6639_ContentBits">
    <vt:lpwstr>0</vt:lpwstr>
  </property>
</Properties>
</file>