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72"/>
          <w:szCs w:val="72"/>
          <w:u w:val="single"/>
          <w:shd w:fill="auto" w:val="clear"/>
          <w:vertAlign w:val="baseline"/>
          <w:rtl w:val="0"/>
        </w:rPr>
        <w:t xml:space="preserve">Principles of health and social care</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72"/>
          <w:szCs w:val="72"/>
          <w:u w:val="single"/>
        </w:rPr>
      </w:pPr>
      <w:r w:rsidDel="00000000" w:rsidR="00000000" w:rsidRPr="00000000">
        <w:rPr>
          <w:b w:val="1"/>
          <w:sz w:val="72"/>
          <w:szCs w:val="72"/>
          <w:u w:val="single"/>
          <w:rtl w:val="0"/>
        </w:rPr>
        <w:t xml:space="preserve">Case Study</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72"/>
          <w:szCs w:val="72"/>
          <w:u w:val="single"/>
        </w:rPr>
      </w:pPr>
      <w:r w:rsidDel="00000000" w:rsidR="00000000" w:rsidRPr="00000000">
        <w:rPr>
          <w:b w:val="1"/>
          <w:sz w:val="72"/>
          <w:szCs w:val="72"/>
          <w:u w:val="single"/>
          <w:rtl w:val="0"/>
        </w:rPr>
        <w:t xml:space="preserve">BMHP5002_LON</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72"/>
          <w:szCs w:val="72"/>
          <w:u w:val="single"/>
        </w:rPr>
      </w:pPr>
      <w:r w:rsidDel="00000000" w:rsidR="00000000" w:rsidRPr="00000000">
        <w:rPr>
          <w:b w:val="1"/>
          <w:sz w:val="72"/>
          <w:szCs w:val="72"/>
          <w:u w:val="single"/>
          <w:rtl w:val="0"/>
        </w:rPr>
        <w:t xml:space="preserve">Lecture:Adesewa Ajayi</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sz w:val="72"/>
          <w:szCs w:val="72"/>
          <w:u w:val="single"/>
        </w:rPr>
      </w:pPr>
      <w:r w:rsidDel="00000000" w:rsidR="00000000" w:rsidRPr="00000000">
        <w:rPr>
          <w:b w:val="1"/>
          <w:sz w:val="72"/>
          <w:szCs w:val="72"/>
          <w:u w:val="single"/>
          <w:rtl w:val="0"/>
        </w:rPr>
        <w:t xml:space="preserve">Student:Ionela Alexandrina Stan (1905365) </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72"/>
          <w:szCs w:val="72"/>
          <w:u w:val="single"/>
          <w:shd w:fill="auto" w:val="clear"/>
          <w:vertAlign w:val="baseline"/>
        </w:rPr>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B">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both"/>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r>
          <w:r w:rsidDel="00000000" w:rsidR="00000000" w:rsidRPr="00000000">
            <w:fldChar w:fldCharType="begin"/>
            <w:instrText xml:space="preserve"> PAGEREF _heading=h.gjdgxs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begin"/>
            <w:instrText xml:space="preserve"> HYPERLINK \l "_heading=h.gjdgxs"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CASE STUDY</w:t>
            <w:tab/>
          </w:r>
          <w:r w:rsidDel="00000000" w:rsidR="00000000" w:rsidRPr="00000000">
            <w:fldChar w:fldCharType="begin"/>
            <w:instrText xml:space="preserve"> PAGEREF _heading=h.30j0zll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r w:rsidDel="00000000" w:rsidR="00000000" w:rsidRPr="00000000">
            <w:fldChar w:fldCharType="begin"/>
            <w:instrText xml:space="preserve"> HYPERLINK \l "_heading=h.30j0zll"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RELATED</w:t>
            <w:tab/>
          </w:r>
          <w:r w:rsidDel="00000000" w:rsidR="00000000" w:rsidRPr="00000000">
            <w:fldChar w:fldCharType="begin"/>
            <w:instrText xml:space="preserve"> PAGEREF _heading=h.1fob9te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r w:rsidDel="00000000" w:rsidR="00000000" w:rsidRPr="00000000">
            <w:fldChar w:fldCharType="begin"/>
            <w:instrText xml:space="preserve"> HYPERLINK \l "_heading=h.1fob9te"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ORGANISATION IN RESOLVING PROBLEMS</w:t>
            <w:tab/>
          </w:r>
          <w:r w:rsidDel="00000000" w:rsidR="00000000" w:rsidRPr="00000000">
            <w:fldChar w:fldCharType="begin"/>
            <w:instrText xml:space="preserve"> PAGEREF _heading=h.3znysh7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r w:rsidDel="00000000" w:rsidR="00000000" w:rsidRPr="00000000">
            <w:fldChar w:fldCharType="begin"/>
            <w:instrText xml:space="preserve"> HYPERLINK \l "_heading=h.3znysh7"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REGULATION FOR THE METHOD</w:t>
            <w:tab/>
          </w:r>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r w:rsidDel="00000000" w:rsidR="00000000" w:rsidRPr="00000000">
            <w:fldChar w:fldCharType="begin"/>
            <w:instrText xml:space="preserve"> HYPERLINK \l "_heading=h.2et92p0"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r w:rsidDel="00000000" w:rsidR="00000000" w:rsidRPr="00000000">
            <w:fldChar w:fldCharType="begin"/>
            <w:instrText xml:space="preserve"> HYPERLINK \l "_heading=h.tyjcwt"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r>
          <w:r w:rsidDel="00000000" w:rsidR="00000000" w:rsidRPr="00000000">
            <w:fldChar w:fldCharType="begin"/>
            <w:instrText xml:space="preserve"> PAGEREF _heading=h.3dy6vkm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r w:rsidDel="00000000" w:rsidR="00000000" w:rsidRPr="00000000">
            <w:fldChar w:fldCharType="begin"/>
            <w:instrText xml:space="preserve"> HYPERLINK \l "_heading=h.3dy6vkm" </w:instrText>
            <w:fldChar w:fldCharType="separate"/>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keepNext w:val="1"/>
        <w:keepLines w:val="0"/>
        <w:widowControl w:val="1"/>
        <w:pBdr>
          <w:top w:space="0" w:sz="0" w:val="nil"/>
          <w:left w:space="0" w:sz="0" w:val="nil"/>
          <w:bottom w:space="0" w:sz="0" w:val="nil"/>
          <w:right w:space="0" w:sz="0" w:val="nil"/>
          <w:between w:space="0" w:sz="0" w:val="nil"/>
        </w:pBdr>
        <w:shd w:fill="auto" w:val="clear"/>
        <w:tabs>
          <w:tab w:val="right" w:pos="9360"/>
        </w:tabs>
        <w:spacing w:after="120" w:before="240" w:line="360" w:lineRule="auto"/>
        <w:ind w:left="0" w:right="0" w:firstLine="0"/>
        <w:jc w:val="both"/>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5">
      <w:pPr>
        <w:pStyle w:val="Heading1"/>
        <w:numPr>
          <w:ilvl w:val="0"/>
          <w:numId w:val="1"/>
        </w:numPr>
        <w:ind w:left="432" w:hanging="432"/>
        <w:rPr/>
      </w:pPr>
      <w:bookmarkStart w:colFirst="0" w:colLast="0" w:name="_heading=h.gjdgxs" w:id="0"/>
      <w:bookmarkEnd w:id="0"/>
      <w:r w:rsidDel="00000000" w:rsidR="00000000" w:rsidRPr="00000000">
        <w:br w:type="page"/>
      </w:r>
      <w:r w:rsidDel="00000000" w:rsidR="00000000" w:rsidRPr="00000000">
        <w:rPr>
          <w:rtl w:val="0"/>
        </w:rPr>
        <w:t xml:space="preserve">INTRODUCTION</w:t>
      </w:r>
    </w:p>
    <w:p w:rsidR="00000000" w:rsidDel="00000000" w:rsidP="00000000" w:rsidRDefault="00000000" w:rsidRPr="00000000" w14:paraId="00000016">
      <w:pPr>
        <w:rPr/>
      </w:pPr>
      <w:r w:rsidDel="00000000" w:rsidR="00000000" w:rsidRPr="00000000">
        <w:rPr>
          <w:rtl w:val="0"/>
        </w:rPr>
        <w:t xml:space="preserve">There are different charitable organisations in and around different areas as well as in countries. There seem to be pertaining issues with regards to people and the organisations are always in charge of dealing with the atrocities that are being faced by people. Healthcare is said to be that prominent aspect which is to be dealt with by every organisation that is running the charity as well as the health industry (McGilton, 2018). There are different issues that are pertaining around the world which will fall in the limelight of people only when the different organisations focus on how far they can be able to monitor circumstances with regard to people around. Healthcare sector in this prospectus is said to be one of the most prominent one and therefore there are different aspects that are related to support as well as protection of different services that are being offered. There are benefits letters associated with these charitable institutions since people can make use of them in times of need. The entire report deals with the principles of health care as well as social hair practice apps that are essential for the organisations to amend rules and regulations in order to safeguard people. The organisation that chose and described his NHS. The NHS organisation will look after different structural bodies of the organisation where there is a task allocation, coordination and supervision that is being oriented in the organisation. Getting to be different branches that were prevalent in the organisation with which the firm worked.</w:t>
      </w:r>
    </w:p>
    <w:p w:rsidR="00000000" w:rsidDel="00000000" w:rsidP="00000000" w:rsidRDefault="00000000" w:rsidRPr="00000000" w14:paraId="00000017">
      <w:pPr>
        <w:pStyle w:val="Heading1"/>
        <w:numPr>
          <w:ilvl w:val="0"/>
          <w:numId w:val="1"/>
        </w:numPr>
        <w:ind w:left="432" w:hanging="432"/>
        <w:rPr/>
      </w:pPr>
      <w:bookmarkStart w:colFirst="0" w:colLast="0" w:name="_heading=h.30j0zll" w:id="1"/>
      <w:bookmarkEnd w:id="1"/>
      <w:r w:rsidDel="00000000" w:rsidR="00000000" w:rsidRPr="00000000">
        <w:rPr>
          <w:rtl w:val="0"/>
        </w:rPr>
        <w:t xml:space="preserve">CASE STUDY</w:t>
      </w:r>
    </w:p>
    <w:p w:rsidR="00000000" w:rsidDel="00000000" w:rsidP="00000000" w:rsidRDefault="00000000" w:rsidRPr="00000000" w14:paraId="00000018">
      <w:pPr>
        <w:rPr/>
      </w:pPr>
      <w:r w:rsidDel="00000000" w:rsidR="00000000" w:rsidRPr="00000000">
        <w:rPr>
          <w:rtl w:val="0"/>
        </w:rPr>
        <w:t xml:space="preserve">Mr. and Mrs. T are a couple who have lived alone their most of  life, away from their kids  and friends, just there caring about each other. This independently living couple are both more than 85 years old. Mr T has progressive dementia, which is used to describe symptoms of many diseases and even brain disorders. It is basically mother's many problems and other chronic conditions. The couple has always stayed independent and used to take care of each other. But, recently, Mrs. T had a fall from the stairs. She was immediately hospitalised and she had to undergo hip surgery. The process went well but because of being a senior citizen and having an operation, she had to use a mobility frame to help her walk properly.</w:t>
      </w:r>
    </w:p>
    <w:p w:rsidR="00000000" w:rsidDel="00000000" w:rsidP="00000000" w:rsidRDefault="00000000" w:rsidRPr="00000000" w14:paraId="00000019">
      <w:pPr>
        <w:rPr/>
      </w:pPr>
      <w:r w:rsidDel="00000000" w:rsidR="00000000" w:rsidRPr="00000000">
        <w:rPr>
          <w:rtl w:val="0"/>
        </w:rPr>
        <w:t xml:space="preserve">Mrs. T while going through in lot of pain herself was having problems in doing household chores and taking care of Mr. T and living independently was hard. She was looking forward to finding some help. She collected information regarding the problem they were facing and searched to find a solution where their independent living should remain intact but with some outside help. She needed help improving her mobility so that she be there whenever Mr. T wanted her help. She wanted help from someone who can manage her domestic chores and take care of Mrs. T herself. She also required someone who could take her to social events as travelling alone with a mobility frame is not an easy job.</w:t>
      </w:r>
    </w:p>
    <w:p w:rsidR="00000000" w:rsidDel="00000000" w:rsidP="00000000" w:rsidRDefault="00000000" w:rsidRPr="00000000" w14:paraId="0000001A">
      <w:pPr>
        <w:pStyle w:val="Heading1"/>
        <w:numPr>
          <w:ilvl w:val="0"/>
          <w:numId w:val="1"/>
        </w:numPr>
        <w:ind w:left="432" w:hanging="432"/>
        <w:rPr/>
      </w:pPr>
      <w:bookmarkStart w:colFirst="0" w:colLast="0" w:name="_heading=h.1fob9te" w:id="2"/>
      <w:bookmarkEnd w:id="2"/>
      <w:r w:rsidDel="00000000" w:rsidR="00000000" w:rsidRPr="00000000">
        <w:rPr>
          <w:rtl w:val="0"/>
        </w:rPr>
        <w:t xml:space="preserve">ISSUES RELATED</w:t>
      </w:r>
    </w:p>
    <w:p w:rsidR="00000000" w:rsidDel="00000000" w:rsidP="00000000" w:rsidRDefault="00000000" w:rsidRPr="00000000" w14:paraId="0000001B">
      <w:pPr>
        <w:rPr/>
      </w:pPr>
      <w:r w:rsidDel="00000000" w:rsidR="00000000" w:rsidRPr="00000000">
        <w:rPr>
          <w:rtl w:val="0"/>
        </w:rPr>
        <w:t xml:space="preserve">Many people look forward to their retirement phase where they can relax and go on vacation mode forever. Well, this does not come out as easy and relaxed as it sounds. Old age comes with a lot of problems. As you grow old, diseases, problems and significant challenges on one self increases. As in case of Mr. and Mrs. T, they are facing some many problems as they are living independently. They have very less social opportunities to mingle with people or expand their group. Younger age people are less interested in hanging out with them because of the generation gap, thinking would not match (Irvani and et.al., 2020). They are retired from their jobs and children living away makes them home-bound. They have to cope-up with the grief because someone from their friend or family group of the same age has passed away. Because of all this, they suffer from depression and loneliness which can be very difficult to overcome. </w:t>
      </w:r>
    </w:p>
    <w:p w:rsidR="00000000" w:rsidDel="00000000" w:rsidP="00000000" w:rsidRDefault="00000000" w:rsidRPr="00000000" w14:paraId="0000001C">
      <w:pPr>
        <w:rPr/>
      </w:pPr>
      <w:r w:rsidDel="00000000" w:rsidR="00000000" w:rsidRPr="00000000">
        <w:rPr>
          <w:rtl w:val="0"/>
        </w:rPr>
        <w:t xml:space="preserve">Talking about Mr. T's side of problems, he is suffering from Dementia and this disease alone can cause various problems such as, it causes cells in the brain to die resulting in memory loss, slow reflective actions, loss of ability to speak. They experience sudden changes in their mood or behaviours. The major problem which is memory loss can create a great deal of confusion. There is also difficulty in walking because of old age and even from dementia. He can't even take care of his own personal care and these problems just keep increasing over time. In Mrs. T's case, she had just undergone a hip replacement operation which comes with many complications like blood clots and several infections (Nakagawa and et.al., 2017). Bone density and mass of muscle decrease with increasing age. Osteoporosis can be a common factor especially for an elderly lady, bones become brittle and weak. Lack of exercise can weaken the bone to a great extent and make working of the leg in-active. She has become dependent on someone to help her walk or to help her go to some events.</w:t>
      </w:r>
    </w:p>
    <w:p w:rsidR="00000000" w:rsidDel="00000000" w:rsidP="00000000" w:rsidRDefault="00000000" w:rsidRPr="00000000" w14:paraId="0000001D">
      <w:pPr>
        <w:rPr/>
      </w:pPr>
      <w:r w:rsidDel="00000000" w:rsidR="00000000" w:rsidRPr="00000000">
        <w:rPr>
          <w:rtl w:val="0"/>
        </w:rPr>
        <w:t xml:space="preserve">Living independently with such problems is challenging even financial wise. Due to no job and heavy expense of health care settings and medicines are creating financial problems for the couple. There is a clear requirement for health care in this case, which is again very costly. House-hold chores are there to do in every family. Here, Mrs. T with the help of Mr. T used to manage all this but this hip operation has made it difficult for her to even stand for some amount of time. Doing domestic chores in such conditions where even health of Mr. T is going bad with time, is next to impossible.</w:t>
      </w:r>
    </w:p>
    <w:p w:rsidR="00000000" w:rsidDel="00000000" w:rsidP="00000000" w:rsidRDefault="00000000" w:rsidRPr="00000000" w14:paraId="0000001E">
      <w:pPr>
        <w:pStyle w:val="Heading1"/>
        <w:numPr>
          <w:ilvl w:val="0"/>
          <w:numId w:val="1"/>
        </w:numPr>
        <w:ind w:left="432" w:hanging="432"/>
        <w:rPr/>
      </w:pPr>
      <w:bookmarkStart w:colFirst="0" w:colLast="0" w:name="_heading=h.3znysh7" w:id="3"/>
      <w:bookmarkEnd w:id="3"/>
      <w:r w:rsidDel="00000000" w:rsidR="00000000" w:rsidRPr="00000000">
        <w:rPr>
          <w:rtl w:val="0"/>
        </w:rPr>
        <w:t xml:space="preserve">ROLE OF ORGANISATION IN RESOLVING PROBLEMS</w:t>
      </w:r>
    </w:p>
    <w:p w:rsidR="00000000" w:rsidDel="00000000" w:rsidP="00000000" w:rsidRDefault="00000000" w:rsidRPr="00000000" w14:paraId="0000001F">
      <w:pPr>
        <w:rPr/>
      </w:pPr>
      <w:r w:rsidDel="00000000" w:rsidR="00000000" w:rsidRPr="00000000">
        <w:rPr>
          <w:rtl w:val="0"/>
        </w:rPr>
        <w:t xml:space="preserve">As per the case study the wife and husband both are affected and are in a critical condition in order to look after their daily activities. In order to move ahead with their circumstances they will have to opt for a choice that will help them to cope up with their daily schedule (Gordon, 2020). The organisation NHS incorporates policies such that it volunteers would help the wife and husband in their day to day schedule until they are recovered. Since there is a confrontation that has made upon the damage that is caused to the hip of the female in this case study then there will also be a medical alteration that is necessary to be provided. it is not until when the organisation provides its volunteers to monitor health as well as to help them in the daily routine that the couple can move ahead with their covering. </w:t>
      </w:r>
    </w:p>
    <w:p w:rsidR="00000000" w:rsidDel="00000000" w:rsidP="00000000" w:rsidRDefault="00000000" w:rsidRPr="00000000" w14:paraId="00000020">
      <w:pPr>
        <w:rPr/>
      </w:pPr>
      <w:r w:rsidDel="00000000" w:rsidR="00000000" w:rsidRPr="00000000">
        <w:rPr>
          <w:b w:val="1"/>
          <w:rtl w:val="0"/>
        </w:rPr>
        <w:t xml:space="preserve">Allocation</w:t>
      </w:r>
      <w:r w:rsidDel="00000000" w:rsidR="00000000" w:rsidRPr="00000000">
        <w:rPr>
          <w:rtl w:val="0"/>
        </w:rPr>
        <w:t xml:space="preserve">: the organisation will have to first identify the choices that ought to be made in this case. Both the wife and husband are in a position of not to carry forward their activities and therefore it is an essential factor to seek for well. Therefore the organisation will have to first identify the areas that are required to be occupied by volunteers as not their health as well as their maintenance can be done in a proper manner (Craftsman and et.al, 2018). Allocation is probably one of those entities that will drive the factors close to the most out of everything. </w:t>
      </w:r>
    </w:p>
    <w:p w:rsidR="00000000" w:rsidDel="00000000" w:rsidP="00000000" w:rsidRDefault="00000000" w:rsidRPr="00000000" w14:paraId="00000021">
      <w:pPr>
        <w:rPr/>
      </w:pPr>
      <w:r w:rsidDel="00000000" w:rsidR="00000000" w:rsidRPr="00000000">
        <w:rPr>
          <w:b w:val="1"/>
          <w:rtl w:val="0"/>
        </w:rPr>
        <w:t xml:space="preserve">Health Care</w:t>
      </w:r>
      <w:r w:rsidDel="00000000" w:rsidR="00000000" w:rsidRPr="00000000">
        <w:rPr>
          <w:rtl w:val="0"/>
        </w:rPr>
        <w:t xml:space="preserve">: </w:t>
      </w:r>
      <w:r w:rsidDel="00000000" w:rsidR="00000000" w:rsidRPr="00000000">
        <w:rPr>
          <w:color w:val="0c0c0c"/>
          <w:rtl w:val="0"/>
        </w:rPr>
        <w:t xml:space="preserve">Health care, health-care, or healthcare is the maintenance or improvement of health via the prevention, diagnosis, treatment, recovery, or cure of disease, illness, injury, and other physical and mental impairments in people. Health care is delivered by health professionals and allied health fields. Medicine, dentistry, pharmacy, midwifery, nursing, optometry, audiology, psychology, occupational therapy, physical therapy, athletic training and other health professions are all part of health care</w:t>
      </w:r>
      <w:r w:rsidDel="00000000" w:rsidR="00000000" w:rsidRPr="00000000">
        <w:rPr>
          <w:color w:val="ff0000"/>
          <w:rtl w:val="0"/>
        </w:rPr>
        <w:t xml:space="preserve">.</w:t>
      </w:r>
      <w:r w:rsidDel="00000000" w:rsidR="00000000" w:rsidRPr="00000000">
        <w:rPr>
          <w:rtl w:val="0"/>
        </w:rPr>
        <w:t xml:space="preserve"> It is important to monitor hold at regular intervals because there is a severe damage that is offered to both. The circumstances that were prevailing in this situation will have to be recorded such that the volunteer can offer good medical insurance to the couple. The hip injury will have to be diagnosed and treated in a better possible manner. A proper health alteration and care is necessary in this stage since the worst out of everything is to get diminished in the pace of rapid development that will get through the health care (Pinedo-Villanueva and et.al, 2019). One may probably not enhance the certainties in this sector since the atrocities in serving people lie in the pertaining situations around. Healthcare being one of the most prominent aspects that are to be dealt with and one of the major Industries that is looked after by the government and the different strategies that are employed to move forward with the steps that are to be inherited upon serving the needy. Different organisations will observe the needs that are to be met for an individual and in this case study since both the wife and husband are being affected physically and their struggle will have to be treated with proper volunteering such that all the regular needs can be met in the best possible manner.</w:t>
      </w:r>
    </w:p>
    <w:p w:rsidR="00000000" w:rsidDel="00000000" w:rsidP="00000000" w:rsidRDefault="00000000" w:rsidRPr="00000000" w14:paraId="00000022">
      <w:pPr>
        <w:rPr/>
      </w:pPr>
      <w:r w:rsidDel="00000000" w:rsidR="00000000" w:rsidRPr="00000000">
        <w:rPr>
          <w:b w:val="1"/>
          <w:rtl w:val="0"/>
        </w:rPr>
        <w:t xml:space="preserve">Giving right guidance</w:t>
      </w:r>
      <w:r w:rsidDel="00000000" w:rsidR="00000000" w:rsidRPr="00000000">
        <w:rPr>
          <w:rtl w:val="0"/>
        </w:rPr>
        <w:t xml:space="preserve">: Guiding will revolve around everything that will bring about great change and the value and perspectives of the services that are to be rendered. The healthcare and social care are the two different aspects at the revolve around being the same since there are aspects that a pertaining to the cases that are identified and the one that is mentioned in this report is the one that will have to be taken with the combination of both (Naslund and et.al, 2019). Therefore a particular guidance is necessary in order to move forward with the strategies that are required to meet the needs of wife and husband in this case study. Therefore, the different acts as well as the policies that are to be adopted by the organisation to move ahead.  Guidance will always serve to be a stepping stone in the aspect of the two people. The staff that is provided in regards to this couple will have to show examples of how they can overcome these situations and this will be helpful in attaining information. The forms on that are in regard to the complaint that is generated from the couple will have to be supported by a proper solution such that the need can be fulfilled in a short duration.</w:t>
      </w:r>
    </w:p>
    <w:p w:rsidR="00000000" w:rsidDel="00000000" w:rsidP="00000000" w:rsidRDefault="00000000" w:rsidRPr="00000000" w14:paraId="00000023">
      <w:pPr>
        <w:pStyle w:val="Heading1"/>
        <w:numPr>
          <w:ilvl w:val="0"/>
          <w:numId w:val="1"/>
        </w:numPr>
        <w:ind w:left="432" w:hanging="432"/>
        <w:rPr/>
      </w:pPr>
      <w:bookmarkStart w:colFirst="0" w:colLast="0" w:name="_heading=h.2et92p0" w:id="4"/>
      <w:bookmarkEnd w:id="4"/>
      <w:r w:rsidDel="00000000" w:rsidR="00000000" w:rsidRPr="00000000">
        <w:rPr>
          <w:rtl w:val="0"/>
        </w:rPr>
        <w:t xml:space="preserve">REGULATION FOR THE METHOD</w:t>
      </w:r>
    </w:p>
    <w:p w:rsidR="00000000" w:rsidDel="00000000" w:rsidP="00000000" w:rsidRDefault="00000000" w:rsidRPr="00000000" w14:paraId="00000024">
      <w:pPr>
        <w:rPr/>
      </w:pPr>
      <w:r w:rsidDel="00000000" w:rsidR="00000000" w:rsidRPr="00000000">
        <w:rPr>
          <w:rtl w:val="0"/>
        </w:rPr>
        <w:t xml:space="preserve">Health care services primary motto is to reach the goals of maintaining standard regulation that will be a helpful asset for them in order to serve the society. There seems to be different regulations that revolve around Healthcare purposes and they are set to be delivered in a professional manner. Ensuring public safety is the major motor that is to be followed by every healthcare organisation since it is more dealing with society as well as the life of people. Patient and user service care are said to be one of those professional aspects that are being dealt with by health professionals since there are different frameworks that are associated with the regulating bodies. The Health Care Centres are operating as professional services (Kirkman and et.al, 2018). In a country like the United Kingdom there seem to be different regulations for operating as the body of Healthcare centres and that with regards to the patient and user care service. In this case study it is important to move ahead in a broader area based upon analysing different Healthcare professionals such that the regulation is only the element that can fit the case. The current Healthcare system in the United Kingdom is said to be so immense that the organisations are embedded in the system in such a way that the volunteers will enrol themselves and contribute services to the needy. There are different elements that are to be considered in organisations that work in the Healthcare industry. There will be people that are physically and mentally not fit and therefore these regulations will be inculcated in the workers such that they can contribute for the best of their survival. The Healthcare regulation starts with identifying the problem. This is regarded as one of the primary purposes of professional services that are being offered. The Framework in this prospectus fragment in such a manner that the total understanding of the problem is demonstrated by different aspects that constitutes the case study. In this case study the problem will be identified with the onset of circumstances that are constituted. The further step will be project designing and which can only be oriented with the circumstances that are to be delivered to both wife and husband. The regulation in this profit will be the one that revolves around serving the needy in times of their survival. This means that there are circumstances when the volunteer will have to habituate themselves in bringing forth their service as such that they can meet people with the most physical disability as well as those that cannot perform their daily activities. In this prospect organisation provide volunteers for the couple facts that they will look after the words that are to be provided on a daily routine (Bradley and et.al, 2017). Regulation is not just meant to be issued by the government. Regulation is something that is to be followed by the strategies that are listed in the at such that all the possibilities of serving the needy can be fulfilled. There are many atrocities that are prevailing in and around the world and they are to be met by the Healthcare organisations such that people will not feel the great out of the struggle.</w:t>
      </w:r>
    </w:p>
    <w:p w:rsidR="00000000" w:rsidDel="00000000" w:rsidP="00000000" w:rsidRDefault="00000000" w:rsidRPr="00000000" w14:paraId="00000025">
      <w:pPr>
        <w:pStyle w:val="Heading1"/>
        <w:numPr>
          <w:ilvl w:val="0"/>
          <w:numId w:val="1"/>
        </w:numPr>
        <w:ind w:left="432" w:hanging="432"/>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sectPr>
          <w:type w:val="nextPage"/>
          <w:pgSz w:h="15840" w:w="12240" w:orient="portrait"/>
          <w:pgMar w:bottom="1440" w:top="1440" w:left="1440" w:right="1440" w:header="720" w:footer="720"/>
        </w:sectPr>
      </w:pPr>
      <w:r w:rsidDel="00000000" w:rsidR="00000000" w:rsidRPr="00000000">
        <w:rPr>
          <w:rtl w:val="0"/>
        </w:rPr>
        <w:t xml:space="preserve">Report deals with the aspects of Healthcare and social care. Through this report one can easily understand the aspect of Health Care as one of the mandatory in order to deal with the circumstances that are prevailing in the country. The conclusion factor of this report revolves around the issues that are dealt in the case study of the couple which are suffering from physical incidence. Through the case study in this report the entire scenario is being depicted and the issues that are pertaining with them are discussed. The role of the organisation that is mentioned in the report is explained in a perfect manner with the duties that are performed. The ones that are explained in this context are allocation, health care and giving right guidance. One can easily understand the role of volunteers as well as their duties that are being taken up by the organisation. Through the health care aspect the readers can easily understand the circumstances that are being tackled by the organisation with the usage of volunteers. One may probably not enhance the certainty in the sector and yet there is a perspective for atrocities to be identified. Through giving right guidance one can understand the combination that is put forth in the report. Guidance is referred to as that principal stepping stone which will be able to monitor the client scenario such that a regulation can be designed in order to meet their expectations and their needs. The importance of regulation as well as the one that is employed in this context is being put forth in the report. Through this one can easily understand the aspects of public safety that are dealt by the health care centre. There is a health professional that is associated with the activities that are pertaining in this society and therefore these immense kinds of embedded systems in the society will be tackled by the health care regulations. The proprietary regulations that are listed for the couple that is mentioned in case study is explained in this scenario.</w:t>
      </w:r>
    </w:p>
    <w:p w:rsidR="00000000" w:rsidDel="00000000" w:rsidP="00000000" w:rsidRDefault="00000000" w:rsidRPr="00000000" w14:paraId="00000028">
      <w:pPr>
        <w:pStyle w:val="Heading1"/>
        <w:numPr>
          <w:ilvl w:val="0"/>
          <w:numId w:val="1"/>
        </w:numPr>
        <w:ind w:left="432" w:hanging="432"/>
        <w:rPr>
          <w:u w:val="single"/>
        </w:rPr>
      </w:pPr>
      <w:bookmarkStart w:colFirst="0" w:colLast="0" w:name="_heading=h.3dy6vkm" w:id="6"/>
      <w:bookmarkEnd w:id="6"/>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singl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w:t>
      </w:r>
    </w:p>
    <w:p w:rsidR="00000000" w:rsidDel="00000000" w:rsidP="00000000" w:rsidRDefault="00000000" w:rsidRPr="00000000" w14:paraId="0000002A">
      <w:pPr>
        <w:ind w:left="567" w:hanging="567"/>
        <w:rPr/>
      </w:pPr>
      <w:bookmarkStart w:colFirst="0" w:colLast="0" w:name="_heading=h.1t3h5sf" w:id="7"/>
      <w:bookmarkEnd w:id="7"/>
      <w:r w:rsidDel="00000000" w:rsidR="00000000" w:rsidRPr="00000000">
        <w:rPr>
          <w:rtl w:val="0"/>
        </w:rPr>
        <w:t xml:space="preserve">Bradley and et.al, 2017. American health care paradox—high spending on health care and poor health. QJM: An International Journal of Medicine. 110(2). pp.61-65.</w:t>
      </w:r>
    </w:p>
    <w:p w:rsidR="00000000" w:rsidDel="00000000" w:rsidP="00000000" w:rsidRDefault="00000000" w:rsidRPr="00000000" w14:paraId="0000002B">
      <w:pPr>
        <w:ind w:left="567" w:hanging="567"/>
        <w:rPr/>
      </w:pPr>
      <w:r w:rsidDel="00000000" w:rsidR="00000000" w:rsidRPr="00000000">
        <w:rPr>
          <w:rtl w:val="0"/>
        </w:rPr>
        <w:t xml:space="preserve">Craftsman and et.al, 2018. Experiences of home care assistants providing social care to older people: A context in transition. International journal of older people nursing. 13(4). p.e12207.</w:t>
      </w:r>
    </w:p>
    <w:p w:rsidR="00000000" w:rsidDel="00000000" w:rsidP="00000000" w:rsidRDefault="00000000" w:rsidRPr="00000000" w14:paraId="0000002C">
      <w:pPr>
        <w:ind w:left="567" w:hanging="567"/>
        <w:rPr/>
      </w:pPr>
      <w:r w:rsidDel="00000000" w:rsidR="00000000" w:rsidRPr="00000000">
        <w:rPr>
          <w:rtl w:val="0"/>
        </w:rPr>
        <w:t xml:space="preserve">Gordon, 2020. Commentary: COVID in care homes—challenges and dilemmas in healthcare delivery. Age and ageing. 49(5). pp.701-705.</w:t>
      </w:r>
    </w:p>
    <w:p w:rsidR="00000000" w:rsidDel="00000000" w:rsidP="00000000" w:rsidRDefault="00000000" w:rsidRPr="00000000" w14:paraId="0000002D">
      <w:pPr>
        <w:ind w:left="567" w:hanging="567"/>
        <w:rPr/>
      </w:pPr>
      <w:r w:rsidDel="00000000" w:rsidR="00000000" w:rsidRPr="00000000">
        <w:rPr>
          <w:rtl w:val="0"/>
        </w:rPr>
        <w:t xml:space="preserve">Irvani and et.al., 2020. Prevalence of depression in elderly hip fracture: A systematic review and meta-analysis. International Journal of Orthopaedic and Trauma Nursing. p.100813.</w:t>
      </w:r>
    </w:p>
    <w:p w:rsidR="00000000" w:rsidDel="00000000" w:rsidP="00000000" w:rsidRDefault="00000000" w:rsidRPr="00000000" w14:paraId="0000002E">
      <w:pPr>
        <w:ind w:left="567" w:hanging="567"/>
        <w:rPr/>
      </w:pPr>
      <w:r w:rsidDel="00000000" w:rsidR="00000000" w:rsidRPr="00000000">
        <w:rPr>
          <w:rtl w:val="0"/>
        </w:rPr>
        <w:t xml:space="preserve">Kirkman and et.al, 2018. Thinking about health care differently: nurse practitioners in primary health care as social entrepreneurs. Journal of primary health care. 10(4). pp.331-337.</w:t>
      </w:r>
    </w:p>
    <w:p w:rsidR="00000000" w:rsidDel="00000000" w:rsidP="00000000" w:rsidRDefault="00000000" w:rsidRPr="00000000" w14:paraId="0000002F">
      <w:pPr>
        <w:ind w:left="567" w:hanging="567"/>
        <w:rPr/>
      </w:pPr>
      <w:r w:rsidDel="00000000" w:rsidR="00000000" w:rsidRPr="00000000">
        <w:rPr>
          <w:rtl w:val="0"/>
        </w:rPr>
        <w:t xml:space="preserve">McGilton, 2018. Identifying and understanding the health and social care needs of older adults with multiple chronic conditions and their caregivers: a scoping review. BMC geriatrics. 18(1). pp.1-33.</w:t>
      </w:r>
    </w:p>
    <w:p w:rsidR="00000000" w:rsidDel="00000000" w:rsidP="00000000" w:rsidRDefault="00000000" w:rsidRPr="00000000" w14:paraId="00000030">
      <w:pPr>
        <w:ind w:left="567" w:hanging="567"/>
        <w:rPr/>
      </w:pPr>
      <w:r w:rsidDel="00000000" w:rsidR="00000000" w:rsidRPr="00000000">
        <w:rPr>
          <w:rtl w:val="0"/>
        </w:rPr>
        <w:t xml:space="preserve">Nakagawa and et.al., 2017. Postural balance and functional independence of elderly people according to gender and age: cross-sectional study. Sao Paulo Medical Journal. 135(3). pp.260-265.</w:t>
      </w:r>
    </w:p>
    <w:p w:rsidR="00000000" w:rsidDel="00000000" w:rsidP="00000000" w:rsidRDefault="00000000" w:rsidRPr="00000000" w14:paraId="00000031">
      <w:pPr>
        <w:ind w:left="567" w:hanging="567"/>
        <w:rPr/>
      </w:pPr>
      <w:r w:rsidDel="00000000" w:rsidR="00000000" w:rsidRPr="00000000">
        <w:rPr>
          <w:rtl w:val="0"/>
        </w:rPr>
        <w:t xml:space="preserve">Naslund and et.al, 2019. Exploring opportunities to support mental health care using social media: A survey of social media users with mental illness. Early intervention in psychiatry, 13(3), pp.405-413.</w:t>
      </w:r>
    </w:p>
    <w:p w:rsidR="00000000" w:rsidDel="00000000" w:rsidP="00000000" w:rsidRDefault="00000000" w:rsidRPr="00000000" w14:paraId="00000032">
      <w:pPr>
        <w:ind w:left="567" w:hanging="567"/>
        <w:rPr/>
      </w:pPr>
      <w:r w:rsidDel="00000000" w:rsidR="00000000" w:rsidRPr="00000000">
        <w:rPr>
          <w:rtl w:val="0"/>
        </w:rPr>
        <w:t xml:space="preserve">Pinedo-Villanueva and et.al, 2019. Health care costs associated with muscle weakness: a UK population-based estimate. Calcified tissue international. 104(2). pp.137-144.</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Online</w:t>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Health care and Social care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through: &lt; </w:t>
      </w:r>
      <w:hyperlink r:id="rId13">
        <w:r w:rsidDel="00000000" w:rsidR="00000000" w:rsidRPr="00000000">
          <w:rPr>
            <w:rFonts w:ascii="Times New Roman" w:cs="Times New Roman" w:eastAsia="Times New Roman" w:hAnsi="Times New Roman"/>
            <w:b w:val="0"/>
            <w:i w:val="0"/>
            <w:smallCaps w:val="0"/>
            <w:strike w:val="0"/>
            <w:color w:val="000080"/>
            <w:sz w:val="24"/>
            <w:szCs w:val="24"/>
            <w:u w:val="single"/>
            <w:shd w:fill="auto" w:val="clear"/>
            <w:vertAlign w:val="baseline"/>
            <w:rtl w:val="0"/>
          </w:rPr>
          <w:t xml:space="preserve">What is the difference between Healthcare and Social Care? (continuing-healthcare.co.uk)</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&gt;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sz w:val="48"/>
          <w:szCs w:val="48"/>
        </w:rPr>
      </w:pPr>
      <w:r w:rsidDel="00000000" w:rsidR="00000000" w:rsidRPr="00000000">
        <w:rPr>
          <w:rtl w:val="0"/>
        </w:rPr>
      </w:r>
    </w:p>
    <w:p w:rsidR="00000000" w:rsidDel="00000000" w:rsidP="00000000" w:rsidRDefault="00000000" w:rsidRPr="00000000" w14:paraId="00000038">
      <w:pPr>
        <w:rPr>
          <w:sz w:val="48"/>
          <w:szCs w:val="48"/>
        </w:rPr>
      </w:pPr>
      <w:r w:rsidDel="00000000" w:rsidR="00000000" w:rsidRPr="00000000">
        <w:rPr>
          <w:rtl w:val="0"/>
        </w:rPr>
      </w:r>
    </w:p>
    <w:p w:rsidR="00000000" w:rsidDel="00000000" w:rsidP="00000000" w:rsidRDefault="00000000" w:rsidRPr="00000000" w14:paraId="00000039">
      <w:pPr>
        <w:rPr>
          <w:sz w:val="48"/>
          <w:szCs w:val="48"/>
        </w:rPr>
      </w:pPr>
      <w:r w:rsidDel="00000000" w:rsidR="00000000" w:rsidRPr="00000000">
        <w:rPr>
          <w:rtl w:val="0"/>
        </w:rPr>
      </w:r>
    </w:p>
    <w:p w:rsidR="00000000" w:rsidDel="00000000" w:rsidP="00000000" w:rsidRDefault="00000000" w:rsidRPr="00000000" w14:paraId="0000003A">
      <w:pPr>
        <w:rPr>
          <w:sz w:val="48"/>
          <w:szCs w:val="48"/>
        </w:rPr>
      </w:pPr>
      <w:r w:rsidDel="00000000" w:rsidR="00000000" w:rsidRPr="00000000">
        <w:rPr>
          <w:rtl w:val="0"/>
        </w:rPr>
      </w:r>
    </w:p>
    <w:p w:rsidR="00000000" w:rsidDel="00000000" w:rsidP="00000000" w:rsidRDefault="00000000" w:rsidRPr="00000000" w14:paraId="0000003B">
      <w:pPr>
        <w:rPr>
          <w:sz w:val="48"/>
          <w:szCs w:val="48"/>
        </w:rPr>
      </w:pPr>
      <w:r w:rsidDel="00000000" w:rsidR="00000000" w:rsidRPr="00000000">
        <w:rPr>
          <w:rtl w:val="0"/>
        </w:rPr>
      </w:r>
    </w:p>
    <w:p w:rsidR="00000000" w:rsidDel="00000000" w:rsidP="00000000" w:rsidRDefault="00000000" w:rsidRPr="00000000" w14:paraId="0000003C">
      <w:pPr>
        <w:rPr>
          <w:sz w:val="48"/>
          <w:szCs w:val="48"/>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footerReference r:id="rId14"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left="432" w:hanging="432"/>
    </w:pPr>
    <w:rPr>
      <w:b w:val="1"/>
      <w:color w:val="000000"/>
      <w:sz w:val="28"/>
      <w:szCs w:val="28"/>
    </w:rPr>
  </w:style>
  <w:style w:type="paragraph" w:styleId="Heading2">
    <w:name w:val="heading 2"/>
    <w:basedOn w:val="Normal"/>
    <w:next w:val="Normal"/>
    <w:pPr>
      <w:keepNext w:val="1"/>
      <w:keepLines w:val="1"/>
      <w:ind w:left="576" w:hanging="576"/>
    </w:pPr>
    <w:rPr>
      <w:color w:val="000000"/>
      <w:u w:val="singl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sz w:val="24"/>
      <w:szCs w:val="22"/>
      <w:lang w:eastAsia="ar-SA"/>
    </w:rPr>
  </w:style>
  <w:style w:type="paragraph" w:styleId="Heading1">
    <w:name w:val="heading 1"/>
    <w:basedOn w:val="Normal"/>
    <w:next w:val="Normal"/>
    <w:qFormat w:val="1"/>
    <w:pPr>
      <w:keepNext w:val="1"/>
      <w:keepLines w:val="1"/>
      <w:numPr>
        <w:numId w:val="1"/>
      </w:numPr>
      <w:outlineLvl w:val="0"/>
    </w:pPr>
    <w:rPr>
      <w:rFonts w:eastAsia="Times New Roman"/>
      <w:b w:val="1"/>
      <w:bCs w:val="1"/>
      <w:color w:val="000000"/>
      <w:sz w:val="28"/>
      <w:szCs w:val="28"/>
    </w:rPr>
  </w:style>
  <w:style w:type="paragraph" w:styleId="Heading2">
    <w:name w:val="heading 2"/>
    <w:basedOn w:val="Normal"/>
    <w:next w:val="Normal"/>
    <w:qFormat w:val="1"/>
    <w:pPr>
      <w:keepNext w:val="1"/>
      <w:keepLines w:val="1"/>
      <w:numPr>
        <w:ilvl w:val="1"/>
        <w:numId w:val="1"/>
      </w:numPr>
      <w:outlineLvl w:val="1"/>
    </w:pPr>
    <w:rPr>
      <w:rFonts w:eastAsia="Times New Roman"/>
      <w:bCs w:val="1"/>
      <w:color w:val="000000"/>
      <w:szCs w:val="26"/>
      <w:u w:val="singl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DefaultParagraphFont0">
    <w:name w:val="Default Paragraph Font"/>
  </w:style>
  <w:style w:type="character" w:styleId="WW8Num2z0" w:customStyle="1">
    <w:name w:val="WW8Num2z0"/>
    <w:rPr>
      <w:rFonts w:ascii="Symbol" w:cs="Wingdings" w:hAnsi="Symbol"/>
      <w:lang w:val="en"/>
    </w:rPr>
  </w:style>
  <w:style w:type="character" w:styleId="WW8Num2z1" w:customStyle="1">
    <w:name w:val="WW8Num2z1"/>
    <w:rPr>
      <w:rFonts w:ascii="OpenSymbol" w:cs="Courier New" w:hAnsi="OpenSymbol"/>
    </w:rPr>
  </w:style>
  <w:style w:type="character" w:styleId="WW8Num3z0" w:customStyle="1">
    <w:name w:val="WW8Num3z0"/>
    <w:rPr>
      <w:rFonts w:ascii="Symbol" w:cs="Symbol" w:hAnsi="Symbol"/>
    </w:rPr>
  </w:style>
  <w:style w:type="character" w:styleId="WW8Num3z1" w:customStyle="1">
    <w:name w:val="WW8Num3z1"/>
    <w:rPr>
      <w:rFonts w:ascii="OpenSymbol" w:cs="OpenSymbol" w:hAnsi="OpenSymbol"/>
    </w:rPr>
  </w:style>
  <w:style w:type="character" w:styleId="WW8Num4z0" w:customStyle="1">
    <w:name w:val="WW8Num4z0"/>
    <w:rPr>
      <w:rFonts w:ascii="Symbol" w:cs="Symbol" w:hAnsi="Symbol"/>
    </w:rPr>
  </w:style>
  <w:style w:type="character" w:styleId="WW8Num4z1" w:customStyle="1">
    <w:name w:val="WW8Num4z1"/>
    <w:rPr>
      <w:rFonts w:ascii="OpenSymbol" w:cs="OpenSymbol" w:hAnsi="OpenSymbol"/>
    </w:rPr>
  </w:style>
  <w:style w:type="character" w:styleId="WW8Num5z0" w:customStyle="1">
    <w:name w:val="WW8Num5z0"/>
    <w:rPr>
      <w:rFonts w:ascii="Symbol" w:cs="Symbol" w:hAnsi="Symbol"/>
    </w:rPr>
  </w:style>
  <w:style w:type="character" w:styleId="WW8Num5z1" w:customStyle="1">
    <w:name w:val="WW8Num5z1"/>
    <w:rPr>
      <w:rFonts w:ascii="OpenSymbol" w:cs="OpenSymbol" w:hAnsi="OpenSymbol"/>
    </w:rPr>
  </w:style>
  <w:style w:type="character" w:styleId="WW8Num6z0" w:customStyle="1">
    <w:name w:val="WW8Num6z0"/>
    <w:rPr>
      <w:rFonts w:ascii="Symbol" w:cs="OpenSymbol" w:hAnsi="Symbol"/>
    </w:rPr>
  </w:style>
  <w:style w:type="character" w:styleId="WW8Num6z1" w:customStyle="1">
    <w:name w:val="WW8Num6z1"/>
    <w:rPr>
      <w:rFonts w:ascii="OpenSymbol" w:cs="OpenSymbol" w:hAnsi="OpenSymbol"/>
    </w:rPr>
  </w:style>
  <w:style w:type="character" w:styleId="WW8Num7z0" w:customStyle="1">
    <w:name w:val="WW8Num7z0"/>
    <w:rPr>
      <w:rFonts w:ascii="Symbol" w:cs="OpenSymbol" w:hAnsi="Symbol"/>
    </w:rPr>
  </w:style>
  <w:style w:type="character" w:styleId="WW8Num7z1" w:customStyle="1">
    <w:name w:val="WW8Num7z1"/>
    <w:rPr>
      <w:rFonts w:ascii="OpenSymbol" w:cs="OpenSymbol" w:hAnsi="OpenSymbol"/>
    </w:rPr>
  </w:style>
  <w:style w:type="character" w:styleId="WW8Num8z0" w:customStyle="1">
    <w:name w:val="WW8Num8z0"/>
    <w:rPr>
      <w:rFonts w:ascii="Symbol" w:cs="OpenSymbol" w:hAnsi="Symbol"/>
    </w:rPr>
  </w:style>
  <w:style w:type="character" w:styleId="WW8Num8z1" w:customStyle="1">
    <w:name w:val="WW8Num8z1"/>
    <w:rPr>
      <w:rFonts w:ascii="OpenSymbol" w:cs="OpenSymbol" w:hAnsi="OpenSymbol"/>
    </w:rPr>
  </w:style>
  <w:style w:type="character" w:styleId="WW8Num9z0" w:customStyle="1">
    <w:name w:val="WW8Num9z0"/>
    <w:rPr>
      <w:rFonts w:ascii="Symbol" w:cs="OpenSymbol" w:hAnsi="Symbol"/>
    </w:rPr>
  </w:style>
  <w:style w:type="character" w:styleId="WW8Num9z1" w:customStyle="1">
    <w:name w:val="WW8Num9z1"/>
    <w:rPr>
      <w:rFonts w:ascii="OpenSymbol" w:cs="OpenSymbol" w:hAnsi="OpenSymbol"/>
    </w:rPr>
  </w:style>
  <w:style w:type="character" w:styleId="WW8Num10z0" w:customStyle="1">
    <w:name w:val="WW8Num10z0"/>
    <w:rPr>
      <w:rFonts w:ascii="Symbol" w:cs="OpenSymbol" w:hAnsi="Symbol"/>
    </w:rPr>
  </w:style>
  <w:style w:type="character" w:styleId="WW8Num10z1" w:customStyle="1">
    <w:name w:val="WW8Num10z1"/>
    <w:rPr>
      <w:rFonts w:ascii="OpenSymbol" w:cs="OpenSymbol" w:hAnsi="OpenSymbol"/>
    </w:rPr>
  </w:style>
  <w:style w:type="character" w:styleId="WW8Num11z0" w:customStyle="1">
    <w:name w:val="WW8Num11z0"/>
    <w:rPr>
      <w:rFonts w:ascii="Symbol" w:cs="OpenSymbol" w:hAnsi="Symbol"/>
    </w:rPr>
  </w:style>
  <w:style w:type="character" w:styleId="WW8Num11z1" w:customStyle="1">
    <w:name w:val="WW8Num11z1"/>
    <w:rPr>
      <w:rFonts w:ascii="OpenSymbol" w:cs="OpenSymbol" w:hAnsi="OpenSymbol"/>
    </w:rPr>
  </w:style>
  <w:style w:type="character" w:styleId="WW8Num12z0" w:customStyle="1">
    <w:name w:val="WW8Num12z0"/>
    <w:rPr>
      <w:rFonts w:ascii="Symbol" w:cs="OpenSymbol" w:hAnsi="Symbol"/>
    </w:rPr>
  </w:style>
  <w:style w:type="character" w:styleId="WW8Num12z1" w:customStyle="1">
    <w:name w:val="WW8Num12z1"/>
    <w:rPr>
      <w:rFonts w:ascii="OpenSymbol" w:cs="OpenSymbol" w:hAnsi="OpenSymbol"/>
    </w:rPr>
  </w:style>
  <w:style w:type="character" w:styleId="WW8Num13z0" w:customStyle="1">
    <w:name w:val="WW8Num13z0"/>
    <w:rPr>
      <w:rFonts w:ascii="Symbol" w:cs="OpenSymbol" w:hAnsi="Symbol"/>
    </w:rPr>
  </w:style>
  <w:style w:type="character" w:styleId="WW8Num13z1" w:customStyle="1">
    <w:name w:val="WW8Num13z1"/>
    <w:rPr>
      <w:rFonts w:ascii="OpenSymbol" w:cs="OpenSymbol" w:hAnsi="OpenSymbol"/>
    </w:rPr>
  </w:style>
  <w:style w:type="character" w:styleId="WW8Num14z0" w:customStyle="1">
    <w:name w:val="WW8Num14z0"/>
    <w:rPr>
      <w:rFonts w:ascii="Symbol" w:cs="OpenSymbol" w:hAnsi="Symbol"/>
    </w:rPr>
  </w:style>
  <w:style w:type="character" w:styleId="WW8Num14z1" w:customStyle="1">
    <w:name w:val="WW8Num14z1"/>
    <w:rPr>
      <w:rFonts w:ascii="OpenSymbol" w:cs="OpenSymbol" w:hAnsi="OpenSymbol"/>
    </w:rPr>
  </w:style>
  <w:style w:type="character" w:styleId="WW8Num15z0" w:customStyle="1">
    <w:name w:val="WW8Num15z0"/>
    <w:rPr>
      <w:rFonts w:ascii="Symbol" w:cs="OpenSymbol" w:hAnsi="Symbol"/>
    </w:rPr>
  </w:style>
  <w:style w:type="character" w:styleId="WW8Num15z1" w:customStyle="1">
    <w:name w:val="WW8Num15z1"/>
    <w:rPr>
      <w:rFonts w:ascii="OpenSymbol" w:cs="OpenSymbol" w:hAnsi="OpenSymbol"/>
    </w:rPr>
  </w:style>
  <w:style w:type="character" w:styleId="WW8Num16z0" w:customStyle="1">
    <w:name w:val="WW8Num16z0"/>
    <w:rPr>
      <w:rFonts w:ascii="Symbol" w:cs="OpenSymbol" w:hAnsi="Symbol"/>
    </w:rPr>
  </w:style>
  <w:style w:type="character" w:styleId="WW8Num16z1" w:customStyle="1">
    <w:name w:val="WW8Num16z1"/>
    <w:rPr>
      <w:rFonts w:ascii="OpenSymbol" w:cs="OpenSymbol" w:hAnsi="OpenSymbol"/>
    </w:rPr>
  </w:style>
  <w:style w:type="character" w:styleId="WW8Num17z0" w:customStyle="1">
    <w:name w:val="WW8Num17z0"/>
  </w:style>
  <w:style w:type="character" w:styleId="WW8Num17z1" w:customStyle="1">
    <w:name w:val="WW8Num17z1"/>
  </w:style>
  <w:style w:type="character" w:styleId="WW8Num17z2" w:customStyle="1">
    <w:name w:val="WW8Num17z2"/>
  </w:style>
  <w:style w:type="character" w:styleId="WW8Num17z3" w:customStyle="1">
    <w:name w:val="WW8Num17z3"/>
  </w:style>
  <w:style w:type="character" w:styleId="WW8Num17z4" w:customStyle="1">
    <w:name w:val="WW8Num17z4"/>
  </w:style>
  <w:style w:type="character" w:styleId="WW8Num17z5" w:customStyle="1">
    <w:name w:val="WW8Num17z5"/>
  </w:style>
  <w:style w:type="character" w:styleId="WW8Num17z6" w:customStyle="1">
    <w:name w:val="WW8Num17z6"/>
  </w:style>
  <w:style w:type="character" w:styleId="WW8Num17z7" w:customStyle="1">
    <w:name w:val="WW8Num17z7"/>
  </w:style>
  <w:style w:type="character" w:styleId="WW8Num17z8" w:customStyle="1">
    <w:name w:val="WW8Num17z8"/>
  </w:style>
  <w:style w:type="character" w:styleId="WW8Num18z0" w:customStyle="1">
    <w:name w:val="WW8Num18z0"/>
    <w:rPr>
      <w:rFonts w:hint="default"/>
      <w:sz w:val="22"/>
      <w:szCs w:val="22"/>
    </w:rPr>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ascii="Symbol" w:cs="Symbol" w:hAnsi="Symbol" w:hint="default"/>
    </w:rPr>
  </w:style>
  <w:style w:type="character" w:styleId="WW8Num19z1" w:customStyle="1">
    <w:name w:val="WW8Num19z1"/>
    <w:rPr>
      <w:rFonts w:ascii="Courier New" w:cs="Courier New" w:hAnsi="Courier New" w:hint="default"/>
    </w:rPr>
  </w:style>
  <w:style w:type="character" w:styleId="WW8Num19z2" w:customStyle="1">
    <w:name w:val="WW8Num19z2"/>
    <w:rPr>
      <w:rFonts w:ascii="Wingdings" w:cs="Wingdings" w:hAnsi="Wingdings" w:hint="default"/>
    </w:rPr>
  </w:style>
  <w:style w:type="character" w:styleId="WW8Num20z0" w:customStyle="1">
    <w:name w:val="WW8Num20z0"/>
    <w:rPr>
      <w:rFonts w:ascii="Symbol" w:cs="Symbol" w:hAnsi="Symbol" w:hint="default"/>
    </w:rPr>
  </w:style>
  <w:style w:type="character" w:styleId="WW8Num20z1" w:customStyle="1">
    <w:name w:val="WW8Num20z1"/>
    <w:rPr>
      <w:rFonts w:ascii="Courier New" w:cs="Courier New" w:hAnsi="Courier New" w:hint="default"/>
    </w:rPr>
  </w:style>
  <w:style w:type="character" w:styleId="WW8Num20z2" w:customStyle="1">
    <w:name w:val="WW8Num20z2"/>
    <w:rPr>
      <w:rFonts w:ascii="Wingdings" w:cs="Wingdings" w:hAnsi="Wingdings" w:hint="default"/>
    </w:rPr>
  </w:style>
  <w:style w:type="character" w:styleId="WW8Num21z0" w:customStyle="1">
    <w:name w:val="WW8Num21z0"/>
    <w:rPr>
      <w:rFonts w:ascii="Symbol" w:cs="Symbol" w:hAnsi="Symbol" w:hint="default"/>
    </w:rPr>
  </w:style>
  <w:style w:type="character" w:styleId="WW8Num21z1" w:customStyle="1">
    <w:name w:val="WW8Num21z1"/>
    <w:rPr>
      <w:rFonts w:ascii="Courier New" w:cs="Courier New" w:hAnsi="Courier New" w:hint="default"/>
    </w:rPr>
  </w:style>
  <w:style w:type="character" w:styleId="WW8Num21z2" w:customStyle="1">
    <w:name w:val="WW8Num21z2"/>
    <w:rPr>
      <w:rFonts w:ascii="Wingdings" w:cs="Wingdings" w:hAnsi="Wingdings" w:hint="default"/>
    </w:rPr>
  </w:style>
  <w:style w:type="character" w:styleId="WW8Num22z0" w:customStyle="1">
    <w:name w:val="WW8Num22z0"/>
    <w:rPr>
      <w:rFonts w:ascii="Symbol" w:cs="Symbol" w:hAnsi="Symbol" w:hint="default"/>
    </w:rPr>
  </w:style>
  <w:style w:type="character" w:styleId="WW8Num22z1" w:customStyle="1">
    <w:name w:val="WW8Num22z1"/>
    <w:rPr>
      <w:rFonts w:ascii="Courier New" w:cs="Courier New" w:hAnsi="Courier New" w:hint="default"/>
    </w:rPr>
  </w:style>
  <w:style w:type="character" w:styleId="WW8Num22z2" w:customStyle="1">
    <w:name w:val="WW8Num22z2"/>
    <w:rPr>
      <w:rFonts w:ascii="Wingdings" w:cs="Wingdings" w:hAnsi="Wingdings" w:hint="default"/>
    </w:rPr>
  </w:style>
  <w:style w:type="character" w:styleId="WW8Num23z0" w:customStyle="1">
    <w:name w:val="WW8Num23z0"/>
    <w:rPr>
      <w:rFonts w:ascii="Symbol" w:cs="Symbol" w:hAnsi="Symbol" w:hint="default"/>
    </w:rPr>
  </w:style>
  <w:style w:type="character" w:styleId="WW8Num23z1" w:customStyle="1">
    <w:name w:val="WW8Num23z1"/>
    <w:rPr>
      <w:rFonts w:ascii="Courier New" w:cs="Courier New" w:hAnsi="Courier New" w:hint="default"/>
    </w:rPr>
  </w:style>
  <w:style w:type="character" w:styleId="WW8Num23z2" w:customStyle="1">
    <w:name w:val="WW8Num23z2"/>
    <w:rPr>
      <w:rFonts w:ascii="Wingdings" w:cs="Wingdings" w:hAnsi="Wingdings" w:hint="default"/>
    </w:rPr>
  </w:style>
  <w:style w:type="character" w:styleId="WW8Num24z0" w:customStyle="1">
    <w:name w:val="WW8Num24z0"/>
    <w:rPr>
      <w:rFonts w:ascii="Symbol" w:cs="Symbol" w:hAnsi="Symbol" w:hint="default"/>
    </w:rPr>
  </w:style>
  <w:style w:type="character" w:styleId="WW8Num24z1" w:customStyle="1">
    <w:name w:val="WW8Num24z1"/>
    <w:rPr>
      <w:rFonts w:ascii="Courier New" w:cs="Courier New" w:hAnsi="Courier New" w:hint="default"/>
    </w:rPr>
  </w:style>
  <w:style w:type="character" w:styleId="WW8Num24z2" w:customStyle="1">
    <w:name w:val="WW8Num24z2"/>
    <w:rPr>
      <w:rFonts w:ascii="Wingdings" w:cs="Wingdings" w:hAnsi="Wingdings" w:hint="default"/>
    </w:rPr>
  </w:style>
  <w:style w:type="character" w:styleId="WW8Num25z0" w:customStyle="1">
    <w:name w:val="WW8Num25z0"/>
  </w:style>
  <w:style w:type="character" w:styleId="WW8Num25z1" w:customStyle="1">
    <w:name w:val="WW8Num25z1"/>
  </w:style>
  <w:style w:type="character" w:styleId="WW8Num25z2" w:customStyle="1">
    <w:name w:val="WW8Num25z2"/>
  </w:style>
  <w:style w:type="character" w:styleId="WW8Num25z3" w:customStyle="1">
    <w:name w:val="WW8Num25z3"/>
  </w:style>
  <w:style w:type="character" w:styleId="WW8Num25z4" w:customStyle="1">
    <w:name w:val="WW8Num25z4"/>
  </w:style>
  <w:style w:type="character" w:styleId="WW8Num25z5" w:customStyle="1">
    <w:name w:val="WW8Num25z5"/>
  </w:style>
  <w:style w:type="character" w:styleId="WW8Num25z6" w:customStyle="1">
    <w:name w:val="WW8Num25z6"/>
  </w:style>
  <w:style w:type="character" w:styleId="WW8Num25z7" w:customStyle="1">
    <w:name w:val="WW8Num25z7"/>
  </w:style>
  <w:style w:type="character" w:styleId="WW8Num25z8" w:customStyle="1">
    <w:name w:val="WW8Num25z8"/>
  </w:style>
  <w:style w:type="character" w:styleId="WW8Num26z0" w:customStyle="1">
    <w:name w:val="WW8Num26z0"/>
    <w:rPr>
      <w:rFonts w:ascii="Symbol" w:cs="Symbol" w:hAnsi="Symbol" w:hint="default"/>
    </w:rPr>
  </w:style>
  <w:style w:type="character" w:styleId="WW8Num26z1" w:customStyle="1">
    <w:name w:val="WW8Num26z1"/>
    <w:rPr>
      <w:rFonts w:ascii="Courier New" w:cs="Courier New" w:hAnsi="Courier New" w:hint="default"/>
    </w:rPr>
  </w:style>
  <w:style w:type="character" w:styleId="WW8Num26z2" w:customStyle="1">
    <w:name w:val="WW8Num26z2"/>
    <w:rPr>
      <w:rFonts w:ascii="Wingdings" w:cs="Wingdings" w:hAnsi="Wingdings" w:hint="default"/>
    </w:rPr>
  </w:style>
  <w:style w:type="character" w:styleId="WW8Num27z0" w:customStyle="1">
    <w:name w:val="WW8Num27z0"/>
  </w:style>
  <w:style w:type="character" w:styleId="WW8Num27z1" w:customStyle="1">
    <w:name w:val="WW8Num27z1"/>
  </w:style>
  <w:style w:type="character" w:styleId="WW8Num27z2" w:customStyle="1">
    <w:name w:val="WW8Num27z2"/>
  </w:style>
  <w:style w:type="character" w:styleId="WW8Num27z3" w:customStyle="1">
    <w:name w:val="WW8Num27z3"/>
  </w:style>
  <w:style w:type="character" w:styleId="WW8Num27z4" w:customStyle="1">
    <w:name w:val="WW8Num27z4"/>
  </w:style>
  <w:style w:type="character" w:styleId="WW8Num27z5" w:customStyle="1">
    <w:name w:val="WW8Num27z5"/>
  </w:style>
  <w:style w:type="character" w:styleId="WW8Num27z6" w:customStyle="1">
    <w:name w:val="WW8Num27z6"/>
  </w:style>
  <w:style w:type="character" w:styleId="WW8Num27z7" w:customStyle="1">
    <w:name w:val="WW8Num27z7"/>
  </w:style>
  <w:style w:type="character" w:styleId="WW8Num27z8" w:customStyle="1">
    <w:name w:val="WW8Num27z8"/>
  </w:style>
  <w:style w:type="character" w:styleId="WW8Num28z0" w:customStyle="1">
    <w:name w:val="WW8Num28z0"/>
    <w:rPr>
      <w:rFonts w:ascii="Symbol" w:cs="Symbol" w:hAnsi="Symbol" w:hint="default"/>
    </w:rPr>
  </w:style>
  <w:style w:type="character" w:styleId="WW8Num28z1" w:customStyle="1">
    <w:name w:val="WW8Num28z1"/>
    <w:rPr>
      <w:rFonts w:ascii="Courier New" w:cs="Courier New" w:hAnsi="Courier New" w:hint="default"/>
    </w:rPr>
  </w:style>
  <w:style w:type="character" w:styleId="WW8Num28z2" w:customStyle="1">
    <w:name w:val="WW8Num28z2"/>
    <w:rPr>
      <w:rFonts w:ascii="Wingdings" w:cs="Wingdings" w:hAnsi="Wingdings" w:hint="default"/>
    </w:rPr>
  </w:style>
  <w:style w:type="character" w:styleId="WW8Num29z0" w:customStyle="1">
    <w:name w:val="WW8Num29z0"/>
    <w:rPr>
      <w:rFonts w:ascii="Symbol" w:cs="Symbol" w:hAnsi="Symbol" w:hint="default"/>
    </w:rPr>
  </w:style>
  <w:style w:type="character" w:styleId="WW8Num29z1" w:customStyle="1">
    <w:name w:val="WW8Num29z1"/>
    <w:rPr>
      <w:rFonts w:ascii="Courier New" w:cs="Courier New" w:hAnsi="Courier New" w:hint="default"/>
    </w:rPr>
  </w:style>
  <w:style w:type="character" w:styleId="WW8Num29z2" w:customStyle="1">
    <w:name w:val="WW8Num29z2"/>
    <w:rPr>
      <w:rFonts w:ascii="Wingdings" w:cs="Wingdings" w:hAnsi="Wingdings" w:hint="default"/>
    </w:rPr>
  </w:style>
  <w:style w:type="character" w:styleId="WW8Num30z0" w:customStyle="1">
    <w:name w:val="WW8Num30z0"/>
    <w:rPr>
      <w:rFonts w:ascii="Symbol" w:cs="Symbol" w:hAnsi="Symbol" w:hint="default"/>
    </w:rPr>
  </w:style>
  <w:style w:type="character" w:styleId="WW8Num30z1" w:customStyle="1">
    <w:name w:val="WW8Num30z1"/>
    <w:rPr>
      <w:rFonts w:ascii="Courier New" w:cs="Courier New" w:hAnsi="Courier New" w:hint="default"/>
    </w:rPr>
  </w:style>
  <w:style w:type="character" w:styleId="WW8Num30z2" w:customStyle="1">
    <w:name w:val="WW8Num30z2"/>
    <w:rPr>
      <w:rFonts w:ascii="Wingdings" w:cs="Wingdings" w:hAnsi="Wingdings" w:hint="default"/>
    </w:rPr>
  </w:style>
  <w:style w:type="character" w:styleId="WW8Num31z0" w:customStyle="1">
    <w:name w:val="WW8Num31z0"/>
  </w:style>
  <w:style w:type="character" w:styleId="WW8Num31z1" w:customStyle="1">
    <w:name w:val="WW8Num31z1"/>
  </w:style>
  <w:style w:type="character" w:styleId="WW8Num31z2" w:customStyle="1">
    <w:name w:val="WW8Num31z2"/>
  </w:style>
  <w:style w:type="character" w:styleId="WW8Num31z3" w:customStyle="1">
    <w:name w:val="WW8Num31z3"/>
  </w:style>
  <w:style w:type="character" w:styleId="WW8Num31z4" w:customStyle="1">
    <w:name w:val="WW8Num31z4"/>
  </w:style>
  <w:style w:type="character" w:styleId="WW8Num31z5" w:customStyle="1">
    <w:name w:val="WW8Num31z5"/>
  </w:style>
  <w:style w:type="character" w:styleId="WW8Num31z6" w:customStyle="1">
    <w:name w:val="WW8Num31z6"/>
  </w:style>
  <w:style w:type="character" w:styleId="WW8Num31z7" w:customStyle="1">
    <w:name w:val="WW8Num31z7"/>
  </w:style>
  <w:style w:type="character" w:styleId="WW8Num31z8" w:customStyle="1">
    <w:name w:val="WW8Num31z8"/>
  </w:style>
  <w:style w:type="character" w:styleId="WW8Num32z0" w:customStyle="1">
    <w:name w:val="WW8Num32z0"/>
  </w:style>
  <w:style w:type="character" w:styleId="WW8Num32z1" w:customStyle="1">
    <w:name w:val="WW8Num32z1"/>
  </w:style>
  <w:style w:type="character" w:styleId="WW8Num32z2" w:customStyle="1">
    <w:name w:val="WW8Num32z2"/>
  </w:style>
  <w:style w:type="character" w:styleId="WW8Num32z3" w:customStyle="1">
    <w:name w:val="WW8Num32z3"/>
  </w:style>
  <w:style w:type="character" w:styleId="WW8Num32z4" w:customStyle="1">
    <w:name w:val="WW8Num32z4"/>
  </w:style>
  <w:style w:type="character" w:styleId="WW8Num32z5" w:customStyle="1">
    <w:name w:val="WW8Num32z5"/>
  </w:style>
  <w:style w:type="character" w:styleId="WW8Num32z6" w:customStyle="1">
    <w:name w:val="WW8Num32z6"/>
  </w:style>
  <w:style w:type="character" w:styleId="WW8Num32z7" w:customStyle="1">
    <w:name w:val="WW8Num32z7"/>
  </w:style>
  <w:style w:type="character" w:styleId="WW8Num32z8" w:customStyle="1">
    <w:name w:val="WW8Num32z8"/>
  </w:style>
  <w:style w:type="character" w:styleId="WW8Num33z0" w:customStyle="1">
    <w:name w:val="WW8Num33z0"/>
    <w:rPr>
      <w:rFonts w:ascii="Symbol" w:cs="Symbol" w:hAnsi="Symbol" w:hint="default"/>
    </w:rPr>
  </w:style>
  <w:style w:type="character" w:styleId="WW8Num33z1" w:customStyle="1">
    <w:name w:val="WW8Num33z1"/>
    <w:rPr>
      <w:rFonts w:ascii="Courier New" w:cs="Courier New" w:hAnsi="Courier New" w:hint="default"/>
    </w:rPr>
  </w:style>
  <w:style w:type="character" w:styleId="WW8Num33z2" w:customStyle="1">
    <w:name w:val="WW8Num33z2"/>
    <w:rPr>
      <w:rFonts w:ascii="Wingdings" w:cs="Wingdings" w:hAnsi="Wingdings" w:hint="default"/>
    </w:rPr>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Hyperlink">
    <w:name w:val="Hyperlink"/>
    <w:rPr>
      <w:color w:val="000080"/>
      <w:u w:val="single"/>
      <w:lang/>
    </w:rPr>
  </w:style>
  <w:style w:type="character" w:styleId="Emphasis">
    <w:name w:val="Emphasis"/>
    <w:qFormat w:val="1"/>
    <w:rPr>
      <w:i w:val="1"/>
      <w:iCs w:val="1"/>
    </w:rPr>
  </w:style>
  <w:style w:type="character" w:styleId="IndexLink" w:customStyle="1">
    <w:name w:val="Index Link"/>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val="1"/>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val="1"/>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styleId="TableContents" w:customStyle="1">
    <w:name w:val="Table Contents"/>
    <w:basedOn w:val="Normal"/>
    <w:pPr>
      <w:suppressLineNumbers w:val="1"/>
    </w:pPr>
    <w:rPr>
      <w:rFonts w:eastAsia="Times New Roman"/>
    </w:rPr>
  </w:style>
  <w:style w:type="paragraph" w:styleId="TOC2">
    <w:name w:val="toc 2"/>
    <w:basedOn w:val="Normal"/>
    <w:next w:val="Normal"/>
    <w:pPr>
      <w:ind w:left="240"/>
    </w:pPr>
  </w:style>
  <w:style w:type="paragraph" w:styleId="NormalWeb">
    <w:name w:val="Normal (Web)"/>
    <w:basedOn w:val="Normal"/>
    <w:uiPriority w:val="99"/>
    <w:pPr>
      <w:suppressAutoHyphens w:val="0"/>
      <w:spacing w:after="280" w:before="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Heading" w:customStyle="1">
    <w:name w:val="Table Heading"/>
    <w:basedOn w:val="TableContents"/>
    <w:pPr>
      <w:jc w:val="center"/>
    </w:pPr>
    <w:rPr>
      <w:b w:val="1"/>
      <w:bCs w:val="1"/>
    </w:rPr>
  </w:style>
  <w:style w:type="paragraph" w:styleId="ContentsHeading" w:customStyle="1">
    <w:name w:val="Contents Heading"/>
    <w:basedOn w:val="Heading"/>
    <w:pPr>
      <w:suppressLineNumbers w:val="1"/>
    </w:pPr>
    <w:rPr>
      <w:b w:val="1"/>
      <w:bCs w:val="1"/>
      <w:sz w:val="32"/>
      <w:szCs w:val="32"/>
    </w:rPr>
  </w:style>
  <w:style w:type="paragraph" w:styleId="Illustration" w:customStyle="1">
    <w:name w:val="Illustration"/>
    <w:basedOn w:val="Caption"/>
  </w:style>
  <w:style w:type="paragraph" w:styleId="Framecontents" w:customStyle="1">
    <w:name w:val="Frame contents"/>
    <w:basedOn w:val="BodyText"/>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footer" Target="footer3.xml"/><Relationship Id="rId13" Type="http://schemas.openxmlformats.org/officeDocument/2006/relationships/hyperlink" Target="https://www.continuing-healthcare.co.uk/continuing-healthcare-guidance/difference-between-healthcare-and-social-care" TargetMode="Externa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14" Type="http://schemas.openxmlformats.org/officeDocument/2006/relationships/footer" Target="footer4.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zn4nrzAzYvlcQsax12kwf3EkkYg==">AMUW2mV/3YHbUJy3D5D1/D1bH3xgG6Vlmyb/pY/D9RJ7+uDzkp0d6YyMIOjZNydvGdnplM5x+VO2tccpSfqJu646s8h+dkzaw3Pd22uWdHupRCjJRe94Zhzbvn90HXdkiyqcK7BJZQolrMW5KmCQ1Lly/RL05nxke68AxrTT0BNvdkrtqrCZeFBxDWt4wr9oMj6SYVrEgwrkj2czyjwrfCMFs3jzm2hBpW5hPe5IC3zZ9iuKdNUnlKA=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2021-04-29T18:06:00Z</dcterms:created>
  <dc:creator>user</dc:creator>
</cp:coreProperties>
</file>