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0FC5F8" w14:textId="502ABB37" w:rsidR="00580CBE" w:rsidRPr="0048639E" w:rsidRDefault="00580CBE" w:rsidP="005D10E1">
      <w:pPr>
        <w:pStyle w:val="Title"/>
      </w:pPr>
      <w:r w:rsidRPr="0048639E">
        <w:t>M</w:t>
      </w:r>
      <w:r w:rsidR="007F73DD" w:rsidRPr="0048639E">
        <w:t>anagement of Sustainable Construction</w:t>
      </w:r>
    </w:p>
    <w:p w14:paraId="77D92D40" w14:textId="1C767289" w:rsidR="00580CBE" w:rsidRPr="0048639E" w:rsidRDefault="00E920C4" w:rsidP="005D10E1">
      <w:pPr>
        <w:pStyle w:val="Title"/>
      </w:pPr>
      <w:r w:rsidRPr="0048639E">
        <w:t>(ACBA50</w:t>
      </w:r>
      <w:r w:rsidR="007F73DD" w:rsidRPr="0048639E">
        <w:t>10</w:t>
      </w:r>
      <w:r w:rsidR="00580CBE" w:rsidRPr="0048639E">
        <w:t>)</w:t>
      </w:r>
    </w:p>
    <w:p w14:paraId="2704640D" w14:textId="0D9AE6EC" w:rsidR="007F73DD" w:rsidRDefault="007F73DD" w:rsidP="007F73DD"/>
    <w:p w14:paraId="0A99AA61" w14:textId="4429F905" w:rsidR="007F73DD" w:rsidRDefault="007F73DD" w:rsidP="007F73DD"/>
    <w:p w14:paraId="19430DFC" w14:textId="77777777" w:rsidR="007F73DD" w:rsidRPr="007F73DD" w:rsidRDefault="007F73DD" w:rsidP="007F73DD"/>
    <w:p w14:paraId="4BAEC424" w14:textId="3A3A1C0F" w:rsidR="007F73DD" w:rsidRDefault="007F73DD" w:rsidP="005D10E1">
      <w:pPr>
        <w:pStyle w:val="Subtitle"/>
      </w:pPr>
      <w:r w:rsidRPr="0048639E">
        <w:t>Energy Efficiency</w:t>
      </w:r>
    </w:p>
    <w:p w14:paraId="62534776" w14:textId="77777777" w:rsidR="0048639E" w:rsidRPr="0048639E" w:rsidRDefault="0048639E" w:rsidP="0048639E">
      <w:pPr>
        <w:jc w:val="center"/>
        <w:rPr>
          <w:sz w:val="40"/>
          <w:szCs w:val="40"/>
        </w:rPr>
      </w:pPr>
    </w:p>
    <w:p w14:paraId="43927BED" w14:textId="77777777" w:rsidR="0048639E" w:rsidRDefault="0048639E" w:rsidP="0048639E">
      <w:pPr>
        <w:jc w:val="center"/>
        <w:rPr>
          <w:sz w:val="32"/>
          <w:szCs w:val="32"/>
        </w:rPr>
      </w:pPr>
    </w:p>
    <w:p w14:paraId="4FE6E1E6" w14:textId="65A90BD0" w:rsidR="00580CBE" w:rsidRPr="0048639E" w:rsidRDefault="00580CBE" w:rsidP="005D10E1">
      <w:pPr>
        <w:pStyle w:val="Subtitle"/>
        <w:rPr>
          <w:rFonts w:ascii="Corbel" w:hAnsi="Corbel"/>
        </w:rPr>
      </w:pPr>
      <w:r w:rsidRPr="0048639E">
        <w:t>by Michael Thomas</w:t>
      </w:r>
    </w:p>
    <w:p w14:paraId="13F1E51F" w14:textId="2FE955CE" w:rsidR="00580CBE" w:rsidRPr="0048639E" w:rsidRDefault="00580CBE" w:rsidP="005D10E1">
      <w:pPr>
        <w:pStyle w:val="Subtitle"/>
      </w:pPr>
      <w:r w:rsidRPr="0048639E">
        <w:t>P144376</w:t>
      </w:r>
    </w:p>
    <w:p w14:paraId="49C72ABB" w14:textId="77777777" w:rsidR="0048639E" w:rsidRDefault="00580CBE" w:rsidP="005D10E1">
      <w:pPr>
        <w:pStyle w:val="Subtitle"/>
      </w:pPr>
      <w:r w:rsidRPr="0048639E">
        <w:t>BSc- Architectural Technolog</w:t>
      </w:r>
      <w:r w:rsidR="00F61854" w:rsidRPr="0048639E">
        <w:t>y</w:t>
      </w:r>
    </w:p>
    <w:p w14:paraId="59F4FE47" w14:textId="77777777" w:rsidR="0048639E" w:rsidRDefault="0048639E" w:rsidP="0048639E">
      <w:pPr>
        <w:jc w:val="center"/>
        <w:rPr>
          <w:sz w:val="32"/>
          <w:szCs w:val="32"/>
        </w:rPr>
      </w:pPr>
    </w:p>
    <w:p w14:paraId="74C910BE" w14:textId="77777777" w:rsidR="0048639E" w:rsidRDefault="0048639E" w:rsidP="0048639E">
      <w:pPr>
        <w:jc w:val="center"/>
        <w:rPr>
          <w:sz w:val="32"/>
          <w:szCs w:val="32"/>
        </w:rPr>
      </w:pPr>
    </w:p>
    <w:p w14:paraId="30772E19" w14:textId="77777777" w:rsidR="0048639E" w:rsidRDefault="0048639E" w:rsidP="0048639E">
      <w:pPr>
        <w:jc w:val="center"/>
        <w:rPr>
          <w:sz w:val="32"/>
          <w:szCs w:val="32"/>
        </w:rPr>
      </w:pPr>
    </w:p>
    <w:p w14:paraId="7C39D2C2" w14:textId="3AE469D7" w:rsidR="0048639E" w:rsidRDefault="007F73DD" w:rsidP="005D10E1">
      <w:pPr>
        <w:jc w:val="center"/>
        <w:rPr>
          <w:szCs w:val="24"/>
        </w:rPr>
      </w:pPr>
      <w:r>
        <w:rPr>
          <w:rFonts w:ascii="Corbel" w:hAnsi="Corbel"/>
          <w:noProof/>
          <w:sz w:val="40"/>
          <w:szCs w:val="40"/>
          <w:lang w:eastAsia="en-GB"/>
        </w:rPr>
        <w:drawing>
          <wp:inline distT="0" distB="0" distL="0" distR="0" wp14:anchorId="2E59E869" wp14:editId="4A35D90A">
            <wp:extent cx="3383280" cy="1485900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 Logo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3280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7588B" w14:textId="108C8A17" w:rsidR="005D10E1" w:rsidRDefault="005D10E1" w:rsidP="005D10E1">
      <w:pPr>
        <w:jc w:val="center"/>
        <w:rPr>
          <w:szCs w:val="24"/>
        </w:rPr>
      </w:pPr>
    </w:p>
    <w:p w14:paraId="5290CB08" w14:textId="17C9C801" w:rsidR="00C36E0C" w:rsidRDefault="006C4BE0" w:rsidP="005D10E1">
      <w:r>
        <w:lastRenderedPageBreak/>
        <w:t xml:space="preserve">The Built Environment </w:t>
      </w:r>
    </w:p>
    <w:p w14:paraId="36437BF8" w14:textId="3F09ABEF" w:rsidR="00075639" w:rsidRDefault="00F63F94" w:rsidP="005D10E1">
      <w:r>
        <w:t>Bu</w:t>
      </w:r>
      <w:r w:rsidR="00A259BD">
        <w:t>i</w:t>
      </w:r>
      <w:r>
        <w:t xml:space="preserve">ldings exist to create a comfortable indoor environment whatever the outside conditions maybe. </w:t>
      </w:r>
      <w:r w:rsidR="00A259BD">
        <w:t xml:space="preserve">Our Ancestors used modest local resources and little energy in their indigenous architecture. However, the move from a nomadic to an agrarian society </w:t>
      </w:r>
      <w:r w:rsidR="006C4BE0">
        <w:t>from</w:t>
      </w:r>
      <w:r w:rsidR="00A259BD">
        <w:t xml:space="preserve"> the </w:t>
      </w:r>
      <w:r w:rsidR="006C4BE0">
        <w:t xml:space="preserve">earliest settlements </w:t>
      </w:r>
      <w:r w:rsidR="00A259BD">
        <w:t xml:space="preserve">introduced consequences such as pollution, scarcity of resources and sickness. The Enlightenment in Europe </w:t>
      </w:r>
      <w:r w:rsidR="006C4BE0">
        <w:t>introduced a mechanistic, and scientifically rational approach, which resulted in significantly higher levels of living standards and individuals’ expectations</w:t>
      </w:r>
      <w:sdt>
        <w:sdtPr>
          <w:id w:val="-1954471203"/>
          <w:citation/>
        </w:sdtPr>
        <w:sdtContent>
          <w:r w:rsidR="009029B8">
            <w:fldChar w:fldCharType="begin"/>
          </w:r>
          <w:r w:rsidR="009029B8">
            <w:instrText xml:space="preserve"> CITATION Edw01 \l 2057 </w:instrText>
          </w:r>
          <w:r w:rsidR="009029B8">
            <w:fldChar w:fldCharType="separate"/>
          </w:r>
          <w:r w:rsidR="009029B8">
            <w:rPr>
              <w:noProof/>
            </w:rPr>
            <w:t xml:space="preserve"> </w:t>
          </w:r>
          <w:r w:rsidR="009029B8" w:rsidRPr="009029B8">
            <w:rPr>
              <w:noProof/>
            </w:rPr>
            <w:t>(Edwards, 2001)</w:t>
          </w:r>
          <w:r w:rsidR="009029B8">
            <w:fldChar w:fldCharType="end"/>
          </w:r>
        </w:sdtContent>
      </w:sdt>
      <w:r w:rsidR="006C4BE0">
        <w:t xml:space="preserve">. This extended to the built environment and the burning of fossil fuels to create and run our buildings </w:t>
      </w:r>
      <w:r w:rsidR="00D04188">
        <w:t xml:space="preserve">which </w:t>
      </w:r>
      <w:r w:rsidR="006C4BE0">
        <w:t>accounts for half the energy we generate in the world</w:t>
      </w:r>
      <w:sdt>
        <w:sdtPr>
          <w:id w:val="321396648"/>
          <w:citation/>
        </w:sdtPr>
        <w:sdtContent>
          <w:r w:rsidR="009029B8">
            <w:fldChar w:fldCharType="begin"/>
          </w:r>
          <w:r w:rsidR="009029B8">
            <w:instrText xml:space="preserve"> CITATION Hey12 \l 2057 </w:instrText>
          </w:r>
          <w:r w:rsidR="009029B8">
            <w:fldChar w:fldCharType="separate"/>
          </w:r>
          <w:r w:rsidR="009029B8">
            <w:rPr>
              <w:noProof/>
            </w:rPr>
            <w:t xml:space="preserve"> </w:t>
          </w:r>
          <w:r w:rsidR="009029B8" w:rsidRPr="009029B8">
            <w:rPr>
              <w:noProof/>
            </w:rPr>
            <w:t>(Heywood, 2012)</w:t>
          </w:r>
          <w:r w:rsidR="009029B8">
            <w:fldChar w:fldCharType="end"/>
          </w:r>
        </w:sdtContent>
      </w:sdt>
      <w:r w:rsidR="006C4BE0">
        <w:t xml:space="preserve">. </w:t>
      </w:r>
    </w:p>
    <w:p w14:paraId="6E96661D" w14:textId="4FC62961" w:rsidR="00635786" w:rsidRDefault="006C4BE0" w:rsidP="005D10E1">
      <w:r>
        <w:t>We are now as a species, at a</w:t>
      </w:r>
      <w:r w:rsidR="001722C5">
        <w:t>n un-arguable</w:t>
      </w:r>
      <w:r w:rsidR="00075639">
        <w:t xml:space="preserve"> tipping</w:t>
      </w:r>
      <w:r>
        <w:t xml:space="preserve"> point where </w:t>
      </w:r>
      <w:r w:rsidR="00075639">
        <w:t xml:space="preserve">we must </w:t>
      </w:r>
      <w:r w:rsidR="009029B8">
        <w:t>acknowledge</w:t>
      </w:r>
      <w:r w:rsidR="00075639">
        <w:t xml:space="preserve"> the consequences of our actions to prevent an environmental point of no return. I would argue that Sustainability as developed from Ruskins harmonic order found in nature, to an attitude of accepting accountability for our actions. </w:t>
      </w:r>
      <w:r w:rsidR="009029B8">
        <w:t>Buckminster</w:t>
      </w:r>
      <w:r w:rsidR="00075639">
        <w:t xml:space="preserve"> Fuller argued</w:t>
      </w:r>
      <w:r w:rsidR="009029B8">
        <w:t xml:space="preserve"> in the 1960’s</w:t>
      </w:r>
      <w:sdt>
        <w:sdtPr>
          <w:id w:val="1182855560"/>
          <w:citation/>
        </w:sdtPr>
        <w:sdtContent>
          <w:r w:rsidR="000B3562">
            <w:fldChar w:fldCharType="begin"/>
          </w:r>
          <w:r w:rsidR="000B3562">
            <w:instrText xml:space="preserve"> CITATION Hor64 \l 2057 </w:instrText>
          </w:r>
          <w:r w:rsidR="000B3562">
            <w:fldChar w:fldCharType="separate"/>
          </w:r>
          <w:r w:rsidR="000B3562">
            <w:rPr>
              <w:noProof/>
            </w:rPr>
            <w:t xml:space="preserve"> </w:t>
          </w:r>
          <w:r w:rsidR="000B3562" w:rsidRPr="000B3562">
            <w:rPr>
              <w:noProof/>
            </w:rPr>
            <w:t>(Horizon- The World of Buckminster Fuller, 1964)</w:t>
          </w:r>
          <w:r w:rsidR="000B3562">
            <w:fldChar w:fldCharType="end"/>
          </w:r>
        </w:sdtContent>
      </w:sdt>
      <w:r w:rsidR="00075639">
        <w:t xml:space="preserve"> </w:t>
      </w:r>
      <w:r w:rsidR="009029B8">
        <w:t xml:space="preserve">we </w:t>
      </w:r>
      <w:r w:rsidR="00075639">
        <w:t>use our species ‘tool making’ skills and the scientific method</w:t>
      </w:r>
      <w:r w:rsidR="009029B8">
        <w:t>,</w:t>
      </w:r>
      <w:r w:rsidR="00075639">
        <w:t xml:space="preserve"> to mimic the structures we are able to intelligently interpret from an interrogative</w:t>
      </w:r>
      <w:r w:rsidR="009029B8">
        <w:t xml:space="preserve"> approach to nature, to create </w:t>
      </w:r>
      <w:r w:rsidR="009029B8">
        <w:t xml:space="preserve">a style of </w:t>
      </w:r>
      <w:r w:rsidR="009029B8">
        <w:t>lightweight</w:t>
      </w:r>
      <w:r w:rsidR="00D04188">
        <w:t xml:space="preserve"> </w:t>
      </w:r>
      <w:r w:rsidR="009029B8">
        <w:t>highly adaptable architecture</w:t>
      </w:r>
      <w:r w:rsidR="009029B8">
        <w:t>.</w:t>
      </w:r>
      <w:r w:rsidR="00635786">
        <w:t xml:space="preserve"> </w:t>
      </w:r>
      <w:r w:rsidR="005D18E8">
        <w:t xml:space="preserve">The role of the designer must acknowledge the risk we pose ourselves from our own actions and the </w:t>
      </w:r>
      <w:r w:rsidR="0080692E">
        <w:t>fragility</w:t>
      </w:r>
      <w:r w:rsidR="005D18E8">
        <w:t xml:space="preserve"> of the planet, the only known place for life in the Universe. </w:t>
      </w:r>
    </w:p>
    <w:p w14:paraId="4A6BE705" w14:textId="2A71E622" w:rsidR="00AE068F" w:rsidRDefault="005D18E8" w:rsidP="005D10E1">
      <w:r>
        <w:t>We should look for a productive balance with nature, as what we do locally as repercussions globally</w:t>
      </w:r>
      <w:r w:rsidR="00AE068F">
        <w:t xml:space="preserve"> and for future generations. Sustainable design should work with the environment not against it </w:t>
      </w:r>
      <w:proofErr w:type="gramStart"/>
      <w:r w:rsidR="00AE068F">
        <w:t>to;</w:t>
      </w:r>
      <w:proofErr w:type="gramEnd"/>
    </w:p>
    <w:p w14:paraId="6B4176C1" w14:textId="56D80AA1" w:rsidR="00AE068F" w:rsidRDefault="001D429B" w:rsidP="00AE068F">
      <w:pPr>
        <w:pStyle w:val="ListParagraph"/>
        <w:numPr>
          <w:ilvl w:val="0"/>
          <w:numId w:val="2"/>
        </w:numPr>
      </w:pPr>
      <w:r>
        <w:t>Create h</w:t>
      </w:r>
      <w:r w:rsidR="00AE068F">
        <w:t>ealthy and comfortable buildings which are non-polluting.</w:t>
      </w:r>
    </w:p>
    <w:p w14:paraId="04F8E276" w14:textId="395350B4" w:rsidR="00AE068F" w:rsidRDefault="00AE068F" w:rsidP="00AE068F">
      <w:pPr>
        <w:pStyle w:val="ListParagraph"/>
        <w:numPr>
          <w:ilvl w:val="0"/>
          <w:numId w:val="2"/>
        </w:numPr>
      </w:pPr>
      <w:r>
        <w:t>Optimise the use of resources</w:t>
      </w:r>
      <w:r w:rsidR="00AA295E">
        <w:t xml:space="preserve"> and </w:t>
      </w:r>
      <w:r w:rsidR="001D429B">
        <w:t xml:space="preserve">materials, </w:t>
      </w:r>
      <w:r w:rsidR="00AA295E">
        <w:t xml:space="preserve">minimising </w:t>
      </w:r>
      <w:r w:rsidR="001D429B">
        <w:t>fuel</w:t>
      </w:r>
      <w:r w:rsidR="00635786">
        <w:t>/</w:t>
      </w:r>
      <w:r w:rsidR="001D429B">
        <w:t>water</w:t>
      </w:r>
      <w:r w:rsidR="00AA295E">
        <w:t xml:space="preserve"> usage</w:t>
      </w:r>
      <w:r w:rsidR="00635786">
        <w:t xml:space="preserve"> and waste</w:t>
      </w:r>
      <w:r w:rsidR="001D429B">
        <w:t>.</w:t>
      </w:r>
      <w:r w:rsidR="00AA295E">
        <w:t xml:space="preserve"> </w:t>
      </w:r>
    </w:p>
    <w:p w14:paraId="4C4BE28E" w14:textId="6E01ABCE" w:rsidR="00D04188" w:rsidRDefault="00D04188" w:rsidP="00D04188">
      <w:pPr>
        <w:pStyle w:val="ListParagraph"/>
        <w:numPr>
          <w:ilvl w:val="0"/>
          <w:numId w:val="2"/>
        </w:numPr>
      </w:pPr>
      <w:r>
        <w:t xml:space="preserve">Consider the embodied energy of </w:t>
      </w:r>
      <w:r>
        <w:t xml:space="preserve">construction </w:t>
      </w:r>
      <w:r>
        <w:t>materials</w:t>
      </w:r>
      <w:r>
        <w:t>.</w:t>
      </w:r>
    </w:p>
    <w:p w14:paraId="1E1BA432" w14:textId="5128F68B" w:rsidR="00AE068F" w:rsidRDefault="00AA295E" w:rsidP="00AE068F">
      <w:pPr>
        <w:pStyle w:val="ListParagraph"/>
        <w:numPr>
          <w:ilvl w:val="0"/>
          <w:numId w:val="2"/>
        </w:numPr>
      </w:pPr>
      <w:r>
        <w:t>Utilis</w:t>
      </w:r>
      <w:r w:rsidR="00635786">
        <w:t>e</w:t>
      </w:r>
      <w:r>
        <w:t xml:space="preserve"> </w:t>
      </w:r>
      <w:r w:rsidR="001D429B">
        <w:t>highly energy efficient envelope</w:t>
      </w:r>
      <w:r w:rsidR="00D04188">
        <w:t>,</w:t>
      </w:r>
      <w:r w:rsidR="00635786">
        <w:t xml:space="preserve"> </w:t>
      </w:r>
      <w:r>
        <w:t xml:space="preserve">designed to be </w:t>
      </w:r>
      <w:r w:rsidR="001D429B">
        <w:t>responsive</w:t>
      </w:r>
      <w:r w:rsidR="00AE068F">
        <w:t xml:space="preserve"> to context</w:t>
      </w:r>
      <w:r w:rsidR="001D429B">
        <w:t xml:space="preserve"> and </w:t>
      </w:r>
      <w:r w:rsidR="00AE068F">
        <w:t>locality</w:t>
      </w:r>
      <w:r w:rsidR="001D429B">
        <w:t>.</w:t>
      </w:r>
    </w:p>
    <w:p w14:paraId="7A7EBB11" w14:textId="18DABC2E" w:rsidR="001D429B" w:rsidRDefault="001D429B" w:rsidP="00AE068F">
      <w:pPr>
        <w:pStyle w:val="ListParagraph"/>
        <w:numPr>
          <w:ilvl w:val="0"/>
          <w:numId w:val="2"/>
        </w:numPr>
      </w:pPr>
      <w:r>
        <w:t>Economically viable and are net producers of energy/zero carbon emitters with lower running costs.</w:t>
      </w:r>
    </w:p>
    <w:p w14:paraId="1A71FFEA" w14:textId="022BD69C" w:rsidR="00823D7D" w:rsidRDefault="00823D7D" w:rsidP="00AE068F">
      <w:pPr>
        <w:pStyle w:val="ListParagraph"/>
        <w:numPr>
          <w:ilvl w:val="0"/>
          <w:numId w:val="2"/>
        </w:numPr>
      </w:pPr>
      <w:r>
        <w:t>Supportive of sustainable communities and ecologies.</w:t>
      </w:r>
    </w:p>
    <w:p w14:paraId="4EC3223A" w14:textId="2E8D8726" w:rsidR="001D429B" w:rsidRDefault="00AA295E" w:rsidP="00AE068F">
      <w:pPr>
        <w:pStyle w:val="ListParagraph"/>
        <w:numPr>
          <w:ilvl w:val="0"/>
          <w:numId w:val="2"/>
        </w:numPr>
      </w:pPr>
      <w:r>
        <w:t xml:space="preserve">Durable, adaptable, resilient </w:t>
      </w:r>
      <w:r w:rsidR="000C5923">
        <w:t>to local climate change. W</w:t>
      </w:r>
      <w:r>
        <w:t>ith deconstruction and re-use in mind from outset.</w:t>
      </w:r>
    </w:p>
    <w:p w14:paraId="00D404C4" w14:textId="77777777" w:rsidR="00823D7D" w:rsidRDefault="00823D7D" w:rsidP="00823D7D">
      <w:pPr>
        <w:pStyle w:val="ListParagraph"/>
        <w:numPr>
          <w:ilvl w:val="0"/>
          <w:numId w:val="2"/>
        </w:numPr>
      </w:pPr>
      <w:r>
        <w:t>Embraces post occupancy evaluation.</w:t>
      </w:r>
    </w:p>
    <w:p w14:paraId="0B419354" w14:textId="15268E75" w:rsidR="006C4BE0" w:rsidRDefault="00823D7D" w:rsidP="00C36E0C">
      <w:r>
        <w:t>The three pillars of sustainability are Economy, Equity and Environment and good design lies in the overlap of these to produce affordable, functional, aesthetically pleasing buildings which endure</w:t>
      </w:r>
      <w:sdt>
        <w:sdtPr>
          <w:id w:val="453994626"/>
          <w:citation/>
        </w:sdtPr>
        <w:sdtContent>
          <w:r w:rsidR="00C36E0C">
            <w:fldChar w:fldCharType="begin"/>
          </w:r>
          <w:r w:rsidR="00C36E0C">
            <w:instrText xml:space="preserve"> CITATION Men00 \l 2057 </w:instrText>
          </w:r>
          <w:r w:rsidR="00C36E0C">
            <w:fldChar w:fldCharType="separate"/>
          </w:r>
          <w:r w:rsidR="00C36E0C">
            <w:rPr>
              <w:noProof/>
            </w:rPr>
            <w:t xml:space="preserve"> </w:t>
          </w:r>
          <w:r w:rsidR="00C36E0C" w:rsidRPr="00C36E0C">
            <w:rPr>
              <w:noProof/>
            </w:rPr>
            <w:t>(Mendler, 2000)</w:t>
          </w:r>
          <w:r w:rsidR="00C36E0C">
            <w:fldChar w:fldCharType="end"/>
          </w:r>
        </w:sdtContent>
      </w:sdt>
      <w:r>
        <w:t>.</w:t>
      </w:r>
    </w:p>
    <w:p w14:paraId="5E890DC9" w14:textId="7AB07E55" w:rsidR="00C36E0C" w:rsidRDefault="00C36E0C" w:rsidP="00C36E0C">
      <w:r>
        <w:t>Building Context</w:t>
      </w:r>
    </w:p>
    <w:p w14:paraId="5FEB8D0C" w14:textId="0E5C10F0" w:rsidR="00C36E0C" w:rsidRDefault="00C36E0C" w:rsidP="00C36E0C">
      <w:r>
        <w:lastRenderedPageBreak/>
        <w:t>The use of different construction methods, planning factors, form</w:t>
      </w:r>
      <w:r w:rsidR="00941CE2">
        <w:t>,</w:t>
      </w:r>
      <w:r>
        <w:t xml:space="preserve"> orientation and passive/active solutions is predicated on the rule that in cold climates we design to keep heat in, and in hot climates we need to restrict solar gains.</w:t>
      </w:r>
      <w:r w:rsidR="00307E62">
        <w:t xml:space="preserve"> Climate responsive architecture</w:t>
      </w:r>
      <w:r w:rsidR="00635786">
        <w:t xml:space="preserve"> </w:t>
      </w:r>
      <w:r w:rsidR="00D04188">
        <w:t>utilises the</w:t>
      </w:r>
      <w:r w:rsidR="00307E62">
        <w:t xml:space="preserve"> interaction of the </w:t>
      </w:r>
      <w:r w:rsidR="000B3562">
        <w:t>S</w:t>
      </w:r>
      <w:r w:rsidR="00307E62">
        <w:t xml:space="preserve">ite’s topography </w:t>
      </w:r>
      <w:r w:rsidR="00635786">
        <w:t xml:space="preserve">and latitude, </w:t>
      </w:r>
      <w:r w:rsidR="00307E62">
        <w:t>with the Sun, prevailing wind and precipitation</w:t>
      </w:r>
      <w:r w:rsidR="000C5923">
        <w:t xml:space="preserve">s </w:t>
      </w:r>
      <w:r w:rsidR="00307E62">
        <w:t>a</w:t>
      </w:r>
      <w:r w:rsidR="00635786">
        <w:t>s</w:t>
      </w:r>
      <w:r w:rsidR="00307E62">
        <w:t xml:space="preserve"> fundamental considerations for deliberations on </w:t>
      </w:r>
      <w:r w:rsidR="000C5923">
        <w:t xml:space="preserve">the </w:t>
      </w:r>
      <w:r w:rsidR="000B3562">
        <w:t>building’s</w:t>
      </w:r>
      <w:r w:rsidR="000C5923">
        <w:t xml:space="preserve"> orientation</w:t>
      </w:r>
      <w:r w:rsidR="00307E62">
        <w:t xml:space="preserve"> and form</w:t>
      </w:r>
      <w:r w:rsidR="000B3562">
        <w:t>. Further as global warming leads to local climate changes (weather weirding)</w:t>
      </w:r>
      <w:r w:rsidR="00185D01">
        <w:t xml:space="preserve"> we should consider future predictions of regional climate changes</w:t>
      </w:r>
      <w:sdt>
        <w:sdtPr>
          <w:id w:val="-686517500"/>
          <w:citation/>
        </w:sdtPr>
        <w:sdtContent>
          <w:r w:rsidR="00933CC7">
            <w:fldChar w:fldCharType="begin"/>
          </w:r>
          <w:r w:rsidR="00933CC7">
            <w:instrText xml:space="preserve"> CITATION Pel15 \l 2057 </w:instrText>
          </w:r>
          <w:r w:rsidR="00933CC7">
            <w:fldChar w:fldCharType="separate"/>
          </w:r>
          <w:r w:rsidR="00933CC7">
            <w:rPr>
              <w:noProof/>
            </w:rPr>
            <w:t xml:space="preserve"> </w:t>
          </w:r>
          <w:r w:rsidR="00933CC7" w:rsidRPr="00933CC7">
            <w:rPr>
              <w:noProof/>
            </w:rPr>
            <w:t>(Pelsmakers, 2015)</w:t>
          </w:r>
          <w:r w:rsidR="00933CC7">
            <w:fldChar w:fldCharType="end"/>
          </w:r>
        </w:sdtContent>
      </w:sdt>
      <w:r w:rsidR="00185D01">
        <w:t>.</w:t>
      </w:r>
    </w:p>
    <w:p w14:paraId="6D38BDE4" w14:textId="16D8B265" w:rsidR="00185D01" w:rsidRDefault="00185D01" w:rsidP="00C36E0C">
      <w:r>
        <w:t xml:space="preserve">The building is to be located </w:t>
      </w:r>
      <w:r w:rsidR="00933CC7">
        <w:t>on the foreshore of</w:t>
      </w:r>
      <w:r>
        <w:t xml:space="preserve"> Swansea </w:t>
      </w:r>
      <w:r w:rsidR="00933CC7">
        <w:t xml:space="preserve">Bay </w:t>
      </w:r>
      <w:r>
        <w:t xml:space="preserve">in the SW of Wales. Whilst it as a relatively moderate climate without intercontinentally causing an extreme range of temperature (cold-winter/hot-summer) issues. It is usually the wettest and windiest city in Britain, reflected by my writing this between storm Ciara and </w:t>
      </w:r>
      <w:r w:rsidR="00064BDE">
        <w:t xml:space="preserve">storm Dennis </w:t>
      </w:r>
      <w:r w:rsidR="00933CC7">
        <w:t xml:space="preserve">only </w:t>
      </w:r>
      <w:r w:rsidR="00064BDE">
        <w:t>one week apart.</w:t>
      </w:r>
    </w:p>
    <w:p w14:paraId="12407D40" w14:textId="369D6717" w:rsidR="00933CC7" w:rsidRDefault="00933CC7" w:rsidP="00C36E0C">
      <w:r>
        <w:t>S</w:t>
      </w:r>
      <w:r w:rsidR="002867F3">
        <w:t>un</w:t>
      </w:r>
    </w:p>
    <w:p w14:paraId="591F9F3E" w14:textId="4D3EB2BD" w:rsidR="00060C3B" w:rsidRDefault="008E0E6A" w:rsidP="00C36E0C">
      <w:r>
        <w:t>Swansea is in the Northern Hemisphere</w:t>
      </w:r>
      <w:r w:rsidR="007A7342">
        <w:t>, a</w:t>
      </w:r>
      <w:r w:rsidR="00361BF4">
        <w:t>s such solar gains are achieved on the South face of the building.</w:t>
      </w:r>
      <w:r w:rsidR="00816F67">
        <w:t xml:space="preserve"> </w:t>
      </w:r>
      <w:r>
        <w:t>It is recommended that the interior layout uses buffer zones</w:t>
      </w:r>
      <w:r w:rsidR="00361BF4">
        <w:t>, natural heating from low lying Sun and</w:t>
      </w:r>
      <w:r>
        <w:t xml:space="preserve"> insulation to reduce winter heat loss.</w:t>
      </w:r>
    </w:p>
    <w:p w14:paraId="2E5169A1" w14:textId="511B6841" w:rsidR="00D04188" w:rsidRDefault="00DD2AB1" w:rsidP="00C36E0C">
      <w:r>
        <w:t>Thermal comfort is a subjective expression of satisfaction with the thermal environ</w:t>
      </w:r>
      <w:r w:rsidR="00BB6002">
        <w:t xml:space="preserve"> and the perceived difference between internal/external conditions. Implicit to this is an element of ‘adaptive’ comfort (clothing</w:t>
      </w:r>
      <w:r w:rsidR="007A7342">
        <w:t xml:space="preserve">, </w:t>
      </w:r>
      <w:r w:rsidR="00BB6002">
        <w:t>opening/closing of windows and shutters)</w:t>
      </w:r>
      <w:r>
        <w:t xml:space="preserve">. </w:t>
      </w:r>
      <w:r w:rsidR="00BB6002">
        <w:t>‘Passive’ measures require s</w:t>
      </w:r>
      <w:r w:rsidR="00816F67">
        <w:t xml:space="preserve">paces requiring the highest thermal comfort </w:t>
      </w:r>
      <w:r w:rsidR="00816F67">
        <w:t>and the buildings main façade</w:t>
      </w:r>
      <w:r w:rsidR="00635786">
        <w:t xml:space="preserve"> </w:t>
      </w:r>
      <w:r w:rsidR="00816F67">
        <w:t>be</w:t>
      </w:r>
      <w:r w:rsidR="00816F67">
        <w:t xml:space="preserve"> </w:t>
      </w:r>
      <w:r w:rsidR="00060C3B">
        <w:t>orientated</w:t>
      </w:r>
      <w:r w:rsidR="00816F67">
        <w:t xml:space="preserve"> South</w:t>
      </w:r>
      <w:r w:rsidR="00816F67">
        <w:t xml:space="preserve"> </w:t>
      </w:r>
      <w:r w:rsidR="00816F67">
        <w:t xml:space="preserve">to maximise </w:t>
      </w:r>
      <w:r w:rsidR="00D04188">
        <w:t>solar gains</w:t>
      </w:r>
      <w:r w:rsidR="00816F67">
        <w:t xml:space="preserve">. Whilst spaces requiring lower comfort temperatures, such as bedrooms, circulation routes and heat generating spaces such as kitchens </w:t>
      </w:r>
      <w:r w:rsidR="00060C3B">
        <w:t>should be</w:t>
      </w:r>
      <w:r w:rsidR="00816F67">
        <w:t xml:space="preserve"> </w:t>
      </w:r>
      <w:r w:rsidR="00060C3B">
        <w:t>orientated to East and North East</w:t>
      </w:r>
      <w:r w:rsidR="00816F67">
        <w:t>.</w:t>
      </w:r>
      <w:r w:rsidR="00816F67">
        <w:t xml:space="preserve"> </w:t>
      </w:r>
    </w:p>
    <w:p w14:paraId="4D30EE22" w14:textId="7F48FE51" w:rsidR="00933CC7" w:rsidRDefault="008E0E6A" w:rsidP="00C36E0C">
      <w:r>
        <w:t xml:space="preserve">Rooms with high/regular occupancy, should be situated to </w:t>
      </w:r>
      <w:r w:rsidR="00E07CD9">
        <w:t xml:space="preserve">the South with a higher proportion of glazing to floor area to maximise thermal comfort and solar gains, whilst rooms with more irregular occupancy are situated to the North with a lower glazing to floor area ratio. Ideally </w:t>
      </w:r>
      <w:r w:rsidR="007D361E">
        <w:t>unless there are particular security, privacy or accessibility issues</w:t>
      </w:r>
      <w:r w:rsidR="00E07CD9">
        <w:t xml:space="preserve"> an ‘upside down’ approach</w:t>
      </w:r>
      <w:r w:rsidR="007D361E">
        <w:t>, as in this design,</w:t>
      </w:r>
      <w:r w:rsidR="00E07CD9">
        <w:t xml:space="preserve"> with</w:t>
      </w:r>
      <w:r w:rsidR="00060C3B">
        <w:t xml:space="preserve"> living spaces on the upper floor and bedrooms where people prefer lower temperatures for sl</w:t>
      </w:r>
      <w:r w:rsidR="007D361E">
        <w:t>e</w:t>
      </w:r>
      <w:r w:rsidR="00060C3B">
        <w:t>eping</w:t>
      </w:r>
      <w:r w:rsidR="007D361E">
        <w:t xml:space="preserve"> on the ground floor should be considered. This uses the convective properties and stratification of rising warm air to maximise thermal comfort</w:t>
      </w:r>
      <w:sdt>
        <w:sdtPr>
          <w:id w:val="-1008828884"/>
          <w:citation/>
        </w:sdtPr>
        <w:sdtContent>
          <w:r w:rsidR="007D361E">
            <w:fldChar w:fldCharType="begin"/>
          </w:r>
          <w:r w:rsidR="007D361E">
            <w:instrText xml:space="preserve"> CITATION Pel15 \l 2057 </w:instrText>
          </w:r>
          <w:r w:rsidR="007D361E">
            <w:fldChar w:fldCharType="separate"/>
          </w:r>
          <w:r w:rsidR="007D361E">
            <w:rPr>
              <w:noProof/>
            </w:rPr>
            <w:t xml:space="preserve"> </w:t>
          </w:r>
          <w:r w:rsidR="007D361E" w:rsidRPr="007D361E">
            <w:rPr>
              <w:noProof/>
            </w:rPr>
            <w:t>(Pelsmakers, 2015)</w:t>
          </w:r>
          <w:r w:rsidR="007D361E">
            <w:fldChar w:fldCharType="end"/>
          </w:r>
        </w:sdtContent>
      </w:sdt>
      <w:r w:rsidR="00DD2AB1">
        <w:t>.</w:t>
      </w:r>
    </w:p>
    <w:p w14:paraId="46771B22" w14:textId="173CFAF3" w:rsidR="00952BCC" w:rsidRDefault="00BB6002" w:rsidP="00C36E0C">
      <w:r>
        <w:t xml:space="preserve">Consideration should be given </w:t>
      </w:r>
      <w:proofErr w:type="gramStart"/>
      <w:r>
        <w:t>to</w:t>
      </w:r>
      <w:r w:rsidR="00952BCC">
        <w:t>;</w:t>
      </w:r>
      <w:proofErr w:type="gramEnd"/>
    </w:p>
    <w:p w14:paraId="39C9987A" w14:textId="577EF2E1" w:rsidR="00952BCC" w:rsidRDefault="00952BCC" w:rsidP="00DD4179">
      <w:pPr>
        <w:pStyle w:val="ListParagraph"/>
        <w:numPr>
          <w:ilvl w:val="0"/>
          <w:numId w:val="3"/>
        </w:numPr>
      </w:pPr>
      <w:r>
        <w:t xml:space="preserve">The proportion and light transmittance of glazing to the overall room area, and ratio of natural/artificial lighting.  Should be no smaller than 10%, ideally 20% and no greater than 40% on South and 32% on other orientations </w:t>
      </w:r>
      <w:sdt>
        <w:sdtPr>
          <w:id w:val="2007695030"/>
          <w:citation/>
        </w:sdtPr>
        <w:sdtContent>
          <w:r>
            <w:fldChar w:fldCharType="begin"/>
          </w:r>
          <w:r>
            <w:instrText xml:space="preserve"> CITATION Pel15 \l 2057 </w:instrText>
          </w:r>
          <w:r>
            <w:fldChar w:fldCharType="separate"/>
          </w:r>
          <w:r w:rsidRPr="00952BCC">
            <w:rPr>
              <w:noProof/>
            </w:rPr>
            <w:t>(Pelsmakers, 2015)</w:t>
          </w:r>
          <w:r>
            <w:fldChar w:fldCharType="end"/>
          </w:r>
        </w:sdtContent>
      </w:sdt>
      <w:r>
        <w:t>.</w:t>
      </w:r>
    </w:p>
    <w:p w14:paraId="42F966EF" w14:textId="77777777" w:rsidR="00DD4179" w:rsidRDefault="00BB6002" w:rsidP="00952BCC">
      <w:pPr>
        <w:pStyle w:val="ListParagraph"/>
        <w:numPr>
          <w:ilvl w:val="0"/>
          <w:numId w:val="3"/>
        </w:numPr>
      </w:pPr>
      <w:r>
        <w:t>the urban environment (</w:t>
      </w:r>
      <w:r w:rsidR="00DD4179">
        <w:t>i.e.</w:t>
      </w:r>
      <w:r>
        <w:t xml:space="preserve"> Urban heat island effect)</w:t>
      </w:r>
      <w:r w:rsidR="00DD4179">
        <w:t>.</w:t>
      </w:r>
    </w:p>
    <w:p w14:paraId="0AB7346F" w14:textId="5237A257" w:rsidR="00DD4179" w:rsidRDefault="00DD4179" w:rsidP="00952BCC">
      <w:pPr>
        <w:pStyle w:val="ListParagraph"/>
        <w:numPr>
          <w:ilvl w:val="0"/>
          <w:numId w:val="3"/>
        </w:numPr>
      </w:pPr>
      <w:r>
        <w:lastRenderedPageBreak/>
        <w:t xml:space="preserve">Summer shading solutions such </w:t>
      </w:r>
      <w:r w:rsidR="00BB6002">
        <w:t xml:space="preserve">as </w:t>
      </w:r>
      <w:r>
        <w:t xml:space="preserve">vegetation, </w:t>
      </w:r>
      <w:proofErr w:type="spellStart"/>
      <w:r>
        <w:t>brise</w:t>
      </w:r>
      <w:proofErr w:type="spellEnd"/>
      <w:r w:rsidR="00D04188">
        <w:t xml:space="preserve"> </w:t>
      </w:r>
      <w:proofErr w:type="spellStart"/>
      <w:r>
        <w:t>soleils</w:t>
      </w:r>
      <w:proofErr w:type="spellEnd"/>
      <w:r>
        <w:t xml:space="preserve">, overhangs, pergolas, awnings, façade fins and vertical gardens, </w:t>
      </w:r>
      <w:r w:rsidR="00BB6002">
        <w:t xml:space="preserve">that do not compromise good daylighting (NB. SAD syndrome), </w:t>
      </w:r>
      <w:r>
        <w:t xml:space="preserve">as well as </w:t>
      </w:r>
      <w:r w:rsidR="00BB6002">
        <w:t xml:space="preserve">the choice of external materials and their </w:t>
      </w:r>
      <w:proofErr w:type="spellStart"/>
      <w:r w:rsidR="00BB6002">
        <w:t>ref</w:t>
      </w:r>
      <w:r w:rsidR="00952BCC">
        <w:t>lectancy</w:t>
      </w:r>
      <w:proofErr w:type="spellEnd"/>
      <w:r w:rsidR="00952BCC">
        <w:t>.</w:t>
      </w:r>
    </w:p>
    <w:p w14:paraId="54C0913E" w14:textId="57D1C3F7" w:rsidR="00C17E16" w:rsidRDefault="008F4453" w:rsidP="00C17E16">
      <w:pPr>
        <w:pStyle w:val="ListParagraph"/>
        <w:numPr>
          <w:ilvl w:val="0"/>
          <w:numId w:val="3"/>
        </w:numPr>
      </w:pPr>
      <w:r>
        <w:t xml:space="preserve">High Ceilings allow for better daylighting and the introduction of taller </w:t>
      </w:r>
      <w:r w:rsidR="00D04188">
        <w:t>windows but</w:t>
      </w:r>
      <w:r>
        <w:t xml:space="preserve"> will have commensurate construction costs and a greater volume of air will lead to higher winter space heati</w:t>
      </w:r>
      <w:r w:rsidR="00C17E16">
        <w:t>n</w:t>
      </w:r>
      <w:r>
        <w:t xml:space="preserve">g demands. This will require an exposed thermal mass in </w:t>
      </w:r>
      <w:r w:rsidR="00C17E16">
        <w:t>a well-insulated building</w:t>
      </w:r>
      <w:r w:rsidR="00D04188">
        <w:t xml:space="preserve"> design</w:t>
      </w:r>
      <w:r w:rsidR="00C17E16">
        <w:t>.</w:t>
      </w:r>
    </w:p>
    <w:p w14:paraId="165D141E" w14:textId="79EC92BF" w:rsidR="00C17E16" w:rsidRDefault="00C17E16" w:rsidP="00C17E16">
      <w:pPr>
        <w:pStyle w:val="ListParagraph"/>
        <w:numPr>
          <w:ilvl w:val="0"/>
          <w:numId w:val="3"/>
        </w:numPr>
      </w:pPr>
      <w:r>
        <w:t xml:space="preserve">Exposed concrete ceilings allow for a much greater thermal mass than traditional materials such as plasterboard. This has been used particularly well in the Powergen HQ designed by Bennetts Associates which incorporate a concave parabolic ceiling troffer (upside down </w:t>
      </w:r>
      <w:proofErr w:type="gramStart"/>
      <w:r>
        <w:t>bath tub</w:t>
      </w:r>
      <w:proofErr w:type="gramEnd"/>
      <w:r>
        <w:t>) to maximise surface area, also utilised as a light well and for running of services.</w:t>
      </w:r>
    </w:p>
    <w:p w14:paraId="11D55A0B" w14:textId="269BCAD9" w:rsidR="00C17E16" w:rsidRDefault="00C17E16" w:rsidP="00427092">
      <w:r>
        <w:t xml:space="preserve">Other </w:t>
      </w:r>
      <w:r w:rsidR="00941CE2">
        <w:t>technique</w:t>
      </w:r>
      <w:r>
        <w:t xml:space="preserve">s considered are ground source heat pumps which utilise the </w:t>
      </w:r>
      <w:r w:rsidR="001E5216">
        <w:t>earth’s stored heat as a heat source in winter and a heat sink in summer to transfer heat to an underfloor heating system from a system of buried coils filled with a refrigerant.</w:t>
      </w:r>
    </w:p>
    <w:p w14:paraId="2E479DE9" w14:textId="72126820" w:rsidR="00DD2AB1" w:rsidRDefault="00427092" w:rsidP="00427092">
      <w:r>
        <w:t>Air</w:t>
      </w:r>
    </w:p>
    <w:p w14:paraId="125822AA" w14:textId="1F826EB8" w:rsidR="0058709A" w:rsidRDefault="0058709A" w:rsidP="00427092">
      <w:r>
        <w:t xml:space="preserve">Wind is generated by </w:t>
      </w:r>
      <w:r w:rsidR="00F220FA">
        <w:t xml:space="preserve">convection and </w:t>
      </w:r>
      <w:r>
        <w:t>the temperature difference between wa</w:t>
      </w:r>
      <w:r w:rsidR="00F220FA">
        <w:t>rm air rising and cooler air being pulled in at lower levels. Cross ventilation relies on the pressure difference between the windward and leeward faces of a building, and generally requires the depth of the space to not exceed five times its height</w:t>
      </w:r>
      <w:sdt>
        <w:sdtPr>
          <w:id w:val="-235481362"/>
          <w:citation/>
        </w:sdtPr>
        <w:sdtContent>
          <w:r w:rsidR="00F220FA">
            <w:fldChar w:fldCharType="begin"/>
          </w:r>
          <w:r w:rsidR="00F220FA">
            <w:instrText xml:space="preserve"> CITATION Hey12 \l 2057 </w:instrText>
          </w:r>
          <w:r w:rsidR="00F220FA">
            <w:fldChar w:fldCharType="separate"/>
          </w:r>
          <w:r w:rsidR="00F220FA">
            <w:rPr>
              <w:noProof/>
            </w:rPr>
            <w:t xml:space="preserve"> </w:t>
          </w:r>
          <w:r w:rsidR="00F220FA" w:rsidRPr="00F220FA">
            <w:rPr>
              <w:noProof/>
            </w:rPr>
            <w:t>(Heywood, 2012)</w:t>
          </w:r>
          <w:r w:rsidR="00F220FA">
            <w:fldChar w:fldCharType="end"/>
          </w:r>
        </w:sdtContent>
      </w:sdt>
      <w:r w:rsidR="00F220FA">
        <w:t>.</w:t>
      </w:r>
    </w:p>
    <w:p w14:paraId="47319626" w14:textId="2F26CFED" w:rsidR="00427092" w:rsidRDefault="00A05F1F" w:rsidP="00427092">
      <w:r>
        <w:t>‘Background’ v</w:t>
      </w:r>
      <w:r w:rsidR="00427092">
        <w:t>entilation is required all year round to provide good indoor air quality</w:t>
      </w:r>
      <w:r>
        <w:t xml:space="preserve"> (IAQ)</w:t>
      </w:r>
      <w:r w:rsidR="00427092">
        <w:t>, reduce humidity</w:t>
      </w:r>
      <w:r w:rsidR="004B2DB2">
        <w:t>,</w:t>
      </w:r>
      <w:r>
        <w:t xml:space="preserve"> and to dispel smells CO</w:t>
      </w:r>
      <w:r w:rsidR="00C32B52">
        <w:rPr>
          <w:vertAlign w:val="superscript"/>
        </w:rPr>
        <w:t>2</w:t>
      </w:r>
      <w:r>
        <w:t xml:space="preserve"> and off gassing from materials. </w:t>
      </w:r>
      <w:r w:rsidR="00F220FA">
        <w:t>Buildings that utilise their thermal mass require n</w:t>
      </w:r>
      <w:r w:rsidR="004B2DB2">
        <w:t>octurnal ventilation</w:t>
      </w:r>
      <w:r w:rsidR="00F220FA">
        <w:t xml:space="preserve"> during the summer to dissipate re-released heat</w:t>
      </w:r>
      <w:r w:rsidR="004B2DB2">
        <w:t xml:space="preserve"> to stabilise the internal thermal environment</w:t>
      </w:r>
      <w:r w:rsidR="004B2DB2">
        <w:t xml:space="preserve"> and to prevent overheating in the Summer, a regulatory requirement.</w:t>
      </w:r>
      <w:r w:rsidR="004B2DB2">
        <w:t xml:space="preserve"> It can be unintentional</w:t>
      </w:r>
      <w:r w:rsidR="00857F52">
        <w:t xml:space="preserve">, </w:t>
      </w:r>
      <w:r w:rsidR="004B2DB2">
        <w:t xml:space="preserve">unwanted </w:t>
      </w:r>
      <w:r w:rsidR="00857F52">
        <w:t xml:space="preserve">and uncontrolled </w:t>
      </w:r>
      <w:r w:rsidR="004B2DB2">
        <w:t>via cracks and gaps</w:t>
      </w:r>
      <w:r w:rsidR="00857F52">
        <w:t xml:space="preserve">. This leads to draughts, increased heat loss and compromised thermal comfort. It can be achieved ‘passively’ with trickle vents in windows. An ‘active’ solution </w:t>
      </w:r>
      <w:r w:rsidR="00A03F73">
        <w:t>may be</w:t>
      </w:r>
      <w:r w:rsidR="00857F52">
        <w:t xml:space="preserve"> needed to provide necessary air changes for good IAQ all year</w:t>
      </w:r>
      <w:r w:rsidR="00A03F73">
        <w:t xml:space="preserve">, via continuous mechanical extraction (MEV) or Mechanical </w:t>
      </w:r>
      <w:proofErr w:type="spellStart"/>
      <w:r w:rsidR="00A03F73">
        <w:t>Venilation</w:t>
      </w:r>
      <w:proofErr w:type="spellEnd"/>
      <w:r w:rsidR="00A03F73">
        <w:t xml:space="preserve"> with Heat Recovery (MVHR) which also recovers heat that would normally be lost. MVHR is a key requirement to meet </w:t>
      </w:r>
      <w:proofErr w:type="spellStart"/>
      <w:r w:rsidR="00A03F73">
        <w:t>Passivhaus</w:t>
      </w:r>
      <w:proofErr w:type="spellEnd"/>
      <w:r w:rsidR="00A03F73">
        <w:t xml:space="preserve"> standards which also require a </w:t>
      </w:r>
      <w:r w:rsidR="00A136A4">
        <w:t xml:space="preserve">building be super insulated and </w:t>
      </w:r>
      <w:proofErr w:type="gramStart"/>
      <w:r w:rsidR="00A136A4">
        <w:t>air tight</w:t>
      </w:r>
      <w:proofErr w:type="gramEnd"/>
      <w:r w:rsidR="00A136A4">
        <w:t>. It is the best energy standard and reduces space heat demands by x 2.5-3 times compared to UK recommended zero carbon standard</w:t>
      </w:r>
      <w:r w:rsidR="002867F3">
        <w:t>, resulting in lower energy bills, easier compliance with future zero carbon targets and less investment in technologies to offset the remaining carbon.</w:t>
      </w:r>
    </w:p>
    <w:p w14:paraId="7F037878" w14:textId="519CF6FE" w:rsidR="002867F3" w:rsidRPr="005D10E1" w:rsidRDefault="002867F3" w:rsidP="00427092">
      <w:r>
        <w:t xml:space="preserve">‘Purge’ Ventilation requires </w:t>
      </w:r>
      <w:bookmarkStart w:id="0" w:name="_GoBack"/>
      <w:bookmarkEnd w:id="0"/>
    </w:p>
    <w:sectPr w:rsidR="002867F3" w:rsidRPr="005D10E1" w:rsidSect="00274947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65958D" w14:textId="77777777" w:rsidR="00062098" w:rsidRDefault="00062098" w:rsidP="001E5216">
      <w:pPr>
        <w:spacing w:before="0" w:after="0"/>
      </w:pPr>
      <w:r>
        <w:separator/>
      </w:r>
    </w:p>
  </w:endnote>
  <w:endnote w:type="continuationSeparator" w:id="0">
    <w:p w14:paraId="011E4486" w14:textId="77777777" w:rsidR="00062098" w:rsidRDefault="00062098" w:rsidP="001E5216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9ECA9F" w14:textId="77777777" w:rsidR="00062098" w:rsidRDefault="00062098" w:rsidP="001E5216">
      <w:pPr>
        <w:spacing w:before="0" w:after="0"/>
      </w:pPr>
      <w:r>
        <w:separator/>
      </w:r>
    </w:p>
  </w:footnote>
  <w:footnote w:type="continuationSeparator" w:id="0">
    <w:p w14:paraId="63B9DB34" w14:textId="77777777" w:rsidR="00062098" w:rsidRDefault="00062098" w:rsidP="001E5216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9754754"/>
    <w:multiLevelType w:val="hybridMultilevel"/>
    <w:tmpl w:val="54C6B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5803BB"/>
    <w:multiLevelType w:val="hybridMultilevel"/>
    <w:tmpl w:val="9BC44C0E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2" w15:restartNumberingAfterBreak="0">
    <w:nsid w:val="6B4F74AA"/>
    <w:multiLevelType w:val="hybridMultilevel"/>
    <w:tmpl w:val="C0DC50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74947"/>
    <w:rsid w:val="000211BF"/>
    <w:rsid w:val="00024C53"/>
    <w:rsid w:val="0005117E"/>
    <w:rsid w:val="00060C3B"/>
    <w:rsid w:val="00062098"/>
    <w:rsid w:val="00064BDE"/>
    <w:rsid w:val="00075639"/>
    <w:rsid w:val="00093B77"/>
    <w:rsid w:val="000B3562"/>
    <w:rsid w:val="000C5923"/>
    <w:rsid w:val="000C6CBD"/>
    <w:rsid w:val="000D4E4F"/>
    <w:rsid w:val="000F2D0F"/>
    <w:rsid w:val="000F4167"/>
    <w:rsid w:val="00103AB0"/>
    <w:rsid w:val="00110D68"/>
    <w:rsid w:val="00114115"/>
    <w:rsid w:val="00123CB1"/>
    <w:rsid w:val="00134EBA"/>
    <w:rsid w:val="00144C95"/>
    <w:rsid w:val="001569AD"/>
    <w:rsid w:val="001722C5"/>
    <w:rsid w:val="00175D33"/>
    <w:rsid w:val="00185D01"/>
    <w:rsid w:val="001A0AAC"/>
    <w:rsid w:val="001A25E8"/>
    <w:rsid w:val="001B6B04"/>
    <w:rsid w:val="001D19D4"/>
    <w:rsid w:val="001D429B"/>
    <w:rsid w:val="001E5216"/>
    <w:rsid w:val="001F2A24"/>
    <w:rsid w:val="002002CB"/>
    <w:rsid w:val="00200F6F"/>
    <w:rsid w:val="00210FEA"/>
    <w:rsid w:val="00227D91"/>
    <w:rsid w:val="00227DFD"/>
    <w:rsid w:val="0024500C"/>
    <w:rsid w:val="002673B7"/>
    <w:rsid w:val="00267E36"/>
    <w:rsid w:val="00274947"/>
    <w:rsid w:val="0028048B"/>
    <w:rsid w:val="002867F3"/>
    <w:rsid w:val="00287B74"/>
    <w:rsid w:val="00292204"/>
    <w:rsid w:val="00296AF4"/>
    <w:rsid w:val="002A499D"/>
    <w:rsid w:val="002D1E8C"/>
    <w:rsid w:val="002E1F7E"/>
    <w:rsid w:val="002F195D"/>
    <w:rsid w:val="002F232E"/>
    <w:rsid w:val="00307E62"/>
    <w:rsid w:val="003115ED"/>
    <w:rsid w:val="00331E16"/>
    <w:rsid w:val="0034288A"/>
    <w:rsid w:val="00361BF4"/>
    <w:rsid w:val="003B4C2A"/>
    <w:rsid w:val="003C7EDA"/>
    <w:rsid w:val="00413E3D"/>
    <w:rsid w:val="00422E98"/>
    <w:rsid w:val="00426259"/>
    <w:rsid w:val="00427092"/>
    <w:rsid w:val="00437EBF"/>
    <w:rsid w:val="004550F8"/>
    <w:rsid w:val="004704B1"/>
    <w:rsid w:val="0048639E"/>
    <w:rsid w:val="004A022B"/>
    <w:rsid w:val="004B0C00"/>
    <w:rsid w:val="004B2DB2"/>
    <w:rsid w:val="00507A07"/>
    <w:rsid w:val="00534401"/>
    <w:rsid w:val="0053453B"/>
    <w:rsid w:val="00580CBE"/>
    <w:rsid w:val="00580EA8"/>
    <w:rsid w:val="0058709A"/>
    <w:rsid w:val="005A6C3F"/>
    <w:rsid w:val="005C238C"/>
    <w:rsid w:val="005D10E1"/>
    <w:rsid w:val="005D18E8"/>
    <w:rsid w:val="005E3F50"/>
    <w:rsid w:val="00635786"/>
    <w:rsid w:val="00650995"/>
    <w:rsid w:val="00680B92"/>
    <w:rsid w:val="0069133B"/>
    <w:rsid w:val="006941D5"/>
    <w:rsid w:val="006C0A02"/>
    <w:rsid w:val="006C4BE0"/>
    <w:rsid w:val="006C51C3"/>
    <w:rsid w:val="006D1CF2"/>
    <w:rsid w:val="006E56F6"/>
    <w:rsid w:val="006E6626"/>
    <w:rsid w:val="007116CC"/>
    <w:rsid w:val="00715154"/>
    <w:rsid w:val="00717041"/>
    <w:rsid w:val="0072111F"/>
    <w:rsid w:val="0072214D"/>
    <w:rsid w:val="007A018D"/>
    <w:rsid w:val="007A49CB"/>
    <w:rsid w:val="007A7342"/>
    <w:rsid w:val="007D1C80"/>
    <w:rsid w:val="007D361E"/>
    <w:rsid w:val="007F73DD"/>
    <w:rsid w:val="008032C8"/>
    <w:rsid w:val="0080692E"/>
    <w:rsid w:val="00816F67"/>
    <w:rsid w:val="00820D6C"/>
    <w:rsid w:val="00822943"/>
    <w:rsid w:val="00823D7D"/>
    <w:rsid w:val="00850FD1"/>
    <w:rsid w:val="008510E9"/>
    <w:rsid w:val="0085694D"/>
    <w:rsid w:val="00857F52"/>
    <w:rsid w:val="0088752A"/>
    <w:rsid w:val="008A1712"/>
    <w:rsid w:val="008E0E6A"/>
    <w:rsid w:val="008E5E27"/>
    <w:rsid w:val="008E76CB"/>
    <w:rsid w:val="008F37C7"/>
    <w:rsid w:val="008F4453"/>
    <w:rsid w:val="009029B8"/>
    <w:rsid w:val="00923049"/>
    <w:rsid w:val="00933CC7"/>
    <w:rsid w:val="00941CE2"/>
    <w:rsid w:val="00942541"/>
    <w:rsid w:val="00952BCC"/>
    <w:rsid w:val="00964156"/>
    <w:rsid w:val="009647A5"/>
    <w:rsid w:val="00970AF9"/>
    <w:rsid w:val="00990304"/>
    <w:rsid w:val="009B3C83"/>
    <w:rsid w:val="009B59FD"/>
    <w:rsid w:val="009D6386"/>
    <w:rsid w:val="009F779C"/>
    <w:rsid w:val="00A03F73"/>
    <w:rsid w:val="00A05F1F"/>
    <w:rsid w:val="00A075D6"/>
    <w:rsid w:val="00A11911"/>
    <w:rsid w:val="00A136A4"/>
    <w:rsid w:val="00A259BD"/>
    <w:rsid w:val="00A26276"/>
    <w:rsid w:val="00A55A10"/>
    <w:rsid w:val="00A578AD"/>
    <w:rsid w:val="00A90C50"/>
    <w:rsid w:val="00AA295E"/>
    <w:rsid w:val="00AA46BF"/>
    <w:rsid w:val="00AC69A6"/>
    <w:rsid w:val="00AE068F"/>
    <w:rsid w:val="00AF5325"/>
    <w:rsid w:val="00B14BC9"/>
    <w:rsid w:val="00B24F61"/>
    <w:rsid w:val="00B3741E"/>
    <w:rsid w:val="00B463FC"/>
    <w:rsid w:val="00B579D7"/>
    <w:rsid w:val="00B66A5E"/>
    <w:rsid w:val="00B705EB"/>
    <w:rsid w:val="00B72C67"/>
    <w:rsid w:val="00B73F7C"/>
    <w:rsid w:val="00B932CC"/>
    <w:rsid w:val="00B94293"/>
    <w:rsid w:val="00BB6002"/>
    <w:rsid w:val="00BB7291"/>
    <w:rsid w:val="00BC3847"/>
    <w:rsid w:val="00BC7CD8"/>
    <w:rsid w:val="00BD028F"/>
    <w:rsid w:val="00BE238B"/>
    <w:rsid w:val="00BF0E39"/>
    <w:rsid w:val="00C17E16"/>
    <w:rsid w:val="00C31196"/>
    <w:rsid w:val="00C31D34"/>
    <w:rsid w:val="00C32B52"/>
    <w:rsid w:val="00C367B2"/>
    <w:rsid w:val="00C36E0C"/>
    <w:rsid w:val="00C37B83"/>
    <w:rsid w:val="00C65E95"/>
    <w:rsid w:val="00C71269"/>
    <w:rsid w:val="00C742E8"/>
    <w:rsid w:val="00C845F7"/>
    <w:rsid w:val="00C847CC"/>
    <w:rsid w:val="00CF369D"/>
    <w:rsid w:val="00D0132D"/>
    <w:rsid w:val="00D03490"/>
    <w:rsid w:val="00D03B1B"/>
    <w:rsid w:val="00D04188"/>
    <w:rsid w:val="00D14218"/>
    <w:rsid w:val="00D74707"/>
    <w:rsid w:val="00D75E0B"/>
    <w:rsid w:val="00D842D0"/>
    <w:rsid w:val="00D975BF"/>
    <w:rsid w:val="00DA67A2"/>
    <w:rsid w:val="00DD0895"/>
    <w:rsid w:val="00DD2AB1"/>
    <w:rsid w:val="00DD4179"/>
    <w:rsid w:val="00DF3A08"/>
    <w:rsid w:val="00E07CD9"/>
    <w:rsid w:val="00E17809"/>
    <w:rsid w:val="00E2382C"/>
    <w:rsid w:val="00E25150"/>
    <w:rsid w:val="00E25814"/>
    <w:rsid w:val="00E42BE9"/>
    <w:rsid w:val="00E75E38"/>
    <w:rsid w:val="00E75F5B"/>
    <w:rsid w:val="00E77694"/>
    <w:rsid w:val="00E81180"/>
    <w:rsid w:val="00E8138C"/>
    <w:rsid w:val="00E87F5D"/>
    <w:rsid w:val="00E920C4"/>
    <w:rsid w:val="00E96B20"/>
    <w:rsid w:val="00EE2D9E"/>
    <w:rsid w:val="00EF4A8F"/>
    <w:rsid w:val="00EF4ECC"/>
    <w:rsid w:val="00F01050"/>
    <w:rsid w:val="00F220FA"/>
    <w:rsid w:val="00F350F3"/>
    <w:rsid w:val="00F61854"/>
    <w:rsid w:val="00F63F94"/>
    <w:rsid w:val="00F67182"/>
    <w:rsid w:val="00F928EE"/>
    <w:rsid w:val="00F94E3F"/>
    <w:rsid w:val="00FB36A8"/>
    <w:rsid w:val="00FC4CD5"/>
    <w:rsid w:val="00FC79A7"/>
    <w:rsid w:val="00FF1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A8C37"/>
  <w15:chartTrackingRefBased/>
  <w15:docId w15:val="{5E58CF24-F474-4484-B6DE-45D193331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1854"/>
    <w:pPr>
      <w:spacing w:before="240" w:after="400" w:line="240" w:lineRule="auto"/>
      <w:jc w:val="both"/>
    </w:pPr>
    <w:rPr>
      <w:sz w:val="24"/>
    </w:rPr>
  </w:style>
  <w:style w:type="paragraph" w:styleId="Heading1">
    <w:name w:val="heading 1"/>
    <w:basedOn w:val="Normal"/>
    <w:next w:val="Heading2"/>
    <w:link w:val="Heading1Char"/>
    <w:uiPriority w:val="9"/>
    <w:qFormat/>
    <w:rsid w:val="007F73DD"/>
    <w:pPr>
      <w:keepNext/>
      <w:keepLines/>
      <w:spacing w:after="0" w:line="360" w:lineRule="auto"/>
      <w:outlineLvl w:val="0"/>
    </w:pPr>
    <w:rPr>
      <w:rFonts w:asciiTheme="majorHAnsi" w:eastAsiaTheme="majorEastAsia" w:hAnsiTheme="majorHAnsi" w:cstheme="majorBidi"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73DD"/>
    <w:pPr>
      <w:keepNext/>
      <w:keepLines/>
      <w:spacing w:before="40" w:after="0" w:line="360" w:lineRule="auto"/>
      <w:outlineLvl w:val="1"/>
    </w:pPr>
    <w:rPr>
      <w:rFonts w:asciiTheme="majorHAnsi" w:eastAsiaTheme="majorEastAsia" w:hAnsiTheme="majorHAnsi" w:cstheme="majorBidi"/>
      <w:sz w:val="32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73DD"/>
    <w:rPr>
      <w:rFonts w:asciiTheme="majorHAnsi" w:eastAsiaTheme="majorEastAsia" w:hAnsiTheme="majorHAnsi" w:cstheme="majorBidi"/>
      <w:sz w:val="40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E238B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D0132D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F61854"/>
    <w:pPr>
      <w:spacing w:after="120"/>
      <w:contextualSpacing/>
      <w:jc w:val="center"/>
    </w:pPr>
    <w:rPr>
      <w:rFonts w:asciiTheme="majorHAnsi" w:eastAsiaTheme="majorEastAsia" w:hAnsiTheme="majorHAnsi" w:cstheme="majorBidi"/>
      <w:b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1854"/>
    <w:rPr>
      <w:rFonts w:asciiTheme="majorHAnsi" w:eastAsiaTheme="majorEastAsia" w:hAnsiTheme="majorHAnsi" w:cstheme="majorBidi"/>
      <w:b/>
      <w:spacing w:val="-10"/>
      <w:kern w:val="28"/>
      <w:sz w:val="48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10E1"/>
    <w:pPr>
      <w:numPr>
        <w:ilvl w:val="1"/>
      </w:numPr>
      <w:spacing w:after="160"/>
      <w:jc w:val="center"/>
    </w:pPr>
    <w:rPr>
      <w:rFonts w:eastAsiaTheme="minorEastAsia"/>
      <w:spacing w:val="15"/>
      <w:sz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F73DD"/>
    <w:rPr>
      <w:rFonts w:asciiTheme="majorHAnsi" w:eastAsiaTheme="majorEastAsia" w:hAnsiTheme="majorHAnsi" w:cstheme="majorBidi"/>
      <w:sz w:val="32"/>
      <w:szCs w:val="26"/>
    </w:rPr>
  </w:style>
  <w:style w:type="character" w:customStyle="1" w:styleId="SubtitleChar">
    <w:name w:val="Subtitle Char"/>
    <w:basedOn w:val="DefaultParagraphFont"/>
    <w:link w:val="Subtitle"/>
    <w:uiPriority w:val="11"/>
    <w:rsid w:val="005D10E1"/>
    <w:rPr>
      <w:rFonts w:eastAsiaTheme="minorEastAsia"/>
      <w:spacing w:val="15"/>
      <w:sz w:val="4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E5216"/>
    <w:pPr>
      <w:spacing w:before="0"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E521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E5216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A05F1F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37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70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03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4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7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1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6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60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0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95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13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9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4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3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1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23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73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40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20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Lup19</b:Tag>
    <b:SourceType>Book</b:SourceType>
    <b:Guid>{A1DDD2D9-8FA2-461B-9091-009CECD0997F}</b:Guid>
    <b:Title>Which Contract? Choosing the appropriate building contract</b:Title>
    <b:Year>2019</b:Year>
    <b:Publisher>RIBA</b:Publisher>
    <b:Author>
      <b:Author>
        <b:NameList>
          <b:Person>
            <b:Last>Lupton</b:Last>
            <b:First>S</b:First>
            <b:Middle>and Stellakis, M</b:Middle>
          </b:Person>
        </b:NameList>
      </b:Author>
    </b:Author>
    <b:Edition>6th</b:Edition>
    <b:RefOrder>6</b:RefOrder>
  </b:Source>
  <b:Source>
    <b:Tag>Adr05</b:Tag>
    <b:SourceType>Book</b:SourceType>
    <b:Guid>{F7AEF9CE-4986-4992-8AEB-D701190389C2}</b:Guid>
    <b:Title>Construction Contract Law- The Essentials</b:Title>
    <b:Year>2005</b:Year>
    <b:Publisher>Palgrave</b:Publisher>
    <b:Author>
      <b:Author>
        <b:NameList>
          <b:Person>
            <b:Last>Adriaanse</b:Last>
            <b:First>J</b:First>
          </b:Person>
        </b:NameList>
      </b:Author>
    </b:Author>
    <b:RefOrder>7</b:RefOrder>
  </b:Source>
  <b:Source>
    <b:Tag>Ash12</b:Tag>
    <b:SourceType>Book</b:SourceType>
    <b:Guid>{8B2BA983-61B0-430D-B90C-529FD3C6145F}</b:Guid>
    <b:Author>
      <b:Author>
        <b:NameList>
          <b:Person>
            <b:Last>Ashworth</b:Last>
            <b:First>A</b:First>
          </b:Person>
        </b:NameList>
      </b:Author>
    </b:Author>
    <b:Title>Contractual Procedures in the Construction Industry</b:Title>
    <b:Year>2012</b:Year>
    <b:Publisher>Routledge</b:Publisher>
    <b:Edition>6</b:Edition>
    <b:RefOrder>8</b:RefOrder>
  </b:Source>
  <b:Source>
    <b:Tag>Edw01</b:Tag>
    <b:SourceType>JournalArticle</b:SourceType>
    <b:Guid>{E0178CD3-4F26-400F-A3BA-A13164D6C1F7}</b:Guid>
    <b:Author>
      <b:Author>
        <b:NameList>
          <b:Person>
            <b:Last>Edwards</b:Last>
            <b:First>B</b:First>
          </b:Person>
        </b:NameList>
      </b:Author>
    </b:Author>
    <b:Title>Green Architecture</b:Title>
    <b:Year>2001</b:Year>
    <b:Publisher>Wiley</b:Publisher>
    <b:JournalName>Architectural Design</b:JournalName>
    <b:Pages>9-17</b:Pages>
    <b:Volume>71</b:Volume>
    <b:Issue>4</b:Issue>
    <b:RefOrder>1</b:RefOrder>
  </b:Source>
  <b:Source>
    <b:Tag>Hey12</b:Tag>
    <b:SourceType>Book</b:SourceType>
    <b:Guid>{BD908760-AC3C-4F4C-81C7-34871B958177}</b:Guid>
    <b:Title>101 Rules of Thumb for Low Energy Architecture</b:Title>
    <b:Year>2012</b:Year>
    <b:Author>
      <b:Author>
        <b:NameList>
          <b:Person>
            <b:Last>Heywood</b:Last>
            <b:First>H</b:First>
          </b:Person>
        </b:NameList>
      </b:Author>
    </b:Author>
    <b:Publisher>RIBA</b:Publisher>
    <b:RefOrder>2</b:RefOrder>
  </b:Source>
  <b:Source>
    <b:Tag>Hey15</b:Tag>
    <b:SourceType>Book</b:SourceType>
    <b:Guid>{ED372FFD-C656-4309-A914-86FCF4C04C69}</b:Guid>
    <b:Author>
      <b:Author>
        <b:NameList>
          <b:Person>
            <b:Last>Heywood</b:Last>
            <b:First>H</b:First>
          </b:Person>
        </b:NameList>
      </b:Author>
    </b:Author>
    <b:Title>101 Rules of Thumb for Sustainable  Buildings and Vities</b:Title>
    <b:Year>2015</b:Year>
    <b:Publisher>RIBA</b:Publisher>
    <b:RefOrder>9</b:RefOrder>
  </b:Source>
  <b:Source>
    <b:Tag>Men00</b:Tag>
    <b:SourceType>Book</b:SourceType>
    <b:Guid>{8FD626CF-535B-4CDA-B0F0-7CCEFBCB4B56}</b:Guid>
    <b:Author>
      <b:Author>
        <b:NameList>
          <b:Person>
            <b:Last>Mendler</b:Last>
            <b:First>S.F.</b:First>
            <b:Middle>and Odell, W</b:Middle>
          </b:Person>
        </b:NameList>
      </b:Author>
    </b:Author>
    <b:Title>The HOK Guidebook to Sustainable Design</b:Title>
    <b:Year>2000</b:Year>
    <b:Publisher>John Wiley &amp; Sons</b:Publisher>
    <b:RefOrder>4</b:RefOrder>
  </b:Source>
  <b:Source>
    <b:Tag>Hor64</b:Tag>
    <b:SourceType>Film</b:SourceType>
    <b:Guid>{E29C82CD-CAB7-4D98-81A9-46B4D4FF4CEB}</b:Guid>
    <b:Title>Horizon- The World of Buckminster Fuller</b:Title>
    <b:Year>1964</b:Year>
    <b:ProductionCompany>BBC I-Player</b:ProductionCompany>
    <b:YearAccessed>2019</b:YearAccessed>
    <b:RefOrder>3</b:RefOrder>
  </b:Source>
  <b:Source>
    <b:Tag>Pel15</b:Tag>
    <b:SourceType>Book</b:SourceType>
    <b:Guid>{F30503D3-979D-4DE9-9D8E-D852B53B2B0F}</b:Guid>
    <b:Title>THe Environmental Design Pocketbook</b:Title>
    <b:Year>2015</b:Year>
    <b:Author>
      <b:Author>
        <b:NameList>
          <b:Person>
            <b:Last>Pelsmakers</b:Last>
            <b:First>S</b:First>
          </b:Person>
        </b:NameList>
      </b:Author>
    </b:Author>
    <b:Publisher>RIBA</b:Publisher>
    <b:Edition>2nd</b:Edition>
    <b:RefOrder>5</b:RefOrder>
  </b:Source>
</b:Sources>
</file>

<file path=customXml/itemProps1.xml><?xml version="1.0" encoding="utf-8"?>
<ds:datastoreItem xmlns:ds="http://schemas.openxmlformats.org/officeDocument/2006/customXml" ds:itemID="{3BD20380-5BC2-4EF3-85DA-A2066C084E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1280</Words>
  <Characters>7299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Thomas</dc:creator>
  <cp:keywords/>
  <dc:description/>
  <cp:lastModifiedBy>Michael Thomas</cp:lastModifiedBy>
  <cp:revision>2</cp:revision>
  <dcterms:created xsi:type="dcterms:W3CDTF">2020-02-13T23:36:00Z</dcterms:created>
  <dcterms:modified xsi:type="dcterms:W3CDTF">2020-02-13T23:36:00Z</dcterms:modified>
</cp:coreProperties>
</file>